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417D7">
      <w:pPr>
        <w:ind w:firstLine="1040" w:firstLineChars="200"/>
        <w:jc w:val="center"/>
        <w:rPr>
          <w:rFonts w:hint="eastAsia"/>
          <w:color w:val="auto"/>
          <w:sz w:val="52"/>
          <w:szCs w:val="52"/>
          <w:highlight w:val="none"/>
        </w:rPr>
      </w:pPr>
    </w:p>
    <w:p w14:paraId="6C86D5E7">
      <w:pPr>
        <w:jc w:val="center"/>
        <w:rPr>
          <w:rFonts w:hint="eastAsia" w:eastAsia="宋体"/>
          <w:color w:val="auto"/>
          <w:sz w:val="72"/>
          <w:highlight w:val="none"/>
          <w:lang w:eastAsia="zh-CN"/>
        </w:rPr>
      </w:pPr>
      <w:r>
        <w:rPr>
          <w:rFonts w:hint="eastAsia"/>
          <w:color w:val="auto"/>
          <w:sz w:val="52"/>
          <w:szCs w:val="52"/>
          <w:highlight w:val="none"/>
          <w:lang w:eastAsia="zh-CN"/>
        </w:rPr>
        <w:t>广西冠宁工程咨询有限公司</w:t>
      </w:r>
    </w:p>
    <w:p w14:paraId="75549E35">
      <w:pPr>
        <w:ind w:firstLine="640" w:firstLineChars="200"/>
        <w:rPr>
          <w:color w:val="auto"/>
          <w:sz w:val="32"/>
          <w:highlight w:val="none"/>
          <w:u w:val="single"/>
        </w:rPr>
      </w:pPr>
      <w:r>
        <w:rPr>
          <w:rFonts w:hint="eastAsia"/>
          <w:color w:val="auto"/>
          <w:sz w:val="32"/>
          <w:highlight w:val="none"/>
          <w:u w:val="single"/>
        </w:rPr>
        <w:t xml:space="preserve">                                                          </w:t>
      </w:r>
    </w:p>
    <w:p w14:paraId="7DDB8BAF">
      <w:pPr>
        <w:pStyle w:val="11"/>
        <w:ind w:right="-166" w:rightChars="-79"/>
        <w:jc w:val="center"/>
        <w:rPr>
          <w:rFonts w:ascii="宋体" w:cs="宋体"/>
          <w:color w:val="auto"/>
          <w:sz w:val="84"/>
          <w:szCs w:val="84"/>
          <w:highlight w:val="none"/>
        </w:rPr>
      </w:pPr>
    </w:p>
    <w:p w14:paraId="2D23AEB6">
      <w:pPr>
        <w:spacing w:before="165" w:beforeLines="50" w:line="360" w:lineRule="auto"/>
        <w:jc w:val="center"/>
        <w:rPr>
          <w:rFonts w:hint="eastAsia" w:ascii="仿宋_GB2312" w:hAnsi="宋体" w:eastAsia="仿宋_GB2312" w:cs="Times New Roman"/>
          <w:b/>
          <w:color w:val="auto"/>
          <w:sz w:val="48"/>
          <w:szCs w:val="48"/>
          <w:highlight w:val="none"/>
        </w:rPr>
      </w:pPr>
    </w:p>
    <w:p w14:paraId="2E877831">
      <w:pPr>
        <w:spacing w:before="165" w:beforeLines="50" w:line="360" w:lineRule="auto"/>
        <w:jc w:val="center"/>
        <w:rPr>
          <w:rFonts w:hint="eastAsia" w:ascii="仿宋_GB2312" w:hAnsi="宋体" w:eastAsia="仿宋_GB2312" w:cs="Times New Roman"/>
          <w:b/>
          <w:color w:val="auto"/>
          <w:sz w:val="48"/>
          <w:szCs w:val="48"/>
          <w:highlight w:val="none"/>
        </w:rPr>
      </w:pPr>
    </w:p>
    <w:p w14:paraId="34CC7E23">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14:paraId="70C69288">
      <w:pPr>
        <w:snapToGrid w:val="0"/>
        <w:spacing w:before="165" w:beforeLines="50" w:line="360" w:lineRule="auto"/>
        <w:jc w:val="center"/>
        <w:rPr>
          <w:rFonts w:hint="eastAsia" w:ascii="仿宋_GB2312" w:hAnsi="宋体" w:eastAsia="仿宋_GB2312" w:cs="Times New Roman"/>
          <w:color w:val="auto"/>
          <w:sz w:val="30"/>
          <w:szCs w:val="72"/>
          <w:highlight w:val="none"/>
        </w:rPr>
      </w:pPr>
      <w:r>
        <w:rPr>
          <w:rFonts w:hint="eastAsia" w:ascii="仿宋_GB2312" w:hAnsi="宋体" w:eastAsia="仿宋_GB2312" w:cs="Times New Roman"/>
          <w:color w:val="auto"/>
          <w:sz w:val="30"/>
          <w:szCs w:val="72"/>
          <w:highlight w:val="none"/>
        </w:rPr>
        <w:t>（全流程电子化评标）</w:t>
      </w:r>
    </w:p>
    <w:p w14:paraId="33DA33FC">
      <w:pPr>
        <w:snapToGrid w:val="0"/>
        <w:spacing w:before="165" w:beforeLines="50" w:line="360" w:lineRule="auto"/>
        <w:rPr>
          <w:rFonts w:hint="eastAsia" w:ascii="仿宋_GB2312" w:hAnsi="宋体" w:eastAsia="仿宋_GB2312" w:cs="Times New Roman"/>
          <w:color w:val="auto"/>
          <w:sz w:val="30"/>
          <w:szCs w:val="72"/>
          <w:highlight w:val="none"/>
        </w:rPr>
      </w:pPr>
    </w:p>
    <w:p w14:paraId="6185A0C4">
      <w:pPr>
        <w:pStyle w:val="14"/>
        <w:snapToGrid w:val="0"/>
        <w:spacing w:before="50" w:after="120" w:line="360" w:lineRule="auto"/>
        <w:ind w:firstLine="2711" w:firstLineChars="900"/>
        <w:jc w:val="both"/>
        <w:rPr>
          <w:rFonts w:hint="eastAsia" w:ascii="宋体" w:hAnsi="宋体" w:eastAsia="宋体" w:cs="宋体"/>
          <w:b/>
          <w:bCs/>
          <w:color w:val="auto"/>
          <w:sz w:val="30"/>
          <w:szCs w:val="30"/>
          <w:highlight w:val="none"/>
        </w:rPr>
      </w:pPr>
    </w:p>
    <w:p w14:paraId="5C08337C">
      <w:pPr>
        <w:pStyle w:val="14"/>
        <w:snapToGrid w:val="0"/>
        <w:spacing w:before="50" w:after="120" w:line="360" w:lineRule="auto"/>
        <w:ind w:firstLine="602" w:firstLineChars="200"/>
        <w:jc w:val="both"/>
        <w:rPr>
          <w:rFonts w:hint="eastAsia" w:ascii="宋体" w:hAnsi="宋体" w:eastAsia="宋体" w:cs="宋体"/>
          <w:b w:val="0"/>
          <w:bCs w:val="0"/>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lang w:val="en-US" w:eastAsia="zh-CN"/>
        </w:rPr>
        <w:t>2026年秋季学期至2027年春季学期港口区购买校园安保服务项目</w:t>
      </w:r>
    </w:p>
    <w:p w14:paraId="6BDD39DC">
      <w:pPr>
        <w:pStyle w:val="14"/>
        <w:snapToGrid w:val="0"/>
        <w:spacing w:before="50" w:after="120" w:line="360" w:lineRule="auto"/>
        <w:ind w:firstLine="602" w:firstLineChars="200"/>
        <w:jc w:val="both"/>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100"/>
          <w:sz w:val="30"/>
          <w:szCs w:val="30"/>
          <w:highlight w:val="none"/>
          <w:lang w:eastAsia="zh-CN"/>
        </w:rPr>
        <w:t>项目编号：</w:t>
      </w:r>
      <w:r>
        <w:rPr>
          <w:rFonts w:hint="eastAsia" w:hAnsi="宋体" w:cs="宋体"/>
          <w:b/>
          <w:bCs/>
          <w:color w:val="auto"/>
          <w:w w:val="100"/>
          <w:sz w:val="30"/>
          <w:szCs w:val="30"/>
          <w:highlight w:val="none"/>
          <w:lang w:eastAsia="zh-CN"/>
        </w:rPr>
        <w:t>FCZC2026-G3-020036-GXGN</w:t>
      </w:r>
    </w:p>
    <w:p w14:paraId="70CD33F4">
      <w:pPr>
        <w:widowControl w:val="0"/>
        <w:snapToGrid w:val="0"/>
        <w:spacing w:before="50" w:after="120" w:line="360" w:lineRule="auto"/>
        <w:ind w:firstLine="2576" w:firstLineChars="900"/>
        <w:jc w:val="both"/>
        <w:rPr>
          <w:rFonts w:hint="eastAsia" w:ascii="宋体" w:hAnsi="宋体" w:eastAsia="宋体" w:cs="宋体"/>
          <w:b/>
          <w:bCs/>
          <w:color w:val="auto"/>
          <w:w w:val="95"/>
          <w:kern w:val="2"/>
          <w:sz w:val="30"/>
          <w:szCs w:val="30"/>
          <w:highlight w:val="none"/>
          <w:lang w:val="en-US" w:eastAsia="zh-CN" w:bidi="ar-SA"/>
        </w:rPr>
      </w:pPr>
    </w:p>
    <w:p w14:paraId="19DF226D">
      <w:pPr>
        <w:widowControl w:val="0"/>
        <w:snapToGrid w:val="0"/>
        <w:spacing w:before="50" w:after="120" w:line="360" w:lineRule="auto"/>
        <w:ind w:firstLine="572" w:firstLineChars="2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采购人：</w:t>
      </w:r>
      <w:r>
        <w:rPr>
          <w:rFonts w:hint="eastAsia" w:ascii="宋体" w:hAnsi="宋体" w:cs="宋体"/>
          <w:b/>
          <w:bCs/>
          <w:color w:val="auto"/>
          <w:w w:val="95"/>
          <w:kern w:val="2"/>
          <w:sz w:val="30"/>
          <w:szCs w:val="30"/>
          <w:highlight w:val="none"/>
          <w:lang w:val="en-US" w:eastAsia="zh-CN" w:bidi="ar-SA"/>
        </w:rPr>
        <w:t>防城港市港口区教育局</w:t>
      </w:r>
    </w:p>
    <w:p w14:paraId="78D047B1">
      <w:pPr>
        <w:widowControl w:val="0"/>
        <w:snapToGrid w:val="0"/>
        <w:spacing w:before="50" w:after="120" w:line="360" w:lineRule="auto"/>
        <w:ind w:firstLine="572" w:firstLineChars="2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采购代理机构：</w:t>
      </w:r>
      <w:r>
        <w:rPr>
          <w:rFonts w:hint="eastAsia" w:ascii="宋体" w:hAnsi="宋体" w:cs="宋体"/>
          <w:b/>
          <w:bCs/>
          <w:color w:val="auto"/>
          <w:w w:val="95"/>
          <w:kern w:val="2"/>
          <w:sz w:val="30"/>
          <w:szCs w:val="30"/>
          <w:highlight w:val="none"/>
          <w:lang w:val="en-US" w:eastAsia="zh-CN" w:bidi="ar-SA"/>
        </w:rPr>
        <w:t>广西冠宁工程咨询有限公司</w:t>
      </w:r>
    </w:p>
    <w:p w14:paraId="5F29DA85">
      <w:pPr>
        <w:pStyle w:val="14"/>
        <w:snapToGrid w:val="0"/>
        <w:spacing w:before="50" w:after="120" w:line="360" w:lineRule="auto"/>
        <w:ind w:firstLine="4293" w:firstLineChars="1500"/>
        <w:jc w:val="both"/>
        <w:rPr>
          <w:rFonts w:hint="eastAsia" w:ascii="宋体" w:hAnsi="宋体" w:eastAsia="宋体" w:cs="宋体"/>
          <w:b/>
          <w:bCs/>
          <w:color w:val="auto"/>
          <w:w w:val="95"/>
          <w:kern w:val="2"/>
          <w:sz w:val="30"/>
          <w:szCs w:val="30"/>
          <w:highlight w:val="none"/>
          <w:lang w:val="en-US" w:eastAsia="zh-CN" w:bidi="ar-SA"/>
        </w:rPr>
      </w:pPr>
    </w:p>
    <w:p w14:paraId="2624CF4F">
      <w:pPr>
        <w:pStyle w:val="14"/>
        <w:snapToGrid w:val="0"/>
        <w:spacing w:before="50" w:after="120" w:line="360" w:lineRule="auto"/>
        <w:ind w:firstLine="572" w:firstLineChars="200"/>
        <w:jc w:val="center"/>
        <w:rPr>
          <w:rFonts w:hint="eastAsia" w:ascii="宋体" w:hAnsi="宋体" w:eastAsia="宋体" w:cs="宋体"/>
          <w:b/>
          <w:bCs/>
          <w:color w:val="auto"/>
          <w:w w:val="95"/>
          <w:sz w:val="30"/>
          <w:szCs w:val="30"/>
          <w:highlight w:val="none"/>
        </w:rPr>
        <w:sectPr>
          <w:headerReference r:id="rId3" w:type="default"/>
          <w:pgSz w:w="11905" w:h="16838"/>
          <w:pgMar w:top="1134" w:right="1134" w:bottom="1134" w:left="1134" w:header="850" w:footer="850" w:gutter="0"/>
          <w:pgNumType w:fmt="decimal" w:start="1"/>
          <w:cols w:space="720" w:num="1"/>
          <w:titlePg/>
          <w:rtlGutter w:val="0"/>
          <w:docGrid w:linePitch="331" w:charSpace="0"/>
        </w:sectPr>
      </w:pPr>
      <w:r>
        <w:rPr>
          <w:rFonts w:hint="eastAsia" w:hAnsi="宋体" w:cs="宋体"/>
          <w:b/>
          <w:bCs/>
          <w:color w:val="auto"/>
          <w:w w:val="95"/>
          <w:kern w:val="2"/>
          <w:sz w:val="30"/>
          <w:szCs w:val="30"/>
          <w:highlight w:val="none"/>
          <w:lang w:val="en-US" w:eastAsia="zh-CN" w:bidi="ar-SA"/>
        </w:rPr>
        <w:t>2026年6月</w:t>
      </w:r>
    </w:p>
    <w:p w14:paraId="25149220">
      <w:pPr>
        <w:pStyle w:val="14"/>
        <w:jc w:val="center"/>
        <w:rPr>
          <w:rFonts w:ascii="Times New Roman" w:hAnsi="Times New Roman" w:eastAsia="宋体" w:cs="Times New Roman"/>
          <w:b/>
          <w:color w:val="auto"/>
          <w:sz w:val="48"/>
          <w:szCs w:val="48"/>
          <w:highlight w:val="none"/>
        </w:rPr>
      </w:pPr>
      <w:r>
        <w:rPr>
          <w:rFonts w:hint="eastAsia" w:ascii="Times New Roman" w:hAnsi="Times New Roman" w:eastAsia="宋体" w:cs="Times New Roman"/>
          <w:b/>
          <w:color w:val="auto"/>
          <w:sz w:val="48"/>
          <w:szCs w:val="48"/>
          <w:highlight w:val="none"/>
        </w:rPr>
        <w:t>目</w:t>
      </w:r>
      <w:r>
        <w:rPr>
          <w:rFonts w:ascii="Times New Roman" w:hAnsi="Times New Roman" w:eastAsia="宋体" w:cs="Times New Roman"/>
          <w:b/>
          <w:color w:val="auto"/>
          <w:sz w:val="48"/>
          <w:szCs w:val="48"/>
          <w:highlight w:val="none"/>
        </w:rPr>
        <w:t xml:space="preserve">     </w:t>
      </w:r>
      <w:r>
        <w:rPr>
          <w:rFonts w:hint="eastAsia" w:ascii="Times New Roman" w:hAnsi="Times New Roman" w:eastAsia="宋体" w:cs="Times New Roman"/>
          <w:b/>
          <w:color w:val="auto"/>
          <w:sz w:val="48"/>
          <w:szCs w:val="48"/>
          <w:highlight w:val="none"/>
        </w:rPr>
        <w:t>录</w:t>
      </w:r>
    </w:p>
    <w:p w14:paraId="67E30BDC">
      <w:pPr>
        <w:pStyle w:val="15"/>
        <w:tabs>
          <w:tab w:val="right" w:leader="dot" w:pos="9637"/>
        </w:tabs>
        <w:rPr>
          <w:color w:val="auto"/>
        </w:rPr>
      </w:pPr>
    </w:p>
    <w:p w14:paraId="38178426">
      <w:pPr>
        <w:pStyle w:val="15"/>
        <w:tabs>
          <w:tab w:val="right" w:leader="dot" w:pos="9637"/>
        </w:tabs>
        <w:rPr>
          <w:rFonts w:hint="eastAsia" w:ascii="宋体" w:hAnsi="宋体" w:eastAsia="宋体" w:cs="宋体"/>
          <w:color w:val="auto"/>
          <w:sz w:val="24"/>
          <w:szCs w:val="24"/>
        </w:rPr>
      </w:pPr>
      <w:r>
        <w:rPr>
          <w:color w:val="auto"/>
        </w:rPr>
        <w:fldChar w:fldCharType="begin"/>
      </w:r>
      <w:r>
        <w:rPr>
          <w:color w:val="auto"/>
        </w:rPr>
        <w:instrText xml:space="preserve">TOC \o "1-1" \h \u </w:instrText>
      </w:r>
      <w:r>
        <w:rPr>
          <w:color w:val="auto"/>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_Toc16222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_Toc16222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70591A7">
      <w:pPr>
        <w:pStyle w:val="15"/>
        <w:tabs>
          <w:tab w:val="right" w:leader="dot" w:pos="9637"/>
        </w:tabs>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_Toc8382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第二章  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_Toc8382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254CECA">
      <w:pPr>
        <w:pStyle w:val="15"/>
        <w:tabs>
          <w:tab w:val="right" w:leader="dot" w:pos="9637"/>
        </w:tabs>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_Toc15364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_Toc15364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1F292A4">
      <w:pPr>
        <w:pStyle w:val="15"/>
        <w:tabs>
          <w:tab w:val="right" w:leader="dot" w:pos="9637"/>
        </w:tabs>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_Toc10034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 xml:space="preserve">第四章  </w:t>
      </w:r>
      <w:r>
        <w:rPr>
          <w:rFonts w:hint="eastAsia" w:ascii="宋体" w:hAnsi="宋体" w:eastAsia="宋体" w:cs="宋体"/>
          <w:color w:val="auto"/>
          <w:sz w:val="24"/>
          <w:szCs w:val="24"/>
          <w:highlight w:val="none"/>
          <w:lang w:eastAsia="zh-CN"/>
        </w:rPr>
        <w:t>评标方法和评标标准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_Toc10034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6A433B1">
      <w:pPr>
        <w:pStyle w:val="15"/>
        <w:tabs>
          <w:tab w:val="right" w:leader="dot" w:pos="9637"/>
        </w:tabs>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_Toc32021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第五章 拟签订的合同文本</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_Toc32021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76D7B2D">
      <w:pPr>
        <w:pStyle w:val="15"/>
        <w:tabs>
          <w:tab w:val="right" w:leader="dot" w:pos="9637"/>
        </w:tabs>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_Toc2517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_Toc2517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604F3D5">
      <w:pPr>
        <w:pStyle w:val="15"/>
        <w:tabs>
          <w:tab w:val="right" w:leader="dot" w:pos="9637"/>
        </w:tabs>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_Toc31310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第七章 质疑、投诉材料格式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_Toc31310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148D493">
      <w:pPr>
        <w:pStyle w:val="14"/>
        <w:jc w:val="center"/>
        <w:rPr>
          <w:rFonts w:hint="eastAsia" w:eastAsia="宋体" w:cs="Times New Roman"/>
          <w:color w:val="auto"/>
          <w:highlight w:val="none"/>
        </w:rPr>
      </w:pPr>
      <w:r>
        <w:rPr>
          <w:color w:val="auto"/>
        </w:rPr>
        <w:fldChar w:fldCharType="end"/>
      </w:r>
      <w:r>
        <w:rPr>
          <w:rFonts w:hint="eastAsia" w:eastAsia="宋体" w:cs="Times New Roman"/>
          <w:color w:val="auto"/>
          <w:highlight w:val="none"/>
        </w:rPr>
        <w:tab/>
      </w:r>
      <w:bookmarkStart w:id="0" w:name="_Toc532545041"/>
    </w:p>
    <w:p w14:paraId="017C182C">
      <w:pPr>
        <w:rPr>
          <w:rFonts w:hint="eastAsia" w:eastAsia="宋体" w:cs="Times New Roman"/>
          <w:color w:val="auto"/>
          <w:highlight w:val="none"/>
        </w:rPr>
      </w:pPr>
      <w:r>
        <w:rPr>
          <w:rFonts w:hint="eastAsia" w:eastAsia="宋体" w:cs="Times New Roman"/>
          <w:color w:val="auto"/>
          <w:highlight w:val="none"/>
        </w:rPr>
        <w:br w:type="page"/>
      </w:r>
    </w:p>
    <w:p w14:paraId="41DEFED3">
      <w:pPr>
        <w:pStyle w:val="14"/>
        <w:jc w:val="center"/>
        <w:outlineLvl w:val="0"/>
        <w:rPr>
          <w:rFonts w:hint="eastAsia" w:ascii="Times New Roman" w:hAnsi="Times New Roman" w:eastAsia="宋体" w:cs="Times New Roman"/>
          <w:b/>
          <w:color w:val="auto"/>
          <w:sz w:val="36"/>
          <w:szCs w:val="20"/>
          <w:highlight w:val="none"/>
        </w:rPr>
      </w:pPr>
      <w:bookmarkStart w:id="1" w:name="_Toc18459"/>
      <w:bookmarkStart w:id="2" w:name="_Toc11500"/>
      <w:bookmarkStart w:id="3" w:name="_Toc12228"/>
      <w:bookmarkStart w:id="4" w:name="_Toc16576"/>
      <w:bookmarkStart w:id="5" w:name="_Toc9949"/>
      <w:bookmarkStart w:id="6" w:name="_Toc19537"/>
      <w:bookmarkStart w:id="7" w:name="_Toc18707"/>
      <w:bookmarkStart w:id="8" w:name="_Toc8345"/>
      <w:bookmarkStart w:id="9" w:name="_Toc20258"/>
      <w:bookmarkStart w:id="10" w:name="_Toc184"/>
      <w:bookmarkStart w:id="11" w:name="_Toc16222"/>
      <w:r>
        <w:rPr>
          <w:rFonts w:hint="eastAsia" w:ascii="Times New Roman" w:hAnsi="Times New Roman" w:eastAsia="宋体" w:cs="Times New Roman"/>
          <w:b/>
          <w:color w:val="auto"/>
          <w:sz w:val="36"/>
          <w:highlight w:val="none"/>
        </w:rPr>
        <w:t>第一章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招标公告</w:t>
      </w:r>
      <w:bookmarkEnd w:id="0"/>
      <w:bookmarkEnd w:id="1"/>
      <w:bookmarkEnd w:id="2"/>
      <w:bookmarkEnd w:id="3"/>
      <w:bookmarkEnd w:id="4"/>
      <w:bookmarkEnd w:id="5"/>
      <w:bookmarkEnd w:id="6"/>
      <w:bookmarkEnd w:id="7"/>
      <w:bookmarkEnd w:id="8"/>
      <w:bookmarkEnd w:id="9"/>
      <w:bookmarkEnd w:id="10"/>
      <w:bookmarkEnd w:id="11"/>
    </w:p>
    <w:p w14:paraId="1D889A8D">
      <w:pPr>
        <w:pStyle w:val="14"/>
        <w:jc w:val="center"/>
        <w:rPr>
          <w:rFonts w:hint="eastAsia" w:ascii="Times New Roman" w:hAnsi="Times New Roman" w:eastAsia="宋体" w:cs="Times New Roman"/>
          <w:b/>
          <w:color w:val="auto"/>
          <w:sz w:val="30"/>
          <w:szCs w:val="30"/>
          <w:highlight w:val="none"/>
        </w:rPr>
      </w:pPr>
    </w:p>
    <w:p w14:paraId="774F3C1D">
      <w:pPr>
        <w:pStyle w:val="14"/>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招标公告</w:t>
      </w:r>
    </w:p>
    <w:p w14:paraId="3BD206B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4CD48893">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2026年秋季学期至2027年春季学期港口区购买校园安保服务项目</w:t>
      </w:r>
      <w:r>
        <w:rPr>
          <w:rFonts w:hint="eastAsia" w:ascii="宋体" w:hAnsi="宋体" w:eastAsia="宋体" w:cs="宋体"/>
          <w:color w:val="auto"/>
          <w:sz w:val="21"/>
          <w:szCs w:val="21"/>
          <w:highlight w:val="none"/>
        </w:rPr>
        <w:t>招标项目的潜在投标人应在</w:t>
      </w:r>
      <w:r>
        <w:rPr>
          <w:rFonts w:hint="eastAsia" w:ascii="宋体" w:hAnsi="宋体" w:eastAsia="宋体" w:cs="宋体"/>
          <w:color w:val="auto"/>
          <w:sz w:val="21"/>
          <w:szCs w:val="21"/>
          <w:highlight w:val="none"/>
          <w:lang w:val="en-US" w:eastAsia="zh-CN"/>
        </w:rPr>
        <w:t>广西政府采购云平台</w:t>
      </w:r>
      <w:r>
        <w:rPr>
          <w:rFonts w:hint="eastAsia" w:ascii="宋体" w:hAnsi="宋体" w:eastAsia="宋体" w:cs="宋体"/>
          <w:color w:val="auto"/>
          <w:sz w:val="21"/>
          <w:szCs w:val="21"/>
          <w:highlight w:val="none"/>
        </w:rPr>
        <w:t>获取招标文件，并于</w:t>
      </w:r>
      <w:bookmarkStart w:id="12" w:name="PO_3000001866_PM015"/>
      <w:bookmarkStart w:id="13" w:name="PO_3000001867_PM015"/>
      <w:r>
        <w:rPr>
          <w:rFonts w:hint="eastAsia" w:ascii="宋体" w:hAnsi="宋体" w:cs="宋体"/>
          <w:color w:val="auto"/>
          <w:szCs w:val="21"/>
          <w:highlight w:val="none"/>
          <w:u w:val="single"/>
          <w:lang w:val="en-US" w:eastAsia="zh-CN"/>
        </w:rPr>
        <w:t xml:space="preserve"> </w:t>
      </w:r>
      <w:bookmarkEnd w:id="12"/>
      <w:bookmarkEnd w:id="13"/>
      <w:r>
        <w:rPr>
          <w:rFonts w:hint="eastAsia" w:ascii="宋体" w:hAnsi="宋体" w:cs="宋体"/>
          <w:color w:val="auto"/>
          <w:szCs w:val="21"/>
          <w:highlight w:val="none"/>
          <w:u w:val="single"/>
          <w:lang w:val="en-US" w:eastAsia="zh-CN"/>
        </w:rPr>
        <w:t>2026年  月  日9点30分</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递交投标文件。</w:t>
      </w:r>
    </w:p>
    <w:p w14:paraId="060C4BDD">
      <w:pPr>
        <w:spacing w:line="360" w:lineRule="auto"/>
        <w:rPr>
          <w:rFonts w:hint="eastAsia" w:ascii="黑体" w:hAnsi="黑体" w:eastAsia="黑体" w:cs="Times New Roman"/>
          <w:b/>
          <w:bCs/>
          <w:color w:val="auto"/>
          <w:sz w:val="24"/>
          <w:highlight w:val="none"/>
        </w:rPr>
      </w:pPr>
      <w:bookmarkStart w:id="14" w:name="_Toc35393621"/>
      <w:bookmarkStart w:id="15" w:name="_Toc28359002"/>
      <w:bookmarkStart w:id="16" w:name="_Toc28359079"/>
      <w:bookmarkStart w:id="17" w:name="_Toc35393790"/>
      <w:bookmarkStart w:id="18" w:name="_Hlk24379207"/>
      <w:r>
        <w:rPr>
          <w:rFonts w:hint="eastAsia" w:ascii="黑体" w:hAnsi="黑体" w:eastAsia="黑体" w:cs="Times New Roman"/>
          <w:b/>
          <w:bCs/>
          <w:color w:val="auto"/>
          <w:sz w:val="24"/>
          <w:highlight w:val="none"/>
        </w:rPr>
        <w:t>一、项目基本情况</w:t>
      </w:r>
      <w:bookmarkEnd w:id="14"/>
      <w:bookmarkEnd w:id="15"/>
      <w:bookmarkEnd w:id="16"/>
      <w:bookmarkEnd w:id="17"/>
    </w:p>
    <w:p w14:paraId="78DACBF9">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项目编号：</w:t>
      </w:r>
      <w:r>
        <w:rPr>
          <w:rFonts w:hint="eastAsia" w:ascii="宋体" w:hAnsi="宋体" w:cs="Times New Roman"/>
          <w:color w:val="auto"/>
          <w:szCs w:val="21"/>
          <w:highlight w:val="none"/>
          <w:lang w:val="en-US" w:eastAsia="zh-CN"/>
        </w:rPr>
        <w:t>FCZC2026-G3-020036-GXGN</w:t>
      </w:r>
    </w:p>
    <w:p w14:paraId="615447F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项目名称：</w:t>
      </w:r>
      <w:bookmarkEnd w:id="18"/>
      <w:r>
        <w:rPr>
          <w:rFonts w:hint="eastAsia" w:ascii="宋体" w:hAnsi="宋体" w:cs="Times New Roman"/>
          <w:b w:val="0"/>
          <w:bCs w:val="0"/>
          <w:color w:val="auto"/>
          <w:szCs w:val="21"/>
          <w:highlight w:val="none"/>
          <w:lang w:val="en-US" w:eastAsia="zh-CN"/>
        </w:rPr>
        <w:t>2026年秋季学期至2027年春季学期港口区购买校园安保服务项目</w:t>
      </w:r>
      <w:r>
        <w:rPr>
          <w:rFonts w:hint="eastAsia" w:ascii="宋体" w:hAnsi="宋体" w:cs="Times New Roman"/>
          <w:color w:val="auto"/>
          <w:szCs w:val="21"/>
          <w:highlight w:val="none"/>
          <w:lang w:val="en-US" w:eastAsia="zh-CN"/>
        </w:rPr>
        <w:t xml:space="preserve"> </w:t>
      </w:r>
    </w:p>
    <w:p w14:paraId="3F92FB74">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Times New Roman"/>
          <w:b w:val="0"/>
          <w:bCs w:val="0"/>
          <w:color w:val="auto"/>
          <w:szCs w:val="21"/>
          <w:highlight w:val="none"/>
        </w:rPr>
        <w:t>预算金额：</w:t>
      </w:r>
      <w:r>
        <w:rPr>
          <w:rFonts w:hint="eastAsia" w:ascii="宋体" w:hAnsi="宋体" w:cs="Times New Roman"/>
          <w:b w:val="0"/>
          <w:bCs w:val="0"/>
          <w:color w:val="auto"/>
          <w:szCs w:val="21"/>
          <w:highlight w:val="none"/>
          <w:lang w:val="en-US" w:eastAsia="zh-CN"/>
        </w:rPr>
        <w:t>人民币肆佰玖拾伍万壹仟捌佰元整（</w:t>
      </w:r>
      <w:r>
        <w:rPr>
          <w:rFonts w:hint="eastAsia" w:ascii="宋体" w:hAnsi="宋体" w:cs="宋体"/>
          <w:color w:val="auto"/>
          <w:szCs w:val="21"/>
          <w:highlight w:val="none"/>
          <w:u w:val="none"/>
          <w:lang w:val="en-US" w:eastAsia="zh-CN"/>
        </w:rPr>
        <w:t>¥4951800.00</w:t>
      </w:r>
      <w:r>
        <w:rPr>
          <w:rFonts w:hint="eastAsia" w:ascii="宋体" w:hAnsi="宋体" w:cs="Times New Roman"/>
          <w:b w:val="0"/>
          <w:bCs w:val="0"/>
          <w:color w:val="auto"/>
          <w:szCs w:val="21"/>
          <w:highlight w:val="none"/>
          <w:lang w:val="en-US" w:eastAsia="zh-CN"/>
        </w:rPr>
        <w:t>）</w:t>
      </w:r>
    </w:p>
    <w:p w14:paraId="519E4653">
      <w:pPr>
        <w:spacing w:line="360" w:lineRule="auto"/>
        <w:ind w:firstLine="420" w:firstLineChars="200"/>
        <w:rPr>
          <w:rFonts w:hint="eastAsia" w:ascii="宋体" w:hAnsi="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eastAsia="zh-CN"/>
        </w:rPr>
        <w:t>最高限价（如有）：</w:t>
      </w:r>
      <w:r>
        <w:rPr>
          <w:rFonts w:hint="eastAsia" w:ascii="宋体" w:hAnsi="宋体" w:cs="Times New Roman"/>
          <w:b w:val="0"/>
          <w:bCs w:val="0"/>
          <w:color w:val="auto"/>
          <w:szCs w:val="21"/>
          <w:highlight w:val="none"/>
          <w:lang w:val="en-US" w:eastAsia="zh-CN"/>
        </w:rPr>
        <w:t>人民币肆佰玖拾伍万壹仟捌佰元整（</w:t>
      </w:r>
      <w:r>
        <w:rPr>
          <w:rFonts w:hint="eastAsia" w:ascii="宋体" w:hAnsi="宋体" w:cs="宋体"/>
          <w:color w:val="auto"/>
          <w:szCs w:val="21"/>
          <w:highlight w:val="none"/>
          <w:u w:val="none"/>
          <w:lang w:val="en-US" w:eastAsia="zh-CN"/>
        </w:rPr>
        <w:t>¥4951800.00</w:t>
      </w:r>
      <w:r>
        <w:rPr>
          <w:rFonts w:hint="eastAsia" w:ascii="宋体" w:hAnsi="宋体" w:cs="Times New Roman"/>
          <w:b w:val="0"/>
          <w:bCs w:val="0"/>
          <w:color w:val="auto"/>
          <w:szCs w:val="21"/>
          <w:highlight w:val="none"/>
          <w:lang w:val="en-US" w:eastAsia="zh-CN"/>
        </w:rPr>
        <w:t>）</w:t>
      </w:r>
    </w:p>
    <w:p w14:paraId="4804BDE9">
      <w:pPr>
        <w:spacing w:line="360" w:lineRule="auto"/>
        <w:ind w:firstLine="420" w:firstLineChars="200"/>
        <w:rPr>
          <w:rFonts w:hint="eastAsia" w:ascii="宋体" w:hAnsi="宋体" w:cs="宋体"/>
          <w:color w:val="auto"/>
          <w:szCs w:val="21"/>
        </w:rPr>
      </w:pPr>
      <w:r>
        <w:rPr>
          <w:rFonts w:hint="eastAsia" w:ascii="宋体" w:hAnsi="宋体" w:eastAsia="宋体" w:cs="Times New Roman"/>
          <w:b w:val="0"/>
          <w:bCs w:val="0"/>
          <w:color w:val="auto"/>
          <w:szCs w:val="21"/>
          <w:highlight w:val="none"/>
        </w:rPr>
        <w:t>采购需求：</w:t>
      </w:r>
      <w:bookmarkStart w:id="19" w:name="PO_3000001867_PM004"/>
      <w:r>
        <w:rPr>
          <w:rFonts w:hint="eastAsia" w:ascii="宋体" w:hAnsi="宋体" w:cs="Times New Roman"/>
          <w:b w:val="0"/>
          <w:bCs w:val="0"/>
          <w:color w:val="auto"/>
          <w:szCs w:val="21"/>
          <w:highlight w:val="none"/>
          <w:lang w:val="en-US" w:eastAsia="zh-CN"/>
        </w:rPr>
        <w:t>2026年秋季学期至2027年春季学期港口区购买校园安保服务</w:t>
      </w:r>
      <w:r>
        <w:rPr>
          <w:rFonts w:hint="eastAsia" w:ascii="宋体" w:hAnsi="宋体" w:eastAsia="宋体" w:cs="Times New Roman"/>
          <w:b w:val="0"/>
          <w:bCs w:val="0"/>
          <w:color w:val="auto"/>
          <w:szCs w:val="21"/>
          <w:highlight w:val="none"/>
          <w:lang w:val="en-US" w:eastAsia="zh-CN"/>
        </w:rPr>
        <w:t>，具体标的的名称、数量、简要技术需求或服务要求详见招标公告的附件。</w:t>
      </w:r>
      <w:r>
        <w:rPr>
          <w:rFonts w:hint="eastAsia" w:ascii="宋体" w:hAnsi="宋体" w:cs="宋体"/>
          <w:color w:val="auto"/>
          <w:szCs w:val="21"/>
          <w:lang w:eastAsia="zh-CN"/>
        </w:rPr>
        <w:t xml:space="preserve"> </w:t>
      </w:r>
      <w:bookmarkEnd w:id="19"/>
    </w:p>
    <w:p w14:paraId="3F967D80">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合同履</w:t>
      </w:r>
      <w:r>
        <w:rPr>
          <w:rFonts w:hint="eastAsia" w:ascii="宋体" w:hAnsi="宋体" w:cs="Times New Roman"/>
          <w:color w:val="auto"/>
          <w:szCs w:val="21"/>
          <w:highlight w:val="none"/>
          <w:lang w:eastAsia="zh-CN"/>
        </w:rPr>
        <w:t>行</w:t>
      </w:r>
      <w:r>
        <w:rPr>
          <w:rFonts w:hint="eastAsia" w:ascii="宋体" w:hAnsi="宋体" w:eastAsia="宋体" w:cs="Times New Roman"/>
          <w:color w:val="auto"/>
          <w:szCs w:val="21"/>
          <w:highlight w:val="none"/>
          <w:lang w:eastAsia="zh-CN"/>
        </w:rPr>
        <w:t>期限：</w:t>
      </w:r>
      <w:r>
        <w:rPr>
          <w:rFonts w:hint="eastAsia" w:ascii="宋体" w:hAnsi="宋体" w:cs="Times New Roman"/>
          <w:color w:val="auto"/>
          <w:szCs w:val="21"/>
          <w:highlight w:val="none"/>
          <w:lang w:val="en-US" w:eastAsia="zh-CN"/>
        </w:rPr>
        <w:t>12个月</w:t>
      </w:r>
      <w:r>
        <w:rPr>
          <w:rFonts w:hint="eastAsia" w:ascii="宋体" w:hAnsi="宋体" w:eastAsia="宋体" w:cs="Times New Roman"/>
          <w:color w:val="auto"/>
          <w:szCs w:val="21"/>
          <w:highlight w:val="none"/>
          <w:lang w:val="en-US" w:eastAsia="zh-CN"/>
        </w:rPr>
        <w:t>（具体时间以合同约定为准）</w:t>
      </w:r>
    </w:p>
    <w:p w14:paraId="274D0101">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本</w:t>
      </w:r>
      <w:r>
        <w:rPr>
          <w:rFonts w:hint="eastAsia" w:ascii="宋体" w:hAnsi="宋体" w:cs="Times New Roman"/>
          <w:color w:val="auto"/>
          <w:szCs w:val="21"/>
          <w:highlight w:val="none"/>
          <w:lang w:eastAsia="zh-CN"/>
        </w:rPr>
        <w:t>项目</w:t>
      </w:r>
      <w:r>
        <w:rPr>
          <w:rFonts w:hint="eastAsia" w:ascii="宋体" w:hAnsi="宋体" w:eastAsia="宋体" w:cs="Times New Roman"/>
          <w:color w:val="auto"/>
          <w:szCs w:val="21"/>
          <w:highlight w:val="none"/>
          <w:lang w:eastAsia="zh-CN"/>
        </w:rPr>
        <w:t>接受联合体投标</w:t>
      </w:r>
      <w:r>
        <w:rPr>
          <w:rFonts w:hint="eastAsia" w:ascii="宋体" w:hAnsi="宋体" w:cs="宋体"/>
          <w:color w:val="auto"/>
          <w:szCs w:val="21"/>
        </w:rPr>
        <w:t>：□是/</w:t>
      </w:r>
      <w:r>
        <w:rPr>
          <w:rFonts w:hint="eastAsia" w:ascii="宋体" w:hAnsi="宋体" w:cs="宋体"/>
          <w:color w:val="auto"/>
          <w:szCs w:val="21"/>
          <w:lang w:eastAsia="zh-CN"/>
        </w:rPr>
        <w:t>☑</w:t>
      </w:r>
      <w:r>
        <w:rPr>
          <w:rFonts w:hint="eastAsia" w:ascii="宋体" w:hAnsi="宋体" w:cs="宋体"/>
          <w:color w:val="auto"/>
          <w:szCs w:val="21"/>
        </w:rPr>
        <w:t>否。</w:t>
      </w:r>
    </w:p>
    <w:p w14:paraId="4E4BA685">
      <w:pPr>
        <w:spacing w:line="360" w:lineRule="auto"/>
        <w:rPr>
          <w:rFonts w:hint="eastAsia" w:ascii="黑体" w:hAnsi="黑体" w:eastAsia="黑体" w:cs="Times New Roman"/>
          <w:b/>
          <w:bCs/>
          <w:color w:val="auto"/>
          <w:sz w:val="24"/>
          <w:highlight w:val="none"/>
        </w:rPr>
      </w:pPr>
      <w:bookmarkStart w:id="20" w:name="_Toc35393622"/>
      <w:bookmarkStart w:id="21" w:name="_Toc28359003"/>
      <w:bookmarkStart w:id="22" w:name="_Toc35393791"/>
      <w:bookmarkStart w:id="23" w:name="_Toc28359080"/>
      <w:r>
        <w:rPr>
          <w:rFonts w:hint="eastAsia" w:ascii="黑体" w:hAnsi="黑体" w:eastAsia="黑体" w:cs="Times New Roman"/>
          <w:b/>
          <w:bCs/>
          <w:color w:val="auto"/>
          <w:sz w:val="24"/>
          <w:highlight w:val="none"/>
        </w:rPr>
        <w:t>二、</w:t>
      </w:r>
      <w:r>
        <w:rPr>
          <w:rFonts w:hint="eastAsia" w:ascii="黑体" w:hAnsi="黑体" w:eastAsia="黑体" w:cs="Times New Roman"/>
          <w:b/>
          <w:bCs/>
          <w:color w:val="auto"/>
          <w:sz w:val="24"/>
          <w:highlight w:val="none"/>
          <w:lang w:eastAsia="zh-CN"/>
        </w:rPr>
        <w:t>申请</w:t>
      </w:r>
      <w:r>
        <w:rPr>
          <w:rFonts w:hint="eastAsia" w:ascii="黑体" w:hAnsi="黑体" w:eastAsia="黑体" w:cs="Times New Roman"/>
          <w:b/>
          <w:bCs/>
          <w:color w:val="auto"/>
          <w:sz w:val="24"/>
          <w:highlight w:val="none"/>
        </w:rPr>
        <w:t>人的资格要求：</w:t>
      </w:r>
      <w:bookmarkEnd w:id="20"/>
      <w:bookmarkEnd w:id="21"/>
      <w:bookmarkEnd w:id="22"/>
      <w:bookmarkEnd w:id="23"/>
    </w:p>
    <w:p w14:paraId="01FF6043">
      <w:pPr>
        <w:spacing w:line="360" w:lineRule="auto"/>
        <w:ind w:firstLine="420" w:firstLineChars="200"/>
        <w:rPr>
          <w:rFonts w:hint="eastAsia" w:ascii="宋体" w:hAnsi="宋体" w:eastAsia="宋体" w:cs="Times New Roman"/>
          <w:color w:val="auto"/>
          <w:szCs w:val="21"/>
          <w:highlight w:val="none"/>
          <w:lang w:eastAsia="zh-CN"/>
        </w:rPr>
      </w:pPr>
      <w:bookmarkStart w:id="24" w:name="_Toc28359081"/>
      <w:bookmarkStart w:id="25" w:name="_Toc28359004"/>
      <w:r>
        <w:rPr>
          <w:rFonts w:hint="eastAsia" w:ascii="宋体" w:hAnsi="宋体" w:eastAsia="宋体" w:cs="Times New Roman"/>
          <w:color w:val="auto"/>
          <w:szCs w:val="21"/>
          <w:highlight w:val="none"/>
        </w:rPr>
        <w:t>1.满足《中华人民共和国政府采购法》第二十二条规定</w:t>
      </w:r>
      <w:r>
        <w:rPr>
          <w:rFonts w:hint="eastAsia" w:ascii="宋体" w:hAnsi="宋体" w:cs="Times New Roman"/>
          <w:color w:val="auto"/>
          <w:szCs w:val="21"/>
          <w:highlight w:val="none"/>
          <w:lang w:eastAsia="zh-CN"/>
        </w:rPr>
        <w:t>；</w:t>
      </w:r>
    </w:p>
    <w:p w14:paraId="55888459">
      <w:pPr>
        <w:spacing w:line="360" w:lineRule="auto"/>
        <w:ind w:firstLine="420" w:firstLineChars="200"/>
        <w:rPr>
          <w:rFonts w:hint="eastAsia" w:ascii="宋体" w:hAnsi="宋体" w:eastAsia="宋体" w:cs="宋体"/>
          <w:i w:val="0"/>
          <w:iCs w:val="0"/>
          <w:color w:val="auto"/>
          <w:szCs w:val="21"/>
          <w:highlight w:val="none"/>
          <w:u w:val="none"/>
        </w:rPr>
      </w:pPr>
      <w:r>
        <w:rPr>
          <w:rFonts w:hint="eastAsia" w:ascii="宋体" w:hAnsi="宋体" w:eastAsia="宋体" w:cs="Times New Roman"/>
          <w:color w:val="auto"/>
          <w:szCs w:val="21"/>
          <w:highlight w:val="none"/>
        </w:rPr>
        <w:t>2.落实政府采购政策需满足的资格要求：</w:t>
      </w:r>
      <w:r>
        <w:rPr>
          <w:rFonts w:hint="eastAsia" w:ascii="宋体" w:hAnsi="宋体" w:eastAsia="宋体" w:cs="Times New Roman"/>
          <w:color w:val="auto"/>
          <w:szCs w:val="21"/>
          <w:highlight w:val="none"/>
          <w:u w:val="none"/>
          <w:lang w:val="en-US" w:eastAsia="zh-CN"/>
        </w:rPr>
        <w:t>本项目为专门面向</w:t>
      </w:r>
      <w:r>
        <w:rPr>
          <w:rFonts w:hint="eastAsia" w:ascii="宋体" w:hAnsi="宋体" w:cs="Times New Roman"/>
          <w:color w:val="FF0000"/>
          <w:szCs w:val="21"/>
          <w:highlight w:val="none"/>
          <w:u w:val="none"/>
          <w:lang w:val="en-US" w:eastAsia="zh-CN"/>
        </w:rPr>
        <w:t>小微</w:t>
      </w:r>
      <w:r>
        <w:rPr>
          <w:rFonts w:hint="eastAsia" w:ascii="宋体" w:hAnsi="宋体" w:eastAsia="宋体" w:cs="Times New Roman"/>
          <w:color w:val="FF0000"/>
          <w:szCs w:val="21"/>
          <w:highlight w:val="none"/>
          <w:u w:val="none"/>
          <w:lang w:val="en-US" w:eastAsia="zh-CN"/>
        </w:rPr>
        <w:t>企业</w:t>
      </w:r>
      <w:r>
        <w:rPr>
          <w:rFonts w:hint="eastAsia" w:ascii="宋体" w:hAnsi="宋体" w:eastAsia="宋体" w:cs="Times New Roman"/>
          <w:color w:val="auto"/>
          <w:szCs w:val="21"/>
          <w:highlight w:val="none"/>
          <w:u w:val="none"/>
          <w:lang w:val="en-US" w:eastAsia="zh-CN"/>
        </w:rPr>
        <w:t>采购的项目</w:t>
      </w:r>
      <w:r>
        <w:rPr>
          <w:rFonts w:hint="eastAsia" w:ascii="宋体" w:hAnsi="宋体" w:cs="宋体"/>
          <w:i w:val="0"/>
          <w:iCs w:val="0"/>
          <w:color w:val="auto"/>
          <w:szCs w:val="21"/>
          <w:highlight w:val="none"/>
          <w:u w:val="none"/>
          <w:lang w:val="en-US" w:eastAsia="zh-CN"/>
        </w:rPr>
        <w:t>。投标人必须提供中小企业声明函或者残疾人福利性单位声明函（格式后附）或者供应商属于监狱企业的需提供由省级以上监狱管理局、戒毒管理局（含新疆生产建设兵团）出具的属于监狱企业的证明文件。</w:t>
      </w:r>
    </w:p>
    <w:p w14:paraId="7B69D2D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r>
        <w:rPr>
          <w:rFonts w:hint="eastAsia"/>
          <w:color w:val="auto"/>
          <w:lang w:val="en-US" w:eastAsia="zh-CN"/>
        </w:rPr>
        <w:t>投标人须</w:t>
      </w:r>
      <w:r>
        <w:rPr>
          <w:rFonts w:hint="eastAsia" w:ascii="宋体" w:hAnsi="宋体" w:eastAsia="宋体" w:cs="Times New Roman"/>
          <w:color w:val="auto"/>
          <w:szCs w:val="21"/>
          <w:highlight w:val="none"/>
        </w:rPr>
        <w:t>具备有效的《保安服务许可证》</w:t>
      </w:r>
    </w:p>
    <w:p w14:paraId="6575864F">
      <w:pPr>
        <w:spacing w:line="360" w:lineRule="auto"/>
        <w:rPr>
          <w:rFonts w:hint="eastAsia" w:ascii="黑体" w:hAnsi="黑体" w:eastAsia="黑体" w:cs="Times New Roman"/>
          <w:b/>
          <w:bCs/>
          <w:color w:val="auto"/>
          <w:sz w:val="24"/>
          <w:highlight w:val="none"/>
        </w:rPr>
      </w:pPr>
      <w:bookmarkStart w:id="26" w:name="_Toc35393792"/>
      <w:bookmarkStart w:id="27" w:name="_Toc35393623"/>
      <w:r>
        <w:rPr>
          <w:rFonts w:hint="eastAsia" w:ascii="黑体" w:hAnsi="黑体" w:eastAsia="黑体" w:cs="Times New Roman"/>
          <w:b/>
          <w:bCs/>
          <w:color w:val="auto"/>
          <w:sz w:val="24"/>
          <w:highlight w:val="none"/>
        </w:rPr>
        <w:t>三、获取招标文件</w:t>
      </w:r>
      <w:bookmarkEnd w:id="24"/>
      <w:bookmarkEnd w:id="25"/>
      <w:bookmarkEnd w:id="26"/>
      <w:bookmarkEnd w:id="27"/>
    </w:p>
    <w:p w14:paraId="1327B46D">
      <w:pPr>
        <w:snapToGrid w:val="0"/>
        <w:spacing w:line="360" w:lineRule="auto"/>
        <w:ind w:firstLine="420" w:firstLineChars="200"/>
        <w:rPr>
          <w:rFonts w:hint="eastAsia" w:ascii="宋体" w:hAnsi="宋体" w:eastAsia="宋体" w:cs="Times New Roman"/>
          <w:color w:val="auto"/>
          <w:szCs w:val="21"/>
          <w:highlight w:val="none"/>
        </w:rPr>
      </w:pPr>
      <w:bookmarkStart w:id="28" w:name="_Toc28359005"/>
      <w:bookmarkStart w:id="29" w:name="_Toc28359082"/>
      <w:bookmarkStart w:id="30" w:name="_Toc35393624"/>
      <w:bookmarkStart w:id="31" w:name="_Toc35393793"/>
      <w:r>
        <w:rPr>
          <w:rFonts w:hint="eastAsia" w:ascii="宋体" w:hAnsi="宋体" w:eastAsia="宋体" w:cs="Times New Roman"/>
          <w:color w:val="auto"/>
          <w:szCs w:val="21"/>
          <w:highlight w:val="none"/>
        </w:rPr>
        <w:t>时间：</w:t>
      </w:r>
      <w:r>
        <w:rPr>
          <w:rFonts w:hint="eastAsia" w:ascii="宋体" w:hAnsi="宋体" w:cs="宋体"/>
          <w:bCs/>
          <w:color w:val="auto"/>
          <w:kern w:val="0"/>
          <w:szCs w:val="21"/>
          <w:highlight w:val="none"/>
          <w:u w:val="single"/>
          <w:lang w:val="en-US" w:eastAsia="zh-CN"/>
        </w:rPr>
        <w:t>2026年  月  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lang w:val="en-US" w:eastAsia="zh-CN"/>
        </w:rPr>
        <w:t>2026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时至12时，下午1</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时至</w:t>
      </w:r>
      <w:r>
        <w:rPr>
          <w:rFonts w:hint="eastAsia" w:ascii="宋体" w:hAnsi="宋体" w:cs="宋体"/>
          <w:bCs/>
          <w:color w:val="auto"/>
          <w:kern w:val="0"/>
          <w:szCs w:val="21"/>
          <w:highlight w:val="none"/>
          <w:lang w:val="en-US" w:eastAsia="zh-CN"/>
        </w:rPr>
        <w:t>23</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lang w:val="en-US" w:eastAsia="zh-CN"/>
        </w:rPr>
        <w:t>59分</w:t>
      </w:r>
      <w:r>
        <w:rPr>
          <w:rFonts w:hint="eastAsia" w:ascii="宋体" w:hAnsi="宋体" w:cs="宋体"/>
          <w:bCs/>
          <w:color w:val="auto"/>
          <w:kern w:val="0"/>
          <w:szCs w:val="21"/>
          <w:highlight w:val="none"/>
        </w:rPr>
        <w:t>（北京时间，法定节假日除外）。</w:t>
      </w:r>
    </w:p>
    <w:p w14:paraId="01D1851B">
      <w:pPr>
        <w:snapToGrid w:val="0"/>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地点</w:t>
      </w:r>
      <w:r>
        <w:rPr>
          <w:rFonts w:hint="eastAsia" w:ascii="宋体" w:hAnsi="宋体" w:cs="Times New Roman"/>
          <w:color w:val="auto"/>
          <w:szCs w:val="21"/>
          <w:highlight w:val="none"/>
          <w:lang w:eastAsia="zh-CN"/>
        </w:rPr>
        <w:t>：广西政府采购云平台</w:t>
      </w:r>
    </w:p>
    <w:p w14:paraId="4E353EEA">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方式:网上下载。本项目不发放纸质文件，</w:t>
      </w:r>
      <w:r>
        <w:rPr>
          <w:rFonts w:hint="eastAsia" w:ascii="宋体" w:hAnsi="宋体" w:cs="宋体"/>
          <w:color w:val="auto"/>
          <w:szCs w:val="21"/>
          <w:highlight w:val="none"/>
          <w:lang w:eastAsia="zh-CN"/>
        </w:rPr>
        <w:t>潜在投标人</w:t>
      </w:r>
      <w:r>
        <w:rPr>
          <w:rFonts w:hint="eastAsia" w:ascii="宋体" w:hAnsi="宋体" w:eastAsia="宋体" w:cs="Times New Roman"/>
          <w:color w:val="auto"/>
          <w:szCs w:val="21"/>
          <w:highlight w:val="none"/>
        </w:rPr>
        <w:t>可自行在</w:t>
      </w:r>
      <w:r>
        <w:rPr>
          <w:rFonts w:hint="eastAsia" w:ascii="宋体" w:hAnsi="宋体" w:eastAsia="宋体" w:cs="Times New Roman"/>
          <w:color w:val="auto"/>
          <w:szCs w:val="21"/>
          <w:highlight w:val="none"/>
        </w:rPr>
        <w:fldChar w:fldCharType="begin"/>
      </w:r>
      <w:r>
        <w:rPr>
          <w:rFonts w:hint="eastAsia" w:ascii="宋体" w:hAnsi="宋体" w:eastAsia="宋体" w:cs="Times New Roman"/>
          <w:color w:val="auto"/>
          <w:szCs w:val="21"/>
          <w:highlight w:val="none"/>
        </w:rPr>
        <w:instrText xml:space="preserve"> HYPERLINK "" </w:instrText>
      </w:r>
      <w:r>
        <w:rPr>
          <w:rFonts w:hint="eastAsia" w:ascii="宋体" w:hAnsi="宋体" w:eastAsia="宋体" w:cs="Times New Roman"/>
          <w:color w:val="auto"/>
          <w:szCs w:val="21"/>
          <w:highlight w:val="none"/>
        </w:rPr>
        <w:fldChar w:fldCharType="separate"/>
      </w:r>
      <w:r>
        <w:rPr>
          <w:rFonts w:hint="eastAsia" w:ascii="宋体" w:hAnsi="宋体" w:eastAsia="宋体" w:cs="Times New Roman"/>
          <w:color w:val="auto"/>
          <w:szCs w:val="21"/>
          <w:highlight w:val="none"/>
        </w:rPr>
        <w:fldChar w:fldCharType="end"/>
      </w:r>
      <w:r>
        <w:rPr>
          <w:rFonts w:hint="eastAsia" w:ascii="宋体" w:hAnsi="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下载招标文件（操作路径：登录</w:t>
      </w:r>
      <w:r>
        <w:rPr>
          <w:rFonts w:hint="eastAsia" w:ascii="宋体" w:hAnsi="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-项目采购-获取采购文件-找到本项目-点击“申请获取采购文件”），电子投标文件制作需要基于</w:t>
      </w:r>
      <w:r>
        <w:rPr>
          <w:rFonts w:hint="eastAsia" w:ascii="宋体" w:hAnsi="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获取的招标文件编制。</w:t>
      </w:r>
    </w:p>
    <w:p w14:paraId="1C7DF682">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w:t>
      </w:r>
      <w:r>
        <w:rPr>
          <w:rFonts w:hint="eastAsia" w:ascii="宋体" w:hAnsi="宋体" w:cs="宋体"/>
          <w:color w:val="auto"/>
          <w:szCs w:val="21"/>
          <w:highlight w:val="none"/>
          <w:lang w:eastAsia="zh-CN"/>
        </w:rPr>
        <w:t>人民币</w:t>
      </w:r>
      <w:r>
        <w:rPr>
          <w:rFonts w:hint="eastAsia" w:ascii="宋体" w:hAnsi="宋体" w:cs="宋体"/>
          <w:color w:val="auto"/>
          <w:szCs w:val="21"/>
          <w:highlight w:val="none"/>
        </w:rPr>
        <w:t>0元</w:t>
      </w:r>
    </w:p>
    <w:p w14:paraId="40D6F641">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四、提交投标文件</w:t>
      </w:r>
      <w:bookmarkEnd w:id="28"/>
      <w:bookmarkEnd w:id="29"/>
      <w:r>
        <w:rPr>
          <w:rFonts w:hint="eastAsia" w:ascii="黑体" w:hAnsi="黑体" w:eastAsia="黑体" w:cs="Times New Roman"/>
          <w:b/>
          <w:bCs/>
          <w:color w:val="auto"/>
          <w:sz w:val="24"/>
          <w:highlight w:val="none"/>
        </w:rPr>
        <w:t>截止时间、开标时间和地点</w:t>
      </w:r>
      <w:bookmarkEnd w:id="30"/>
      <w:bookmarkEnd w:id="31"/>
    </w:p>
    <w:p w14:paraId="642D2A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提交投标文件截止时间：</w:t>
      </w:r>
      <w:r>
        <w:rPr>
          <w:rFonts w:hint="eastAsia" w:ascii="宋体" w:hAnsi="宋体" w:cs="宋体"/>
          <w:color w:val="auto"/>
          <w:szCs w:val="21"/>
          <w:highlight w:val="none"/>
          <w:u w:val="none"/>
          <w:lang w:val="en-US" w:eastAsia="zh-CN"/>
        </w:rPr>
        <w:t xml:space="preserve"> 2026年  月  日9点30分</w:t>
      </w:r>
      <w:r>
        <w:rPr>
          <w:rFonts w:hint="eastAsia" w:ascii="宋体" w:hAnsi="宋体" w:cs="宋体"/>
          <w:color w:val="auto"/>
          <w:szCs w:val="21"/>
          <w:highlight w:val="none"/>
        </w:rPr>
        <w:t>（北京时间）</w:t>
      </w:r>
    </w:p>
    <w:p w14:paraId="78EDE2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提交投标文件地点：</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 </w:t>
      </w:r>
    </w:p>
    <w:p w14:paraId="17E594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u w:val="none"/>
          <w:lang w:val="en-US" w:eastAsia="zh-CN"/>
        </w:rPr>
        <w:t xml:space="preserve"> 2026年  月  日9点30分</w:t>
      </w:r>
      <w:r>
        <w:rPr>
          <w:rFonts w:hint="eastAsia" w:ascii="宋体" w:hAnsi="宋体" w:cs="宋体"/>
          <w:color w:val="auto"/>
          <w:szCs w:val="21"/>
          <w:highlight w:val="none"/>
        </w:rPr>
        <w:t>（北京时间）</w:t>
      </w:r>
    </w:p>
    <w:p w14:paraId="4F18AD15">
      <w:pPr>
        <w:spacing w:line="360" w:lineRule="auto"/>
        <w:ind w:firstLine="420" w:firstLineChars="200"/>
        <w:rPr>
          <w:rFonts w:hint="eastAsia" w:ascii="宋体" w:hAnsi="宋体" w:cs="宋体"/>
          <w:color w:val="auto"/>
          <w:szCs w:val="21"/>
        </w:rPr>
      </w:pPr>
      <w:r>
        <w:rPr>
          <w:rFonts w:hint="eastAsia" w:ascii="宋体" w:hAnsi="宋体" w:cs="宋体"/>
          <w:color w:val="auto"/>
          <w:szCs w:val="21"/>
          <w:highlight w:val="none"/>
        </w:rPr>
        <w:t>开标地点：广西壮族自治区防城港市开标室</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政府采购开标室</w:t>
      </w:r>
      <w:r>
        <w:rPr>
          <w:rFonts w:hint="eastAsia" w:ascii="宋体" w:hAnsi="宋体" w:cs="宋体"/>
          <w:color w:val="auto"/>
          <w:szCs w:val="21"/>
          <w:highlight w:val="none"/>
          <w:lang w:val="en-US" w:eastAsia="zh-CN"/>
        </w:rPr>
        <w:t xml:space="preserve">1 </w:t>
      </w:r>
    </w:p>
    <w:p w14:paraId="174D1E9A">
      <w:pPr>
        <w:spacing w:line="360" w:lineRule="auto"/>
        <w:rPr>
          <w:rFonts w:hint="eastAsia" w:ascii="黑体" w:hAnsi="黑体" w:eastAsia="黑体" w:cs="Times New Roman"/>
          <w:b/>
          <w:bCs/>
          <w:color w:val="auto"/>
          <w:sz w:val="24"/>
          <w:highlight w:val="none"/>
        </w:rPr>
      </w:pPr>
      <w:bookmarkStart w:id="32" w:name="_Toc35393794"/>
      <w:bookmarkStart w:id="33" w:name="_Toc35393625"/>
      <w:bookmarkStart w:id="34" w:name="_Toc28359084"/>
      <w:bookmarkStart w:id="35" w:name="_Toc28359007"/>
      <w:r>
        <w:rPr>
          <w:rFonts w:hint="eastAsia" w:ascii="黑体" w:hAnsi="黑体" w:eastAsia="黑体" w:cs="Times New Roman"/>
          <w:b/>
          <w:bCs/>
          <w:color w:val="auto"/>
          <w:sz w:val="24"/>
          <w:highlight w:val="none"/>
        </w:rPr>
        <w:t>五、公告期限</w:t>
      </w:r>
      <w:bookmarkEnd w:id="32"/>
      <w:bookmarkEnd w:id="33"/>
      <w:bookmarkEnd w:id="34"/>
      <w:bookmarkEnd w:id="35"/>
    </w:p>
    <w:p w14:paraId="1FCE3E1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27F29A5D">
      <w:pPr>
        <w:spacing w:line="360" w:lineRule="auto"/>
        <w:rPr>
          <w:rFonts w:hint="eastAsia" w:ascii="黑体" w:hAnsi="黑体" w:eastAsia="黑体" w:cs="Times New Roman"/>
          <w:b/>
          <w:bCs/>
          <w:color w:val="auto"/>
          <w:sz w:val="24"/>
          <w:highlight w:val="none"/>
        </w:rPr>
      </w:pPr>
      <w:bookmarkStart w:id="36" w:name="_Toc35393626"/>
      <w:bookmarkStart w:id="37" w:name="_Toc35393795"/>
      <w:r>
        <w:rPr>
          <w:rFonts w:hint="eastAsia" w:ascii="黑体" w:hAnsi="黑体" w:eastAsia="黑体" w:cs="Times New Roman"/>
          <w:b/>
          <w:bCs/>
          <w:color w:val="auto"/>
          <w:sz w:val="24"/>
          <w:highlight w:val="none"/>
        </w:rPr>
        <w:t>六、其他补充事宜</w:t>
      </w:r>
      <w:bookmarkEnd w:id="36"/>
      <w:bookmarkEnd w:id="37"/>
    </w:p>
    <w:p w14:paraId="6C903011">
      <w:pPr>
        <w:spacing w:line="360" w:lineRule="auto"/>
        <w:ind w:firstLine="420" w:firstLineChars="200"/>
        <w:rPr>
          <w:rFonts w:hint="eastAsia" w:ascii="宋体" w:hAnsi="宋体" w:cs="宋体"/>
          <w:color w:val="auto"/>
        </w:rPr>
      </w:pPr>
      <w:r>
        <w:rPr>
          <w:rFonts w:hint="eastAsia" w:ascii="宋体" w:hAnsi="宋体" w:eastAsia="宋体" w:cs="宋体"/>
          <w:color w:val="auto"/>
          <w:kern w:val="0"/>
          <w:szCs w:val="21"/>
          <w:highlight w:val="none"/>
        </w:rPr>
        <w:t>1.投标保证金：</w:t>
      </w: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lang w:eastAsia="zh-CN"/>
        </w:rPr>
        <w:t>投标保证金。</w:t>
      </w:r>
    </w:p>
    <w:p w14:paraId="05214D60">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.网上查询地址</w:t>
      </w:r>
    </w:p>
    <w:p w14:paraId="25D978C5">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olor w:val="auto"/>
          <w:szCs w:val="21"/>
          <w:highlight w:val="none"/>
        </w:rPr>
        <w:t>中国政府采购网、</w:t>
      </w:r>
      <w:bookmarkStart w:id="38" w:name="OLE_LINK1"/>
      <w:r>
        <w:rPr>
          <w:rFonts w:hint="eastAsia" w:ascii="宋体" w:hAnsi="宋体"/>
          <w:color w:val="auto"/>
          <w:szCs w:val="21"/>
          <w:highlight w:val="none"/>
        </w:rPr>
        <w:t>广西政府采购网</w:t>
      </w:r>
      <w:bookmarkEnd w:id="38"/>
      <w:r>
        <w:rPr>
          <w:rFonts w:hint="eastAsia" w:ascii="宋体" w:hAnsi="宋体"/>
          <w:color w:val="auto"/>
          <w:szCs w:val="21"/>
          <w:highlight w:val="none"/>
        </w:rPr>
        <w:t>、全国公共资源交易平台（广西•防城港</w:t>
      </w:r>
      <w:r>
        <w:rPr>
          <w:rFonts w:hint="eastAsia" w:ascii="宋体" w:hAnsi="宋体" w:cs="宋体"/>
          <w:color w:val="auto"/>
          <w:szCs w:val="21"/>
          <w:highlight w:val="none"/>
        </w:rPr>
        <w:t>）</w:t>
      </w:r>
    </w:p>
    <w:p w14:paraId="22958432">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 本项目需要落实的政府采购政策：</w:t>
      </w:r>
    </w:p>
    <w:p w14:paraId="4DDA916C">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4190D2C">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）政府采购促进残疾人就业政策。</w:t>
      </w:r>
    </w:p>
    <w:p w14:paraId="15D8D864">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）政府采购支持监狱企业发展。</w:t>
      </w:r>
      <w:bookmarkStart w:id="437" w:name="_GoBack"/>
      <w:bookmarkEnd w:id="437"/>
    </w:p>
    <w:p w14:paraId="7D1ADCDF">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858DADD">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.对在“信用中国”网站、中国政府采购网被列入失信被执行人、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14:paraId="2B284587">
      <w:pPr>
        <w:spacing w:line="360" w:lineRule="auto"/>
        <w:ind w:firstLine="316" w:firstLineChars="150"/>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lang w:eastAsia="zh-CN"/>
        </w:rPr>
        <w:t>.</w:t>
      </w:r>
      <w:r>
        <w:rPr>
          <w:rFonts w:hint="eastAsia" w:ascii="宋体" w:hAnsi="宋体" w:cs="宋体"/>
          <w:b/>
          <w:bCs/>
          <w:color w:val="auto"/>
          <w:szCs w:val="21"/>
        </w:rPr>
        <w:t>在线投标</w:t>
      </w:r>
      <w:r>
        <w:rPr>
          <w:rFonts w:hint="eastAsia" w:ascii="宋体" w:hAnsi="宋体" w:cs="宋体"/>
          <w:b/>
          <w:bCs/>
          <w:color w:val="auto"/>
          <w:szCs w:val="21"/>
          <w:lang w:eastAsia="zh-CN"/>
        </w:rPr>
        <w:t>的有关</w:t>
      </w:r>
      <w:r>
        <w:rPr>
          <w:rFonts w:hint="eastAsia" w:ascii="宋体" w:hAnsi="宋体" w:cs="宋体"/>
          <w:b/>
          <w:bCs/>
          <w:color w:val="auto"/>
          <w:szCs w:val="21"/>
        </w:rPr>
        <w:t>说明</w:t>
      </w:r>
      <w:r>
        <w:rPr>
          <w:rFonts w:hint="eastAsia" w:ascii="宋体" w:hAnsi="宋体" w:eastAsia="宋体" w:cs="宋体"/>
          <w:b/>
          <w:bCs/>
          <w:color w:val="auto"/>
          <w:kern w:val="0"/>
          <w:szCs w:val="21"/>
          <w:highlight w:val="none"/>
        </w:rPr>
        <w:t>：</w:t>
      </w:r>
    </w:p>
    <w:p w14:paraId="52F6F326">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color w:val="auto"/>
          <w:szCs w:val="21"/>
          <w:highlight w:val="none"/>
        </w:rPr>
        <w:t>（1）投标文件提交方式：本项目为全流程电子化项目，通过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实行在线电子投标，供应商应先安装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客户端下载路径：广西政府采购网—办事服务—下载专区</w:t>
      </w:r>
      <w:r>
        <w:rPr>
          <w:rFonts w:hint="eastAsia" w:ascii="宋体" w:hAnsi="宋体" w:cs="宋体"/>
          <w:color w:val="auto"/>
          <w:szCs w:val="21"/>
          <w:highlight w:val="none"/>
        </w:rPr>
        <w:t>）</w:t>
      </w:r>
      <w:r>
        <w:rPr>
          <w:rFonts w:hint="eastAsia" w:ascii="宋体" w:hAnsi="宋体" w:eastAsia="宋体" w:cs="Times New Roman"/>
          <w:b w:val="0"/>
          <w:bCs w:val="0"/>
          <w:color w:val="auto"/>
          <w:szCs w:val="21"/>
          <w:highlight w:val="none"/>
          <w:u w:val="none"/>
        </w:rPr>
        <w:t>，并按照本项目招标文件和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的要求编制、加密后在投标截止时间前通过网络上传至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w:t>
      </w:r>
      <w:r>
        <w:rPr>
          <w:rFonts w:hint="eastAsia" w:ascii="宋体" w:hAnsi="宋体" w:cs="Times New Roman"/>
          <w:b/>
          <w:bCs/>
          <w:color w:val="auto"/>
          <w:szCs w:val="21"/>
          <w:highlight w:val="none"/>
          <w:u w:val="none"/>
          <w:lang w:eastAsia="zh-CN"/>
        </w:rPr>
        <w:t>投标人</w:t>
      </w:r>
      <w:r>
        <w:rPr>
          <w:rFonts w:hint="eastAsia" w:ascii="宋体" w:hAnsi="宋体" w:eastAsia="宋体" w:cs="Times New Roman"/>
          <w:b/>
          <w:bCs/>
          <w:color w:val="auto"/>
          <w:szCs w:val="21"/>
          <w:highlight w:val="none"/>
          <w:u w:val="none"/>
        </w:rPr>
        <w:t>在</w:t>
      </w:r>
      <w:r>
        <w:rPr>
          <w:rFonts w:hint="eastAsia" w:ascii="宋体" w:hAnsi="宋体" w:cs="宋体"/>
          <w:b/>
          <w:bCs/>
          <w:color w:val="auto"/>
          <w:sz w:val="21"/>
          <w:szCs w:val="21"/>
          <w:highlight w:val="none"/>
          <w:lang w:val="en-US" w:eastAsia="zh-CN"/>
        </w:rPr>
        <w:t>广西政府采购云平台</w:t>
      </w:r>
      <w:r>
        <w:rPr>
          <w:rFonts w:hint="eastAsia" w:ascii="宋体" w:hAnsi="宋体" w:eastAsia="宋体" w:cs="Times New Roman"/>
          <w:b/>
          <w:bCs/>
          <w:color w:val="auto"/>
          <w:szCs w:val="21"/>
          <w:highlight w:val="none"/>
          <w:u w:val="none"/>
        </w:rPr>
        <w:t>提交电子版投标文件时，请填写参加远程开标活动经办人联系方式</w:t>
      </w:r>
      <w:r>
        <w:rPr>
          <w:rFonts w:hint="eastAsia" w:ascii="宋体" w:hAnsi="宋体" w:eastAsia="宋体" w:cs="Times New Roman"/>
          <w:b w:val="0"/>
          <w:bCs w:val="0"/>
          <w:color w:val="auto"/>
          <w:szCs w:val="21"/>
          <w:highlight w:val="none"/>
          <w:u w:val="none"/>
        </w:rPr>
        <w:t>。</w:t>
      </w:r>
    </w:p>
    <w:p w14:paraId="326F229E">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（2）未进行网上注册并办理数字证书（CA认证）的供应商将无法参与本项目政府采购活动，潜在</w:t>
      </w:r>
      <w:r>
        <w:rPr>
          <w:rFonts w:hint="eastAsia" w:ascii="宋体" w:hAnsi="宋体" w:cs="Times New Roman"/>
          <w:b w:val="0"/>
          <w:bCs w:val="0"/>
          <w:color w:val="auto"/>
          <w:szCs w:val="21"/>
          <w:highlight w:val="none"/>
          <w:u w:val="none"/>
          <w:lang w:eastAsia="zh-CN"/>
        </w:rPr>
        <w:t>投标人</w:t>
      </w:r>
      <w:r>
        <w:rPr>
          <w:rFonts w:hint="eastAsia" w:ascii="宋体" w:hAnsi="宋体" w:eastAsia="宋体" w:cs="Times New Roman"/>
          <w:b w:val="0"/>
          <w:bCs w:val="0"/>
          <w:color w:val="auto"/>
          <w:szCs w:val="21"/>
          <w:highlight w:val="none"/>
          <w:u w:val="none"/>
        </w:rPr>
        <w:t>应当在投标截止时间前，完成电子交易平台上的CA数字证书办理及投标文件的提交。</w:t>
      </w:r>
    </w:p>
    <w:p w14:paraId="61ADF5D7">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（3）为确保网上操作合法、有效和安全，请投标</w:t>
      </w:r>
      <w:r>
        <w:rPr>
          <w:rFonts w:hint="eastAsia" w:ascii="宋体" w:hAnsi="宋体" w:cs="Times New Roman"/>
          <w:b w:val="0"/>
          <w:bCs w:val="0"/>
          <w:color w:val="auto"/>
          <w:szCs w:val="21"/>
          <w:highlight w:val="none"/>
          <w:u w:val="none"/>
          <w:lang w:eastAsia="zh-CN"/>
        </w:rPr>
        <w:t>人</w:t>
      </w:r>
      <w:r>
        <w:rPr>
          <w:rFonts w:hint="eastAsia" w:ascii="宋体" w:hAnsi="宋体" w:eastAsia="宋体" w:cs="Times New Roman"/>
          <w:b w:val="0"/>
          <w:bCs w:val="0"/>
          <w:color w:val="auto"/>
          <w:szCs w:val="21"/>
          <w:highlight w:val="none"/>
          <w:u w:val="none"/>
        </w:rPr>
        <w:t>确保在电子投标过程中能够对相关数据电文进行加密和使用电子签章，妥善保管CA数字证书并使用有效的CA数字证书参与整个招标活动。</w:t>
      </w:r>
    </w:p>
    <w:p w14:paraId="15F36B6D">
      <w:pPr>
        <w:spacing w:line="360" w:lineRule="auto"/>
        <w:ind w:firstLine="422" w:firstLineChars="200"/>
        <w:rPr>
          <w:rFonts w:hint="eastAsia" w:ascii="宋体" w:hAnsi="宋体" w:eastAsia="宋体" w:cs="Times New Roman"/>
          <w:b/>
          <w:bCs/>
          <w:color w:val="auto"/>
          <w:szCs w:val="21"/>
          <w:highlight w:val="none"/>
          <w:u w:val="none"/>
        </w:rPr>
      </w:pPr>
      <w:r>
        <w:rPr>
          <w:rFonts w:hint="eastAsia" w:ascii="宋体" w:hAnsi="宋体" w:eastAsia="宋体" w:cs="Times New Roman"/>
          <w:b/>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Times New Roman"/>
          <w:b/>
          <w:bCs/>
          <w:color w:val="auto"/>
          <w:sz w:val="21"/>
          <w:szCs w:val="21"/>
          <w:highlight w:val="none"/>
          <w:u w:val="none"/>
          <w:lang w:val="en-US" w:eastAsia="zh-CN"/>
        </w:rPr>
        <w:t>广西政府采购云平台</w:t>
      </w:r>
      <w:r>
        <w:rPr>
          <w:rFonts w:hint="eastAsia" w:ascii="宋体" w:hAnsi="宋体" w:eastAsia="宋体" w:cs="Times New Roman"/>
          <w:b/>
          <w:bCs/>
          <w:color w:val="auto"/>
          <w:szCs w:val="21"/>
          <w:highlight w:val="none"/>
          <w:u w:val="none"/>
        </w:rPr>
        <w:t>将予以拒收。</w:t>
      </w:r>
    </w:p>
    <w:p w14:paraId="4B141A16">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）CA证书在线解密：</w:t>
      </w:r>
      <w:r>
        <w:rPr>
          <w:rFonts w:hint="eastAsia" w:ascii="宋体" w:hAnsi="宋体" w:cs="宋体"/>
          <w:color w:val="auto"/>
          <w:kern w:val="0"/>
          <w:szCs w:val="21"/>
          <w:highlight w:val="none"/>
          <w:lang w:eastAsia="zh-CN"/>
        </w:rPr>
        <w:t>投标人</w:t>
      </w:r>
      <w:r>
        <w:rPr>
          <w:rFonts w:hint="eastAsia" w:ascii="宋体" w:hAnsi="宋体" w:eastAsia="宋体" w:cs="宋体"/>
          <w:color w:val="auto"/>
          <w:kern w:val="0"/>
          <w:szCs w:val="21"/>
          <w:highlight w:val="none"/>
        </w:rPr>
        <w:t>投标时，需携带制作投标文件时用来加密的有效数字证书（CA认证）登录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w:t>
      </w:r>
    </w:p>
    <w:p w14:paraId="2EFB50C6">
      <w:p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lang w:eastAsia="zh-CN"/>
        </w:rPr>
        <w:t>获取热线服务帮助。</w:t>
      </w:r>
    </w:p>
    <w:p w14:paraId="0C4F83B1">
      <w:pPr>
        <w:snapToGrid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7.监督部门</w:t>
      </w:r>
    </w:p>
    <w:p w14:paraId="41F8392A">
      <w:pPr>
        <w:snapToGrid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名 称：防城港市港口区政府采购管理办公室；电 话：0770-6106362</w:t>
      </w:r>
    </w:p>
    <w:p w14:paraId="228F89A7">
      <w:p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本项目采用远程异地评标，评标主场设在防城港市公共资源交易中心，评标副场设在</w:t>
      </w:r>
      <w:r>
        <w:rPr>
          <w:rFonts w:hint="eastAsia" w:ascii="宋体" w:hAnsi="宋体" w:cs="宋体"/>
          <w:color w:val="auto"/>
          <w:kern w:val="0"/>
          <w:szCs w:val="21"/>
          <w:highlight w:val="none"/>
          <w:lang w:val="en-US" w:eastAsia="zh-CN"/>
        </w:rPr>
        <w:t>南宁</w:t>
      </w:r>
      <w:r>
        <w:rPr>
          <w:rFonts w:hint="eastAsia" w:ascii="宋体" w:hAnsi="宋体" w:eastAsia="宋体" w:cs="宋体"/>
          <w:color w:val="auto"/>
          <w:kern w:val="0"/>
          <w:szCs w:val="21"/>
          <w:highlight w:val="none"/>
          <w:lang w:val="en-US" w:eastAsia="zh-CN"/>
        </w:rPr>
        <w:t>市公共资源交易中心。  </w:t>
      </w:r>
    </w:p>
    <w:p w14:paraId="1B6B6B8F">
      <w:pPr>
        <w:spacing w:line="360" w:lineRule="auto"/>
        <w:rPr>
          <w:rFonts w:hint="eastAsia" w:ascii="黑体" w:hAnsi="黑体" w:eastAsia="黑体" w:cs="Times New Roman"/>
          <w:b/>
          <w:bCs/>
          <w:color w:val="auto"/>
          <w:sz w:val="24"/>
          <w:highlight w:val="none"/>
        </w:rPr>
      </w:pPr>
      <w:bookmarkStart w:id="39" w:name="_Toc35393796"/>
      <w:bookmarkStart w:id="40" w:name="_Toc28359085"/>
      <w:bookmarkStart w:id="41" w:name="_Toc35393627"/>
      <w:bookmarkStart w:id="42" w:name="_Toc28359008"/>
      <w:r>
        <w:rPr>
          <w:rFonts w:hint="eastAsia" w:ascii="黑体" w:hAnsi="黑体" w:eastAsia="黑体" w:cs="Times New Roman"/>
          <w:b/>
          <w:bCs/>
          <w:color w:val="auto"/>
          <w:sz w:val="24"/>
          <w:highlight w:val="none"/>
        </w:rPr>
        <w:t>七、对本次招标提出询问，请按以下方式联系。</w:t>
      </w:r>
      <w:bookmarkEnd w:id="39"/>
      <w:bookmarkEnd w:id="40"/>
      <w:bookmarkEnd w:id="41"/>
      <w:bookmarkEnd w:id="42"/>
    </w:p>
    <w:p w14:paraId="66DA94C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1.采购人信息</w:t>
      </w:r>
    </w:p>
    <w:p w14:paraId="64F12395">
      <w:pP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lang w:eastAsia="zh-CN"/>
        </w:rPr>
        <w:t>防城港市港口区</w:t>
      </w:r>
      <w:r>
        <w:rPr>
          <w:rFonts w:hint="eastAsia" w:ascii="宋体" w:hAnsi="宋体" w:cs="宋体"/>
          <w:color w:val="auto"/>
          <w:kern w:val="0"/>
          <w:szCs w:val="21"/>
          <w:highlight w:val="none"/>
          <w:lang w:eastAsia="zh-CN"/>
        </w:rPr>
        <w:t>教育局</w:t>
      </w:r>
    </w:p>
    <w:p w14:paraId="6DAF6E93">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地址：</w:t>
      </w:r>
      <w:r>
        <w:rPr>
          <w:rFonts w:hint="eastAsia" w:ascii="宋体" w:hAnsi="宋体" w:cs="宋体"/>
          <w:color w:val="auto"/>
          <w:kern w:val="0"/>
          <w:szCs w:val="21"/>
          <w:highlight w:val="none"/>
          <w:lang w:eastAsia="zh-CN"/>
        </w:rPr>
        <w:t>防城港市港口区兴教路88号</w:t>
      </w:r>
    </w:p>
    <w:p w14:paraId="4747320A">
      <w:pPr>
        <w:spacing w:line="360" w:lineRule="auto"/>
        <w:ind w:firstLine="420" w:firstLineChars="200"/>
        <w:rPr>
          <w:rFonts w:hint="default"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rPr>
        <w:t>联系方式：</w:t>
      </w:r>
      <w:r>
        <w:rPr>
          <w:rFonts w:hint="eastAsia" w:ascii="宋体" w:hAnsi="宋体" w:cs="宋体"/>
          <w:color w:val="auto"/>
          <w:kern w:val="0"/>
          <w:szCs w:val="21"/>
          <w:highlight w:val="none"/>
          <w:u w:val="none"/>
          <w:lang w:val="en-US" w:eastAsia="zh-CN"/>
        </w:rPr>
        <w:t xml:space="preserve">禤德庆，0770-2810059                       </w:t>
      </w:r>
    </w:p>
    <w:p w14:paraId="4F0C3B7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7BC3A07A">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s="宋体"/>
          <w:color w:val="auto"/>
          <w:highlight w:val="none"/>
          <w:lang w:eastAsia="zh-CN"/>
        </w:rPr>
        <w:t>广西冠宁工程咨询有限公司</w:t>
      </w:r>
    </w:p>
    <w:p w14:paraId="2B9B9F49">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地 址：</w:t>
      </w:r>
      <w:r>
        <w:rPr>
          <w:rFonts w:hint="eastAsia" w:ascii="宋体" w:hAnsi="宋体"/>
          <w:color w:val="auto"/>
          <w:szCs w:val="21"/>
          <w:highlight w:val="none"/>
          <w:lang w:eastAsia="zh-CN"/>
        </w:rPr>
        <w:t>防城港市港口区西湾广场北侧阳光海岸碧海新天7号楼9层909号房</w:t>
      </w:r>
    </w:p>
    <w:p w14:paraId="0D6C9713">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联系方式：</w:t>
      </w:r>
      <w:r>
        <w:rPr>
          <w:rFonts w:hint="eastAsia" w:ascii="宋体" w:hAnsi="宋体"/>
          <w:color w:val="auto"/>
          <w:szCs w:val="21"/>
          <w:highlight w:val="none"/>
          <w:lang w:val="en-US" w:eastAsia="zh-CN"/>
        </w:rPr>
        <w:t>罗丽红、覃愿；</w:t>
      </w:r>
      <w:r>
        <w:rPr>
          <w:rFonts w:hint="eastAsia" w:ascii="宋体" w:hAnsi="宋体"/>
          <w:color w:val="auto"/>
          <w:szCs w:val="21"/>
          <w:highlight w:val="none"/>
          <w:lang w:eastAsia="zh-CN"/>
        </w:rPr>
        <w:t>0771-5725583、18577828837</w:t>
      </w:r>
    </w:p>
    <w:p w14:paraId="39AB2FEF">
      <w:pPr>
        <w:spacing w:line="360" w:lineRule="auto"/>
        <w:ind w:firstLine="420" w:firstLineChars="200"/>
        <w:rPr>
          <w:rFonts w:ascii="宋体" w:hAnsi="宋体" w:cs="宋体"/>
          <w:color w:val="auto"/>
          <w:kern w:val="0"/>
          <w:szCs w:val="21"/>
          <w:highlight w:val="none"/>
        </w:rPr>
      </w:pPr>
      <w:bookmarkStart w:id="43" w:name="_Toc35393808"/>
      <w:bookmarkStart w:id="44" w:name="_Toc35393639"/>
      <w:bookmarkStart w:id="45" w:name="_Toc28359098"/>
      <w:bookmarkStart w:id="46" w:name="_Toc28359021"/>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43"/>
      <w:bookmarkEnd w:id="44"/>
      <w:bookmarkEnd w:id="45"/>
      <w:bookmarkEnd w:id="46"/>
    </w:p>
    <w:p w14:paraId="3B74A911">
      <w:pPr>
        <w:pStyle w:val="14"/>
        <w:spacing w:line="360" w:lineRule="auto"/>
        <w:ind w:firstLine="420" w:firstLineChars="200"/>
        <w:rPr>
          <w:rFonts w:hint="eastAsia" w:hAnsi="宋体" w:eastAsia="宋体"/>
          <w:color w:val="auto"/>
          <w:highlight w:val="none"/>
          <w:lang w:eastAsia="zh-CN"/>
        </w:rPr>
      </w:pPr>
      <w:r>
        <w:rPr>
          <w:rFonts w:hint="eastAsia" w:hAnsi="宋体"/>
          <w:color w:val="auto"/>
          <w:highlight w:val="none"/>
        </w:rPr>
        <w:t>项目联系人：</w:t>
      </w:r>
      <w:r>
        <w:rPr>
          <w:rFonts w:hint="eastAsia" w:hAnsi="宋体"/>
          <w:color w:val="auto"/>
          <w:highlight w:val="none"/>
          <w:lang w:eastAsia="zh-CN"/>
        </w:rPr>
        <w:t>罗丽红、覃愿</w:t>
      </w:r>
    </w:p>
    <w:p w14:paraId="431F614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电 话：</w:t>
      </w:r>
      <w:r>
        <w:rPr>
          <w:rFonts w:hint="eastAsia" w:ascii="宋体" w:hAnsi="宋体"/>
          <w:color w:val="auto"/>
          <w:szCs w:val="21"/>
          <w:highlight w:val="none"/>
          <w:lang w:eastAsia="zh-CN"/>
        </w:rPr>
        <w:t>0771-5725583、18577828837</w:t>
      </w:r>
    </w:p>
    <w:p w14:paraId="1D40A5F9">
      <w:pPr>
        <w:spacing w:line="460" w:lineRule="exact"/>
        <w:ind w:firstLine="420" w:firstLineChars="200"/>
        <w:jc w:val="right"/>
        <w:rPr>
          <w:rFonts w:hint="eastAsia" w:ascii="宋体" w:hAnsi="宋体" w:eastAsia="宋体" w:cs="宋体"/>
          <w:color w:val="auto"/>
          <w:szCs w:val="32"/>
          <w:highlight w:val="none"/>
          <w:lang w:eastAsia="zh-CN"/>
        </w:rPr>
      </w:pPr>
      <w:r>
        <w:rPr>
          <w:rFonts w:hint="eastAsia" w:ascii="宋体" w:hAnsi="宋体" w:cs="宋体"/>
          <w:color w:val="auto"/>
          <w:szCs w:val="32"/>
          <w:highlight w:val="none"/>
        </w:rPr>
        <w:t>采购人：</w:t>
      </w:r>
      <w:r>
        <w:rPr>
          <w:rFonts w:hint="eastAsia" w:ascii="宋体" w:hAnsi="宋体" w:cs="宋体"/>
          <w:color w:val="auto"/>
          <w:kern w:val="0"/>
          <w:szCs w:val="21"/>
          <w:highlight w:val="none"/>
          <w:lang w:eastAsia="zh-CN"/>
        </w:rPr>
        <w:t>防城港市港口区教育局</w:t>
      </w:r>
    </w:p>
    <w:p w14:paraId="3420AF0C">
      <w:pPr>
        <w:spacing w:line="460" w:lineRule="exact"/>
        <w:ind w:firstLine="420" w:firstLineChars="200"/>
        <w:jc w:val="right"/>
        <w:rPr>
          <w:rFonts w:hint="eastAsia" w:ascii="宋体" w:hAnsi="宋体" w:eastAsia="宋体" w:cs="宋体"/>
          <w:color w:val="auto"/>
          <w:szCs w:val="32"/>
          <w:highlight w:val="none"/>
          <w:lang w:eastAsia="zh-CN"/>
        </w:rPr>
      </w:pPr>
      <w:r>
        <w:rPr>
          <w:rFonts w:hint="eastAsia" w:ascii="宋体" w:hAnsi="宋体" w:cs="宋体"/>
          <w:color w:val="auto"/>
          <w:szCs w:val="32"/>
          <w:highlight w:val="none"/>
        </w:rPr>
        <w:t>采购代理机构：</w:t>
      </w:r>
      <w:r>
        <w:rPr>
          <w:rFonts w:hint="eastAsia" w:ascii="宋体" w:hAnsi="宋体" w:cs="宋体"/>
          <w:color w:val="auto"/>
          <w:szCs w:val="32"/>
          <w:highlight w:val="none"/>
          <w:lang w:eastAsia="zh-CN"/>
        </w:rPr>
        <w:t>广西冠宁工程咨询有限公司</w:t>
      </w:r>
    </w:p>
    <w:p w14:paraId="73528A1F">
      <w:pPr>
        <w:pStyle w:val="2"/>
        <w:ind w:firstLine="420" w:firstLineChars="200"/>
        <w:jc w:val="right"/>
        <w:rPr>
          <w:rFonts w:hint="eastAsia" w:ascii="宋体" w:hAnsi="宋体" w:cs="宋体"/>
          <w:color w:val="auto"/>
          <w:szCs w:val="21"/>
          <w:highlight w:val="none"/>
        </w:rPr>
      </w:pPr>
      <w:r>
        <w:rPr>
          <w:rFonts w:hint="eastAsia" w:ascii="宋体" w:hAnsi="宋体" w:cs="宋体"/>
          <w:color w:val="auto"/>
          <w:sz w:val="21"/>
          <w:szCs w:val="21"/>
          <w:highlight w:val="none"/>
          <w:lang w:eastAsia="zh-CN"/>
        </w:rPr>
        <w:t>2026年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日</w:t>
      </w:r>
    </w:p>
    <w:p w14:paraId="0C4A88A5">
      <w:pPr>
        <w:widowControl/>
        <w:spacing w:line="360" w:lineRule="auto"/>
        <w:jc w:val="left"/>
        <w:rPr>
          <w:rFonts w:ascii="宋体" w:hAnsi="宋体" w:cs="宋体"/>
          <w:color w:val="auto"/>
          <w:sz w:val="24"/>
          <w:highlight w:val="none"/>
          <w:lang w:val="zh-CN"/>
        </w:rPr>
        <w:sectPr>
          <w:footerReference r:id="rId6" w:type="first"/>
          <w:headerReference r:id="rId4" w:type="default"/>
          <w:footerReference r:id="rId5" w:type="default"/>
          <w:pgSz w:w="11905" w:h="16838"/>
          <w:pgMar w:top="1134" w:right="1134" w:bottom="1134" w:left="1134" w:header="850" w:footer="850" w:gutter="0"/>
          <w:pgNumType w:fmt="decimal" w:start="1"/>
          <w:cols w:space="0" w:num="1"/>
          <w:titlePg/>
          <w:rtlGutter w:val="0"/>
          <w:docGrid w:linePitch="331" w:charSpace="0"/>
        </w:sectPr>
      </w:pPr>
    </w:p>
    <w:p w14:paraId="7D16183C">
      <w:pPr>
        <w:pStyle w:val="14"/>
        <w:jc w:val="center"/>
        <w:outlineLvl w:val="0"/>
        <w:rPr>
          <w:rFonts w:hint="eastAsia" w:ascii="Times New Roman" w:hAnsi="Times New Roman" w:eastAsia="宋体" w:cs="Times New Roman"/>
          <w:b/>
          <w:color w:val="auto"/>
          <w:sz w:val="36"/>
          <w:highlight w:val="none"/>
        </w:rPr>
      </w:pPr>
      <w:bookmarkStart w:id="47" w:name="_Toc532545042"/>
      <w:bookmarkStart w:id="48" w:name="_Toc8382"/>
      <w:bookmarkStart w:id="49" w:name="_Toc17621"/>
      <w:bookmarkStart w:id="50" w:name="_Toc28689"/>
      <w:bookmarkStart w:id="51" w:name="_Toc24210"/>
      <w:bookmarkStart w:id="52" w:name="_Toc2299"/>
      <w:bookmarkStart w:id="53" w:name="_Toc7686"/>
      <w:bookmarkStart w:id="54" w:name="_Toc21081"/>
      <w:bookmarkStart w:id="55" w:name="_Toc13449"/>
      <w:bookmarkStart w:id="56" w:name="_Toc4483"/>
      <w:bookmarkStart w:id="57" w:name="_Toc7337"/>
      <w:bookmarkStart w:id="58" w:name="_Toc937"/>
      <w:bookmarkStart w:id="59" w:name="_Toc32573"/>
      <w:bookmarkStart w:id="60" w:name="_Toc22408"/>
      <w:r>
        <w:rPr>
          <w:rFonts w:hint="eastAsia" w:ascii="Times New Roman" w:hAnsi="Times New Roman" w:eastAsia="宋体" w:cs="Times New Roman"/>
          <w:b/>
          <w:color w:val="auto"/>
          <w:sz w:val="36"/>
          <w:highlight w:val="none"/>
        </w:rPr>
        <w:t>第二章</w:t>
      </w:r>
      <w:r>
        <w:rPr>
          <w:rFonts w:ascii="Times New Roman" w:hAnsi="Times New Roman" w:eastAsia="宋体" w:cs="Times New Roman"/>
          <w:b/>
          <w:color w:val="auto"/>
          <w:sz w:val="36"/>
          <w:highlight w:val="none"/>
        </w:rPr>
        <w:t xml:space="preserve">  </w:t>
      </w:r>
      <w:bookmarkEnd w:id="47"/>
      <w:r>
        <w:rPr>
          <w:rFonts w:hint="eastAsia" w:ascii="Times New Roman" w:hAnsi="Times New Roman" w:eastAsia="宋体" w:cs="Times New Roman"/>
          <w:b/>
          <w:color w:val="auto"/>
          <w:sz w:val="36"/>
          <w:highlight w:val="none"/>
        </w:rPr>
        <w:t>采购需求</w:t>
      </w:r>
      <w:bookmarkEnd w:id="48"/>
      <w:bookmarkEnd w:id="49"/>
      <w:bookmarkEnd w:id="50"/>
      <w:bookmarkEnd w:id="51"/>
      <w:bookmarkEnd w:id="52"/>
      <w:bookmarkEnd w:id="53"/>
      <w:bookmarkEnd w:id="54"/>
      <w:bookmarkEnd w:id="55"/>
      <w:bookmarkEnd w:id="56"/>
      <w:bookmarkEnd w:id="57"/>
      <w:bookmarkEnd w:id="58"/>
      <w:bookmarkEnd w:id="59"/>
      <w:bookmarkEnd w:id="60"/>
    </w:p>
    <w:p w14:paraId="21FBC648">
      <w:pPr>
        <w:adjustRightInd w:val="0"/>
        <w:spacing w:line="340" w:lineRule="exact"/>
        <w:rPr>
          <w:rFonts w:ascii="Times New Roman" w:hAnsi="宋体" w:eastAsia="宋体" w:cs="Times New Roman"/>
          <w:b/>
          <w:color w:val="auto"/>
          <w:szCs w:val="21"/>
          <w:highlight w:val="none"/>
        </w:rPr>
      </w:pPr>
    </w:p>
    <w:p w14:paraId="7EE81C96">
      <w:pPr>
        <w:adjustRightInd w:val="0"/>
        <w:spacing w:line="340" w:lineRule="exact"/>
        <w:rPr>
          <w:rFonts w:ascii="Times New Roman" w:hAnsi="宋体" w:eastAsia="宋体" w:cs="Times New Roman"/>
          <w:b/>
          <w:szCs w:val="21"/>
          <w:highlight w:val="none"/>
        </w:rPr>
      </w:pPr>
      <w:r>
        <w:rPr>
          <w:rFonts w:hint="eastAsia" w:ascii="Times New Roman" w:hAnsi="宋体" w:eastAsia="宋体" w:cs="Times New Roman"/>
          <w:b/>
          <w:szCs w:val="21"/>
          <w:highlight w:val="none"/>
        </w:rPr>
        <w:t>说明：</w:t>
      </w:r>
    </w:p>
    <w:p w14:paraId="54CC321C">
      <w:pPr>
        <w:spacing w:line="360" w:lineRule="auto"/>
        <w:ind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1. 为落实政府采购政策需满足的要求</w:t>
      </w:r>
      <w:r>
        <w:rPr>
          <w:rFonts w:hint="eastAsia" w:ascii="宋体" w:hAnsi="宋体" w:cs="宋体"/>
          <w:highlight w:val="none"/>
          <w:lang w:eastAsia="zh-CN"/>
        </w:rPr>
        <w:t>：</w:t>
      </w:r>
    </w:p>
    <w:p w14:paraId="119A7098">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（1）本招标文件所称中小企业必须符合《政府采购促进中小企业发展管理办法》（财库〔2020〕46号）的规定。</w:t>
      </w:r>
    </w:p>
    <w:p w14:paraId="11C20AEA">
      <w:pPr>
        <w:spacing w:line="360" w:lineRule="auto"/>
        <w:ind w:firstLine="424" w:firstLineChars="202"/>
        <w:jc w:val="left"/>
        <w:rPr>
          <w:rFonts w:hint="eastAsia" w:ascii="宋体" w:hAnsi="宋体" w:eastAsia="宋体" w:cs="宋体"/>
          <w:szCs w:val="21"/>
          <w:highlight w:val="none"/>
        </w:rPr>
      </w:pPr>
      <w:r>
        <w:rPr>
          <w:rFonts w:hint="eastAsia" w:ascii="宋体" w:hAnsi="宋体" w:eastAsia="宋体" w:cs="宋体"/>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szCs w:val="21"/>
          <w:highlight w:val="none"/>
        </w:rPr>
        <w:t>投标人的投标货物必须使用政府强制采购的节能产品，投标人必须在投标文件中提供所投标产品</w:t>
      </w:r>
      <w:r>
        <w:rPr>
          <w:rFonts w:hint="eastAsia" w:ascii="宋体" w:hAnsi="宋体" w:cs="宋体"/>
          <w:b/>
          <w:bCs/>
          <w:color w:val="auto"/>
          <w:szCs w:val="21"/>
        </w:rPr>
        <w:t>有效期内</w:t>
      </w:r>
      <w:r>
        <w:rPr>
          <w:rFonts w:hint="eastAsia" w:ascii="宋体" w:hAnsi="宋体" w:eastAsia="宋体" w:cs="宋体"/>
          <w:b/>
          <w:bCs/>
          <w:szCs w:val="21"/>
          <w:highlight w:val="none"/>
        </w:rPr>
        <w:t>的节能产品认证证书复印件（加盖</w:t>
      </w:r>
      <w:r>
        <w:rPr>
          <w:rFonts w:hint="eastAsia" w:ascii="宋体" w:hAnsi="宋体" w:cs="宋体"/>
          <w:b/>
          <w:bCs/>
          <w:szCs w:val="21"/>
          <w:highlight w:val="none"/>
          <w:lang w:eastAsia="zh-CN"/>
        </w:rPr>
        <w:t>投标人公章</w:t>
      </w:r>
      <w:r>
        <w:rPr>
          <w:rFonts w:hint="eastAsia" w:ascii="宋体" w:hAnsi="宋体" w:eastAsia="宋体" w:cs="宋体"/>
          <w:b/>
          <w:bCs/>
          <w:szCs w:val="21"/>
          <w:highlight w:val="none"/>
        </w:rPr>
        <w:t>），否则投标文件作无效处理</w:t>
      </w:r>
      <w:r>
        <w:rPr>
          <w:rFonts w:hint="eastAsia" w:ascii="宋体" w:hAnsi="宋体" w:eastAsia="宋体" w:cs="宋体"/>
          <w:szCs w:val="21"/>
          <w:highlight w:val="none"/>
        </w:rPr>
        <w:t>。如本项目包含的货物属于品目清单内非标注“★”的产品时，应优先采购，具体详见“第四章 评标方法和评标标准”。</w:t>
      </w:r>
    </w:p>
    <w:p w14:paraId="411EEDA7">
      <w:pPr>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“实质性要求”是指招标文件中已经指明不满足则投标无效的条款，或者不能负偏离的条款，或者采购需求中带“▲”的条款。</w:t>
      </w:r>
    </w:p>
    <w:p w14:paraId="66F2D7A9">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szCs w:val="21"/>
          <w:highlight w:val="none"/>
          <w:lang w:eastAsia="zh-CN"/>
        </w:rPr>
        <w:t>本</w:t>
      </w:r>
      <w:r>
        <w:rPr>
          <w:rFonts w:hint="eastAsia" w:ascii="宋体" w:hAnsi="宋体" w:eastAsia="宋体" w:cs="宋体"/>
          <w:szCs w:val="21"/>
          <w:highlight w:val="none"/>
        </w:rPr>
        <w:t>服务项目中伴随货物的，</w:t>
      </w:r>
      <w:r>
        <w:rPr>
          <w:rFonts w:hint="eastAsia" w:ascii="宋体" w:hAnsi="宋体" w:cs="宋体"/>
          <w:color w:val="auto"/>
          <w:szCs w:val="21"/>
        </w:rPr>
        <w:t>采购需求中出现的品牌、型号或者生产厂家仅起参考作用，不属于指定品牌、型号或者生产厂家的情形。投标人可参照或者选用其他相当的品牌、型号或者生产厂家替代，但选用的投标产品</w:t>
      </w:r>
      <w:r>
        <w:rPr>
          <w:rFonts w:hint="eastAsia" w:ascii="宋体" w:hAnsi="宋体" w:cs="宋体"/>
          <w:color w:val="auto"/>
          <w:szCs w:val="21"/>
          <w:lang w:eastAsia="zh-CN"/>
        </w:rPr>
        <w:t>技术</w:t>
      </w:r>
      <w:r>
        <w:rPr>
          <w:rFonts w:hint="eastAsia" w:ascii="宋体" w:hAnsi="宋体" w:cs="宋体"/>
          <w:color w:val="auto"/>
          <w:szCs w:val="21"/>
        </w:rPr>
        <w:t>参数</w:t>
      </w:r>
      <w:r>
        <w:rPr>
          <w:rFonts w:hint="eastAsia" w:ascii="宋体" w:hAnsi="宋体" w:cs="宋体"/>
          <w:color w:val="auto"/>
          <w:szCs w:val="21"/>
          <w:lang w:eastAsia="zh-CN"/>
        </w:rPr>
        <w:t>及配置</w:t>
      </w:r>
      <w:r>
        <w:rPr>
          <w:rFonts w:hint="eastAsia" w:ascii="宋体" w:hAnsi="宋体" w:cs="宋体"/>
          <w:color w:val="auto"/>
          <w:szCs w:val="21"/>
        </w:rPr>
        <w:t>必须满足</w:t>
      </w:r>
      <w:r>
        <w:rPr>
          <w:rFonts w:hint="eastAsia" w:ascii="宋体" w:hAnsi="宋体" w:cs="宋体"/>
          <w:color w:val="auto"/>
          <w:szCs w:val="21"/>
          <w:lang w:eastAsia="zh-CN"/>
        </w:rPr>
        <w:t>采购</w:t>
      </w:r>
      <w:r>
        <w:rPr>
          <w:rFonts w:hint="eastAsia" w:ascii="宋体" w:hAnsi="宋体" w:cs="宋体"/>
          <w:color w:val="auto"/>
          <w:szCs w:val="21"/>
        </w:rPr>
        <w:t>要求。</w:t>
      </w:r>
    </w:p>
    <w:p w14:paraId="2E69138B">
      <w:pPr>
        <w:spacing w:line="360" w:lineRule="auto"/>
        <w:ind w:firstLine="424" w:firstLineChars="202"/>
        <w:jc w:val="left"/>
        <w:rPr>
          <w:rFonts w:hint="eastAsia" w:ascii="宋体" w:hAnsi="宋体" w:cs="宋体"/>
          <w:color w:val="auto"/>
        </w:rPr>
      </w:pPr>
      <w:r>
        <w:rPr>
          <w:rFonts w:hint="eastAsia" w:ascii="宋体" w:hAnsi="宋体" w:cs="宋体"/>
          <w:color w:val="auto"/>
          <w:szCs w:val="21"/>
          <w:lang w:val="en-US" w:eastAsia="zh-CN"/>
        </w:rPr>
        <w:t>4</w:t>
      </w:r>
      <w:r>
        <w:rPr>
          <w:rFonts w:hint="eastAsia" w:ascii="宋体" w:hAnsi="宋体" w:cs="宋体"/>
          <w:color w:val="auto"/>
          <w:szCs w:val="21"/>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auto"/>
          <w:szCs w:val="21"/>
          <w:lang w:eastAsia="zh-CN"/>
        </w:rPr>
        <w:t>进行</w:t>
      </w:r>
      <w:r>
        <w:rPr>
          <w:rFonts w:hint="eastAsia" w:ascii="宋体" w:hAnsi="宋体" w:cs="宋体"/>
          <w:color w:val="auto"/>
          <w:szCs w:val="21"/>
        </w:rPr>
        <w:t>赔偿。</w:t>
      </w:r>
    </w:p>
    <w:p w14:paraId="0812FA60">
      <w:pPr>
        <w:spacing w:line="360" w:lineRule="auto"/>
        <w:ind w:firstLine="424" w:firstLineChars="202"/>
        <w:jc w:val="left"/>
        <w:rPr>
          <w:rFonts w:hint="eastAsia" w:ascii="宋体" w:hAnsi="宋体" w:cs="宋体"/>
          <w:color w:val="auto"/>
        </w:rPr>
      </w:pPr>
      <w:r>
        <w:rPr>
          <w:rFonts w:hint="eastAsia" w:ascii="宋体" w:hAnsi="宋体" w:cs="宋体"/>
          <w:color w:val="auto"/>
          <w:lang w:val="en-US" w:eastAsia="zh-CN"/>
        </w:rPr>
        <w:t>5</w:t>
      </w:r>
      <w:r>
        <w:rPr>
          <w:rFonts w:hint="eastAsia" w:ascii="宋体" w:hAnsi="宋体" w:cs="宋体"/>
          <w:color w:val="auto"/>
        </w:rPr>
        <w:t>.投标人应对投标内容所涉及的专利承担法律责任，并负责保护</w:t>
      </w:r>
      <w:r>
        <w:rPr>
          <w:rFonts w:hint="eastAsia" w:ascii="宋体" w:hAnsi="宋体" w:cs="宋体"/>
          <w:color w:val="auto"/>
          <w:lang w:eastAsia="zh-CN"/>
        </w:rPr>
        <w:t>采购人</w:t>
      </w:r>
      <w:r>
        <w:rPr>
          <w:rFonts w:hint="eastAsia" w:ascii="宋体" w:hAnsi="宋体" w:cs="宋体"/>
          <w:color w:val="auto"/>
        </w:rPr>
        <w:t>的利益不受任何损害。一切由于文字、商标、技术和软件专利授权引起的法律裁决、诉讼和赔偿费用均由中标人负责。</w:t>
      </w:r>
    </w:p>
    <w:p w14:paraId="57D369F8">
      <w:pPr>
        <w:tabs>
          <w:tab w:val="left" w:pos="180"/>
          <w:tab w:val="left" w:pos="1620"/>
        </w:tabs>
        <w:spacing w:line="420" w:lineRule="exact"/>
        <w:ind w:firstLine="420" w:firstLineChars="200"/>
        <w:jc w:val="left"/>
        <w:rPr>
          <w:rFonts w:hint="eastAsia" w:ascii="宋体" w:hAnsi="宋体" w:cs="宋体"/>
          <w:color w:val="auto"/>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.采购标的对应的中小企业划分标准所属行业</w:t>
      </w:r>
      <w:r>
        <w:rPr>
          <w:rFonts w:hint="eastAsia" w:ascii="宋体" w:hAnsi="宋体" w:cs="宋体"/>
          <w:color w:val="auto"/>
          <w:highlight w:val="none"/>
          <w:lang w:val="en-US" w:eastAsia="zh-CN"/>
        </w:rPr>
        <w:t>名称</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 xml:space="preserve">  租赁和商务服务业 </w:t>
      </w:r>
    </w:p>
    <w:tbl>
      <w:tblPr>
        <w:tblStyle w:val="21"/>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10"/>
        <w:gridCol w:w="853"/>
        <w:gridCol w:w="1085"/>
        <w:gridCol w:w="7028"/>
      </w:tblGrid>
      <w:tr w14:paraId="7F6BD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0121" w:type="dxa"/>
            <w:gridSpan w:val="5"/>
            <w:tcBorders>
              <w:top w:val="single" w:color="auto" w:sz="4" w:space="0"/>
              <w:left w:val="single" w:color="auto" w:sz="4" w:space="0"/>
              <w:right w:val="single" w:color="auto" w:sz="4" w:space="0"/>
            </w:tcBorders>
            <w:noWrap w:val="0"/>
            <w:vAlign w:val="center"/>
          </w:tcPr>
          <w:p w14:paraId="34D0B2DC">
            <w:pPr>
              <w:spacing w:line="320" w:lineRule="exact"/>
              <w:jc w:val="left"/>
              <w:rPr>
                <w:rFonts w:ascii="仿宋_GB2312" w:hAnsi="宋体" w:eastAsia="仿宋_GB2312" w:cs="Arial"/>
                <w:b/>
                <w:color w:val="auto"/>
                <w:sz w:val="32"/>
                <w:szCs w:val="32"/>
                <w:highlight w:val="none"/>
              </w:rPr>
            </w:pPr>
            <w:r>
              <w:rPr>
                <w:rFonts w:hint="eastAsia" w:ascii="宋体" w:hAnsi="宋体" w:eastAsia="宋体" w:cs="宋体"/>
                <w:color w:val="auto"/>
                <w:sz w:val="21"/>
                <w:szCs w:val="21"/>
                <w:lang w:eastAsia="zh-CN"/>
              </w:rPr>
              <w:t>分标</w:t>
            </w:r>
            <w:r>
              <w:rPr>
                <w:rFonts w:hint="eastAsia" w:ascii="宋体" w:hAnsi="宋体" w:cs="宋体"/>
                <w:color w:val="auto"/>
                <w:sz w:val="21"/>
                <w:szCs w:val="21"/>
                <w:lang w:val="en-US" w:eastAsia="zh-CN"/>
              </w:rPr>
              <w:t>1</w:t>
            </w:r>
          </w:p>
        </w:tc>
      </w:tr>
      <w:tr w14:paraId="438C2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restart"/>
            <w:tcBorders>
              <w:top w:val="single" w:color="auto" w:sz="4" w:space="0"/>
              <w:left w:val="single" w:color="auto" w:sz="4" w:space="0"/>
              <w:right w:val="single" w:color="auto" w:sz="4" w:space="0"/>
            </w:tcBorders>
            <w:noWrap w:val="0"/>
            <w:vAlign w:val="top"/>
          </w:tcPr>
          <w:p w14:paraId="2C371F42">
            <w:pPr>
              <w:jc w:val="center"/>
              <w:rPr>
                <w:rFonts w:hint="eastAsia" w:ascii="宋体" w:hAnsi="宋体" w:eastAsia="宋体" w:cs="宋体"/>
                <w:b/>
                <w:color w:val="auto"/>
                <w:sz w:val="21"/>
                <w:szCs w:val="21"/>
                <w:highlight w:val="none"/>
              </w:rPr>
            </w:pPr>
          </w:p>
          <w:p w14:paraId="20D91ED5">
            <w:pPr>
              <w:jc w:val="center"/>
              <w:rPr>
                <w:rFonts w:hint="eastAsia" w:ascii="宋体" w:hAnsi="宋体" w:eastAsia="宋体" w:cs="宋体"/>
                <w:b/>
                <w:color w:val="auto"/>
                <w:sz w:val="21"/>
                <w:szCs w:val="21"/>
                <w:highlight w:val="none"/>
              </w:rPr>
            </w:pPr>
          </w:p>
          <w:p w14:paraId="636D6ABF">
            <w:pPr>
              <w:jc w:val="center"/>
              <w:rPr>
                <w:rFonts w:ascii="宋体" w:hAnsi="宋体" w:cs="宋体"/>
                <w:color w:val="auto"/>
                <w:szCs w:val="21"/>
                <w:highlight w:val="none"/>
              </w:rPr>
            </w:pPr>
            <w:r>
              <w:rPr>
                <w:rFonts w:hint="eastAsia" w:ascii="宋体" w:hAnsi="宋体" w:eastAsia="宋体" w:cs="宋体"/>
                <w:b/>
                <w:color w:val="auto"/>
                <w:sz w:val="21"/>
                <w:szCs w:val="21"/>
                <w:highlight w:val="none"/>
                <w:lang w:eastAsia="zh-CN"/>
              </w:rPr>
              <w:t>服务要求</w:t>
            </w:r>
          </w:p>
        </w:tc>
        <w:tc>
          <w:tcPr>
            <w:tcW w:w="61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71759EB">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6D6A6552">
            <w:pPr>
              <w:jc w:val="center"/>
              <w:rPr>
                <w:rFonts w:ascii="宋体" w:hAnsi="宋体" w:cs="宋体"/>
                <w:color w:val="auto"/>
                <w:szCs w:val="21"/>
                <w:highlight w:val="none"/>
              </w:rPr>
            </w:pPr>
            <w:r>
              <w:rPr>
                <w:rFonts w:hint="eastAsia" w:ascii="宋体" w:hAnsi="宋体" w:cs="宋体"/>
                <w:color w:val="auto"/>
                <w:szCs w:val="21"/>
                <w:highlight w:val="none"/>
                <w:lang w:eastAsia="zh-CN"/>
              </w:rPr>
              <w:t>标的</w:t>
            </w:r>
            <w:r>
              <w:rPr>
                <w:rFonts w:hint="eastAsia" w:ascii="宋体" w:hAnsi="宋体" w:cs="宋体"/>
                <w:color w:val="auto"/>
                <w:szCs w:val="21"/>
                <w:highlight w:val="none"/>
              </w:rPr>
              <w:t>名称</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4BBAAF4B">
            <w:pPr>
              <w:jc w:val="center"/>
              <w:rPr>
                <w:rFonts w:hint="eastAsia" w:ascii="宋体" w:hAnsi="宋体" w:cs="宋体"/>
                <w:color w:val="auto"/>
                <w:szCs w:val="21"/>
                <w:highlight w:val="none"/>
              </w:rPr>
            </w:pPr>
          </w:p>
          <w:p w14:paraId="0E582249">
            <w:pPr>
              <w:jc w:val="center"/>
              <w:rPr>
                <w:rFonts w:ascii="宋体" w:hAnsi="宋体" w:cs="宋体"/>
                <w:color w:val="auto"/>
                <w:szCs w:val="21"/>
                <w:highlight w:val="none"/>
              </w:rPr>
            </w:pPr>
            <w:r>
              <w:rPr>
                <w:rFonts w:hint="eastAsia" w:ascii="宋体" w:hAnsi="宋体" w:cs="宋体"/>
                <w:color w:val="auto"/>
                <w:szCs w:val="21"/>
                <w:highlight w:val="none"/>
              </w:rPr>
              <w:t>数量及单位</w:t>
            </w:r>
          </w:p>
          <w:p w14:paraId="6C9588CE">
            <w:pPr>
              <w:jc w:val="center"/>
              <w:rPr>
                <w:rFonts w:ascii="宋体" w:hAnsi="宋体" w:cs="宋体"/>
                <w:color w:val="auto"/>
                <w:szCs w:val="21"/>
                <w:highlight w:val="none"/>
              </w:rPr>
            </w:pPr>
          </w:p>
        </w:tc>
        <w:tc>
          <w:tcPr>
            <w:tcW w:w="7028" w:type="dxa"/>
            <w:tcBorders>
              <w:top w:val="single" w:color="auto" w:sz="4" w:space="0"/>
              <w:left w:val="single" w:color="auto" w:sz="4" w:space="0"/>
              <w:bottom w:val="single" w:color="auto" w:sz="4" w:space="0"/>
              <w:right w:val="single" w:color="auto" w:sz="4" w:space="0"/>
            </w:tcBorders>
            <w:noWrap w:val="0"/>
            <w:vAlign w:val="center"/>
          </w:tcPr>
          <w:p w14:paraId="14F86D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 w:val="16"/>
                <w:szCs w:val="16"/>
                <w:highlight w:val="none"/>
              </w:rPr>
            </w:pPr>
            <w:r>
              <w:rPr>
                <w:rFonts w:hint="eastAsia" w:ascii="宋体" w:hAnsi="宋体" w:cs="宋体"/>
                <w:color w:val="auto"/>
                <w:szCs w:val="21"/>
                <w:highlight w:val="none"/>
              </w:rPr>
              <w:t>服务</w:t>
            </w:r>
            <w:r>
              <w:rPr>
                <w:rFonts w:hint="eastAsia" w:ascii="宋体" w:hAnsi="宋体" w:cs="宋体"/>
                <w:color w:val="auto"/>
                <w:szCs w:val="21"/>
                <w:highlight w:val="none"/>
                <w:lang w:eastAsia="zh-CN"/>
              </w:rPr>
              <w:t>内容</w:t>
            </w:r>
          </w:p>
        </w:tc>
      </w:tr>
      <w:tr w14:paraId="4B5FB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vMerge w:val="continue"/>
            <w:tcBorders>
              <w:left w:val="single" w:color="auto" w:sz="4" w:space="0"/>
              <w:right w:val="single" w:color="auto" w:sz="4" w:space="0"/>
            </w:tcBorders>
            <w:noWrap w:val="0"/>
            <w:vAlign w:val="top"/>
          </w:tcPr>
          <w:p w14:paraId="1DCB7272">
            <w:pPr>
              <w:spacing w:line="240" w:lineRule="exact"/>
              <w:jc w:val="center"/>
              <w:rPr>
                <w:rFonts w:ascii="宋体" w:hAnsi="宋体" w:cs="宋体"/>
                <w:b/>
                <w:bCs/>
                <w:color w:val="auto"/>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14:paraId="5A27432A">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5219607D">
            <w:pPr>
              <w:widowControl w:val="0"/>
              <w:spacing w:before="120" w:after="120" w:line="400" w:lineRule="exact"/>
              <w:ind w:firstLine="0" w:firstLineChars="0"/>
              <w:jc w:val="center"/>
              <w:rPr>
                <w:rFonts w:ascii="宋体" w:hAnsi="Courier New" w:eastAsia="宋体" w:cs="Times New Roman"/>
                <w:b w:val="0"/>
                <w:bCs/>
                <w:caps/>
                <w:color w:val="auto"/>
                <w:kern w:val="2"/>
                <w:sz w:val="20"/>
                <w:szCs w:val="20"/>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202</w:t>
            </w:r>
            <w:r>
              <w:rPr>
                <w:rFonts w:hint="eastAsia" w:cs="Times New Roman"/>
                <w:color w:val="auto"/>
                <w:kern w:val="0"/>
                <w:sz w:val="21"/>
                <w:szCs w:val="24"/>
                <w:highlight w:val="none"/>
                <w:lang w:val="en-US" w:eastAsia="zh-CN" w:bidi="ar-SA"/>
              </w:rPr>
              <w:t>6</w:t>
            </w:r>
            <w:r>
              <w:rPr>
                <w:rFonts w:hint="eastAsia" w:ascii="Times New Roman" w:hAnsi="Times New Roman" w:eastAsia="宋体" w:cs="Times New Roman"/>
                <w:color w:val="auto"/>
                <w:highlight w:val="none"/>
                <w:lang w:val="en-US" w:eastAsia="zh-CN"/>
              </w:rPr>
              <w:t>年秋季学期至202</w:t>
            </w:r>
            <w:r>
              <w:rPr>
                <w:rFonts w:hint="eastAsia" w:cs="Times New Roman"/>
                <w:color w:val="auto"/>
                <w:highlight w:val="none"/>
                <w:lang w:val="en-US" w:eastAsia="zh-CN"/>
              </w:rPr>
              <w:t>7</w:t>
            </w:r>
            <w:r>
              <w:rPr>
                <w:rFonts w:hint="eastAsia" w:ascii="Times New Roman" w:hAnsi="Times New Roman" w:eastAsia="宋体" w:cs="Times New Roman"/>
                <w:color w:val="auto"/>
                <w:highlight w:val="none"/>
                <w:lang w:val="en-US" w:eastAsia="zh-CN"/>
              </w:rPr>
              <w:t>年春季学期港口区购买校园安保服务项目</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358E8459">
            <w:pPr>
              <w:spacing w:line="2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7028" w:type="dxa"/>
            <w:tcBorders>
              <w:top w:val="single" w:color="auto" w:sz="4" w:space="0"/>
              <w:left w:val="single" w:color="auto" w:sz="4" w:space="0"/>
              <w:bottom w:val="single" w:color="auto" w:sz="4" w:space="0"/>
              <w:right w:val="single" w:color="auto" w:sz="4" w:space="0"/>
            </w:tcBorders>
            <w:noWrap w:val="0"/>
            <w:vAlign w:val="center"/>
          </w:tcPr>
          <w:p w14:paraId="56C76931">
            <w:pPr>
              <w:spacing w:line="360" w:lineRule="auto"/>
              <w:ind w:firstLine="420" w:firstLineChars="200"/>
              <w:jc w:val="both"/>
              <w:rPr>
                <w:rFonts w:hint="eastAsia"/>
                <w:color w:val="auto"/>
                <w:highlight w:val="none"/>
              </w:rPr>
            </w:pPr>
            <w:r>
              <w:rPr>
                <w:rFonts w:hint="eastAsia"/>
                <w:color w:val="auto"/>
                <w:highlight w:val="none"/>
                <w:lang w:val="en-US" w:eastAsia="zh-CN"/>
              </w:rPr>
              <w:t>一、</w:t>
            </w:r>
            <w:r>
              <w:rPr>
                <w:rFonts w:hint="eastAsia"/>
                <w:color w:val="auto"/>
                <w:highlight w:val="none"/>
                <w:lang w:eastAsia="zh-CN"/>
              </w:rPr>
              <w:t>服务范围：</w:t>
            </w:r>
            <w:r>
              <w:rPr>
                <w:rFonts w:hint="eastAsia"/>
                <w:color w:val="auto"/>
                <w:highlight w:val="none"/>
              </w:rPr>
              <w:t>港口区中小学、幼儿园共</w:t>
            </w:r>
            <w:r>
              <w:rPr>
                <w:rFonts w:hint="eastAsia"/>
                <w:color w:val="FF0000"/>
                <w:highlight w:val="none"/>
              </w:rPr>
              <w:t>3</w:t>
            </w:r>
            <w:r>
              <w:rPr>
                <w:rFonts w:hint="eastAsia"/>
                <w:color w:val="FF0000"/>
                <w:highlight w:val="none"/>
                <w:lang w:val="en-US" w:eastAsia="zh-CN"/>
              </w:rPr>
              <w:t>5</w:t>
            </w:r>
            <w:r>
              <w:rPr>
                <w:rFonts w:hint="eastAsia"/>
                <w:color w:val="auto"/>
                <w:highlight w:val="none"/>
              </w:rPr>
              <w:t>所学校的校园及周边200米以内的安全防范工作。</w:t>
            </w:r>
          </w:p>
          <w:p w14:paraId="6611022A">
            <w:pPr>
              <w:pStyle w:val="2"/>
              <w:spacing w:line="360" w:lineRule="auto"/>
              <w:ind w:firstLine="420" w:firstLineChars="200"/>
              <w:rPr>
                <w:rFonts w:hint="eastAsia"/>
                <w:color w:val="auto"/>
                <w:highlight w:val="none"/>
              </w:rPr>
            </w:pPr>
            <w:r>
              <w:rPr>
                <w:rFonts w:hint="eastAsia"/>
                <w:color w:val="auto"/>
                <w:highlight w:val="none"/>
                <w:lang w:val="en-US" w:eastAsia="zh-CN"/>
              </w:rPr>
              <w:t>二</w:t>
            </w:r>
            <w:r>
              <w:rPr>
                <w:rFonts w:hint="eastAsia"/>
                <w:color w:val="auto"/>
                <w:highlight w:val="none"/>
              </w:rPr>
              <w:t>、内容及职责：</w:t>
            </w:r>
          </w:p>
          <w:p w14:paraId="1D859554">
            <w:pPr>
              <w:pStyle w:val="2"/>
              <w:spacing w:line="360" w:lineRule="auto"/>
              <w:ind w:firstLine="420" w:firstLineChars="200"/>
              <w:rPr>
                <w:rFonts w:hint="eastAsia"/>
                <w:color w:val="auto"/>
                <w:highlight w:val="none"/>
              </w:rPr>
            </w:pPr>
            <w:r>
              <w:rPr>
                <w:rFonts w:hint="eastAsia"/>
                <w:color w:val="auto"/>
                <w:highlight w:val="none"/>
                <w:lang w:eastAsia="zh-CN"/>
              </w:rPr>
              <w:t>1.</w:t>
            </w:r>
            <w:r>
              <w:rPr>
                <w:rFonts w:hint="eastAsia"/>
                <w:color w:val="auto"/>
                <w:highlight w:val="none"/>
              </w:rPr>
              <w:t>负责落实学校的门卫制度，开展校园内治安巡逻守护；</w:t>
            </w:r>
          </w:p>
          <w:p w14:paraId="0EBD5720">
            <w:pPr>
              <w:pStyle w:val="2"/>
              <w:spacing w:line="360" w:lineRule="auto"/>
              <w:ind w:firstLine="420" w:firstLineChars="200"/>
              <w:rPr>
                <w:rFonts w:hint="eastAsia"/>
                <w:color w:val="auto"/>
                <w:highlight w:val="none"/>
              </w:rPr>
            </w:pPr>
            <w:r>
              <w:rPr>
                <w:rFonts w:hint="eastAsia"/>
                <w:color w:val="auto"/>
                <w:highlight w:val="none"/>
                <w:lang w:eastAsia="zh-CN"/>
              </w:rPr>
              <w:t>2.</w:t>
            </w:r>
            <w:r>
              <w:rPr>
                <w:rFonts w:hint="eastAsia"/>
                <w:color w:val="auto"/>
                <w:highlight w:val="none"/>
              </w:rPr>
              <w:t>维护学校周边200米以内的安全防范和公共秩序管理；</w:t>
            </w:r>
          </w:p>
          <w:p w14:paraId="060CFEF6">
            <w:pPr>
              <w:pStyle w:val="2"/>
              <w:spacing w:line="360" w:lineRule="auto"/>
              <w:ind w:firstLine="420" w:firstLineChars="200"/>
              <w:rPr>
                <w:rFonts w:hint="eastAsia"/>
                <w:color w:val="auto"/>
                <w:highlight w:val="none"/>
              </w:rPr>
            </w:pPr>
            <w:r>
              <w:rPr>
                <w:rFonts w:hint="eastAsia"/>
                <w:color w:val="auto"/>
                <w:highlight w:val="none"/>
              </w:rPr>
              <w:t>3. 校内校舍（教学楼、行政办公楼、综合楼、学生宿舍、学生</w:t>
            </w:r>
            <w:r>
              <w:rPr>
                <w:rFonts w:hint="eastAsia"/>
                <w:color w:val="auto"/>
                <w:highlight w:val="none"/>
                <w:lang w:eastAsia="zh-CN"/>
              </w:rPr>
              <w:t>食堂</w:t>
            </w:r>
            <w:r>
              <w:rPr>
                <w:rFonts w:hint="eastAsia"/>
                <w:color w:val="auto"/>
                <w:highlight w:val="none"/>
              </w:rPr>
              <w:t>、学生体育馆、教工宿舍楼等）、运动场及其他公共场所安全防范管理及治安维护工作；</w:t>
            </w:r>
          </w:p>
          <w:p w14:paraId="39DF0959">
            <w:pPr>
              <w:pStyle w:val="2"/>
              <w:spacing w:line="360" w:lineRule="auto"/>
              <w:ind w:firstLine="420" w:firstLineChars="200"/>
              <w:rPr>
                <w:rFonts w:hint="eastAsia"/>
                <w:color w:val="auto"/>
                <w:highlight w:val="none"/>
              </w:rPr>
            </w:pPr>
            <w:r>
              <w:rPr>
                <w:rFonts w:hint="eastAsia"/>
                <w:color w:val="auto"/>
                <w:highlight w:val="none"/>
              </w:rPr>
              <w:t>4. 校内道路交通秩序和车辆停泊管理；</w:t>
            </w:r>
          </w:p>
          <w:p w14:paraId="6BA2D4EE">
            <w:pPr>
              <w:pStyle w:val="2"/>
              <w:spacing w:line="360" w:lineRule="auto"/>
              <w:ind w:firstLine="420" w:firstLineChars="200"/>
              <w:rPr>
                <w:rFonts w:hint="eastAsia"/>
                <w:color w:val="auto"/>
                <w:highlight w:val="none"/>
              </w:rPr>
            </w:pPr>
            <w:r>
              <w:rPr>
                <w:rFonts w:hint="eastAsia"/>
                <w:color w:val="auto"/>
                <w:highlight w:val="none"/>
              </w:rPr>
              <w:t>5. 学校重大活动期间的公共安全防范与秩序维护；</w:t>
            </w:r>
          </w:p>
          <w:p w14:paraId="07CBC77D">
            <w:pPr>
              <w:pStyle w:val="2"/>
              <w:spacing w:line="360" w:lineRule="auto"/>
              <w:ind w:firstLine="420" w:firstLineChars="200"/>
              <w:rPr>
                <w:rFonts w:hint="eastAsia"/>
                <w:color w:val="auto"/>
                <w:highlight w:val="none"/>
              </w:rPr>
            </w:pPr>
            <w:r>
              <w:rPr>
                <w:rFonts w:hint="eastAsia"/>
                <w:color w:val="auto"/>
                <w:highlight w:val="none"/>
              </w:rPr>
              <w:t>6. 及时排查、发现校园内的安全隐患，登记造册，并及时向学校报告并协助落实安全整改措施；</w:t>
            </w:r>
          </w:p>
          <w:p w14:paraId="5FB0B7BC">
            <w:pPr>
              <w:pStyle w:val="2"/>
              <w:spacing w:line="360" w:lineRule="auto"/>
              <w:ind w:firstLine="420" w:firstLineChars="200"/>
              <w:rPr>
                <w:rFonts w:hint="eastAsia"/>
                <w:color w:val="auto"/>
                <w:highlight w:val="none"/>
              </w:rPr>
            </w:pPr>
            <w:r>
              <w:rPr>
                <w:rFonts w:hint="eastAsia"/>
                <w:color w:val="auto"/>
                <w:highlight w:val="none"/>
              </w:rPr>
              <w:t>7. 协助公安机关调查、处置校内外发生的涉及师生安全的违法犯罪活动；</w:t>
            </w:r>
          </w:p>
          <w:p w14:paraId="6AD4C0FE">
            <w:pPr>
              <w:pStyle w:val="2"/>
              <w:spacing w:line="360" w:lineRule="auto"/>
              <w:ind w:firstLine="420" w:firstLineChars="200"/>
              <w:rPr>
                <w:rFonts w:hint="eastAsia"/>
                <w:color w:val="auto"/>
                <w:highlight w:val="none"/>
              </w:rPr>
            </w:pPr>
            <w:r>
              <w:rPr>
                <w:rFonts w:hint="eastAsia"/>
                <w:color w:val="auto"/>
                <w:highlight w:val="none"/>
              </w:rPr>
              <w:t>8. 先期处置校内危害师生安全的紧急案件并及时报警</w:t>
            </w:r>
            <w:r>
              <w:rPr>
                <w:rFonts w:hint="eastAsia"/>
                <w:color w:val="auto"/>
                <w:highlight w:val="none"/>
                <w:lang w:eastAsia="zh-CN"/>
              </w:rPr>
              <w:t>；</w:t>
            </w:r>
            <w:r>
              <w:rPr>
                <w:rFonts w:hint="eastAsia"/>
                <w:color w:val="auto"/>
                <w:highlight w:val="none"/>
              </w:rPr>
              <w:t>主动联系并协助公安部门开展学校周边200米以内环境治理；</w:t>
            </w:r>
          </w:p>
          <w:p w14:paraId="1F27C78D">
            <w:pPr>
              <w:pStyle w:val="2"/>
              <w:spacing w:line="360" w:lineRule="auto"/>
              <w:ind w:firstLine="420" w:firstLineChars="200"/>
              <w:rPr>
                <w:rFonts w:hint="eastAsia"/>
                <w:color w:val="auto"/>
                <w:highlight w:val="none"/>
              </w:rPr>
            </w:pPr>
            <w:r>
              <w:rPr>
                <w:rFonts w:hint="eastAsia"/>
                <w:color w:val="auto"/>
                <w:highlight w:val="none"/>
              </w:rPr>
              <w:t>9. 结合学校安全工作实际，协助学校定期或不定期地组织开展安全教育和检查，确保学校安全和稳定；</w:t>
            </w:r>
          </w:p>
          <w:p w14:paraId="7C0CA741">
            <w:pPr>
              <w:pStyle w:val="2"/>
              <w:spacing w:line="360" w:lineRule="auto"/>
              <w:ind w:firstLine="420" w:firstLineChars="200"/>
              <w:rPr>
                <w:rFonts w:hint="eastAsia"/>
                <w:color w:val="auto"/>
                <w:highlight w:val="none"/>
              </w:rPr>
            </w:pPr>
            <w:r>
              <w:rPr>
                <w:rFonts w:hint="eastAsia"/>
                <w:color w:val="auto"/>
                <w:highlight w:val="none"/>
              </w:rPr>
              <w:t>10. 保安员接受学校与安保服务公司管理，</w:t>
            </w:r>
            <w:r>
              <w:rPr>
                <w:rFonts w:hint="eastAsia"/>
                <w:color w:val="auto"/>
                <w:highlight w:val="none"/>
                <w:lang w:val="en-US" w:eastAsia="zh-CN"/>
              </w:rPr>
              <w:t>上班时间</w:t>
            </w:r>
            <w:r>
              <w:rPr>
                <w:rFonts w:hint="eastAsia"/>
                <w:color w:val="auto"/>
                <w:highlight w:val="none"/>
              </w:rPr>
              <w:t>不得兼任服务单位外的其他工作。</w:t>
            </w:r>
          </w:p>
          <w:p w14:paraId="5A25DF3D">
            <w:pPr>
              <w:pStyle w:val="2"/>
              <w:spacing w:line="360" w:lineRule="auto"/>
              <w:ind w:firstLine="420" w:firstLineChars="200"/>
              <w:rPr>
                <w:rFonts w:hint="eastAsia"/>
                <w:color w:val="auto"/>
                <w:highlight w:val="none"/>
              </w:rPr>
            </w:pPr>
            <w:r>
              <w:rPr>
                <w:rFonts w:hint="eastAsia"/>
                <w:color w:val="auto"/>
                <w:highlight w:val="none"/>
                <w:lang w:val="en-US" w:eastAsia="zh-CN"/>
              </w:rPr>
              <w:t>三</w:t>
            </w:r>
            <w:r>
              <w:rPr>
                <w:rFonts w:hint="eastAsia"/>
                <w:color w:val="auto"/>
                <w:highlight w:val="none"/>
              </w:rPr>
              <w:t>、工作时间</w:t>
            </w:r>
          </w:p>
          <w:p w14:paraId="665B47E1">
            <w:pPr>
              <w:pStyle w:val="2"/>
              <w:spacing w:line="360" w:lineRule="auto"/>
              <w:ind w:firstLine="420" w:firstLineChars="200"/>
              <w:rPr>
                <w:rFonts w:hint="eastAsia"/>
                <w:color w:val="auto"/>
                <w:highlight w:val="none"/>
              </w:rPr>
            </w:pPr>
            <w:r>
              <w:rPr>
                <w:rFonts w:hint="eastAsia"/>
                <w:color w:val="auto"/>
                <w:highlight w:val="none"/>
              </w:rPr>
              <w:t>实行24小时工作制。</w:t>
            </w:r>
          </w:p>
          <w:p w14:paraId="15341531">
            <w:pPr>
              <w:pStyle w:val="2"/>
              <w:spacing w:line="360" w:lineRule="auto"/>
              <w:ind w:firstLine="420" w:firstLineChars="200"/>
              <w:rPr>
                <w:rFonts w:hint="eastAsia"/>
                <w:color w:val="auto"/>
                <w:highlight w:val="none"/>
              </w:rPr>
            </w:pPr>
            <w:r>
              <w:rPr>
                <w:rFonts w:hint="eastAsia"/>
                <w:color w:val="auto"/>
                <w:highlight w:val="none"/>
                <w:lang w:val="en-US" w:eastAsia="zh-CN"/>
              </w:rPr>
              <w:t>四</w:t>
            </w:r>
            <w:r>
              <w:rPr>
                <w:rFonts w:hint="eastAsia"/>
                <w:color w:val="auto"/>
                <w:highlight w:val="none"/>
              </w:rPr>
              <w:t>、人员配备</w:t>
            </w:r>
          </w:p>
          <w:p w14:paraId="430496F8">
            <w:pPr>
              <w:pStyle w:val="2"/>
              <w:spacing w:line="360" w:lineRule="auto"/>
              <w:ind w:firstLine="420" w:firstLineChars="200"/>
              <w:rPr>
                <w:rFonts w:hint="eastAsia"/>
                <w:color w:val="auto"/>
                <w:highlight w:val="none"/>
              </w:rPr>
            </w:pPr>
            <w:r>
              <w:rPr>
                <w:rFonts w:hint="eastAsia"/>
                <w:color w:val="auto"/>
                <w:highlight w:val="none"/>
              </w:rPr>
              <w:t>本项目安保人员配备为</w:t>
            </w:r>
            <w:r>
              <w:rPr>
                <w:rFonts w:hint="eastAsia"/>
                <w:color w:val="auto"/>
                <w:highlight w:val="none"/>
                <w:lang w:val="en-US" w:eastAsia="zh-CN"/>
              </w:rPr>
              <w:t>131</w:t>
            </w:r>
            <w:r>
              <w:rPr>
                <w:rFonts w:hint="eastAsia"/>
                <w:color w:val="auto"/>
                <w:highlight w:val="none"/>
              </w:rPr>
              <w:t>名，具体配备见下表。</w:t>
            </w:r>
          </w:p>
          <w:tbl>
            <w:tblPr>
              <w:tblStyle w:val="21"/>
              <w:tblW w:w="6442"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779"/>
              <w:gridCol w:w="1581"/>
              <w:gridCol w:w="1373"/>
            </w:tblGrid>
            <w:tr w14:paraId="34DF3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3417BF02">
                  <w:pPr>
                    <w:pStyle w:val="2"/>
                    <w:spacing w:line="360" w:lineRule="auto"/>
                    <w:jc w:val="center"/>
                    <w:rPr>
                      <w:rFonts w:hint="eastAsia"/>
                      <w:color w:val="auto"/>
                      <w:highlight w:val="none"/>
                    </w:rPr>
                  </w:pPr>
                  <w:r>
                    <w:rPr>
                      <w:rFonts w:hint="eastAsia"/>
                      <w:color w:val="auto"/>
                      <w:highlight w:val="none"/>
                    </w:rPr>
                    <w:t>序号</w:t>
                  </w:r>
                </w:p>
              </w:tc>
              <w:tc>
                <w:tcPr>
                  <w:tcW w:w="2779" w:type="dxa"/>
                  <w:tcBorders>
                    <w:left w:val="single" w:color="auto" w:sz="4" w:space="0"/>
                  </w:tcBorders>
                  <w:noWrap w:val="0"/>
                  <w:vAlign w:val="center"/>
                </w:tcPr>
                <w:p w14:paraId="79AF46DC">
                  <w:pPr>
                    <w:pStyle w:val="2"/>
                    <w:spacing w:line="360" w:lineRule="auto"/>
                    <w:jc w:val="center"/>
                    <w:rPr>
                      <w:rFonts w:hint="eastAsia"/>
                      <w:color w:val="auto"/>
                      <w:highlight w:val="none"/>
                    </w:rPr>
                  </w:pPr>
                  <w:r>
                    <w:rPr>
                      <w:rFonts w:hint="eastAsia"/>
                      <w:color w:val="auto"/>
                      <w:highlight w:val="none"/>
                    </w:rPr>
                    <w:t>学校</w:t>
                  </w:r>
                  <w:r>
                    <w:rPr>
                      <w:rFonts w:hint="eastAsia"/>
                      <w:color w:val="auto"/>
                      <w:highlight w:val="none"/>
                      <w:lang w:val="en-US" w:eastAsia="zh-CN"/>
                    </w:rPr>
                    <w:t>名称</w:t>
                  </w:r>
                </w:p>
              </w:tc>
              <w:tc>
                <w:tcPr>
                  <w:tcW w:w="1581" w:type="dxa"/>
                  <w:noWrap w:val="0"/>
                  <w:vAlign w:val="center"/>
                </w:tcPr>
                <w:p w14:paraId="668CC20E">
                  <w:pPr>
                    <w:pStyle w:val="2"/>
                    <w:spacing w:line="360" w:lineRule="auto"/>
                    <w:jc w:val="center"/>
                    <w:rPr>
                      <w:rFonts w:hint="eastAsia"/>
                      <w:color w:val="auto"/>
                      <w:highlight w:val="none"/>
                    </w:rPr>
                  </w:pPr>
                  <w:r>
                    <w:rPr>
                      <w:rFonts w:hint="eastAsia"/>
                      <w:color w:val="auto"/>
                      <w:highlight w:val="none"/>
                    </w:rPr>
                    <w:t>学生人数</w:t>
                  </w:r>
                  <w:r>
                    <w:rPr>
                      <w:rFonts w:hint="eastAsia"/>
                      <w:color w:val="auto"/>
                      <w:highlight w:val="none"/>
                      <w:lang w:val="en-US" w:eastAsia="zh-CN"/>
                    </w:rPr>
                    <w:t>（人）</w:t>
                  </w:r>
                </w:p>
              </w:tc>
              <w:tc>
                <w:tcPr>
                  <w:tcW w:w="1373" w:type="dxa"/>
                  <w:noWrap w:val="0"/>
                  <w:vAlign w:val="center"/>
                </w:tcPr>
                <w:p w14:paraId="0FC042A3">
                  <w:pPr>
                    <w:pStyle w:val="2"/>
                    <w:spacing w:line="360" w:lineRule="auto"/>
                    <w:jc w:val="center"/>
                    <w:rPr>
                      <w:rFonts w:hint="default"/>
                      <w:color w:val="auto"/>
                      <w:highlight w:val="none"/>
                      <w:lang w:val="en-US" w:eastAsia="zh-CN"/>
                    </w:rPr>
                  </w:pPr>
                  <w:r>
                    <w:rPr>
                      <w:rFonts w:hint="eastAsia"/>
                      <w:color w:val="auto"/>
                      <w:highlight w:val="none"/>
                      <w:lang w:val="en-US" w:eastAsia="zh-CN"/>
                    </w:rPr>
                    <w:t>计划人数</w:t>
                  </w:r>
                </w:p>
              </w:tc>
            </w:tr>
            <w:tr w14:paraId="759CB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09" w:type="dxa"/>
                  <w:tcBorders>
                    <w:top w:val="single" w:color="auto" w:sz="4" w:space="0"/>
                    <w:bottom w:val="single" w:color="auto" w:sz="4" w:space="0"/>
                    <w:right w:val="single" w:color="auto" w:sz="4" w:space="0"/>
                  </w:tcBorders>
                  <w:noWrap w:val="0"/>
                  <w:vAlign w:val="center"/>
                </w:tcPr>
                <w:p w14:paraId="7606FE74">
                  <w:pPr>
                    <w:pStyle w:val="2"/>
                    <w:spacing w:line="360" w:lineRule="auto"/>
                    <w:jc w:val="center"/>
                    <w:rPr>
                      <w:rFonts w:hint="eastAsia"/>
                      <w:color w:val="auto"/>
                      <w:highlight w:val="none"/>
                    </w:rPr>
                  </w:pPr>
                  <w:r>
                    <w:rPr>
                      <w:rFonts w:hint="eastAsia"/>
                      <w:color w:val="auto"/>
                      <w:highlight w:val="none"/>
                    </w:rPr>
                    <w:t>1</w:t>
                  </w:r>
                </w:p>
              </w:tc>
              <w:tc>
                <w:tcPr>
                  <w:tcW w:w="2779" w:type="dxa"/>
                  <w:tcBorders>
                    <w:top w:val="single" w:color="auto" w:sz="4" w:space="0"/>
                    <w:left w:val="single" w:color="auto" w:sz="4" w:space="0"/>
                    <w:bottom w:val="single" w:color="auto" w:sz="4" w:space="0"/>
                  </w:tcBorders>
                  <w:noWrap w:val="0"/>
                  <w:vAlign w:val="center"/>
                </w:tcPr>
                <w:p w14:paraId="6535D6F8">
                  <w:pPr>
                    <w:pStyle w:val="2"/>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港口区第一小学</w:t>
                  </w:r>
                </w:p>
              </w:tc>
              <w:tc>
                <w:tcPr>
                  <w:tcW w:w="1581" w:type="dxa"/>
                  <w:noWrap w:val="0"/>
                  <w:vAlign w:val="center"/>
                </w:tcPr>
                <w:p w14:paraId="096BE5D1">
                  <w:pPr>
                    <w:pStyle w:val="2"/>
                    <w:spacing w:line="36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750</w:t>
                  </w:r>
                </w:p>
              </w:tc>
              <w:tc>
                <w:tcPr>
                  <w:tcW w:w="1373" w:type="dxa"/>
                  <w:noWrap w:val="0"/>
                  <w:vAlign w:val="center"/>
                </w:tcPr>
                <w:p w14:paraId="38B1D268">
                  <w:pPr>
                    <w:pStyle w:val="2"/>
                    <w:spacing w:line="36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r>
            <w:tr w14:paraId="440ED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top w:val="single" w:color="auto" w:sz="4" w:space="0"/>
                    <w:right w:val="single" w:color="auto" w:sz="4" w:space="0"/>
                  </w:tcBorders>
                  <w:noWrap w:val="0"/>
                  <w:vAlign w:val="center"/>
                </w:tcPr>
                <w:p w14:paraId="7AEE17A3">
                  <w:pPr>
                    <w:pStyle w:val="2"/>
                    <w:spacing w:line="360" w:lineRule="auto"/>
                    <w:jc w:val="center"/>
                    <w:rPr>
                      <w:rFonts w:hint="eastAsia"/>
                      <w:color w:val="auto"/>
                      <w:highlight w:val="none"/>
                    </w:rPr>
                  </w:pPr>
                  <w:r>
                    <w:rPr>
                      <w:rFonts w:hint="eastAsia"/>
                      <w:color w:val="auto"/>
                      <w:highlight w:val="none"/>
                    </w:rPr>
                    <w:t>2</w:t>
                  </w:r>
                </w:p>
              </w:tc>
              <w:tc>
                <w:tcPr>
                  <w:tcW w:w="2779" w:type="dxa"/>
                  <w:tcBorders>
                    <w:top w:val="single" w:color="auto" w:sz="4" w:space="0"/>
                    <w:right w:val="single" w:color="auto" w:sz="4" w:space="0"/>
                  </w:tcBorders>
                  <w:noWrap w:val="0"/>
                  <w:vAlign w:val="center"/>
                </w:tcPr>
                <w:p w14:paraId="17122F52">
                  <w:pPr>
                    <w:pStyle w:val="2"/>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港口区第二小学</w:t>
                  </w:r>
                </w:p>
              </w:tc>
              <w:tc>
                <w:tcPr>
                  <w:tcW w:w="1581" w:type="dxa"/>
                  <w:tcBorders>
                    <w:left w:val="single" w:color="auto" w:sz="4" w:space="0"/>
                  </w:tcBorders>
                  <w:noWrap w:val="0"/>
                  <w:vAlign w:val="center"/>
                </w:tcPr>
                <w:p w14:paraId="26A4E913">
                  <w:pPr>
                    <w:pStyle w:val="2"/>
                    <w:spacing w:line="36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1343</w:t>
                  </w:r>
                </w:p>
              </w:tc>
              <w:tc>
                <w:tcPr>
                  <w:tcW w:w="1373" w:type="dxa"/>
                  <w:noWrap w:val="0"/>
                  <w:vAlign w:val="center"/>
                </w:tcPr>
                <w:p w14:paraId="45F489CA">
                  <w:pPr>
                    <w:pStyle w:val="2"/>
                    <w:spacing w:line="36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r>
            <w:tr w14:paraId="63138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38DDC234">
                  <w:pPr>
                    <w:pStyle w:val="2"/>
                    <w:spacing w:line="360" w:lineRule="auto"/>
                    <w:jc w:val="center"/>
                    <w:rPr>
                      <w:rFonts w:hint="eastAsia"/>
                      <w:color w:val="auto"/>
                      <w:highlight w:val="none"/>
                    </w:rPr>
                  </w:pPr>
                  <w:r>
                    <w:rPr>
                      <w:rFonts w:hint="eastAsia"/>
                      <w:color w:val="auto"/>
                      <w:highlight w:val="none"/>
                    </w:rPr>
                    <w:t>3</w:t>
                  </w:r>
                </w:p>
              </w:tc>
              <w:tc>
                <w:tcPr>
                  <w:tcW w:w="2779" w:type="dxa"/>
                  <w:tcBorders>
                    <w:left w:val="single" w:color="auto" w:sz="4" w:space="0"/>
                  </w:tcBorders>
                  <w:noWrap w:val="0"/>
                  <w:vAlign w:val="center"/>
                </w:tcPr>
                <w:p w14:paraId="3CF03656">
                  <w:pPr>
                    <w:pStyle w:val="2"/>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港口区第三小学</w:t>
                  </w:r>
                </w:p>
              </w:tc>
              <w:tc>
                <w:tcPr>
                  <w:tcW w:w="1581" w:type="dxa"/>
                  <w:noWrap w:val="0"/>
                  <w:vAlign w:val="center"/>
                </w:tcPr>
                <w:p w14:paraId="42EFB601">
                  <w:pPr>
                    <w:pStyle w:val="2"/>
                    <w:spacing w:line="36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735</w:t>
                  </w:r>
                </w:p>
              </w:tc>
              <w:tc>
                <w:tcPr>
                  <w:tcW w:w="1373" w:type="dxa"/>
                  <w:noWrap w:val="0"/>
                  <w:vAlign w:val="center"/>
                </w:tcPr>
                <w:p w14:paraId="41AB0D07">
                  <w:pPr>
                    <w:pStyle w:val="2"/>
                    <w:spacing w:line="36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r>
            <w:tr w14:paraId="6C137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09" w:type="dxa"/>
                  <w:tcBorders>
                    <w:right w:val="single" w:color="auto" w:sz="4" w:space="0"/>
                  </w:tcBorders>
                  <w:noWrap w:val="0"/>
                  <w:vAlign w:val="center"/>
                </w:tcPr>
                <w:p w14:paraId="0FFEEF08">
                  <w:pPr>
                    <w:pStyle w:val="2"/>
                    <w:spacing w:line="360" w:lineRule="auto"/>
                    <w:jc w:val="center"/>
                    <w:rPr>
                      <w:rFonts w:hint="eastAsia"/>
                      <w:color w:val="auto"/>
                      <w:highlight w:val="none"/>
                    </w:rPr>
                  </w:pPr>
                  <w:r>
                    <w:rPr>
                      <w:rFonts w:hint="eastAsia"/>
                      <w:color w:val="auto"/>
                      <w:highlight w:val="none"/>
                    </w:rPr>
                    <w:t>4</w:t>
                  </w:r>
                </w:p>
              </w:tc>
              <w:tc>
                <w:tcPr>
                  <w:tcW w:w="2779" w:type="dxa"/>
                  <w:tcBorders>
                    <w:left w:val="single" w:color="auto" w:sz="4" w:space="0"/>
                  </w:tcBorders>
                  <w:noWrap w:val="0"/>
                  <w:vAlign w:val="center"/>
                </w:tcPr>
                <w:p w14:paraId="54F781EF">
                  <w:pPr>
                    <w:pStyle w:val="2"/>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港口区第四小学</w:t>
                  </w:r>
                </w:p>
              </w:tc>
              <w:tc>
                <w:tcPr>
                  <w:tcW w:w="1581" w:type="dxa"/>
                  <w:noWrap w:val="0"/>
                  <w:vAlign w:val="center"/>
                </w:tcPr>
                <w:p w14:paraId="29419BE1">
                  <w:pPr>
                    <w:pStyle w:val="2"/>
                    <w:spacing w:line="36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1361</w:t>
                  </w:r>
                </w:p>
              </w:tc>
              <w:tc>
                <w:tcPr>
                  <w:tcW w:w="1373" w:type="dxa"/>
                  <w:noWrap w:val="0"/>
                  <w:vAlign w:val="center"/>
                </w:tcPr>
                <w:p w14:paraId="7775F0B7">
                  <w:pPr>
                    <w:pStyle w:val="2"/>
                    <w:spacing w:line="36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r>
            <w:tr w14:paraId="67897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709" w:type="dxa"/>
                  <w:tcBorders>
                    <w:right w:val="single" w:color="auto" w:sz="4" w:space="0"/>
                  </w:tcBorders>
                  <w:noWrap w:val="0"/>
                  <w:vAlign w:val="center"/>
                </w:tcPr>
                <w:p w14:paraId="7AEA81DE">
                  <w:pPr>
                    <w:pStyle w:val="2"/>
                    <w:spacing w:line="360" w:lineRule="auto"/>
                    <w:jc w:val="center"/>
                    <w:rPr>
                      <w:rFonts w:hint="eastAsia"/>
                      <w:color w:val="auto"/>
                      <w:highlight w:val="none"/>
                    </w:rPr>
                  </w:pPr>
                  <w:r>
                    <w:rPr>
                      <w:rFonts w:hint="eastAsia"/>
                      <w:color w:val="auto"/>
                      <w:highlight w:val="none"/>
                    </w:rPr>
                    <w:t>5</w:t>
                  </w:r>
                </w:p>
              </w:tc>
              <w:tc>
                <w:tcPr>
                  <w:tcW w:w="2779" w:type="dxa"/>
                  <w:tcBorders>
                    <w:left w:val="single" w:color="auto" w:sz="4" w:space="0"/>
                  </w:tcBorders>
                  <w:shd w:val="clear" w:color="auto" w:fill="auto"/>
                  <w:noWrap w:val="0"/>
                  <w:vAlign w:val="center"/>
                </w:tcPr>
                <w:p w14:paraId="39B71EAE">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w:t>
                  </w:r>
                  <w:r>
                    <w:rPr>
                      <w:rFonts w:hint="eastAsia"/>
                      <w:color w:val="000000" w:themeColor="text1"/>
                      <w:highlight w:val="none"/>
                      <w:lang w:val="en-US" w:eastAsia="zh-CN"/>
                      <w14:textFill>
                        <w14:solidFill>
                          <w14:schemeClr w14:val="tx1"/>
                        </w14:solidFill>
                      </w14:textFill>
                    </w:rPr>
                    <w:t>第五小学</w:t>
                  </w:r>
                </w:p>
              </w:tc>
              <w:tc>
                <w:tcPr>
                  <w:tcW w:w="1581" w:type="dxa"/>
                  <w:shd w:val="clear" w:color="auto" w:fill="auto"/>
                  <w:noWrap w:val="0"/>
                  <w:vAlign w:val="center"/>
                </w:tcPr>
                <w:p w14:paraId="02BA2234">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1301</w:t>
                  </w:r>
                </w:p>
              </w:tc>
              <w:tc>
                <w:tcPr>
                  <w:tcW w:w="1373" w:type="dxa"/>
                  <w:shd w:val="clear" w:color="auto" w:fill="auto"/>
                  <w:noWrap w:val="0"/>
                  <w:vAlign w:val="center"/>
                </w:tcPr>
                <w:p w14:paraId="7C95FF05">
                  <w:pPr>
                    <w:pStyle w:val="2"/>
                    <w:spacing w:line="36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r>
            <w:tr w14:paraId="1459B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709" w:type="dxa"/>
                  <w:tcBorders>
                    <w:right w:val="single" w:color="auto" w:sz="4" w:space="0"/>
                  </w:tcBorders>
                  <w:noWrap w:val="0"/>
                  <w:vAlign w:val="center"/>
                </w:tcPr>
                <w:p w14:paraId="666879AF">
                  <w:pPr>
                    <w:pStyle w:val="2"/>
                    <w:spacing w:line="360" w:lineRule="auto"/>
                    <w:jc w:val="center"/>
                    <w:rPr>
                      <w:rFonts w:hint="eastAsia"/>
                      <w:color w:val="auto"/>
                      <w:highlight w:val="none"/>
                    </w:rPr>
                  </w:pPr>
                  <w:r>
                    <w:rPr>
                      <w:rFonts w:hint="eastAsia"/>
                      <w:color w:val="auto"/>
                      <w:highlight w:val="none"/>
                    </w:rPr>
                    <w:t>6</w:t>
                  </w:r>
                </w:p>
              </w:tc>
              <w:tc>
                <w:tcPr>
                  <w:tcW w:w="2779" w:type="dxa"/>
                  <w:tcBorders>
                    <w:left w:val="single" w:color="auto" w:sz="4" w:space="0"/>
                  </w:tcBorders>
                  <w:noWrap w:val="0"/>
                  <w:vAlign w:val="center"/>
                </w:tcPr>
                <w:p w14:paraId="1A8FEF83">
                  <w:pPr>
                    <w:pStyle w:val="2"/>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武钢北港小学</w:t>
                  </w:r>
                </w:p>
              </w:tc>
              <w:tc>
                <w:tcPr>
                  <w:tcW w:w="1581" w:type="dxa"/>
                  <w:noWrap w:val="0"/>
                  <w:vAlign w:val="center"/>
                </w:tcPr>
                <w:p w14:paraId="240B4C62">
                  <w:pPr>
                    <w:pStyle w:val="2"/>
                    <w:spacing w:line="36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1434</w:t>
                  </w:r>
                </w:p>
              </w:tc>
              <w:tc>
                <w:tcPr>
                  <w:tcW w:w="1373" w:type="dxa"/>
                  <w:noWrap w:val="0"/>
                  <w:vAlign w:val="center"/>
                </w:tcPr>
                <w:p w14:paraId="3907C4E9">
                  <w:pPr>
                    <w:pStyle w:val="2"/>
                    <w:spacing w:line="36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r>
            <w:tr w14:paraId="59A61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75497F92">
                  <w:pPr>
                    <w:pStyle w:val="2"/>
                    <w:spacing w:line="360" w:lineRule="auto"/>
                    <w:jc w:val="center"/>
                    <w:rPr>
                      <w:rFonts w:hint="eastAsia"/>
                      <w:color w:val="auto"/>
                      <w:highlight w:val="none"/>
                    </w:rPr>
                  </w:pPr>
                  <w:r>
                    <w:rPr>
                      <w:rFonts w:hint="eastAsia"/>
                      <w:color w:val="auto"/>
                      <w:highlight w:val="none"/>
                    </w:rPr>
                    <w:t>7</w:t>
                  </w:r>
                </w:p>
              </w:tc>
              <w:tc>
                <w:tcPr>
                  <w:tcW w:w="2779" w:type="dxa"/>
                  <w:tcBorders>
                    <w:left w:val="single" w:color="auto" w:sz="4" w:space="0"/>
                  </w:tcBorders>
                  <w:shd w:val="clear" w:color="auto" w:fill="auto"/>
                  <w:noWrap w:val="0"/>
                  <w:vAlign w:val="center"/>
                </w:tcPr>
                <w:p w14:paraId="69A0028E">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w:t>
                  </w:r>
                  <w:r>
                    <w:rPr>
                      <w:rFonts w:hint="eastAsia"/>
                      <w:color w:val="000000" w:themeColor="text1"/>
                      <w:highlight w:val="none"/>
                      <w:lang w:val="en-US" w:eastAsia="zh-CN"/>
                      <w14:textFill>
                        <w14:solidFill>
                          <w14:schemeClr w14:val="tx1"/>
                        </w14:solidFill>
                      </w14:textFill>
                    </w:rPr>
                    <w:t>沙港新区小学</w:t>
                  </w:r>
                </w:p>
              </w:tc>
              <w:tc>
                <w:tcPr>
                  <w:tcW w:w="1581" w:type="dxa"/>
                  <w:shd w:val="clear" w:color="auto" w:fill="auto"/>
                  <w:noWrap w:val="0"/>
                  <w:vAlign w:val="center"/>
                </w:tcPr>
                <w:p w14:paraId="263CF0BB">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659</w:t>
                  </w:r>
                </w:p>
              </w:tc>
              <w:tc>
                <w:tcPr>
                  <w:tcW w:w="1373" w:type="dxa"/>
                  <w:shd w:val="clear" w:color="auto" w:fill="auto"/>
                  <w:noWrap w:val="0"/>
                  <w:vAlign w:val="center"/>
                </w:tcPr>
                <w:p w14:paraId="2A4BEDCE">
                  <w:pPr>
                    <w:pStyle w:val="2"/>
                    <w:spacing w:line="36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r>
            <w:tr w14:paraId="2E850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324E028C">
                  <w:pPr>
                    <w:pStyle w:val="2"/>
                    <w:spacing w:line="360" w:lineRule="auto"/>
                    <w:jc w:val="center"/>
                    <w:rPr>
                      <w:rFonts w:hint="eastAsia"/>
                      <w:color w:val="auto"/>
                      <w:highlight w:val="none"/>
                    </w:rPr>
                  </w:pPr>
                  <w:r>
                    <w:rPr>
                      <w:rFonts w:hint="eastAsia"/>
                      <w:color w:val="auto"/>
                      <w:highlight w:val="none"/>
                    </w:rPr>
                    <w:t>8</w:t>
                  </w:r>
                </w:p>
              </w:tc>
              <w:tc>
                <w:tcPr>
                  <w:tcW w:w="2779" w:type="dxa"/>
                  <w:tcBorders>
                    <w:left w:val="single" w:color="auto" w:sz="4" w:space="0"/>
                  </w:tcBorders>
                  <w:shd w:val="clear" w:color="auto" w:fill="auto"/>
                  <w:noWrap w:val="0"/>
                  <w:vAlign w:val="center"/>
                </w:tcPr>
                <w:p w14:paraId="6DEF64B3">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防城港市豪丫小学</w:t>
                  </w:r>
                </w:p>
              </w:tc>
              <w:tc>
                <w:tcPr>
                  <w:tcW w:w="1581" w:type="dxa"/>
                  <w:shd w:val="clear" w:color="auto" w:fill="auto"/>
                  <w:noWrap w:val="0"/>
                  <w:vAlign w:val="center"/>
                </w:tcPr>
                <w:p w14:paraId="4E2EB848">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1696</w:t>
                  </w:r>
                </w:p>
              </w:tc>
              <w:tc>
                <w:tcPr>
                  <w:tcW w:w="1373" w:type="dxa"/>
                  <w:shd w:val="clear" w:color="auto" w:fill="auto"/>
                  <w:noWrap w:val="0"/>
                  <w:vAlign w:val="center"/>
                </w:tcPr>
                <w:p w14:paraId="39534294">
                  <w:pPr>
                    <w:pStyle w:val="2"/>
                    <w:spacing w:line="36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r>
            <w:tr w14:paraId="110CD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2EBFD823">
                  <w:pPr>
                    <w:pStyle w:val="2"/>
                    <w:spacing w:line="360" w:lineRule="auto"/>
                    <w:jc w:val="center"/>
                    <w:rPr>
                      <w:rFonts w:hint="eastAsia"/>
                      <w:color w:val="auto"/>
                      <w:highlight w:val="none"/>
                    </w:rPr>
                  </w:pPr>
                  <w:r>
                    <w:rPr>
                      <w:rFonts w:hint="eastAsia"/>
                      <w:color w:val="auto"/>
                      <w:highlight w:val="none"/>
                    </w:rPr>
                    <w:t>9</w:t>
                  </w:r>
                </w:p>
              </w:tc>
              <w:tc>
                <w:tcPr>
                  <w:tcW w:w="2779" w:type="dxa"/>
                  <w:tcBorders>
                    <w:left w:val="single" w:color="auto" w:sz="4" w:space="0"/>
                  </w:tcBorders>
                  <w:shd w:val="clear" w:color="auto" w:fill="auto"/>
                  <w:noWrap w:val="0"/>
                  <w:vAlign w:val="center"/>
                </w:tcPr>
                <w:p w14:paraId="38CDF798">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防城港市桃源小学</w:t>
                  </w:r>
                </w:p>
              </w:tc>
              <w:tc>
                <w:tcPr>
                  <w:tcW w:w="1581" w:type="dxa"/>
                  <w:shd w:val="clear" w:color="auto" w:fill="auto"/>
                  <w:noWrap w:val="0"/>
                  <w:vAlign w:val="center"/>
                </w:tcPr>
                <w:p w14:paraId="3BB550FC">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2436</w:t>
                  </w:r>
                </w:p>
              </w:tc>
              <w:tc>
                <w:tcPr>
                  <w:tcW w:w="1373" w:type="dxa"/>
                  <w:shd w:val="clear" w:color="auto" w:fill="auto"/>
                  <w:noWrap w:val="0"/>
                  <w:vAlign w:val="center"/>
                </w:tcPr>
                <w:p w14:paraId="6C942A2B">
                  <w:pPr>
                    <w:pStyle w:val="2"/>
                    <w:spacing w:line="36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r>
            <w:tr w14:paraId="45D77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5F20D60A">
                  <w:pPr>
                    <w:pStyle w:val="2"/>
                    <w:spacing w:line="360" w:lineRule="auto"/>
                    <w:jc w:val="center"/>
                    <w:rPr>
                      <w:rFonts w:hint="eastAsia"/>
                      <w:color w:val="auto"/>
                      <w:highlight w:val="none"/>
                    </w:rPr>
                  </w:pPr>
                  <w:r>
                    <w:rPr>
                      <w:rFonts w:hint="eastAsia"/>
                      <w:color w:val="auto"/>
                      <w:highlight w:val="none"/>
                    </w:rPr>
                    <w:t>10</w:t>
                  </w:r>
                </w:p>
              </w:tc>
              <w:tc>
                <w:tcPr>
                  <w:tcW w:w="2779" w:type="dxa"/>
                  <w:tcBorders>
                    <w:left w:val="single" w:color="auto" w:sz="4" w:space="0"/>
                  </w:tcBorders>
                  <w:shd w:val="clear" w:color="auto" w:fill="auto"/>
                  <w:noWrap w:val="0"/>
                  <w:vAlign w:val="center"/>
                </w:tcPr>
                <w:p w14:paraId="1AE1735C">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防城港市金湾小学</w:t>
                  </w:r>
                </w:p>
              </w:tc>
              <w:tc>
                <w:tcPr>
                  <w:tcW w:w="1581" w:type="dxa"/>
                  <w:shd w:val="clear" w:color="auto" w:fill="auto"/>
                  <w:noWrap w:val="0"/>
                  <w:vAlign w:val="center"/>
                </w:tcPr>
                <w:p w14:paraId="6B161FF8">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1583</w:t>
                  </w:r>
                </w:p>
              </w:tc>
              <w:tc>
                <w:tcPr>
                  <w:tcW w:w="1373" w:type="dxa"/>
                  <w:shd w:val="clear" w:color="auto" w:fill="auto"/>
                  <w:noWrap w:val="0"/>
                  <w:vAlign w:val="center"/>
                </w:tcPr>
                <w:p w14:paraId="7C9431EC">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s="Times New Roman"/>
                      <w:color w:val="000000" w:themeColor="text1"/>
                      <w:kern w:val="0"/>
                      <w:sz w:val="21"/>
                      <w:szCs w:val="24"/>
                      <w:highlight w:val="none"/>
                      <w:lang w:val="en-US" w:eastAsia="zh-CN" w:bidi="ar-SA"/>
                      <w14:textFill>
                        <w14:solidFill>
                          <w14:schemeClr w14:val="tx1"/>
                        </w14:solidFill>
                      </w14:textFill>
                    </w:rPr>
                    <w:t>4</w:t>
                  </w:r>
                </w:p>
              </w:tc>
            </w:tr>
            <w:tr w14:paraId="72991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077B88AE">
                  <w:pPr>
                    <w:pStyle w:val="2"/>
                    <w:spacing w:line="360" w:lineRule="auto"/>
                    <w:jc w:val="center"/>
                    <w:rPr>
                      <w:rFonts w:hint="eastAsia"/>
                      <w:color w:val="auto"/>
                      <w:highlight w:val="none"/>
                    </w:rPr>
                  </w:pPr>
                  <w:r>
                    <w:rPr>
                      <w:rFonts w:hint="eastAsia"/>
                      <w:color w:val="auto"/>
                      <w:highlight w:val="none"/>
                    </w:rPr>
                    <w:t>11</w:t>
                  </w:r>
                </w:p>
              </w:tc>
              <w:tc>
                <w:tcPr>
                  <w:tcW w:w="2779" w:type="dxa"/>
                  <w:tcBorders>
                    <w:left w:val="single" w:color="auto" w:sz="4" w:space="0"/>
                  </w:tcBorders>
                  <w:shd w:val="clear" w:color="auto" w:fill="auto"/>
                  <w:noWrap w:val="0"/>
                  <w:vAlign w:val="center"/>
                </w:tcPr>
                <w:p w14:paraId="14DE0A86">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港口区光坡镇中心小学</w:t>
                  </w:r>
                </w:p>
              </w:tc>
              <w:tc>
                <w:tcPr>
                  <w:tcW w:w="1581" w:type="dxa"/>
                  <w:shd w:val="clear" w:color="auto" w:fill="auto"/>
                  <w:noWrap w:val="0"/>
                  <w:vAlign w:val="center"/>
                </w:tcPr>
                <w:p w14:paraId="1F4A9417">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838</w:t>
                  </w:r>
                </w:p>
              </w:tc>
              <w:tc>
                <w:tcPr>
                  <w:tcW w:w="1373" w:type="dxa"/>
                  <w:shd w:val="clear" w:color="auto" w:fill="auto"/>
                  <w:noWrap w:val="0"/>
                  <w:vAlign w:val="center"/>
                </w:tcPr>
                <w:p w14:paraId="7BA5DA3A">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r>
            <w:tr w14:paraId="036B2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2463A986">
                  <w:pPr>
                    <w:pStyle w:val="2"/>
                    <w:spacing w:line="360" w:lineRule="auto"/>
                    <w:jc w:val="center"/>
                    <w:rPr>
                      <w:rFonts w:hint="eastAsia"/>
                      <w:color w:val="auto"/>
                      <w:highlight w:val="none"/>
                    </w:rPr>
                  </w:pPr>
                  <w:r>
                    <w:rPr>
                      <w:rFonts w:hint="eastAsia"/>
                      <w:color w:val="auto"/>
                      <w:highlight w:val="none"/>
                    </w:rPr>
                    <w:t>12</w:t>
                  </w:r>
                </w:p>
              </w:tc>
              <w:tc>
                <w:tcPr>
                  <w:tcW w:w="2779" w:type="dxa"/>
                  <w:tcBorders>
                    <w:left w:val="single" w:color="auto" w:sz="4" w:space="0"/>
                  </w:tcBorders>
                  <w:shd w:val="clear" w:color="auto" w:fill="auto"/>
                  <w:noWrap w:val="0"/>
                  <w:vAlign w:val="center"/>
                </w:tcPr>
                <w:p w14:paraId="30A9176D">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港口区光坡镇潭油小学</w:t>
                  </w:r>
                </w:p>
              </w:tc>
              <w:tc>
                <w:tcPr>
                  <w:tcW w:w="1581" w:type="dxa"/>
                  <w:shd w:val="clear" w:color="auto" w:fill="auto"/>
                  <w:noWrap w:val="0"/>
                  <w:vAlign w:val="center"/>
                </w:tcPr>
                <w:p w14:paraId="6E12C1C1">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w:t>
                  </w:r>
                </w:p>
              </w:tc>
              <w:tc>
                <w:tcPr>
                  <w:tcW w:w="1373" w:type="dxa"/>
                  <w:shd w:val="clear" w:color="auto" w:fill="auto"/>
                  <w:noWrap w:val="0"/>
                  <w:vAlign w:val="center"/>
                </w:tcPr>
                <w:p w14:paraId="42231F40">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s="Times New Roman"/>
                      <w:color w:val="000000" w:themeColor="text1"/>
                      <w:kern w:val="0"/>
                      <w:sz w:val="21"/>
                      <w:szCs w:val="24"/>
                      <w:highlight w:val="none"/>
                      <w:lang w:val="en-US" w:eastAsia="zh-CN" w:bidi="ar-SA"/>
                      <w14:textFill>
                        <w14:solidFill>
                          <w14:schemeClr w14:val="tx1"/>
                        </w14:solidFill>
                      </w14:textFill>
                    </w:rPr>
                    <w:t>2</w:t>
                  </w:r>
                </w:p>
              </w:tc>
            </w:tr>
            <w:tr w14:paraId="76B61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709" w:type="dxa"/>
                  <w:tcBorders>
                    <w:right w:val="single" w:color="auto" w:sz="4" w:space="0"/>
                  </w:tcBorders>
                  <w:noWrap w:val="0"/>
                  <w:vAlign w:val="center"/>
                </w:tcPr>
                <w:p w14:paraId="6D8294C9">
                  <w:pPr>
                    <w:pStyle w:val="2"/>
                    <w:spacing w:line="360" w:lineRule="auto"/>
                    <w:jc w:val="center"/>
                    <w:rPr>
                      <w:rFonts w:hint="eastAsia"/>
                      <w:color w:val="auto"/>
                      <w:highlight w:val="none"/>
                    </w:rPr>
                  </w:pPr>
                  <w:r>
                    <w:rPr>
                      <w:rFonts w:hint="eastAsia"/>
                      <w:color w:val="auto"/>
                      <w:highlight w:val="none"/>
                    </w:rPr>
                    <w:t>13</w:t>
                  </w:r>
                </w:p>
              </w:tc>
              <w:tc>
                <w:tcPr>
                  <w:tcW w:w="2779" w:type="dxa"/>
                  <w:tcBorders>
                    <w:left w:val="single" w:color="auto" w:sz="4" w:space="0"/>
                  </w:tcBorders>
                  <w:shd w:val="clear" w:color="auto" w:fill="auto"/>
                  <w:noWrap w:val="0"/>
                  <w:vAlign w:val="center"/>
                </w:tcPr>
                <w:p w14:paraId="4718AA02">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港口区光坡镇大龙小学</w:t>
                  </w:r>
                </w:p>
              </w:tc>
              <w:tc>
                <w:tcPr>
                  <w:tcW w:w="1581" w:type="dxa"/>
                  <w:shd w:val="clear" w:color="auto" w:fill="auto"/>
                  <w:noWrap w:val="0"/>
                  <w:vAlign w:val="center"/>
                </w:tcPr>
                <w:p w14:paraId="49AA06DE">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811</w:t>
                  </w:r>
                </w:p>
              </w:tc>
              <w:tc>
                <w:tcPr>
                  <w:tcW w:w="1373" w:type="dxa"/>
                  <w:shd w:val="clear" w:color="auto" w:fill="auto"/>
                  <w:noWrap w:val="0"/>
                  <w:vAlign w:val="center"/>
                </w:tcPr>
                <w:p w14:paraId="677832C2">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r>
            <w:tr w14:paraId="268C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09" w:type="dxa"/>
                  <w:noWrap w:val="0"/>
                  <w:vAlign w:val="center"/>
                </w:tcPr>
                <w:p w14:paraId="722AD9B2">
                  <w:pPr>
                    <w:pStyle w:val="2"/>
                    <w:spacing w:line="360" w:lineRule="auto"/>
                    <w:jc w:val="center"/>
                    <w:rPr>
                      <w:rFonts w:hint="eastAsia"/>
                      <w:color w:val="auto"/>
                      <w:highlight w:val="none"/>
                    </w:rPr>
                  </w:pPr>
                  <w:r>
                    <w:rPr>
                      <w:rFonts w:hint="eastAsia"/>
                      <w:color w:val="auto"/>
                      <w:highlight w:val="none"/>
                    </w:rPr>
                    <w:t>14</w:t>
                  </w:r>
                </w:p>
              </w:tc>
              <w:tc>
                <w:tcPr>
                  <w:tcW w:w="2779" w:type="dxa"/>
                  <w:shd w:val="clear" w:color="auto" w:fill="auto"/>
                  <w:noWrap w:val="0"/>
                  <w:vAlign w:val="center"/>
                </w:tcPr>
                <w:p w14:paraId="32942E73">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港口区光坡镇山口益海小学</w:t>
                  </w:r>
                </w:p>
              </w:tc>
              <w:tc>
                <w:tcPr>
                  <w:tcW w:w="1581" w:type="dxa"/>
                  <w:shd w:val="clear" w:color="auto" w:fill="auto"/>
                  <w:noWrap w:val="0"/>
                  <w:vAlign w:val="center"/>
                </w:tcPr>
                <w:p w14:paraId="69536660">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62</w:t>
                  </w:r>
                </w:p>
              </w:tc>
              <w:tc>
                <w:tcPr>
                  <w:tcW w:w="1373" w:type="dxa"/>
                  <w:shd w:val="clear" w:color="auto" w:fill="auto"/>
                  <w:noWrap w:val="0"/>
                  <w:vAlign w:val="center"/>
                </w:tcPr>
                <w:p w14:paraId="3E65C40F">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r>
            <w:tr w14:paraId="7365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09" w:type="dxa"/>
                  <w:noWrap w:val="0"/>
                  <w:vAlign w:val="center"/>
                </w:tcPr>
                <w:p w14:paraId="2A2FDCA0">
                  <w:pPr>
                    <w:pStyle w:val="2"/>
                    <w:spacing w:line="360" w:lineRule="auto"/>
                    <w:jc w:val="center"/>
                    <w:rPr>
                      <w:rFonts w:hint="eastAsia"/>
                      <w:color w:val="auto"/>
                      <w:highlight w:val="none"/>
                    </w:rPr>
                  </w:pPr>
                  <w:r>
                    <w:rPr>
                      <w:rFonts w:hint="eastAsia"/>
                      <w:color w:val="auto"/>
                      <w:highlight w:val="none"/>
                    </w:rPr>
                    <w:t>15</w:t>
                  </w:r>
                </w:p>
              </w:tc>
              <w:tc>
                <w:tcPr>
                  <w:tcW w:w="2779" w:type="dxa"/>
                  <w:shd w:val="clear" w:color="auto" w:fill="auto"/>
                  <w:noWrap w:val="0"/>
                  <w:vAlign w:val="center"/>
                </w:tcPr>
                <w:p w14:paraId="37CAA171">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港口区光坡镇沙螺寮小学</w:t>
                  </w:r>
                </w:p>
              </w:tc>
              <w:tc>
                <w:tcPr>
                  <w:tcW w:w="1581" w:type="dxa"/>
                  <w:shd w:val="clear" w:color="auto" w:fill="auto"/>
                  <w:noWrap w:val="0"/>
                  <w:vAlign w:val="center"/>
                </w:tcPr>
                <w:p w14:paraId="7F6E6461">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27</w:t>
                  </w:r>
                </w:p>
              </w:tc>
              <w:tc>
                <w:tcPr>
                  <w:tcW w:w="1373" w:type="dxa"/>
                  <w:shd w:val="clear" w:color="auto" w:fill="auto"/>
                  <w:noWrap w:val="0"/>
                  <w:vAlign w:val="center"/>
                </w:tcPr>
                <w:p w14:paraId="1AF39199">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s="Times New Roman"/>
                      <w:color w:val="000000" w:themeColor="text1"/>
                      <w:kern w:val="0"/>
                      <w:sz w:val="21"/>
                      <w:szCs w:val="24"/>
                      <w:highlight w:val="none"/>
                      <w:lang w:val="en-US" w:eastAsia="zh-CN" w:bidi="ar-SA"/>
                      <w14:textFill>
                        <w14:solidFill>
                          <w14:schemeClr w14:val="tx1"/>
                        </w14:solidFill>
                      </w14:textFill>
                    </w:rPr>
                    <w:t>2</w:t>
                  </w:r>
                </w:p>
              </w:tc>
            </w:tr>
            <w:tr w14:paraId="330F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8917713">
                  <w:pPr>
                    <w:pStyle w:val="2"/>
                    <w:spacing w:line="360" w:lineRule="auto"/>
                    <w:jc w:val="center"/>
                    <w:rPr>
                      <w:rFonts w:hint="eastAsia"/>
                      <w:color w:val="auto"/>
                      <w:highlight w:val="none"/>
                    </w:rPr>
                  </w:pPr>
                  <w:r>
                    <w:rPr>
                      <w:rFonts w:hint="eastAsia"/>
                      <w:color w:val="auto"/>
                      <w:highlight w:val="none"/>
                    </w:rPr>
                    <w:t>16</w:t>
                  </w:r>
                </w:p>
              </w:tc>
              <w:tc>
                <w:tcPr>
                  <w:tcW w:w="2779" w:type="dxa"/>
                  <w:shd w:val="clear" w:color="auto" w:fill="auto"/>
                  <w:noWrap w:val="0"/>
                  <w:vAlign w:val="center"/>
                </w:tcPr>
                <w:p w14:paraId="0AED3C1D">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港口区光坡镇新兴小学</w:t>
                  </w:r>
                </w:p>
              </w:tc>
              <w:tc>
                <w:tcPr>
                  <w:tcW w:w="1581" w:type="dxa"/>
                  <w:shd w:val="clear" w:color="auto" w:fill="auto"/>
                  <w:noWrap w:val="0"/>
                  <w:vAlign w:val="center"/>
                </w:tcPr>
                <w:p w14:paraId="65C08EF2">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19</w:t>
                  </w:r>
                </w:p>
              </w:tc>
              <w:tc>
                <w:tcPr>
                  <w:tcW w:w="1373" w:type="dxa"/>
                  <w:shd w:val="clear" w:color="auto" w:fill="auto"/>
                  <w:noWrap w:val="0"/>
                  <w:vAlign w:val="center"/>
                </w:tcPr>
                <w:p w14:paraId="093A9D28">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r>
            <w:tr w14:paraId="7E8F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09" w:type="dxa"/>
                  <w:noWrap w:val="0"/>
                  <w:vAlign w:val="center"/>
                </w:tcPr>
                <w:p w14:paraId="3E8FBE5A">
                  <w:pPr>
                    <w:pStyle w:val="2"/>
                    <w:spacing w:line="360" w:lineRule="auto"/>
                    <w:jc w:val="center"/>
                    <w:rPr>
                      <w:rFonts w:hint="eastAsia"/>
                      <w:color w:val="auto"/>
                      <w:highlight w:val="none"/>
                    </w:rPr>
                  </w:pPr>
                  <w:r>
                    <w:rPr>
                      <w:rFonts w:hint="eastAsia"/>
                      <w:color w:val="auto"/>
                      <w:highlight w:val="none"/>
                    </w:rPr>
                    <w:t>17</w:t>
                  </w:r>
                </w:p>
              </w:tc>
              <w:tc>
                <w:tcPr>
                  <w:tcW w:w="2779" w:type="dxa"/>
                  <w:shd w:val="clear" w:color="auto" w:fill="auto"/>
                  <w:noWrap w:val="0"/>
                  <w:vAlign w:val="center"/>
                </w:tcPr>
                <w:p w14:paraId="1E723D3F">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港口区光坡镇勒色葵小学</w:t>
                  </w:r>
                </w:p>
              </w:tc>
              <w:tc>
                <w:tcPr>
                  <w:tcW w:w="1581" w:type="dxa"/>
                  <w:shd w:val="clear" w:color="auto" w:fill="auto"/>
                  <w:noWrap w:val="0"/>
                  <w:vAlign w:val="center"/>
                </w:tcPr>
                <w:p w14:paraId="5BC29A45">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37</w:t>
                  </w:r>
                </w:p>
              </w:tc>
              <w:tc>
                <w:tcPr>
                  <w:tcW w:w="1373" w:type="dxa"/>
                  <w:shd w:val="clear" w:color="auto" w:fill="auto"/>
                  <w:noWrap w:val="0"/>
                  <w:vAlign w:val="center"/>
                </w:tcPr>
                <w:p w14:paraId="4C6677B1">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s="Times New Roman"/>
                      <w:color w:val="000000" w:themeColor="text1"/>
                      <w:kern w:val="0"/>
                      <w:sz w:val="21"/>
                      <w:szCs w:val="24"/>
                      <w:highlight w:val="none"/>
                      <w:lang w:val="en-US" w:eastAsia="zh-CN" w:bidi="ar-SA"/>
                      <w14:textFill>
                        <w14:solidFill>
                          <w14:schemeClr w14:val="tx1"/>
                        </w14:solidFill>
                      </w14:textFill>
                    </w:rPr>
                    <w:t>2</w:t>
                  </w:r>
                </w:p>
              </w:tc>
            </w:tr>
            <w:tr w14:paraId="5654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09" w:type="dxa"/>
                  <w:noWrap w:val="0"/>
                  <w:vAlign w:val="center"/>
                </w:tcPr>
                <w:p w14:paraId="24BBDD4A">
                  <w:pPr>
                    <w:pStyle w:val="2"/>
                    <w:spacing w:line="360" w:lineRule="auto"/>
                    <w:jc w:val="center"/>
                    <w:rPr>
                      <w:rFonts w:hint="eastAsia"/>
                      <w:color w:val="auto"/>
                      <w:highlight w:val="none"/>
                    </w:rPr>
                  </w:pPr>
                  <w:r>
                    <w:rPr>
                      <w:rFonts w:hint="eastAsia"/>
                      <w:color w:val="auto"/>
                      <w:highlight w:val="none"/>
                    </w:rPr>
                    <w:t>18</w:t>
                  </w:r>
                </w:p>
              </w:tc>
              <w:tc>
                <w:tcPr>
                  <w:tcW w:w="2779" w:type="dxa"/>
                  <w:shd w:val="clear" w:color="auto" w:fill="auto"/>
                  <w:noWrap w:val="0"/>
                  <w:vAlign w:val="center"/>
                </w:tcPr>
                <w:p w14:paraId="6BA20C17">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港口区光坡镇中间坪小学</w:t>
                  </w:r>
                </w:p>
              </w:tc>
              <w:tc>
                <w:tcPr>
                  <w:tcW w:w="1581" w:type="dxa"/>
                  <w:shd w:val="clear" w:color="auto" w:fill="auto"/>
                  <w:noWrap w:val="0"/>
                  <w:vAlign w:val="center"/>
                </w:tcPr>
                <w:p w14:paraId="2CECD623">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69</w:t>
                  </w:r>
                </w:p>
              </w:tc>
              <w:tc>
                <w:tcPr>
                  <w:tcW w:w="1373" w:type="dxa"/>
                  <w:shd w:val="clear" w:color="auto" w:fill="auto"/>
                  <w:noWrap w:val="0"/>
                  <w:vAlign w:val="center"/>
                </w:tcPr>
                <w:p w14:paraId="745079A3">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r>
            <w:tr w14:paraId="29ED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noWrap w:val="0"/>
                  <w:vAlign w:val="center"/>
                </w:tcPr>
                <w:p w14:paraId="680BC06A">
                  <w:pPr>
                    <w:pStyle w:val="2"/>
                    <w:spacing w:line="360" w:lineRule="auto"/>
                    <w:jc w:val="center"/>
                    <w:rPr>
                      <w:rFonts w:hint="eastAsia"/>
                      <w:color w:val="auto"/>
                      <w:highlight w:val="none"/>
                    </w:rPr>
                  </w:pPr>
                  <w:r>
                    <w:rPr>
                      <w:rFonts w:hint="eastAsia"/>
                      <w:color w:val="auto"/>
                      <w:highlight w:val="none"/>
                    </w:rPr>
                    <w:t>19</w:t>
                  </w:r>
                </w:p>
              </w:tc>
              <w:tc>
                <w:tcPr>
                  <w:tcW w:w="2779" w:type="dxa"/>
                  <w:shd w:val="clear" w:color="auto" w:fill="auto"/>
                  <w:noWrap w:val="0"/>
                  <w:vAlign w:val="center"/>
                </w:tcPr>
                <w:p w14:paraId="61E93C2A">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港口区企沙镇中心小学</w:t>
                  </w:r>
                </w:p>
              </w:tc>
              <w:tc>
                <w:tcPr>
                  <w:tcW w:w="1581" w:type="dxa"/>
                  <w:shd w:val="clear" w:color="auto" w:fill="auto"/>
                  <w:noWrap w:val="0"/>
                  <w:vAlign w:val="center"/>
                </w:tcPr>
                <w:p w14:paraId="28727344">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912</w:t>
                  </w:r>
                </w:p>
              </w:tc>
              <w:tc>
                <w:tcPr>
                  <w:tcW w:w="1373" w:type="dxa"/>
                  <w:shd w:val="clear" w:color="auto" w:fill="auto"/>
                  <w:noWrap w:val="0"/>
                  <w:vAlign w:val="center"/>
                </w:tcPr>
                <w:p w14:paraId="44BB48F7">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r>
            <w:tr w14:paraId="326F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9" w:type="dxa"/>
                  <w:noWrap w:val="0"/>
                  <w:vAlign w:val="center"/>
                </w:tcPr>
                <w:p w14:paraId="2B7C943E">
                  <w:pPr>
                    <w:pStyle w:val="2"/>
                    <w:spacing w:line="360" w:lineRule="auto"/>
                    <w:jc w:val="center"/>
                    <w:rPr>
                      <w:rFonts w:hint="eastAsia"/>
                      <w:color w:val="auto"/>
                      <w:highlight w:val="none"/>
                    </w:rPr>
                  </w:pPr>
                  <w:r>
                    <w:rPr>
                      <w:rFonts w:hint="eastAsia"/>
                      <w:color w:val="auto"/>
                      <w:highlight w:val="none"/>
                    </w:rPr>
                    <w:t>20</w:t>
                  </w:r>
                </w:p>
              </w:tc>
              <w:tc>
                <w:tcPr>
                  <w:tcW w:w="2779" w:type="dxa"/>
                  <w:shd w:val="clear" w:color="auto" w:fill="auto"/>
                  <w:noWrap w:val="0"/>
                  <w:vAlign w:val="center"/>
                </w:tcPr>
                <w:p w14:paraId="25850B42">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港口区企沙镇山新小学</w:t>
                  </w:r>
                </w:p>
              </w:tc>
              <w:tc>
                <w:tcPr>
                  <w:tcW w:w="1581" w:type="dxa"/>
                  <w:shd w:val="clear" w:color="auto" w:fill="auto"/>
                  <w:noWrap w:val="0"/>
                  <w:vAlign w:val="center"/>
                </w:tcPr>
                <w:p w14:paraId="6CD18569">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w:t>
                  </w:r>
                </w:p>
              </w:tc>
              <w:tc>
                <w:tcPr>
                  <w:tcW w:w="1373" w:type="dxa"/>
                  <w:shd w:val="clear" w:color="auto" w:fill="auto"/>
                  <w:noWrap w:val="0"/>
                  <w:vAlign w:val="center"/>
                </w:tcPr>
                <w:p w14:paraId="6A0E6DE7">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r>
            <w:tr w14:paraId="46CF6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709" w:type="dxa"/>
                  <w:tcBorders>
                    <w:right w:val="single" w:color="auto" w:sz="4" w:space="0"/>
                  </w:tcBorders>
                  <w:noWrap w:val="0"/>
                  <w:vAlign w:val="center"/>
                </w:tcPr>
                <w:p w14:paraId="73FD7239">
                  <w:pPr>
                    <w:pStyle w:val="2"/>
                    <w:spacing w:line="360" w:lineRule="auto"/>
                    <w:jc w:val="center"/>
                    <w:rPr>
                      <w:rFonts w:hint="eastAsia"/>
                      <w:color w:val="auto"/>
                      <w:highlight w:val="none"/>
                    </w:rPr>
                  </w:pPr>
                  <w:r>
                    <w:rPr>
                      <w:rFonts w:hint="eastAsia"/>
                      <w:color w:val="auto"/>
                      <w:highlight w:val="none"/>
                    </w:rPr>
                    <w:t>21</w:t>
                  </w:r>
                </w:p>
              </w:tc>
              <w:tc>
                <w:tcPr>
                  <w:tcW w:w="2779" w:type="dxa"/>
                  <w:tcBorders>
                    <w:left w:val="single" w:color="auto" w:sz="4" w:space="0"/>
                  </w:tcBorders>
                  <w:shd w:val="clear" w:color="auto" w:fill="auto"/>
                  <w:noWrap w:val="0"/>
                  <w:vAlign w:val="center"/>
                </w:tcPr>
                <w:p w14:paraId="3EA9BB05">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港口区企沙镇</w:t>
                  </w:r>
                  <w:r>
                    <w:rPr>
                      <w:rFonts w:hint="eastAsia"/>
                      <w:color w:val="000000" w:themeColor="text1"/>
                      <w:highlight w:val="none"/>
                      <w:lang w:val="en-US" w:eastAsia="zh-CN"/>
                      <w14:textFill>
                        <w14:solidFill>
                          <w14:schemeClr w14:val="tx1"/>
                        </w14:solidFill>
                      </w14:textFill>
                    </w:rPr>
                    <w:t>华侨</w:t>
                  </w:r>
                  <w:r>
                    <w:rPr>
                      <w:rFonts w:hint="eastAsia"/>
                      <w:color w:val="000000" w:themeColor="text1"/>
                      <w:highlight w:val="none"/>
                      <w14:textFill>
                        <w14:solidFill>
                          <w14:schemeClr w14:val="tx1"/>
                        </w14:solidFill>
                      </w14:textFill>
                    </w:rPr>
                    <w:t>小学</w:t>
                  </w:r>
                </w:p>
              </w:tc>
              <w:tc>
                <w:tcPr>
                  <w:tcW w:w="1581" w:type="dxa"/>
                  <w:shd w:val="clear" w:color="auto" w:fill="auto"/>
                  <w:noWrap w:val="0"/>
                  <w:vAlign w:val="center"/>
                </w:tcPr>
                <w:p w14:paraId="0AFC7307">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65</w:t>
                  </w:r>
                </w:p>
              </w:tc>
              <w:tc>
                <w:tcPr>
                  <w:tcW w:w="1373" w:type="dxa"/>
                  <w:shd w:val="clear" w:color="auto" w:fill="auto"/>
                  <w:noWrap w:val="0"/>
                  <w:vAlign w:val="center"/>
                </w:tcPr>
                <w:p w14:paraId="2BDF9AC0">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r>
            <w:tr w14:paraId="4726B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709" w:type="dxa"/>
                  <w:tcBorders>
                    <w:top w:val="single" w:color="auto" w:sz="4" w:space="0"/>
                    <w:bottom w:val="single" w:color="auto" w:sz="4" w:space="0"/>
                    <w:right w:val="single" w:color="auto" w:sz="4" w:space="0"/>
                  </w:tcBorders>
                  <w:noWrap w:val="0"/>
                  <w:vAlign w:val="center"/>
                </w:tcPr>
                <w:p w14:paraId="78E01BB9">
                  <w:pPr>
                    <w:pStyle w:val="2"/>
                    <w:spacing w:line="360" w:lineRule="auto"/>
                    <w:jc w:val="center"/>
                    <w:rPr>
                      <w:rFonts w:hint="eastAsia"/>
                      <w:color w:val="auto"/>
                      <w:highlight w:val="none"/>
                    </w:rPr>
                  </w:pPr>
                  <w:r>
                    <w:rPr>
                      <w:rFonts w:hint="eastAsia"/>
                      <w:color w:val="auto"/>
                      <w:highlight w:val="none"/>
                    </w:rPr>
                    <w:t>22</w:t>
                  </w:r>
                </w:p>
              </w:tc>
              <w:tc>
                <w:tcPr>
                  <w:tcW w:w="2779" w:type="dxa"/>
                  <w:tcBorders>
                    <w:top w:val="single" w:color="auto" w:sz="4" w:space="0"/>
                    <w:left w:val="single" w:color="auto" w:sz="4" w:space="0"/>
                    <w:bottom w:val="single" w:color="auto" w:sz="4" w:space="0"/>
                  </w:tcBorders>
                  <w:shd w:val="clear" w:color="auto" w:fill="auto"/>
                  <w:noWrap w:val="0"/>
                  <w:vAlign w:val="center"/>
                </w:tcPr>
                <w:p w14:paraId="4C5FDB5C">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港口区和平中学</w:t>
                  </w:r>
                </w:p>
              </w:tc>
              <w:tc>
                <w:tcPr>
                  <w:tcW w:w="1581" w:type="dxa"/>
                  <w:shd w:val="clear" w:color="auto" w:fill="auto"/>
                  <w:noWrap w:val="0"/>
                  <w:vAlign w:val="center"/>
                </w:tcPr>
                <w:p w14:paraId="2311F20F">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203</w:t>
                  </w:r>
                </w:p>
              </w:tc>
              <w:tc>
                <w:tcPr>
                  <w:tcW w:w="1373" w:type="dxa"/>
                  <w:shd w:val="clear" w:color="auto" w:fill="auto"/>
                  <w:noWrap w:val="0"/>
                  <w:vAlign w:val="center"/>
                </w:tcPr>
                <w:p w14:paraId="1088C073">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r>
            <w:tr w14:paraId="09329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709" w:type="dxa"/>
                  <w:tcBorders>
                    <w:top w:val="single" w:color="auto" w:sz="4" w:space="0"/>
                    <w:bottom w:val="single" w:color="auto" w:sz="4" w:space="0"/>
                    <w:right w:val="single" w:color="auto" w:sz="4" w:space="0"/>
                  </w:tcBorders>
                  <w:noWrap w:val="0"/>
                  <w:vAlign w:val="center"/>
                </w:tcPr>
                <w:p w14:paraId="6204F53E">
                  <w:pPr>
                    <w:pStyle w:val="2"/>
                    <w:spacing w:line="360" w:lineRule="auto"/>
                    <w:jc w:val="center"/>
                    <w:rPr>
                      <w:rFonts w:hint="eastAsia"/>
                      <w:color w:val="auto"/>
                      <w:highlight w:val="none"/>
                      <w:lang w:val="en-US" w:eastAsia="zh-CN"/>
                    </w:rPr>
                  </w:pPr>
                  <w:r>
                    <w:rPr>
                      <w:rFonts w:hint="eastAsia"/>
                      <w:color w:val="auto"/>
                      <w:highlight w:val="none"/>
                      <w:lang w:val="en-US" w:eastAsia="zh-CN"/>
                    </w:rPr>
                    <w:t>23</w:t>
                  </w:r>
                </w:p>
              </w:tc>
              <w:tc>
                <w:tcPr>
                  <w:tcW w:w="2779" w:type="dxa"/>
                  <w:tcBorders>
                    <w:top w:val="single" w:color="auto" w:sz="4" w:space="0"/>
                    <w:left w:val="single" w:color="auto" w:sz="4" w:space="0"/>
                    <w:bottom w:val="single" w:color="auto" w:sz="4" w:space="0"/>
                  </w:tcBorders>
                  <w:shd w:val="clear" w:color="auto" w:fill="auto"/>
                  <w:noWrap w:val="0"/>
                  <w:vAlign w:val="center"/>
                </w:tcPr>
                <w:p w14:paraId="1DF90D1A">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防城港市桃花湾中学</w:t>
                  </w:r>
                </w:p>
              </w:tc>
              <w:tc>
                <w:tcPr>
                  <w:tcW w:w="1581" w:type="dxa"/>
                  <w:shd w:val="clear" w:color="auto" w:fill="auto"/>
                  <w:noWrap w:val="0"/>
                  <w:vAlign w:val="center"/>
                </w:tcPr>
                <w:p w14:paraId="2A53EE02">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2967</w:t>
                  </w:r>
                </w:p>
              </w:tc>
              <w:tc>
                <w:tcPr>
                  <w:tcW w:w="1373" w:type="dxa"/>
                  <w:shd w:val="clear" w:color="auto" w:fill="auto"/>
                  <w:noWrap w:val="0"/>
                  <w:vAlign w:val="center"/>
                </w:tcPr>
                <w:p w14:paraId="7142CC0E">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s="Times New Roman"/>
                      <w:color w:val="000000" w:themeColor="text1"/>
                      <w:kern w:val="0"/>
                      <w:sz w:val="21"/>
                      <w:szCs w:val="24"/>
                      <w:highlight w:val="none"/>
                      <w:lang w:val="en-US" w:eastAsia="zh-CN" w:bidi="ar-SA"/>
                      <w14:textFill>
                        <w14:solidFill>
                          <w14:schemeClr w14:val="tx1"/>
                        </w14:solidFill>
                      </w14:textFill>
                    </w:rPr>
                    <w:t>8</w:t>
                  </w:r>
                </w:p>
              </w:tc>
            </w:tr>
            <w:tr w14:paraId="191A8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709" w:type="dxa"/>
                  <w:tcBorders>
                    <w:right w:val="single" w:color="auto" w:sz="4" w:space="0"/>
                  </w:tcBorders>
                  <w:noWrap w:val="0"/>
                  <w:vAlign w:val="center"/>
                </w:tcPr>
                <w:p w14:paraId="005F60B7">
                  <w:pPr>
                    <w:pStyle w:val="2"/>
                    <w:spacing w:line="360" w:lineRule="auto"/>
                    <w:jc w:val="center"/>
                    <w:rPr>
                      <w:rFonts w:hint="eastAsia"/>
                      <w:color w:val="auto"/>
                      <w:highlight w:val="none"/>
                    </w:rPr>
                  </w:pPr>
                  <w:r>
                    <w:rPr>
                      <w:rFonts w:hint="eastAsia"/>
                      <w:color w:val="auto"/>
                      <w:highlight w:val="none"/>
                    </w:rPr>
                    <w:t>24</w:t>
                  </w:r>
                </w:p>
              </w:tc>
              <w:tc>
                <w:tcPr>
                  <w:tcW w:w="2779" w:type="dxa"/>
                  <w:tcBorders>
                    <w:left w:val="single" w:color="auto" w:sz="4" w:space="0"/>
                  </w:tcBorders>
                  <w:shd w:val="clear" w:color="auto" w:fill="auto"/>
                  <w:noWrap w:val="0"/>
                  <w:vAlign w:val="center"/>
                </w:tcPr>
                <w:p w14:paraId="2E83CE7C">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防城港市金湾中学</w:t>
                  </w:r>
                </w:p>
              </w:tc>
              <w:tc>
                <w:tcPr>
                  <w:tcW w:w="1581" w:type="dxa"/>
                  <w:shd w:val="clear" w:color="auto" w:fill="auto"/>
                  <w:noWrap w:val="0"/>
                  <w:vAlign w:val="center"/>
                </w:tcPr>
                <w:p w14:paraId="4B1BEE71">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1142</w:t>
                  </w:r>
                </w:p>
              </w:tc>
              <w:tc>
                <w:tcPr>
                  <w:tcW w:w="1373" w:type="dxa"/>
                  <w:shd w:val="clear" w:color="auto" w:fill="auto"/>
                  <w:noWrap w:val="0"/>
                  <w:vAlign w:val="center"/>
                </w:tcPr>
                <w:p w14:paraId="41E6E84D">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r>
            <w:tr w14:paraId="00B2C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01D02913">
                  <w:pPr>
                    <w:pStyle w:val="2"/>
                    <w:spacing w:line="360" w:lineRule="auto"/>
                    <w:jc w:val="center"/>
                    <w:rPr>
                      <w:rFonts w:hint="eastAsia"/>
                      <w:color w:val="auto"/>
                      <w:highlight w:val="none"/>
                    </w:rPr>
                  </w:pPr>
                  <w:r>
                    <w:rPr>
                      <w:rFonts w:hint="eastAsia"/>
                      <w:color w:val="auto"/>
                      <w:highlight w:val="none"/>
                    </w:rPr>
                    <w:t>25</w:t>
                  </w:r>
                </w:p>
              </w:tc>
              <w:tc>
                <w:tcPr>
                  <w:tcW w:w="2779" w:type="dxa"/>
                  <w:tcBorders>
                    <w:left w:val="single" w:color="auto" w:sz="4" w:space="0"/>
                  </w:tcBorders>
                  <w:shd w:val="clear" w:color="auto" w:fill="auto"/>
                  <w:noWrap w:val="0"/>
                  <w:vAlign w:val="center"/>
                </w:tcPr>
                <w:p w14:paraId="06721737">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防城港市第四中学</w:t>
                  </w:r>
                </w:p>
              </w:tc>
              <w:tc>
                <w:tcPr>
                  <w:tcW w:w="1581" w:type="dxa"/>
                  <w:shd w:val="clear" w:color="auto" w:fill="auto"/>
                  <w:noWrap w:val="0"/>
                  <w:vAlign w:val="center"/>
                </w:tcPr>
                <w:p w14:paraId="618F1026">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3937</w:t>
                  </w:r>
                </w:p>
              </w:tc>
              <w:tc>
                <w:tcPr>
                  <w:tcW w:w="1373" w:type="dxa"/>
                  <w:shd w:val="clear" w:color="auto" w:fill="auto"/>
                  <w:noWrap w:val="0"/>
                  <w:vAlign w:val="center"/>
                </w:tcPr>
                <w:p w14:paraId="3A0B5B23">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r>
            <w:tr w14:paraId="7460A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271DA24D">
                  <w:pPr>
                    <w:pStyle w:val="2"/>
                    <w:spacing w:line="360" w:lineRule="auto"/>
                    <w:jc w:val="center"/>
                    <w:rPr>
                      <w:rFonts w:hint="eastAsia"/>
                      <w:color w:val="auto"/>
                      <w:highlight w:val="none"/>
                      <w:lang w:eastAsia="zh-CN"/>
                    </w:rPr>
                  </w:pPr>
                  <w:r>
                    <w:rPr>
                      <w:rFonts w:hint="eastAsia"/>
                      <w:color w:val="auto"/>
                      <w:highlight w:val="none"/>
                    </w:rPr>
                    <w:t>2</w:t>
                  </w:r>
                  <w:r>
                    <w:rPr>
                      <w:rFonts w:hint="eastAsia"/>
                      <w:color w:val="auto"/>
                      <w:highlight w:val="none"/>
                      <w:lang w:val="en-US" w:eastAsia="zh-CN"/>
                    </w:rPr>
                    <w:t>6</w:t>
                  </w:r>
                </w:p>
              </w:tc>
              <w:tc>
                <w:tcPr>
                  <w:tcW w:w="2779" w:type="dxa"/>
                  <w:tcBorders>
                    <w:left w:val="single" w:color="auto" w:sz="4" w:space="0"/>
                  </w:tcBorders>
                  <w:shd w:val="clear" w:color="auto" w:fill="auto"/>
                  <w:noWrap w:val="0"/>
                  <w:vAlign w:val="center"/>
                </w:tcPr>
                <w:p w14:paraId="1FEBA928">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港口区光坡中学</w:t>
                  </w:r>
                </w:p>
              </w:tc>
              <w:tc>
                <w:tcPr>
                  <w:tcW w:w="1581" w:type="dxa"/>
                  <w:shd w:val="clear" w:color="auto" w:fill="auto"/>
                  <w:noWrap w:val="0"/>
                  <w:vAlign w:val="center"/>
                </w:tcPr>
                <w:p w14:paraId="4066CCE7">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1054</w:t>
                  </w:r>
                </w:p>
              </w:tc>
              <w:tc>
                <w:tcPr>
                  <w:tcW w:w="1373" w:type="dxa"/>
                  <w:shd w:val="clear" w:color="auto" w:fill="auto"/>
                  <w:noWrap w:val="0"/>
                  <w:vAlign w:val="center"/>
                </w:tcPr>
                <w:p w14:paraId="5B5EFA1E">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r>
            <w:tr w14:paraId="051AF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65093E5D">
                  <w:pPr>
                    <w:pStyle w:val="2"/>
                    <w:spacing w:line="360" w:lineRule="auto"/>
                    <w:jc w:val="center"/>
                    <w:rPr>
                      <w:rFonts w:hint="eastAsia"/>
                      <w:color w:val="auto"/>
                      <w:highlight w:val="none"/>
                      <w:lang w:eastAsia="zh-CN"/>
                    </w:rPr>
                  </w:pPr>
                  <w:r>
                    <w:rPr>
                      <w:rFonts w:hint="eastAsia"/>
                      <w:color w:val="auto"/>
                      <w:highlight w:val="none"/>
                    </w:rPr>
                    <w:t>2</w:t>
                  </w:r>
                  <w:r>
                    <w:rPr>
                      <w:rFonts w:hint="eastAsia"/>
                      <w:color w:val="auto"/>
                      <w:highlight w:val="none"/>
                      <w:lang w:val="en-US" w:eastAsia="zh-CN"/>
                    </w:rPr>
                    <w:t>7</w:t>
                  </w:r>
                </w:p>
              </w:tc>
              <w:tc>
                <w:tcPr>
                  <w:tcW w:w="2779" w:type="dxa"/>
                  <w:tcBorders>
                    <w:left w:val="single" w:color="auto" w:sz="4" w:space="0"/>
                  </w:tcBorders>
                  <w:shd w:val="clear" w:color="auto" w:fill="auto"/>
                  <w:noWrap w:val="0"/>
                  <w:vAlign w:val="center"/>
                </w:tcPr>
                <w:p w14:paraId="2050E9E8">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港口区公车中学</w:t>
                  </w:r>
                </w:p>
              </w:tc>
              <w:tc>
                <w:tcPr>
                  <w:tcW w:w="1581" w:type="dxa"/>
                  <w:shd w:val="clear" w:color="auto" w:fill="auto"/>
                  <w:noWrap w:val="0"/>
                  <w:vAlign w:val="center"/>
                </w:tcPr>
                <w:p w14:paraId="085631D5">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1118</w:t>
                  </w:r>
                </w:p>
              </w:tc>
              <w:tc>
                <w:tcPr>
                  <w:tcW w:w="1373" w:type="dxa"/>
                  <w:shd w:val="clear" w:color="auto" w:fill="auto"/>
                  <w:noWrap w:val="0"/>
                  <w:vAlign w:val="center"/>
                </w:tcPr>
                <w:p w14:paraId="6FFF42EA">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r>
            <w:tr w14:paraId="45FF9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9" w:type="dxa"/>
                  <w:tcBorders>
                    <w:right w:val="single" w:color="auto" w:sz="4" w:space="0"/>
                  </w:tcBorders>
                  <w:noWrap w:val="0"/>
                  <w:vAlign w:val="center"/>
                </w:tcPr>
                <w:p w14:paraId="08608CAC">
                  <w:pPr>
                    <w:pStyle w:val="2"/>
                    <w:spacing w:line="360" w:lineRule="auto"/>
                    <w:jc w:val="center"/>
                    <w:rPr>
                      <w:rFonts w:hint="eastAsia"/>
                      <w:color w:val="auto"/>
                      <w:highlight w:val="none"/>
                      <w:lang w:eastAsia="zh-CN"/>
                    </w:rPr>
                  </w:pPr>
                  <w:r>
                    <w:rPr>
                      <w:rFonts w:hint="eastAsia"/>
                      <w:color w:val="auto"/>
                      <w:highlight w:val="none"/>
                    </w:rPr>
                    <w:t>2</w:t>
                  </w:r>
                  <w:r>
                    <w:rPr>
                      <w:rFonts w:hint="eastAsia"/>
                      <w:color w:val="auto"/>
                      <w:highlight w:val="none"/>
                      <w:lang w:val="en-US" w:eastAsia="zh-CN"/>
                    </w:rPr>
                    <w:t>8</w:t>
                  </w:r>
                </w:p>
              </w:tc>
              <w:tc>
                <w:tcPr>
                  <w:tcW w:w="2779" w:type="dxa"/>
                  <w:tcBorders>
                    <w:left w:val="single" w:color="auto" w:sz="4" w:space="0"/>
                  </w:tcBorders>
                  <w:shd w:val="clear" w:color="auto" w:fill="auto"/>
                  <w:noWrap w:val="0"/>
                  <w:vAlign w:val="center"/>
                </w:tcPr>
                <w:p w14:paraId="5249DE8E">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港口区企沙镇中学</w:t>
                  </w:r>
                </w:p>
              </w:tc>
              <w:tc>
                <w:tcPr>
                  <w:tcW w:w="1581" w:type="dxa"/>
                  <w:shd w:val="clear" w:color="auto" w:fill="auto"/>
                  <w:noWrap w:val="0"/>
                  <w:vAlign w:val="center"/>
                </w:tcPr>
                <w:p w14:paraId="42D81A99">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1309</w:t>
                  </w:r>
                </w:p>
              </w:tc>
              <w:tc>
                <w:tcPr>
                  <w:tcW w:w="1373" w:type="dxa"/>
                  <w:shd w:val="clear" w:color="auto" w:fill="auto"/>
                  <w:noWrap w:val="0"/>
                  <w:vAlign w:val="center"/>
                </w:tcPr>
                <w:p w14:paraId="78E57088">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r>
            <w:tr w14:paraId="29576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30CFFBCF">
                  <w:pPr>
                    <w:pStyle w:val="2"/>
                    <w:spacing w:line="360" w:lineRule="auto"/>
                    <w:jc w:val="center"/>
                    <w:rPr>
                      <w:rFonts w:hint="eastAsia"/>
                      <w:color w:val="auto"/>
                      <w:highlight w:val="none"/>
                      <w:lang w:val="en-US" w:eastAsia="zh-CN"/>
                    </w:rPr>
                  </w:pPr>
                  <w:r>
                    <w:rPr>
                      <w:rFonts w:hint="eastAsia"/>
                      <w:color w:val="auto"/>
                      <w:highlight w:val="none"/>
                      <w:lang w:val="en-US" w:eastAsia="zh-CN"/>
                    </w:rPr>
                    <w:t>29</w:t>
                  </w:r>
                </w:p>
              </w:tc>
              <w:tc>
                <w:tcPr>
                  <w:tcW w:w="2779" w:type="dxa"/>
                  <w:tcBorders>
                    <w:left w:val="single" w:color="auto" w:sz="4" w:space="0"/>
                  </w:tcBorders>
                  <w:shd w:val="clear" w:color="auto" w:fill="auto"/>
                  <w:noWrap w:val="0"/>
                  <w:vAlign w:val="center"/>
                </w:tcPr>
                <w:p w14:paraId="43AD1C94">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港口区公车镇中心幼儿园</w:t>
                  </w:r>
                </w:p>
              </w:tc>
              <w:tc>
                <w:tcPr>
                  <w:tcW w:w="1581" w:type="dxa"/>
                  <w:shd w:val="clear" w:color="auto" w:fill="auto"/>
                  <w:noWrap w:val="0"/>
                  <w:vAlign w:val="center"/>
                </w:tcPr>
                <w:p w14:paraId="0F58E357">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97</w:t>
                  </w:r>
                </w:p>
              </w:tc>
              <w:tc>
                <w:tcPr>
                  <w:tcW w:w="1373" w:type="dxa"/>
                  <w:shd w:val="clear" w:color="auto" w:fill="auto"/>
                  <w:noWrap w:val="0"/>
                  <w:vAlign w:val="center"/>
                </w:tcPr>
                <w:p w14:paraId="360E9985">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r>
            <w:tr w14:paraId="2F122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7134359D">
                  <w:pPr>
                    <w:pStyle w:val="2"/>
                    <w:spacing w:line="360" w:lineRule="auto"/>
                    <w:jc w:val="center"/>
                    <w:rPr>
                      <w:rFonts w:hint="eastAsia"/>
                      <w:color w:val="auto"/>
                      <w:highlight w:val="none"/>
                      <w:lang w:eastAsia="zh-CN"/>
                    </w:rPr>
                  </w:pPr>
                  <w:r>
                    <w:rPr>
                      <w:rFonts w:hint="eastAsia"/>
                      <w:color w:val="auto"/>
                      <w:highlight w:val="none"/>
                    </w:rPr>
                    <w:t>3</w:t>
                  </w:r>
                  <w:r>
                    <w:rPr>
                      <w:rFonts w:hint="eastAsia"/>
                      <w:color w:val="auto"/>
                      <w:highlight w:val="none"/>
                      <w:lang w:val="en-US" w:eastAsia="zh-CN"/>
                    </w:rPr>
                    <w:t>0</w:t>
                  </w:r>
                </w:p>
              </w:tc>
              <w:tc>
                <w:tcPr>
                  <w:tcW w:w="2779" w:type="dxa"/>
                  <w:tcBorders>
                    <w:left w:val="single" w:color="auto" w:sz="4" w:space="0"/>
                  </w:tcBorders>
                  <w:shd w:val="clear" w:color="auto" w:fill="auto"/>
                  <w:noWrap w:val="0"/>
                  <w:vAlign w:val="center"/>
                </w:tcPr>
                <w:p w14:paraId="5A255809">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港口区企沙镇中心幼儿园</w:t>
                  </w:r>
                </w:p>
              </w:tc>
              <w:tc>
                <w:tcPr>
                  <w:tcW w:w="1581" w:type="dxa"/>
                  <w:shd w:val="clear" w:color="auto" w:fill="auto"/>
                  <w:noWrap w:val="0"/>
                  <w:vAlign w:val="center"/>
                </w:tcPr>
                <w:p w14:paraId="53731C93">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289</w:t>
                  </w:r>
                </w:p>
              </w:tc>
              <w:tc>
                <w:tcPr>
                  <w:tcW w:w="1373" w:type="dxa"/>
                  <w:shd w:val="clear" w:color="auto" w:fill="auto"/>
                  <w:noWrap w:val="0"/>
                  <w:vAlign w:val="center"/>
                </w:tcPr>
                <w:p w14:paraId="1C807B62">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r>
            <w:tr w14:paraId="124E0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1C8771B2">
                  <w:pPr>
                    <w:pStyle w:val="2"/>
                    <w:spacing w:line="360" w:lineRule="auto"/>
                    <w:jc w:val="center"/>
                    <w:rPr>
                      <w:rFonts w:hint="eastAsia"/>
                      <w:color w:val="auto"/>
                      <w:highlight w:val="none"/>
                      <w:lang w:val="en-US" w:eastAsia="zh-CN"/>
                    </w:rPr>
                  </w:pPr>
                  <w:r>
                    <w:rPr>
                      <w:rFonts w:hint="eastAsia"/>
                      <w:color w:val="auto"/>
                      <w:highlight w:val="none"/>
                      <w:lang w:val="en-US" w:eastAsia="zh-CN"/>
                    </w:rPr>
                    <w:t>31</w:t>
                  </w:r>
                </w:p>
              </w:tc>
              <w:tc>
                <w:tcPr>
                  <w:tcW w:w="2779" w:type="dxa"/>
                  <w:tcBorders>
                    <w:left w:val="single" w:color="auto" w:sz="4" w:space="0"/>
                  </w:tcBorders>
                  <w:shd w:val="clear" w:color="auto" w:fill="auto"/>
                  <w:noWrap w:val="0"/>
                  <w:vAlign w:val="center"/>
                </w:tcPr>
                <w:p w14:paraId="3D9A3BE1">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港口区光坡镇中心幼儿园</w:t>
                  </w:r>
                </w:p>
              </w:tc>
              <w:tc>
                <w:tcPr>
                  <w:tcW w:w="1581" w:type="dxa"/>
                  <w:shd w:val="clear" w:color="auto" w:fill="auto"/>
                  <w:noWrap w:val="0"/>
                  <w:vAlign w:val="center"/>
                </w:tcPr>
                <w:p w14:paraId="57D79BDE">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137</w:t>
                  </w:r>
                </w:p>
              </w:tc>
              <w:tc>
                <w:tcPr>
                  <w:tcW w:w="1373" w:type="dxa"/>
                  <w:shd w:val="clear" w:color="auto" w:fill="auto"/>
                  <w:noWrap w:val="0"/>
                  <w:vAlign w:val="center"/>
                </w:tcPr>
                <w:p w14:paraId="17E5A3D6">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r>
            <w:tr w14:paraId="56CB1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709" w:type="dxa"/>
                  <w:tcBorders>
                    <w:right w:val="single" w:color="auto" w:sz="4" w:space="0"/>
                  </w:tcBorders>
                  <w:noWrap w:val="0"/>
                  <w:vAlign w:val="center"/>
                </w:tcPr>
                <w:p w14:paraId="6E2420A1">
                  <w:pPr>
                    <w:pStyle w:val="2"/>
                    <w:spacing w:line="360" w:lineRule="auto"/>
                    <w:jc w:val="center"/>
                    <w:rPr>
                      <w:rFonts w:hint="eastAsia"/>
                      <w:color w:val="auto"/>
                      <w:highlight w:val="none"/>
                      <w:lang w:val="en-US" w:eastAsia="zh-CN"/>
                    </w:rPr>
                  </w:pPr>
                  <w:r>
                    <w:rPr>
                      <w:rFonts w:hint="eastAsia"/>
                      <w:color w:val="auto"/>
                      <w:highlight w:val="none"/>
                      <w:lang w:val="en-US" w:eastAsia="zh-CN"/>
                    </w:rPr>
                    <w:t>32</w:t>
                  </w:r>
                </w:p>
              </w:tc>
              <w:tc>
                <w:tcPr>
                  <w:tcW w:w="2779" w:type="dxa"/>
                  <w:tcBorders>
                    <w:left w:val="single" w:color="auto" w:sz="4" w:space="0"/>
                  </w:tcBorders>
                  <w:shd w:val="clear" w:color="auto" w:fill="auto"/>
                  <w:noWrap w:val="0"/>
                  <w:vAlign w:val="center"/>
                </w:tcPr>
                <w:p w14:paraId="36F7550C">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港口区王府街道中心幼儿园</w:t>
                  </w:r>
                </w:p>
              </w:tc>
              <w:tc>
                <w:tcPr>
                  <w:tcW w:w="1581" w:type="dxa"/>
                  <w:shd w:val="clear" w:color="auto" w:fill="auto"/>
                  <w:noWrap w:val="0"/>
                  <w:vAlign w:val="center"/>
                </w:tcPr>
                <w:p w14:paraId="7B684BD5">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61</w:t>
                  </w:r>
                </w:p>
              </w:tc>
              <w:tc>
                <w:tcPr>
                  <w:tcW w:w="1373" w:type="dxa"/>
                  <w:shd w:val="clear" w:color="auto" w:fill="auto"/>
                  <w:noWrap w:val="0"/>
                  <w:vAlign w:val="center"/>
                </w:tcPr>
                <w:p w14:paraId="5668CD1F">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r>
            <w:tr w14:paraId="22BB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09" w:type="dxa"/>
                  <w:noWrap w:val="0"/>
                  <w:vAlign w:val="center"/>
                </w:tcPr>
                <w:p w14:paraId="08CAFA78">
                  <w:pPr>
                    <w:pStyle w:val="2"/>
                    <w:spacing w:line="360" w:lineRule="auto"/>
                    <w:jc w:val="center"/>
                    <w:rPr>
                      <w:rFonts w:hint="eastAsia"/>
                      <w:color w:val="auto"/>
                      <w:highlight w:val="none"/>
                      <w:lang w:eastAsia="zh-CN"/>
                    </w:rPr>
                  </w:pPr>
                  <w:r>
                    <w:rPr>
                      <w:rFonts w:hint="eastAsia"/>
                      <w:color w:val="auto"/>
                      <w:highlight w:val="none"/>
                    </w:rPr>
                    <w:t>3</w:t>
                  </w:r>
                  <w:r>
                    <w:rPr>
                      <w:rFonts w:hint="eastAsia"/>
                      <w:color w:val="auto"/>
                      <w:highlight w:val="none"/>
                      <w:lang w:val="en-US" w:eastAsia="zh-CN"/>
                    </w:rPr>
                    <w:t>3</w:t>
                  </w:r>
                </w:p>
              </w:tc>
              <w:tc>
                <w:tcPr>
                  <w:tcW w:w="2779" w:type="dxa"/>
                  <w:shd w:val="clear" w:color="auto" w:fill="auto"/>
                  <w:noWrap w:val="0"/>
                  <w:vAlign w:val="center"/>
                </w:tcPr>
                <w:p w14:paraId="306BA307">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港口区北港幼儿园</w:t>
                  </w:r>
                </w:p>
              </w:tc>
              <w:tc>
                <w:tcPr>
                  <w:tcW w:w="1581" w:type="dxa"/>
                  <w:shd w:val="clear" w:color="auto" w:fill="auto"/>
                  <w:noWrap w:val="0"/>
                  <w:vAlign w:val="center"/>
                </w:tcPr>
                <w:p w14:paraId="7C64AEFD">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150</w:t>
                  </w:r>
                </w:p>
              </w:tc>
              <w:tc>
                <w:tcPr>
                  <w:tcW w:w="1373" w:type="dxa"/>
                  <w:shd w:val="clear" w:color="auto" w:fill="auto"/>
                  <w:noWrap w:val="0"/>
                  <w:vAlign w:val="center"/>
                </w:tcPr>
                <w:p w14:paraId="00413683">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r>
            <w:tr w14:paraId="3E4C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09" w:type="dxa"/>
                  <w:noWrap w:val="0"/>
                  <w:vAlign w:val="center"/>
                </w:tcPr>
                <w:p w14:paraId="0D78726B">
                  <w:pPr>
                    <w:pStyle w:val="2"/>
                    <w:spacing w:line="360" w:lineRule="auto"/>
                    <w:jc w:val="center"/>
                    <w:rPr>
                      <w:rFonts w:hint="eastAsia"/>
                      <w:color w:val="auto"/>
                      <w:highlight w:val="none"/>
                      <w:lang w:val="en-US" w:eastAsia="zh-CN"/>
                    </w:rPr>
                  </w:pPr>
                  <w:r>
                    <w:rPr>
                      <w:rFonts w:hint="eastAsia"/>
                      <w:color w:val="auto"/>
                      <w:highlight w:val="none"/>
                      <w:lang w:val="en-US" w:eastAsia="zh-CN"/>
                    </w:rPr>
                    <w:t>34</w:t>
                  </w:r>
                </w:p>
              </w:tc>
              <w:tc>
                <w:tcPr>
                  <w:tcW w:w="2779" w:type="dxa"/>
                  <w:shd w:val="clear" w:color="auto" w:fill="auto"/>
                  <w:noWrap w:val="0"/>
                  <w:vAlign w:val="center"/>
                </w:tcPr>
                <w:p w14:paraId="0DFBCFC2">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港口区和平幼儿园</w:t>
                  </w:r>
                </w:p>
              </w:tc>
              <w:tc>
                <w:tcPr>
                  <w:tcW w:w="1581" w:type="dxa"/>
                  <w:shd w:val="clear" w:color="auto" w:fill="auto"/>
                  <w:noWrap w:val="0"/>
                  <w:vAlign w:val="center"/>
                </w:tcPr>
                <w:p w14:paraId="5283B741">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w:t>
                  </w:r>
                </w:p>
              </w:tc>
              <w:tc>
                <w:tcPr>
                  <w:tcW w:w="1373" w:type="dxa"/>
                  <w:shd w:val="clear" w:color="auto" w:fill="auto"/>
                  <w:noWrap w:val="0"/>
                  <w:vAlign w:val="center"/>
                </w:tcPr>
                <w:p w14:paraId="73CCE0C0">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r>
            <w:tr w14:paraId="53D2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09" w:type="dxa"/>
                  <w:noWrap w:val="0"/>
                  <w:vAlign w:val="center"/>
                </w:tcPr>
                <w:p w14:paraId="2757EA48">
                  <w:pPr>
                    <w:pStyle w:val="2"/>
                    <w:spacing w:line="360" w:lineRule="auto"/>
                    <w:jc w:val="center"/>
                    <w:rPr>
                      <w:rFonts w:hint="eastAsia"/>
                      <w:color w:val="auto"/>
                      <w:highlight w:val="none"/>
                      <w:lang w:eastAsia="zh-CN"/>
                    </w:rPr>
                  </w:pPr>
                  <w:r>
                    <w:rPr>
                      <w:rFonts w:hint="eastAsia"/>
                      <w:color w:val="auto"/>
                      <w:highlight w:val="none"/>
                    </w:rPr>
                    <w:t>3</w:t>
                  </w:r>
                  <w:r>
                    <w:rPr>
                      <w:rFonts w:hint="eastAsia"/>
                      <w:color w:val="auto"/>
                      <w:highlight w:val="none"/>
                      <w:lang w:val="en-US" w:eastAsia="zh-CN"/>
                    </w:rPr>
                    <w:t>5</w:t>
                  </w:r>
                </w:p>
              </w:tc>
              <w:tc>
                <w:tcPr>
                  <w:tcW w:w="2779" w:type="dxa"/>
                  <w:shd w:val="clear" w:color="auto" w:fill="auto"/>
                  <w:noWrap w:val="0"/>
                  <w:vAlign w:val="center"/>
                </w:tcPr>
                <w:p w14:paraId="09507FC5">
                  <w:pPr>
                    <w:pStyle w:val="2"/>
                    <w:spacing w:line="360" w:lineRule="auto"/>
                    <w:jc w:val="center"/>
                    <w:rPr>
                      <w:rFonts w:hint="eastAsia"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港口区幼儿园</w:t>
                  </w:r>
                </w:p>
              </w:tc>
              <w:tc>
                <w:tcPr>
                  <w:tcW w:w="1581" w:type="dxa"/>
                  <w:shd w:val="clear" w:color="auto" w:fill="auto"/>
                  <w:noWrap w:val="0"/>
                  <w:vAlign w:val="center"/>
                </w:tcPr>
                <w:p w14:paraId="7BCC375E">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673</w:t>
                  </w:r>
                </w:p>
              </w:tc>
              <w:tc>
                <w:tcPr>
                  <w:tcW w:w="1373" w:type="dxa"/>
                  <w:shd w:val="clear" w:color="auto" w:fill="auto"/>
                  <w:noWrap w:val="0"/>
                  <w:vAlign w:val="center"/>
                </w:tcPr>
                <w:p w14:paraId="0BC7EDE1">
                  <w:pPr>
                    <w:pStyle w:val="2"/>
                    <w:spacing w:line="360" w:lineRule="auto"/>
                    <w:jc w:val="center"/>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cs="Times New Roman"/>
                      <w:color w:val="000000" w:themeColor="text1"/>
                      <w:kern w:val="0"/>
                      <w:sz w:val="21"/>
                      <w:szCs w:val="24"/>
                      <w:highlight w:val="none"/>
                      <w:lang w:val="en-US" w:eastAsia="zh-CN" w:bidi="ar-SA"/>
                      <w14:textFill>
                        <w14:solidFill>
                          <w14:schemeClr w14:val="tx1"/>
                        </w14:solidFill>
                      </w14:textFill>
                    </w:rPr>
                    <w:t>3</w:t>
                  </w:r>
                </w:p>
              </w:tc>
            </w:tr>
            <w:tr w14:paraId="37B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09" w:type="dxa"/>
                  <w:noWrap w:val="0"/>
                  <w:vAlign w:val="center"/>
                </w:tcPr>
                <w:p w14:paraId="41D8AECA">
                  <w:pPr>
                    <w:pStyle w:val="2"/>
                    <w:spacing w:line="360" w:lineRule="auto"/>
                    <w:jc w:val="center"/>
                    <w:rPr>
                      <w:rFonts w:hint="eastAsia"/>
                      <w:color w:val="auto"/>
                      <w:highlight w:val="none"/>
                    </w:rPr>
                  </w:pPr>
                  <w:r>
                    <w:rPr>
                      <w:rFonts w:hint="eastAsia"/>
                      <w:color w:val="auto"/>
                      <w:highlight w:val="none"/>
                    </w:rPr>
                    <w:t>合计</w:t>
                  </w:r>
                </w:p>
              </w:tc>
              <w:tc>
                <w:tcPr>
                  <w:tcW w:w="2779" w:type="dxa"/>
                  <w:shd w:val="clear" w:color="auto" w:fill="auto"/>
                  <w:noWrap w:val="0"/>
                  <w:vAlign w:val="center"/>
                </w:tcPr>
                <w:p w14:paraId="46C5D95F">
                  <w:pPr>
                    <w:pStyle w:val="2"/>
                    <w:spacing w:line="360" w:lineRule="auto"/>
                    <w:jc w:val="center"/>
                    <w:rPr>
                      <w:rFonts w:hint="eastAsia" w:ascii="Times New Roman" w:hAnsi="Times New Roman" w:eastAsia="宋体" w:cs="Times New Roman"/>
                      <w:color w:val="auto"/>
                      <w:kern w:val="0"/>
                      <w:sz w:val="21"/>
                      <w:szCs w:val="24"/>
                      <w:highlight w:val="none"/>
                      <w:lang w:val="en-US" w:eastAsia="zh-CN" w:bidi="ar-SA"/>
                    </w:rPr>
                  </w:pPr>
                  <w:r>
                    <w:rPr>
                      <w:rFonts w:hint="eastAsia"/>
                      <w:color w:val="auto"/>
                      <w:highlight w:val="none"/>
                    </w:rPr>
                    <w:t>全区学校</w:t>
                  </w:r>
                </w:p>
              </w:tc>
              <w:tc>
                <w:tcPr>
                  <w:tcW w:w="1581" w:type="dxa"/>
                  <w:shd w:val="clear" w:color="auto" w:fill="auto"/>
                  <w:noWrap w:val="0"/>
                  <w:vAlign w:val="center"/>
                </w:tcPr>
                <w:p w14:paraId="30477A92">
                  <w:pPr>
                    <w:pStyle w:val="2"/>
                    <w:spacing w:line="360" w:lineRule="auto"/>
                    <w:jc w:val="center"/>
                    <w:rPr>
                      <w:rFonts w:hint="default"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29402</w:t>
                  </w:r>
                </w:p>
              </w:tc>
              <w:tc>
                <w:tcPr>
                  <w:tcW w:w="1373" w:type="dxa"/>
                  <w:shd w:val="clear" w:color="auto" w:fill="auto"/>
                  <w:noWrap w:val="0"/>
                  <w:vAlign w:val="center"/>
                </w:tcPr>
                <w:p w14:paraId="5FE98C37">
                  <w:pPr>
                    <w:pStyle w:val="2"/>
                    <w:spacing w:line="360" w:lineRule="auto"/>
                    <w:jc w:val="center"/>
                    <w:rPr>
                      <w:rFonts w:hint="default"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131</w:t>
                  </w:r>
                </w:p>
              </w:tc>
            </w:tr>
          </w:tbl>
          <w:p w14:paraId="1DAE06DD">
            <w:pPr>
              <w:pStyle w:val="2"/>
              <w:spacing w:line="360" w:lineRule="auto"/>
              <w:ind w:firstLine="420" w:firstLineChars="200"/>
              <w:rPr>
                <w:rFonts w:hint="eastAsia"/>
                <w:color w:val="auto"/>
                <w:highlight w:val="none"/>
                <w:lang w:val="en-US" w:eastAsia="zh-CN"/>
              </w:rPr>
            </w:pPr>
          </w:p>
          <w:p w14:paraId="6A45C55D">
            <w:pPr>
              <w:pStyle w:val="2"/>
              <w:spacing w:line="360" w:lineRule="auto"/>
              <w:ind w:firstLine="420" w:firstLineChars="200"/>
              <w:rPr>
                <w:rFonts w:hint="eastAsia"/>
                <w:color w:val="auto"/>
                <w:highlight w:val="none"/>
              </w:rPr>
            </w:pPr>
            <w:r>
              <w:rPr>
                <w:rFonts w:hint="eastAsia"/>
                <w:color w:val="auto"/>
                <w:highlight w:val="none"/>
                <w:lang w:val="en-US" w:eastAsia="zh-CN"/>
              </w:rPr>
              <w:t>五</w:t>
            </w:r>
            <w:r>
              <w:rPr>
                <w:rFonts w:hint="eastAsia"/>
                <w:color w:val="auto"/>
                <w:highlight w:val="none"/>
              </w:rPr>
              <w:t>、保安人员的相关要求</w:t>
            </w:r>
          </w:p>
          <w:p w14:paraId="25628A3B">
            <w:pPr>
              <w:pStyle w:val="2"/>
              <w:spacing w:line="360" w:lineRule="auto"/>
              <w:ind w:firstLine="420" w:firstLineChars="200"/>
              <w:rPr>
                <w:rFonts w:hint="eastAsia"/>
                <w:color w:val="auto"/>
                <w:highlight w:val="none"/>
              </w:rPr>
            </w:pPr>
            <w:r>
              <w:rPr>
                <w:rFonts w:hint="eastAsia"/>
                <w:color w:val="auto"/>
                <w:highlight w:val="none"/>
              </w:rPr>
              <w:t>（一）基本要求</w:t>
            </w:r>
          </w:p>
          <w:p w14:paraId="52E0791B">
            <w:pPr>
              <w:pStyle w:val="2"/>
              <w:spacing w:line="360" w:lineRule="auto"/>
              <w:ind w:firstLine="420" w:firstLineChars="200"/>
              <w:rPr>
                <w:rFonts w:hint="eastAsia"/>
                <w:color w:val="auto"/>
                <w:highlight w:val="none"/>
              </w:rPr>
            </w:pPr>
            <w:r>
              <w:rPr>
                <w:rFonts w:hint="eastAsia"/>
                <w:color w:val="auto"/>
                <w:highlight w:val="none"/>
              </w:rPr>
              <w:t>年龄20-45周岁，高中或中专以上文化程度，男性身高1.65米以上，女性身高1.5</w:t>
            </w:r>
            <w:r>
              <w:rPr>
                <w:rFonts w:hint="eastAsia"/>
                <w:color w:val="auto"/>
                <w:highlight w:val="none"/>
                <w:lang w:val="en-US" w:eastAsia="zh-CN"/>
              </w:rPr>
              <w:t>6</w:t>
            </w:r>
            <w:r>
              <w:rPr>
                <w:rFonts w:hint="eastAsia"/>
                <w:color w:val="auto"/>
                <w:highlight w:val="none"/>
              </w:rPr>
              <w:t>米以上，身体健康、五官端正，无犯罪</w:t>
            </w:r>
            <w:r>
              <w:rPr>
                <w:rFonts w:hint="eastAsia"/>
                <w:color w:val="auto"/>
                <w:highlight w:val="none"/>
                <w:lang w:val="en-US" w:eastAsia="zh-CN"/>
              </w:rPr>
              <w:t>和违法</w:t>
            </w:r>
            <w:r>
              <w:rPr>
                <w:rFonts w:hint="eastAsia"/>
                <w:color w:val="auto"/>
                <w:highlight w:val="none"/>
              </w:rPr>
              <w:t>记录，政治素质较好；反应灵敏，形象较好</w:t>
            </w:r>
            <w:r>
              <w:rPr>
                <w:rFonts w:hint="eastAsia"/>
                <w:color w:val="auto"/>
                <w:highlight w:val="none"/>
                <w:lang w:eastAsia="zh-CN"/>
              </w:rPr>
              <w:t>；</w:t>
            </w:r>
            <w:r>
              <w:rPr>
                <w:rFonts w:hint="eastAsia"/>
                <w:color w:val="auto"/>
                <w:highlight w:val="none"/>
              </w:rPr>
              <w:t>接受过专业保安管理课程培训，考试合格并取得设区的市级人民政府公安机关</w:t>
            </w:r>
            <w:r>
              <w:rPr>
                <w:rFonts w:hint="eastAsia"/>
                <w:color w:val="auto"/>
                <w:highlight w:val="none"/>
                <w:lang w:val="en-US" w:eastAsia="zh-CN"/>
              </w:rPr>
              <w:t>颁发</w:t>
            </w:r>
            <w:r>
              <w:rPr>
                <w:rFonts w:hint="eastAsia"/>
                <w:color w:val="auto"/>
                <w:highlight w:val="none"/>
              </w:rPr>
              <w:t>的</w:t>
            </w:r>
            <w:r>
              <w:rPr>
                <w:rFonts w:hint="eastAsia"/>
                <w:color w:val="auto"/>
                <w:highlight w:val="none"/>
                <w:lang w:val="en-US" w:eastAsia="zh-CN"/>
              </w:rPr>
              <w:t>保安员证</w:t>
            </w:r>
            <w:r>
              <w:rPr>
                <w:rFonts w:hint="eastAsia"/>
                <w:color w:val="auto"/>
                <w:highlight w:val="none"/>
              </w:rPr>
              <w:t>。</w:t>
            </w:r>
          </w:p>
          <w:p w14:paraId="7A134364">
            <w:pPr>
              <w:pStyle w:val="2"/>
              <w:spacing w:line="360" w:lineRule="auto"/>
              <w:ind w:firstLine="420" w:firstLineChars="200"/>
              <w:rPr>
                <w:rFonts w:hint="eastAsia"/>
                <w:color w:val="auto"/>
                <w:highlight w:val="none"/>
              </w:rPr>
            </w:pPr>
            <w:r>
              <w:rPr>
                <w:rFonts w:hint="eastAsia"/>
                <w:color w:val="auto"/>
                <w:highlight w:val="none"/>
              </w:rPr>
              <w:t>（二）服务管理要求</w:t>
            </w:r>
          </w:p>
          <w:p w14:paraId="1C025DA3">
            <w:pPr>
              <w:pStyle w:val="2"/>
              <w:spacing w:line="360" w:lineRule="auto"/>
              <w:ind w:firstLine="420" w:firstLineChars="200"/>
              <w:rPr>
                <w:rFonts w:hint="eastAsia"/>
                <w:color w:val="auto"/>
                <w:highlight w:val="none"/>
              </w:rPr>
            </w:pPr>
            <w:r>
              <w:rPr>
                <w:rFonts w:hint="eastAsia"/>
                <w:color w:val="auto"/>
                <w:highlight w:val="none"/>
              </w:rPr>
              <w:t>1. 门岗值班管理要求</w:t>
            </w:r>
          </w:p>
          <w:p w14:paraId="2C263375">
            <w:pPr>
              <w:pStyle w:val="2"/>
              <w:spacing w:line="360" w:lineRule="auto"/>
              <w:ind w:firstLine="420" w:firstLineChars="200"/>
              <w:rPr>
                <w:rFonts w:hint="eastAsia"/>
                <w:color w:val="auto"/>
                <w:highlight w:val="none"/>
              </w:rPr>
            </w:pPr>
            <w:r>
              <w:rPr>
                <w:rFonts w:hint="eastAsia"/>
                <w:color w:val="auto"/>
                <w:highlight w:val="none"/>
              </w:rPr>
              <w:t>（1）严格执行学校相关规章制度，严禁体罚、打骂学生；</w:t>
            </w:r>
          </w:p>
          <w:p w14:paraId="0E27A641">
            <w:pPr>
              <w:pStyle w:val="2"/>
              <w:spacing w:line="360" w:lineRule="auto"/>
              <w:ind w:firstLine="420" w:firstLineChars="200"/>
              <w:rPr>
                <w:rFonts w:hint="eastAsia"/>
                <w:color w:val="auto"/>
                <w:highlight w:val="none"/>
              </w:rPr>
            </w:pPr>
            <w:r>
              <w:rPr>
                <w:rFonts w:hint="eastAsia"/>
                <w:color w:val="auto"/>
                <w:highlight w:val="none"/>
              </w:rPr>
              <w:t>（2）实施学校大门值班制度，上岗期间应保持良好的形象；</w:t>
            </w:r>
          </w:p>
          <w:p w14:paraId="1F870A6D">
            <w:pPr>
              <w:pStyle w:val="2"/>
              <w:spacing w:line="360" w:lineRule="auto"/>
              <w:ind w:firstLine="420" w:firstLineChars="200"/>
              <w:rPr>
                <w:rFonts w:hint="eastAsia"/>
                <w:color w:val="auto"/>
                <w:highlight w:val="none"/>
              </w:rPr>
            </w:pPr>
            <w:r>
              <w:rPr>
                <w:rFonts w:hint="eastAsia"/>
                <w:color w:val="auto"/>
                <w:highlight w:val="none"/>
              </w:rPr>
              <w:t>（3）熟悉学校基本情况，包括教师数量、相貌特征、学生数量、常规出入时间及周边200米以内</w:t>
            </w:r>
            <w:r>
              <w:rPr>
                <w:rFonts w:hint="eastAsia"/>
                <w:color w:val="auto"/>
                <w:highlight w:val="none"/>
                <w:lang w:eastAsia="zh-CN"/>
              </w:rPr>
              <w:t>环境</w:t>
            </w:r>
            <w:r>
              <w:rPr>
                <w:rFonts w:hint="eastAsia"/>
                <w:color w:val="auto"/>
                <w:highlight w:val="none"/>
              </w:rPr>
              <w:t>；</w:t>
            </w:r>
          </w:p>
          <w:p w14:paraId="2840D732">
            <w:pPr>
              <w:pStyle w:val="2"/>
              <w:spacing w:line="360" w:lineRule="auto"/>
              <w:ind w:firstLine="420" w:firstLineChars="200"/>
              <w:rPr>
                <w:rFonts w:hint="eastAsia"/>
                <w:color w:val="auto"/>
                <w:highlight w:val="none"/>
              </w:rPr>
            </w:pPr>
            <w:r>
              <w:rPr>
                <w:rFonts w:hint="eastAsia"/>
                <w:color w:val="auto"/>
                <w:highlight w:val="none"/>
              </w:rPr>
              <w:t>（4）根据学校学生管理的有关规定，上课期间关锁好学校大门，严禁非请假学生离校</w:t>
            </w:r>
            <w:r>
              <w:rPr>
                <w:rFonts w:hint="eastAsia"/>
                <w:color w:val="auto"/>
                <w:highlight w:val="none"/>
                <w:lang w:eastAsia="zh-CN"/>
              </w:rPr>
              <w:t>；</w:t>
            </w:r>
            <w:r>
              <w:rPr>
                <w:rFonts w:hint="eastAsia"/>
                <w:color w:val="auto"/>
                <w:highlight w:val="none"/>
              </w:rPr>
              <w:t>学生出入</w:t>
            </w:r>
            <w:r>
              <w:rPr>
                <w:rFonts w:hint="eastAsia"/>
                <w:color w:val="auto"/>
                <w:highlight w:val="none"/>
                <w:lang w:eastAsia="zh-CN"/>
              </w:rPr>
              <w:t>一律</w:t>
            </w:r>
            <w:r>
              <w:rPr>
                <w:rFonts w:hint="eastAsia"/>
                <w:color w:val="auto"/>
                <w:highlight w:val="none"/>
              </w:rPr>
              <w:t>核实请假条后才能放行，若有违规学生应与学校相关部门及时联系，防止学生强行出校；</w:t>
            </w:r>
          </w:p>
          <w:p w14:paraId="72611A1C">
            <w:pPr>
              <w:pStyle w:val="2"/>
              <w:spacing w:line="360" w:lineRule="auto"/>
              <w:ind w:firstLine="420" w:firstLineChars="200"/>
              <w:rPr>
                <w:rFonts w:hint="eastAsia"/>
                <w:color w:val="auto"/>
                <w:highlight w:val="none"/>
              </w:rPr>
            </w:pPr>
            <w:r>
              <w:rPr>
                <w:rFonts w:hint="eastAsia"/>
                <w:color w:val="auto"/>
                <w:highlight w:val="none"/>
              </w:rPr>
              <w:t>（5）阻止闲杂人员进入学校，来访人员</w:t>
            </w:r>
            <w:r>
              <w:rPr>
                <w:rFonts w:hint="eastAsia"/>
                <w:color w:val="auto"/>
                <w:highlight w:val="none"/>
                <w:lang w:eastAsia="zh-CN"/>
              </w:rPr>
              <w:t>须持有</w:t>
            </w:r>
            <w:r>
              <w:rPr>
                <w:rFonts w:hint="eastAsia"/>
                <w:color w:val="auto"/>
                <w:highlight w:val="none"/>
              </w:rPr>
              <w:t>有效证件进行登记，并与被访人员取得联系。遇上级领导或前来指导、参观的社会各界人士，应立即敬礼，并将人数、单位等情况做好记录备查；</w:t>
            </w:r>
          </w:p>
          <w:p w14:paraId="2CA57B5C">
            <w:pPr>
              <w:pStyle w:val="2"/>
              <w:spacing w:line="360" w:lineRule="auto"/>
              <w:ind w:firstLine="420" w:firstLineChars="200"/>
              <w:rPr>
                <w:rFonts w:hint="eastAsia"/>
                <w:color w:val="auto"/>
                <w:highlight w:val="none"/>
              </w:rPr>
            </w:pPr>
            <w:r>
              <w:rPr>
                <w:rFonts w:hint="eastAsia"/>
                <w:color w:val="auto"/>
                <w:highlight w:val="none"/>
              </w:rPr>
              <w:t>（6）外来车辆一般不允许驶进校园，如有必要驶进，则必须进行仔细检查、登记车牌号，并指挥有关人员将车辆有序停放。防止校园内车辆被盗，若有车辆被盗，值班保安人员将承担相应的赔偿责任；</w:t>
            </w:r>
          </w:p>
          <w:p w14:paraId="619D3A3A">
            <w:pPr>
              <w:pStyle w:val="2"/>
              <w:spacing w:line="360" w:lineRule="auto"/>
              <w:ind w:firstLine="420" w:firstLineChars="200"/>
              <w:rPr>
                <w:rFonts w:hint="eastAsia"/>
                <w:color w:val="auto"/>
                <w:highlight w:val="none"/>
              </w:rPr>
            </w:pPr>
            <w:r>
              <w:rPr>
                <w:rFonts w:hint="eastAsia"/>
                <w:color w:val="auto"/>
                <w:highlight w:val="none"/>
              </w:rPr>
              <w:t>（7）严格做好物品出门登记工作，发现可疑情况及时与学校相关部门联系；</w:t>
            </w:r>
          </w:p>
          <w:p w14:paraId="7DDB02C8">
            <w:pPr>
              <w:pStyle w:val="2"/>
              <w:spacing w:line="360" w:lineRule="auto"/>
              <w:ind w:firstLine="420" w:firstLineChars="200"/>
              <w:rPr>
                <w:rFonts w:hint="eastAsia"/>
                <w:color w:val="auto"/>
                <w:highlight w:val="none"/>
              </w:rPr>
            </w:pPr>
            <w:r>
              <w:rPr>
                <w:rFonts w:hint="eastAsia"/>
                <w:color w:val="auto"/>
                <w:highlight w:val="none"/>
              </w:rPr>
              <w:t>（8）根据学校安排，服从调配，做好学校各项活动的安全保卫工作；</w:t>
            </w:r>
          </w:p>
          <w:p w14:paraId="1CA494D0">
            <w:pPr>
              <w:pStyle w:val="2"/>
              <w:spacing w:line="360" w:lineRule="auto"/>
              <w:ind w:firstLine="420" w:firstLineChars="200"/>
              <w:rPr>
                <w:rFonts w:hint="eastAsia"/>
                <w:color w:val="auto"/>
                <w:highlight w:val="none"/>
              </w:rPr>
            </w:pPr>
            <w:r>
              <w:rPr>
                <w:rFonts w:hint="eastAsia"/>
                <w:color w:val="auto"/>
                <w:highlight w:val="none"/>
              </w:rPr>
              <w:t>（9）保证监控系统的正常运行并随时监控，在监控过程中发现异常治安问题及时向学校汇报并进行先期处置，监控系统出现故障及时向学校报修；</w:t>
            </w:r>
          </w:p>
          <w:p w14:paraId="318851B6">
            <w:pPr>
              <w:pStyle w:val="2"/>
              <w:spacing w:line="360" w:lineRule="auto"/>
              <w:ind w:firstLine="420" w:firstLineChars="200"/>
              <w:rPr>
                <w:rFonts w:hint="eastAsia"/>
                <w:color w:val="auto"/>
                <w:highlight w:val="none"/>
              </w:rPr>
            </w:pPr>
            <w:r>
              <w:rPr>
                <w:rFonts w:hint="eastAsia"/>
                <w:color w:val="auto"/>
                <w:highlight w:val="none"/>
              </w:rPr>
              <w:t>（10）非经</w:t>
            </w:r>
            <w:r>
              <w:rPr>
                <w:rFonts w:hint="eastAsia"/>
                <w:color w:val="auto"/>
                <w:highlight w:val="none"/>
                <w:lang w:val="en-US" w:eastAsia="zh-CN"/>
              </w:rPr>
              <w:t>学校</w:t>
            </w:r>
            <w:r>
              <w:rPr>
                <w:rFonts w:hint="eastAsia"/>
                <w:color w:val="auto"/>
                <w:highlight w:val="none"/>
              </w:rPr>
              <w:t>批准，严禁任何人将非教学用品、易燃易爆物品、有毒物品、动物和管制刀具等危险物品带入校园；</w:t>
            </w:r>
          </w:p>
          <w:p w14:paraId="0C000C3E">
            <w:pPr>
              <w:pStyle w:val="2"/>
              <w:spacing w:line="360" w:lineRule="auto"/>
              <w:ind w:firstLine="420" w:firstLineChars="200"/>
              <w:rPr>
                <w:rFonts w:hint="eastAsia"/>
                <w:color w:val="auto"/>
                <w:highlight w:val="none"/>
              </w:rPr>
            </w:pPr>
            <w:r>
              <w:rPr>
                <w:rFonts w:hint="eastAsia"/>
                <w:color w:val="auto"/>
                <w:highlight w:val="none"/>
              </w:rPr>
              <w:t>（11）积极协助学校教育教学过程中的临时性工作，如管制刀具收缴、学生军训、交通指挥等。</w:t>
            </w:r>
          </w:p>
          <w:p w14:paraId="60FB318F">
            <w:pPr>
              <w:pStyle w:val="2"/>
              <w:spacing w:line="360" w:lineRule="auto"/>
              <w:ind w:firstLine="420" w:firstLineChars="200"/>
              <w:rPr>
                <w:rFonts w:hint="eastAsia"/>
                <w:color w:val="auto"/>
                <w:highlight w:val="none"/>
              </w:rPr>
            </w:pPr>
            <w:r>
              <w:rPr>
                <w:rFonts w:hint="eastAsia"/>
                <w:color w:val="auto"/>
                <w:highlight w:val="none"/>
              </w:rPr>
              <w:t>2. 巡逻管理要求</w:t>
            </w:r>
          </w:p>
          <w:p w14:paraId="44A78E1E">
            <w:pPr>
              <w:pStyle w:val="2"/>
              <w:spacing w:line="360" w:lineRule="auto"/>
              <w:ind w:firstLine="420" w:firstLineChars="200"/>
              <w:rPr>
                <w:rFonts w:hint="eastAsia"/>
                <w:color w:val="auto"/>
                <w:highlight w:val="none"/>
              </w:rPr>
            </w:pPr>
            <w:r>
              <w:rPr>
                <w:rFonts w:hint="eastAsia"/>
                <w:color w:val="auto"/>
                <w:highlight w:val="none"/>
              </w:rPr>
              <w:t>（1）对校园进行每两小时一次的安全巡查。重点</w:t>
            </w:r>
            <w:r>
              <w:rPr>
                <w:rFonts w:hint="eastAsia"/>
                <w:color w:val="auto"/>
                <w:highlight w:val="none"/>
                <w:lang w:val="en-US" w:eastAsia="zh-CN"/>
              </w:rPr>
              <w:t>位置（</w:t>
            </w:r>
            <w:r>
              <w:rPr>
                <w:rFonts w:hint="eastAsia"/>
                <w:color w:val="auto"/>
                <w:highlight w:val="none"/>
              </w:rPr>
              <w:t>如行政办公楼、教学楼、综合楼、</w:t>
            </w:r>
            <w:r>
              <w:rPr>
                <w:rFonts w:hint="eastAsia"/>
                <w:color w:val="auto"/>
                <w:highlight w:val="none"/>
                <w:lang w:eastAsia="zh-CN"/>
              </w:rPr>
              <w:t>食堂</w:t>
            </w:r>
            <w:r>
              <w:rPr>
                <w:rFonts w:hint="eastAsia"/>
                <w:color w:val="auto"/>
                <w:highlight w:val="none"/>
              </w:rPr>
              <w:t>、学生宿舍、围墙等</w:t>
            </w:r>
            <w:r>
              <w:rPr>
                <w:rFonts w:hint="eastAsia"/>
                <w:color w:val="auto"/>
                <w:highlight w:val="none"/>
                <w:lang w:eastAsia="zh-CN"/>
              </w:rPr>
              <w:t>）</w:t>
            </w:r>
            <w:r>
              <w:rPr>
                <w:rFonts w:hint="eastAsia"/>
                <w:color w:val="auto"/>
                <w:highlight w:val="none"/>
              </w:rPr>
              <w:t>应加强巡查；</w:t>
            </w:r>
          </w:p>
          <w:p w14:paraId="304112B7">
            <w:pPr>
              <w:pStyle w:val="2"/>
              <w:spacing w:line="360" w:lineRule="auto"/>
              <w:ind w:firstLine="420" w:firstLineChars="200"/>
              <w:rPr>
                <w:rFonts w:hint="eastAsia"/>
                <w:color w:val="auto"/>
                <w:highlight w:val="none"/>
              </w:rPr>
            </w:pPr>
            <w:r>
              <w:rPr>
                <w:rFonts w:hint="eastAsia"/>
                <w:color w:val="auto"/>
                <w:highlight w:val="none"/>
              </w:rPr>
              <w:t>（2）巡查内容主要包括</w:t>
            </w:r>
            <w:r>
              <w:rPr>
                <w:rFonts w:hint="eastAsia"/>
                <w:color w:val="auto"/>
                <w:highlight w:val="none"/>
                <w:lang w:eastAsia="zh-CN"/>
              </w:rPr>
              <w:t>：</w:t>
            </w:r>
            <w:r>
              <w:rPr>
                <w:rFonts w:hint="eastAsia"/>
                <w:color w:val="auto"/>
                <w:highlight w:val="none"/>
              </w:rPr>
              <w:t>消防设备的完好性，公共设施有无损坏，学生有无抽烟现象，有无人员翻越围墙现象，有无乱画、乱写等损坏校园景观现象，办公楼、教学楼等功能室内窗、灯关否，天花板及悬挂物有无安全隐患，校园内有无打架斗殴现象，有无可疑人员，并做好巡查记录，对值班、巡查中发现的问题及时处理，视情况向相关部门报告；</w:t>
            </w:r>
          </w:p>
          <w:p w14:paraId="747A4E2F">
            <w:pPr>
              <w:pStyle w:val="2"/>
              <w:spacing w:line="360" w:lineRule="auto"/>
              <w:ind w:firstLine="420" w:firstLineChars="200"/>
              <w:rPr>
                <w:rFonts w:hint="eastAsia"/>
                <w:color w:val="auto"/>
                <w:highlight w:val="none"/>
              </w:rPr>
            </w:pPr>
            <w:r>
              <w:rPr>
                <w:rFonts w:hint="eastAsia"/>
                <w:color w:val="auto"/>
                <w:highlight w:val="none"/>
              </w:rPr>
              <w:t>（3）阻止闲杂人员进入学生宿舍，安保人员无必要不得进入女生宿舍。</w:t>
            </w:r>
          </w:p>
          <w:p w14:paraId="42A7791D">
            <w:pPr>
              <w:pStyle w:val="2"/>
              <w:spacing w:line="360" w:lineRule="auto"/>
              <w:ind w:firstLine="420" w:firstLineChars="200"/>
              <w:rPr>
                <w:rFonts w:hint="eastAsia"/>
                <w:color w:val="auto"/>
                <w:highlight w:val="none"/>
              </w:rPr>
            </w:pPr>
            <w:r>
              <w:rPr>
                <w:rFonts w:hint="eastAsia"/>
                <w:color w:val="auto"/>
                <w:highlight w:val="none"/>
              </w:rPr>
              <w:t>3. 消防管理要求</w:t>
            </w:r>
          </w:p>
          <w:p w14:paraId="409F81B6">
            <w:pPr>
              <w:pStyle w:val="2"/>
              <w:spacing w:line="360" w:lineRule="auto"/>
              <w:ind w:firstLine="420" w:firstLineChars="200"/>
              <w:rPr>
                <w:rFonts w:hint="eastAsia"/>
                <w:color w:val="auto"/>
                <w:highlight w:val="none"/>
              </w:rPr>
            </w:pPr>
            <w:r>
              <w:rPr>
                <w:rFonts w:hint="eastAsia"/>
                <w:color w:val="auto"/>
                <w:highlight w:val="none"/>
              </w:rPr>
              <w:t>（1）配合学校举行消防演练，让师生员工熟悉消防程序</w:t>
            </w:r>
            <w:r>
              <w:rPr>
                <w:rFonts w:hint="eastAsia"/>
                <w:color w:val="auto"/>
                <w:highlight w:val="none"/>
                <w:lang w:eastAsia="zh-CN"/>
              </w:rPr>
              <w:t>；</w:t>
            </w:r>
          </w:p>
          <w:p w14:paraId="193AAD12">
            <w:pPr>
              <w:pStyle w:val="2"/>
              <w:spacing w:line="360" w:lineRule="auto"/>
              <w:ind w:firstLine="420" w:firstLineChars="200"/>
              <w:rPr>
                <w:rFonts w:hint="eastAsia"/>
                <w:color w:val="auto"/>
                <w:highlight w:val="none"/>
              </w:rPr>
            </w:pPr>
            <w:r>
              <w:rPr>
                <w:rFonts w:hint="eastAsia"/>
                <w:color w:val="auto"/>
                <w:highlight w:val="none"/>
              </w:rPr>
              <w:t>（2）每月进行消防设施检查，确保消防设施设备的完好性。</w:t>
            </w:r>
          </w:p>
          <w:p w14:paraId="2B861B5B">
            <w:pPr>
              <w:pStyle w:val="2"/>
              <w:spacing w:line="360" w:lineRule="auto"/>
              <w:ind w:firstLine="420" w:firstLineChars="200"/>
              <w:rPr>
                <w:rFonts w:hint="eastAsia"/>
                <w:color w:val="auto"/>
                <w:highlight w:val="none"/>
              </w:rPr>
            </w:pPr>
            <w:r>
              <w:rPr>
                <w:rFonts w:hint="eastAsia"/>
                <w:color w:val="auto"/>
                <w:highlight w:val="none"/>
              </w:rPr>
              <w:t>4. 应急处理</w:t>
            </w:r>
          </w:p>
          <w:p w14:paraId="65FBF5E2">
            <w:pPr>
              <w:pStyle w:val="2"/>
              <w:spacing w:line="360" w:lineRule="auto"/>
              <w:ind w:firstLine="420" w:firstLineChars="200"/>
              <w:rPr>
                <w:rFonts w:hint="eastAsia"/>
                <w:color w:val="auto"/>
                <w:highlight w:val="none"/>
              </w:rPr>
            </w:pPr>
            <w:r>
              <w:rPr>
                <w:rFonts w:hint="eastAsia"/>
                <w:color w:val="auto"/>
                <w:highlight w:val="none"/>
              </w:rPr>
              <w:t>建立突发事件应急预案并熟悉预案的各项要求，以便在突发事件发生，能第一时间赶到现场，并</w:t>
            </w:r>
            <w:r>
              <w:rPr>
                <w:rFonts w:hint="eastAsia"/>
                <w:color w:val="auto"/>
                <w:highlight w:val="none"/>
                <w:lang w:eastAsia="zh-CN"/>
              </w:rPr>
              <w:t>有条不紊</w:t>
            </w:r>
            <w:r>
              <w:rPr>
                <w:rFonts w:hint="eastAsia"/>
                <w:color w:val="auto"/>
                <w:highlight w:val="none"/>
              </w:rPr>
              <w:t>地处理突发事件，在最大限度内控制事态的发展。</w:t>
            </w:r>
          </w:p>
          <w:p w14:paraId="0EB48914">
            <w:pPr>
              <w:pStyle w:val="2"/>
              <w:spacing w:line="360" w:lineRule="auto"/>
              <w:ind w:firstLine="420" w:firstLineChars="200"/>
              <w:rPr>
                <w:rFonts w:hint="eastAsia"/>
                <w:color w:val="auto"/>
                <w:highlight w:val="none"/>
              </w:rPr>
            </w:pPr>
            <w:r>
              <w:rPr>
                <w:rFonts w:hint="eastAsia"/>
                <w:color w:val="auto"/>
                <w:highlight w:val="none"/>
              </w:rPr>
              <w:t>5. 校园财产安全要求</w:t>
            </w:r>
          </w:p>
          <w:p w14:paraId="28ED59AF">
            <w:pPr>
              <w:pStyle w:val="2"/>
              <w:spacing w:line="360" w:lineRule="auto"/>
              <w:ind w:firstLine="420" w:firstLineChars="200"/>
              <w:rPr>
                <w:rFonts w:hint="eastAsia"/>
                <w:color w:val="auto"/>
                <w:highlight w:val="none"/>
              </w:rPr>
            </w:pPr>
            <w:r>
              <w:rPr>
                <w:rFonts w:hint="eastAsia"/>
                <w:color w:val="auto"/>
                <w:highlight w:val="none"/>
              </w:rPr>
              <w:t>（1）建立校园财产安全巡查机制，对学校重点区域、重要场所、重要设备进行重点监控；</w:t>
            </w:r>
          </w:p>
          <w:p w14:paraId="34B4FE2A">
            <w:pPr>
              <w:pStyle w:val="2"/>
              <w:spacing w:line="360" w:lineRule="auto"/>
              <w:ind w:firstLine="420" w:firstLineChars="200"/>
              <w:rPr>
                <w:rFonts w:hint="eastAsia"/>
                <w:color w:val="auto"/>
                <w:highlight w:val="none"/>
              </w:rPr>
            </w:pPr>
            <w:r>
              <w:rPr>
                <w:rFonts w:hint="eastAsia"/>
                <w:color w:val="auto"/>
                <w:highlight w:val="none"/>
              </w:rPr>
              <w:t>（2）对出校门的贵重物品进行必要的询查机制，并与相关部门取得联系，做好核查登记工作；</w:t>
            </w:r>
          </w:p>
          <w:p w14:paraId="31329417">
            <w:pPr>
              <w:pStyle w:val="2"/>
              <w:spacing w:line="360" w:lineRule="auto"/>
              <w:ind w:firstLine="420" w:firstLineChars="200"/>
              <w:rPr>
                <w:rFonts w:hint="eastAsia"/>
                <w:color w:val="auto"/>
                <w:highlight w:val="none"/>
              </w:rPr>
            </w:pPr>
            <w:r>
              <w:rPr>
                <w:rFonts w:hint="eastAsia"/>
                <w:color w:val="auto"/>
                <w:highlight w:val="none"/>
              </w:rPr>
              <w:t>（3）由于工作不到位所造成的财产损害、被盗等，</w:t>
            </w:r>
            <w:r>
              <w:rPr>
                <w:rFonts w:hint="eastAsia"/>
                <w:color w:val="auto"/>
                <w:highlight w:val="none"/>
                <w:lang w:eastAsia="zh-CN"/>
              </w:rPr>
              <w:t>中标人</w:t>
            </w:r>
            <w:r>
              <w:rPr>
                <w:rFonts w:hint="eastAsia"/>
                <w:color w:val="auto"/>
                <w:highlight w:val="none"/>
              </w:rPr>
              <w:t>需承担相应的赔偿责任。</w:t>
            </w:r>
          </w:p>
          <w:p w14:paraId="1F45A633">
            <w:pPr>
              <w:pStyle w:val="2"/>
              <w:spacing w:line="360" w:lineRule="auto"/>
              <w:ind w:firstLine="420" w:firstLineChars="200"/>
              <w:rPr>
                <w:rFonts w:hint="eastAsia"/>
                <w:color w:val="auto"/>
                <w:highlight w:val="none"/>
              </w:rPr>
            </w:pPr>
            <w:r>
              <w:rPr>
                <w:rFonts w:hint="eastAsia"/>
                <w:color w:val="auto"/>
                <w:highlight w:val="none"/>
              </w:rPr>
              <w:t>6. 其他</w:t>
            </w:r>
          </w:p>
          <w:p w14:paraId="2EE5C2F4">
            <w:pPr>
              <w:pStyle w:val="2"/>
              <w:spacing w:line="360" w:lineRule="auto"/>
              <w:ind w:firstLine="420" w:firstLineChars="200"/>
              <w:rPr>
                <w:rFonts w:hint="eastAsia"/>
                <w:color w:val="auto"/>
                <w:highlight w:val="none"/>
              </w:rPr>
            </w:pPr>
            <w:r>
              <w:rPr>
                <w:rFonts w:hint="eastAsia"/>
                <w:color w:val="auto"/>
                <w:highlight w:val="none"/>
              </w:rPr>
              <w:t>无条件配合学校教育教学工作。</w:t>
            </w:r>
          </w:p>
          <w:p w14:paraId="0586A481">
            <w:pPr>
              <w:pStyle w:val="2"/>
              <w:spacing w:line="360" w:lineRule="auto"/>
              <w:ind w:firstLine="420" w:firstLineChars="200"/>
              <w:rPr>
                <w:rFonts w:hint="eastAsia"/>
                <w:color w:val="auto"/>
                <w:highlight w:val="none"/>
              </w:rPr>
            </w:pPr>
            <w:r>
              <w:rPr>
                <w:rFonts w:hint="eastAsia"/>
                <w:color w:val="auto"/>
                <w:highlight w:val="none"/>
                <w:lang w:val="en-US" w:eastAsia="zh-CN"/>
              </w:rPr>
              <w:t>六</w:t>
            </w:r>
            <w:r>
              <w:rPr>
                <w:rFonts w:hint="eastAsia"/>
                <w:color w:val="auto"/>
                <w:highlight w:val="none"/>
              </w:rPr>
              <w:t>、中标</w:t>
            </w:r>
            <w:r>
              <w:rPr>
                <w:rFonts w:hint="eastAsia"/>
                <w:color w:val="auto"/>
                <w:highlight w:val="none"/>
                <w:lang w:val="en-US" w:eastAsia="zh-CN"/>
              </w:rPr>
              <w:t>人</w:t>
            </w:r>
            <w:r>
              <w:rPr>
                <w:rFonts w:hint="eastAsia"/>
                <w:color w:val="auto"/>
                <w:highlight w:val="none"/>
              </w:rPr>
              <w:t>的责任与义务</w:t>
            </w:r>
          </w:p>
          <w:p w14:paraId="1C3393E0">
            <w:pPr>
              <w:pStyle w:val="2"/>
              <w:spacing w:line="360" w:lineRule="auto"/>
              <w:ind w:firstLine="420" w:firstLineChars="200"/>
              <w:rPr>
                <w:rFonts w:hint="eastAsia"/>
                <w:color w:val="auto"/>
                <w:highlight w:val="none"/>
              </w:rPr>
            </w:pPr>
            <w:r>
              <w:rPr>
                <w:rFonts w:hint="eastAsia"/>
                <w:color w:val="auto"/>
                <w:highlight w:val="none"/>
              </w:rPr>
              <w:t>1.在服务期内接受采购方的考核、评议；接受服务单位</w:t>
            </w:r>
            <w:r>
              <w:rPr>
                <w:rFonts w:hint="eastAsia"/>
                <w:color w:val="auto"/>
                <w:highlight w:val="none"/>
                <w:lang w:eastAsia="zh-CN"/>
              </w:rPr>
              <w:t>（</w:t>
            </w:r>
            <w:r>
              <w:rPr>
                <w:rFonts w:hint="eastAsia"/>
                <w:color w:val="auto"/>
                <w:highlight w:val="none"/>
                <w:lang w:val="en-US" w:eastAsia="zh-CN"/>
              </w:rPr>
              <w:t>学校</w:t>
            </w:r>
            <w:r>
              <w:rPr>
                <w:rFonts w:hint="eastAsia"/>
                <w:color w:val="auto"/>
                <w:highlight w:val="none"/>
                <w:lang w:eastAsia="zh-CN"/>
              </w:rPr>
              <w:t>）</w:t>
            </w:r>
            <w:r>
              <w:rPr>
                <w:rFonts w:hint="eastAsia"/>
                <w:color w:val="auto"/>
                <w:highlight w:val="none"/>
              </w:rPr>
              <w:t>的监督，必须做到服务满意度达到80%以上；</w:t>
            </w:r>
          </w:p>
          <w:p w14:paraId="4A957828">
            <w:pPr>
              <w:pStyle w:val="2"/>
              <w:spacing w:line="360" w:lineRule="auto"/>
              <w:ind w:firstLine="420" w:firstLineChars="200"/>
              <w:rPr>
                <w:rFonts w:hint="eastAsia"/>
                <w:color w:val="auto"/>
                <w:highlight w:val="none"/>
              </w:rPr>
            </w:pPr>
            <w:r>
              <w:rPr>
                <w:rFonts w:hint="eastAsia"/>
                <w:color w:val="auto"/>
                <w:highlight w:val="none"/>
              </w:rPr>
              <w:t>2.在合同有效期内，</w:t>
            </w:r>
            <w:r>
              <w:rPr>
                <w:rFonts w:hint="eastAsia"/>
                <w:color w:val="auto"/>
                <w:highlight w:val="none"/>
                <w:lang w:eastAsia="zh-CN"/>
              </w:rPr>
              <w:t>中标人</w:t>
            </w:r>
            <w:r>
              <w:rPr>
                <w:rFonts w:hint="eastAsia"/>
                <w:color w:val="auto"/>
                <w:highlight w:val="none"/>
              </w:rPr>
              <w:t>负责按</w:t>
            </w:r>
            <w:r>
              <w:rPr>
                <w:rFonts w:hint="eastAsia"/>
                <w:color w:val="auto"/>
                <w:highlight w:val="none"/>
                <w:lang w:val="en-US" w:eastAsia="zh-CN"/>
              </w:rPr>
              <w:t>相关法律法规</w:t>
            </w:r>
            <w:r>
              <w:rPr>
                <w:rFonts w:hint="eastAsia"/>
                <w:color w:val="auto"/>
                <w:highlight w:val="none"/>
              </w:rPr>
              <w:t>规定为所聘安保人员购买“五险”，</w:t>
            </w:r>
            <w:r>
              <w:rPr>
                <w:rFonts w:hint="eastAsia"/>
                <w:color w:val="auto"/>
                <w:highlight w:val="none"/>
                <w:lang w:eastAsia="zh-CN"/>
              </w:rPr>
              <w:t>中标人</w:t>
            </w:r>
            <w:r>
              <w:rPr>
                <w:rFonts w:hint="eastAsia"/>
                <w:color w:val="auto"/>
                <w:highlight w:val="none"/>
              </w:rPr>
              <w:t>要确保每月按时足额</w:t>
            </w:r>
            <w:r>
              <w:rPr>
                <w:rFonts w:hint="eastAsia"/>
                <w:color w:val="auto"/>
                <w:highlight w:val="none"/>
                <w:lang w:eastAsia="zh-CN"/>
              </w:rPr>
              <w:t>发放</w:t>
            </w:r>
            <w:r>
              <w:rPr>
                <w:rFonts w:hint="eastAsia"/>
                <w:color w:val="auto"/>
                <w:highlight w:val="none"/>
              </w:rPr>
              <w:t>安保人员的工资。对我区中小学</w:t>
            </w:r>
            <w:r>
              <w:rPr>
                <w:rFonts w:hint="eastAsia"/>
                <w:color w:val="auto"/>
                <w:highlight w:val="none"/>
                <w:lang w:eastAsia="zh-CN"/>
              </w:rPr>
              <w:t>（</w:t>
            </w:r>
            <w:r>
              <w:rPr>
                <w:rFonts w:hint="eastAsia"/>
                <w:color w:val="auto"/>
                <w:highlight w:val="none"/>
                <w:lang w:val="en-US" w:eastAsia="zh-CN"/>
              </w:rPr>
              <w:t>幼儿园</w:t>
            </w:r>
            <w:r>
              <w:rPr>
                <w:rFonts w:hint="eastAsia"/>
                <w:color w:val="auto"/>
                <w:highlight w:val="none"/>
                <w:lang w:eastAsia="zh-CN"/>
              </w:rPr>
              <w:t>）</w:t>
            </w:r>
            <w:r>
              <w:rPr>
                <w:rFonts w:hint="eastAsia"/>
                <w:color w:val="auto"/>
                <w:highlight w:val="none"/>
              </w:rPr>
              <w:t>目前现有的专职安保人员，采取自愿的原则，愿意从事学校安保工作的，由</w:t>
            </w:r>
            <w:r>
              <w:rPr>
                <w:rFonts w:hint="eastAsia"/>
                <w:color w:val="auto"/>
                <w:highlight w:val="none"/>
                <w:lang w:eastAsia="zh-CN"/>
              </w:rPr>
              <w:t>中标人</w:t>
            </w:r>
            <w:r>
              <w:rPr>
                <w:rFonts w:hint="eastAsia"/>
                <w:color w:val="auto"/>
                <w:highlight w:val="none"/>
              </w:rPr>
              <w:t>组织专业培训后，签订就业合同，所有待遇与</w:t>
            </w:r>
            <w:r>
              <w:rPr>
                <w:rFonts w:hint="eastAsia"/>
                <w:color w:val="auto"/>
                <w:highlight w:val="none"/>
                <w:lang w:eastAsia="zh-CN"/>
              </w:rPr>
              <w:t>中标人</w:t>
            </w:r>
            <w:r>
              <w:rPr>
                <w:rFonts w:hint="eastAsia"/>
                <w:color w:val="auto"/>
                <w:highlight w:val="none"/>
              </w:rPr>
              <w:t>自行聘请的学校安保人员一致；</w:t>
            </w:r>
          </w:p>
          <w:p w14:paraId="1ED7C9BE">
            <w:pPr>
              <w:pStyle w:val="2"/>
              <w:spacing w:line="360" w:lineRule="auto"/>
              <w:ind w:firstLine="420" w:firstLineChars="200"/>
              <w:rPr>
                <w:rFonts w:hint="eastAsia"/>
                <w:color w:val="auto"/>
                <w:highlight w:val="none"/>
              </w:rPr>
            </w:pPr>
            <w:r>
              <w:rPr>
                <w:rFonts w:hint="eastAsia"/>
                <w:color w:val="auto"/>
                <w:highlight w:val="none"/>
              </w:rPr>
              <w:t>3.</w:t>
            </w:r>
            <w:r>
              <w:rPr>
                <w:rFonts w:hint="eastAsia"/>
                <w:color w:val="auto"/>
                <w:highlight w:val="none"/>
                <w:lang w:eastAsia="zh-CN"/>
              </w:rPr>
              <w:t>中标人</w:t>
            </w:r>
            <w:r>
              <w:rPr>
                <w:rFonts w:hint="eastAsia"/>
                <w:color w:val="auto"/>
                <w:highlight w:val="none"/>
              </w:rPr>
              <w:t>应每天24小时</w:t>
            </w:r>
            <w:r>
              <w:rPr>
                <w:rFonts w:hint="eastAsia"/>
                <w:color w:val="auto"/>
                <w:highlight w:val="none"/>
                <w:lang w:eastAsia="zh-CN"/>
              </w:rPr>
              <w:t>安排</w:t>
            </w:r>
            <w:r>
              <w:rPr>
                <w:rFonts w:hint="eastAsia"/>
                <w:color w:val="auto"/>
                <w:highlight w:val="none"/>
              </w:rPr>
              <w:t>管理人员值班，在提供管理服务时必须做好各项安全防范措施。在合同期内，保安人员如发生任何人身意外（生病、伤亡事故、包括上班执勤时伤亡</w:t>
            </w:r>
            <w:r>
              <w:rPr>
                <w:rFonts w:hint="eastAsia"/>
                <w:color w:val="auto"/>
                <w:highlight w:val="none"/>
                <w:lang w:eastAsia="zh-CN"/>
              </w:rPr>
              <w:t>）</w:t>
            </w:r>
            <w:r>
              <w:rPr>
                <w:rFonts w:hint="eastAsia"/>
                <w:color w:val="auto"/>
                <w:highlight w:val="none"/>
              </w:rPr>
              <w:t>或触犯法律法规（包括劳动用工制度、发生劳资纠纷）</w:t>
            </w:r>
            <w:r>
              <w:rPr>
                <w:rFonts w:hint="eastAsia"/>
                <w:color w:val="auto"/>
                <w:highlight w:val="none"/>
                <w:lang w:eastAsia="zh-CN"/>
              </w:rPr>
              <w:t>或</w:t>
            </w:r>
            <w:r>
              <w:rPr>
                <w:rFonts w:hint="eastAsia"/>
                <w:color w:val="auto"/>
                <w:highlight w:val="none"/>
              </w:rPr>
              <w:t>损坏服务对象的公共设施和物品，由</w:t>
            </w:r>
            <w:r>
              <w:rPr>
                <w:rFonts w:hint="eastAsia"/>
                <w:color w:val="auto"/>
                <w:highlight w:val="none"/>
                <w:lang w:eastAsia="zh-CN"/>
              </w:rPr>
              <w:t>中标人</w:t>
            </w:r>
            <w:r>
              <w:rPr>
                <w:rFonts w:hint="eastAsia"/>
                <w:color w:val="auto"/>
                <w:highlight w:val="none"/>
              </w:rPr>
              <w:t>负</w:t>
            </w:r>
            <w:r>
              <w:rPr>
                <w:rFonts w:hint="eastAsia"/>
                <w:color w:val="auto"/>
                <w:highlight w:val="none"/>
                <w:lang w:val="en-US" w:eastAsia="zh-CN"/>
              </w:rPr>
              <w:t>全部</w:t>
            </w:r>
            <w:r>
              <w:rPr>
                <w:rFonts w:hint="eastAsia"/>
                <w:color w:val="auto"/>
                <w:highlight w:val="none"/>
              </w:rPr>
              <w:t>责任；</w:t>
            </w:r>
          </w:p>
          <w:p w14:paraId="7E0F7AB1">
            <w:pPr>
              <w:pStyle w:val="2"/>
              <w:spacing w:line="360" w:lineRule="auto"/>
              <w:ind w:firstLine="420" w:firstLineChars="200"/>
              <w:rPr>
                <w:rFonts w:hint="eastAsia"/>
                <w:color w:val="auto"/>
                <w:highlight w:val="none"/>
              </w:rPr>
            </w:pPr>
            <w:r>
              <w:rPr>
                <w:rFonts w:hint="eastAsia"/>
                <w:color w:val="auto"/>
                <w:highlight w:val="none"/>
              </w:rPr>
              <w:t>4.</w:t>
            </w:r>
            <w:r>
              <w:rPr>
                <w:rFonts w:hint="eastAsia"/>
                <w:color w:val="auto"/>
                <w:highlight w:val="none"/>
                <w:lang w:eastAsia="zh-CN"/>
              </w:rPr>
              <w:t>中标人</w:t>
            </w:r>
            <w:r>
              <w:rPr>
                <w:rFonts w:hint="eastAsia"/>
                <w:color w:val="auto"/>
                <w:highlight w:val="none"/>
              </w:rPr>
              <w:t>应</w:t>
            </w:r>
            <w:r>
              <w:rPr>
                <w:rFonts w:hint="eastAsia"/>
                <w:color w:val="auto"/>
                <w:highlight w:val="none"/>
                <w:lang w:val="en-US" w:eastAsia="zh-CN"/>
              </w:rPr>
              <w:t>按规范</w:t>
            </w:r>
            <w:r>
              <w:rPr>
                <w:rFonts w:hint="eastAsia"/>
                <w:color w:val="auto"/>
                <w:highlight w:val="none"/>
              </w:rPr>
              <w:t>自行配置装备（如对讲机、警械、手电等</w:t>
            </w:r>
            <w:r>
              <w:rPr>
                <w:rFonts w:hint="eastAsia"/>
                <w:color w:val="auto"/>
                <w:highlight w:val="none"/>
                <w:lang w:eastAsia="zh-CN"/>
              </w:rPr>
              <w:t>器材</w:t>
            </w:r>
            <w:r>
              <w:rPr>
                <w:rFonts w:hint="eastAsia"/>
                <w:color w:val="auto"/>
                <w:highlight w:val="none"/>
              </w:rPr>
              <w:t>）及服装，费用自理。中标人每月应不少于一次会同采购人和服务对象检查工作质量，对存在的问题要按采购人的要求抓好整改落实；</w:t>
            </w:r>
          </w:p>
          <w:p w14:paraId="3D11C762">
            <w:pPr>
              <w:pStyle w:val="2"/>
              <w:spacing w:line="360" w:lineRule="auto"/>
              <w:ind w:firstLine="420" w:firstLineChars="200"/>
              <w:rPr>
                <w:rFonts w:hint="eastAsia"/>
                <w:color w:val="auto"/>
                <w:highlight w:val="none"/>
              </w:rPr>
            </w:pPr>
            <w:r>
              <w:rPr>
                <w:rFonts w:hint="eastAsia"/>
                <w:color w:val="auto"/>
                <w:highlight w:val="none"/>
              </w:rPr>
              <w:t>5.</w:t>
            </w:r>
            <w:r>
              <w:rPr>
                <w:rFonts w:hint="eastAsia"/>
                <w:color w:val="auto"/>
                <w:highlight w:val="none"/>
                <w:lang w:val="en-US" w:eastAsia="zh-CN"/>
              </w:rPr>
              <w:t>合同签订后，</w:t>
            </w:r>
            <w:r>
              <w:rPr>
                <w:rFonts w:hint="eastAsia"/>
                <w:color w:val="auto"/>
                <w:highlight w:val="none"/>
              </w:rPr>
              <w:t>中标人应向采购人提供所聘请人员的书面个人资料情况表（含人员姓名、身份证号等信息）。如更换工作人员，应</w:t>
            </w:r>
            <w:r>
              <w:rPr>
                <w:rFonts w:hint="eastAsia"/>
                <w:color w:val="auto"/>
                <w:highlight w:val="none"/>
                <w:lang w:val="en-US" w:eastAsia="zh-CN"/>
              </w:rPr>
              <w:t>提前</w:t>
            </w:r>
            <w:r>
              <w:rPr>
                <w:rFonts w:hint="eastAsia"/>
                <w:color w:val="auto"/>
                <w:highlight w:val="none"/>
              </w:rPr>
              <w:t>15天书面通知采购人和服务单位，以便采购人备案；</w:t>
            </w:r>
          </w:p>
          <w:p w14:paraId="5CD5E72A">
            <w:pPr>
              <w:pStyle w:val="2"/>
              <w:spacing w:line="360" w:lineRule="auto"/>
              <w:ind w:firstLine="420" w:firstLineChars="200"/>
              <w:rPr>
                <w:rFonts w:hint="eastAsia"/>
                <w:color w:val="auto"/>
                <w:highlight w:val="none"/>
              </w:rPr>
            </w:pPr>
            <w:r>
              <w:rPr>
                <w:rFonts w:hint="eastAsia"/>
                <w:color w:val="auto"/>
                <w:highlight w:val="none"/>
              </w:rPr>
              <w:t>6.如中标人擅自转包、分包，一经查实须向采购人承担违约责任（按本项目中标金额的50%计付违约金），并且采购人有权单方提前解除合同。因中标人日常工作不到位，不达标，将依据合同约定，承担相关责任与处罚</w:t>
            </w:r>
            <w:r>
              <w:rPr>
                <w:rFonts w:hint="eastAsia"/>
                <w:color w:val="auto"/>
                <w:highlight w:val="none"/>
                <w:lang w:eastAsia="zh-CN"/>
              </w:rPr>
              <w:t>；</w:t>
            </w:r>
            <w:r>
              <w:rPr>
                <w:rFonts w:hint="eastAsia"/>
                <w:color w:val="auto"/>
                <w:highlight w:val="none"/>
                <w:lang w:val="en-US" w:eastAsia="zh-CN"/>
              </w:rPr>
              <w:t>情节严重造成不良社会影响的，</w:t>
            </w:r>
            <w:r>
              <w:rPr>
                <w:rFonts w:hint="eastAsia"/>
                <w:color w:val="auto"/>
                <w:highlight w:val="none"/>
              </w:rPr>
              <w:t>采购人有权单方提前解除合同</w:t>
            </w:r>
            <w:r>
              <w:rPr>
                <w:rFonts w:hint="eastAsia"/>
                <w:color w:val="auto"/>
                <w:highlight w:val="none"/>
                <w:lang w:val="en-US" w:eastAsia="zh-CN"/>
              </w:rPr>
              <w:t>并停止支付费用</w:t>
            </w:r>
            <w:r>
              <w:rPr>
                <w:rFonts w:hint="eastAsia"/>
                <w:color w:val="auto"/>
                <w:highlight w:val="none"/>
                <w:lang w:eastAsia="zh-CN"/>
              </w:rPr>
              <w:t>，</w:t>
            </w:r>
            <w:r>
              <w:rPr>
                <w:rFonts w:hint="eastAsia"/>
                <w:color w:val="auto"/>
                <w:highlight w:val="none"/>
                <w:lang w:val="en-US" w:eastAsia="zh-CN"/>
              </w:rPr>
              <w:t>追究违约方法律责任，并上报财政监管部门</w:t>
            </w:r>
            <w:r>
              <w:rPr>
                <w:rFonts w:hint="eastAsia"/>
                <w:color w:val="auto"/>
                <w:highlight w:val="none"/>
              </w:rPr>
              <w:t>。</w:t>
            </w:r>
          </w:p>
          <w:p w14:paraId="3A26DC70">
            <w:pPr>
              <w:pStyle w:val="2"/>
              <w:spacing w:line="360" w:lineRule="auto"/>
              <w:ind w:firstLine="420" w:firstLineChars="200"/>
              <w:rPr>
                <w:rFonts w:hint="eastAsia"/>
                <w:color w:val="auto"/>
                <w:highlight w:val="none"/>
              </w:rPr>
            </w:pPr>
            <w:r>
              <w:rPr>
                <w:rFonts w:hint="eastAsia"/>
                <w:color w:val="auto"/>
                <w:highlight w:val="none"/>
                <w:lang w:val="en-US" w:eastAsia="zh-CN"/>
              </w:rPr>
              <w:t>七</w:t>
            </w:r>
            <w:r>
              <w:rPr>
                <w:rFonts w:hint="eastAsia"/>
                <w:color w:val="auto"/>
                <w:highlight w:val="none"/>
              </w:rPr>
              <w:t>、其他说明</w:t>
            </w:r>
          </w:p>
          <w:p w14:paraId="60B5DEF1">
            <w:pPr>
              <w:pStyle w:val="2"/>
              <w:spacing w:line="360" w:lineRule="auto"/>
              <w:ind w:firstLine="422" w:firstLineChars="200"/>
              <w:rPr>
                <w:rFonts w:hint="eastAsia"/>
                <w:b/>
                <w:bCs/>
                <w:color w:val="auto"/>
                <w:highlight w:val="none"/>
              </w:rPr>
            </w:pPr>
            <w:r>
              <w:rPr>
                <w:rFonts w:hint="eastAsia"/>
                <w:b/>
                <w:bCs/>
                <w:color w:val="auto"/>
                <w:highlight w:val="none"/>
              </w:rPr>
              <w:t>▲1.保安员派遣前，中标人必须将拟派遣的保安员有关资料信息（含相片）提供给采购人审定。派遣的保安人员一经确定，中标人、采购人共同签字确定具体人员清单，保安员资料由双方备份存档；</w:t>
            </w:r>
          </w:p>
          <w:p w14:paraId="69027784">
            <w:pPr>
              <w:pStyle w:val="2"/>
              <w:spacing w:line="360" w:lineRule="auto"/>
              <w:ind w:firstLine="422" w:firstLineChars="200"/>
              <w:rPr>
                <w:rFonts w:hint="eastAsia"/>
                <w:b/>
                <w:bCs/>
                <w:color w:val="auto"/>
                <w:highlight w:val="none"/>
              </w:rPr>
            </w:pPr>
            <w:r>
              <w:rPr>
                <w:rFonts w:hint="eastAsia"/>
                <w:b/>
                <w:bCs/>
                <w:color w:val="auto"/>
                <w:highlight w:val="none"/>
              </w:rPr>
              <w:t>2.投标文件中必须提供针对本项目的</w:t>
            </w:r>
            <w:r>
              <w:rPr>
                <w:rFonts w:hint="eastAsia"/>
                <w:b/>
                <w:bCs/>
                <w:color w:val="auto"/>
                <w:highlight w:val="none"/>
                <w:lang w:eastAsia="zh-CN"/>
              </w:rPr>
              <w:t>服务实施方案</w:t>
            </w:r>
            <w:r>
              <w:rPr>
                <w:rFonts w:hint="eastAsia"/>
                <w:b/>
                <w:bCs/>
                <w:color w:val="auto"/>
                <w:highlight w:val="none"/>
              </w:rPr>
              <w:t>，否则投标无效；</w:t>
            </w:r>
          </w:p>
          <w:p w14:paraId="6B15ACA0">
            <w:pPr>
              <w:pStyle w:val="2"/>
              <w:spacing w:line="360" w:lineRule="auto"/>
              <w:ind w:firstLine="422" w:firstLineChars="200"/>
              <w:rPr>
                <w:rFonts w:hint="eastAsia"/>
                <w:color w:val="auto"/>
                <w:highlight w:val="none"/>
              </w:rPr>
            </w:pPr>
            <w:r>
              <w:rPr>
                <w:rFonts w:hint="eastAsia"/>
                <w:b/>
                <w:bCs/>
                <w:color w:val="auto"/>
                <w:highlight w:val="none"/>
              </w:rPr>
              <w:t>3.无条件配合学校教育教学工作。</w:t>
            </w:r>
          </w:p>
        </w:tc>
      </w:tr>
      <w:tr w14:paraId="6B839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6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083657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w:t>
            </w:r>
          </w:p>
        </w:tc>
        <w:tc>
          <w:tcPr>
            <w:tcW w:w="9576" w:type="dxa"/>
            <w:gridSpan w:val="4"/>
            <w:tcBorders>
              <w:top w:val="single" w:color="auto" w:sz="4" w:space="0"/>
              <w:left w:val="single" w:color="auto" w:sz="4" w:space="0"/>
              <w:bottom w:val="single" w:color="auto" w:sz="4" w:space="0"/>
              <w:right w:val="single" w:color="auto" w:sz="4" w:space="0"/>
            </w:tcBorders>
            <w:noWrap w:val="0"/>
            <w:vAlign w:val="center"/>
          </w:tcPr>
          <w:p w14:paraId="0FD387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一、合同签订期：</w:t>
            </w:r>
            <w:r>
              <w:rPr>
                <w:rFonts w:hint="eastAsia" w:ascii="宋体" w:hAnsi="宋体" w:eastAsia="宋体" w:cs="宋体"/>
                <w:color w:val="auto"/>
                <w:szCs w:val="21"/>
                <w:highlight w:val="none"/>
              </w:rPr>
              <w:t>自中标通知书发出之日起</w:t>
            </w:r>
            <w:r>
              <w:rPr>
                <w:rFonts w:hint="eastAsia" w:ascii="宋体" w:hAnsi="宋体" w:eastAsia="宋体" w:cs="宋体"/>
                <w:color w:val="auto"/>
                <w:szCs w:val="21"/>
                <w:highlight w:val="none"/>
                <w:u w:val="single"/>
                <w:lang w:val="en-US" w:eastAsia="zh-CN"/>
              </w:rPr>
              <w:t>25</w:t>
            </w:r>
            <w:r>
              <w:rPr>
                <w:rFonts w:hint="eastAsia" w:ascii="宋体" w:hAnsi="宋体" w:eastAsia="宋体" w:cs="宋体"/>
                <w:color w:val="auto"/>
                <w:szCs w:val="21"/>
                <w:highlight w:val="none"/>
              </w:rPr>
              <w:t>日内</w:t>
            </w:r>
            <w:r>
              <w:rPr>
                <w:rFonts w:hint="eastAsia" w:ascii="宋体" w:hAnsi="宋体" w:eastAsia="宋体" w:cs="宋体"/>
                <w:color w:val="auto"/>
                <w:highlight w:val="none"/>
                <w:lang w:eastAsia="zh-CN"/>
              </w:rPr>
              <w:t>。</w:t>
            </w:r>
          </w:p>
          <w:p w14:paraId="40C086B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二、</w:t>
            </w:r>
            <w:r>
              <w:rPr>
                <w:rFonts w:hint="eastAsia" w:ascii="宋体" w:hAnsi="宋体" w:eastAsia="宋体" w:cs="宋体"/>
                <w:color w:val="auto"/>
                <w:highlight w:val="none"/>
              </w:rPr>
              <w:t>服务地点：</w:t>
            </w:r>
            <w:r>
              <w:rPr>
                <w:rFonts w:hint="eastAsia" w:ascii="宋体" w:hAnsi="宋体" w:eastAsia="宋体" w:cs="宋体"/>
                <w:color w:val="auto"/>
                <w:highlight w:val="none"/>
                <w:lang w:val="en-US" w:eastAsia="zh-CN"/>
              </w:rPr>
              <w:t>防城港市内采购人指定地点。</w:t>
            </w:r>
          </w:p>
          <w:p w14:paraId="19A458E3">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服务期限：</w:t>
            </w:r>
            <w:r>
              <w:rPr>
                <w:rFonts w:hint="eastAsia" w:ascii="宋体" w:hAnsi="宋体" w:eastAsia="宋体" w:cs="宋体"/>
                <w:color w:val="auto"/>
                <w:highlight w:val="none"/>
                <w:lang w:val="en-US" w:eastAsia="zh-CN"/>
              </w:rPr>
              <w:t>1年（具体时间以合同约定为准）</w:t>
            </w:r>
          </w:p>
          <w:p w14:paraId="0387C321">
            <w:pPr>
              <w:pStyle w:val="2"/>
              <w:spacing w:line="360" w:lineRule="auto"/>
              <w:rPr>
                <w:rFonts w:hint="eastAsia" w:ascii="宋体" w:hAnsi="宋体" w:eastAsia="宋体" w:cs="宋体"/>
                <w:color w:val="auto"/>
                <w:highlight w:val="none"/>
                <w:lang w:val="en-US"/>
              </w:rPr>
            </w:pPr>
            <w:r>
              <w:rPr>
                <w:rFonts w:hint="eastAsia" w:ascii="宋体" w:hAnsi="宋体" w:cs="宋体"/>
                <w:color w:val="auto"/>
                <w:highlight w:val="none"/>
                <w:lang w:val="en-US" w:eastAsia="zh-CN"/>
              </w:rPr>
              <w:t>四</w:t>
            </w:r>
            <w:r>
              <w:rPr>
                <w:rFonts w:hint="eastAsia" w:ascii="宋体" w:hAnsi="宋体" w:eastAsia="宋体" w:cs="宋体"/>
                <w:color w:val="auto"/>
                <w:highlight w:val="none"/>
                <w:lang w:val="en-US" w:eastAsia="zh-CN"/>
              </w:rPr>
              <w:t>、付款方式：</w:t>
            </w:r>
            <w:r>
              <w:rPr>
                <w:rFonts w:hint="eastAsia" w:ascii="宋体" w:hAnsi="宋体" w:cs="宋体"/>
                <w:color w:val="auto"/>
                <w:highlight w:val="none"/>
                <w:lang w:val="en-US" w:eastAsia="zh-CN"/>
              </w:rPr>
              <w:t>签订合同后，采购人在财政部门资金下达后10个工作日内支付</w:t>
            </w:r>
            <w:r>
              <w:rPr>
                <w:rFonts w:hint="eastAsia" w:ascii="宋体" w:hAnsi="宋体" w:eastAsia="宋体" w:cs="宋体"/>
                <w:color w:val="auto"/>
                <w:highlight w:val="none"/>
                <w:lang w:val="en-US" w:eastAsia="zh-CN"/>
              </w:rPr>
              <w:t>预付合同总价款的10%，剩余的90%合同款按每个季度平均支付，每个季度的下一个月15个工作日前支付上个季度的费用，直至支付完毕为止，中标人自收到</w:t>
            </w:r>
            <w:r>
              <w:rPr>
                <w:rFonts w:hint="eastAsia" w:ascii="宋体" w:hAnsi="宋体" w:cs="宋体"/>
                <w:color w:val="auto"/>
                <w:highlight w:val="none"/>
                <w:lang w:val="en-US" w:eastAsia="zh-CN"/>
              </w:rPr>
              <w:t>每次</w:t>
            </w:r>
            <w:r>
              <w:rPr>
                <w:rFonts w:hint="eastAsia" w:ascii="宋体" w:hAnsi="宋体" w:eastAsia="宋体" w:cs="宋体"/>
                <w:color w:val="auto"/>
                <w:highlight w:val="none"/>
                <w:lang w:val="en-US" w:eastAsia="zh-CN"/>
              </w:rPr>
              <w:t>付款后3个工作日内开具合法等额发票给采购人。</w:t>
            </w:r>
          </w:p>
          <w:p w14:paraId="00B621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五</w:t>
            </w:r>
            <w:r>
              <w:rPr>
                <w:rFonts w:hint="eastAsia" w:ascii="宋体" w:hAnsi="宋体" w:eastAsia="宋体" w:cs="宋体"/>
                <w:color w:val="auto"/>
                <w:highlight w:val="none"/>
              </w:rPr>
              <w:t>、验收要求</w:t>
            </w:r>
          </w:p>
          <w:p w14:paraId="5ABF4B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验收方式：采购人严格按照采购合同对</w:t>
            </w:r>
            <w:r>
              <w:rPr>
                <w:rFonts w:hint="eastAsia"/>
                <w:color w:val="auto"/>
                <w:highlight w:val="none"/>
                <w:lang w:val="en-US" w:eastAsia="zh-CN"/>
              </w:rPr>
              <w:t>中标人</w:t>
            </w:r>
            <w:r>
              <w:rPr>
                <w:rFonts w:hint="eastAsia" w:ascii="宋体" w:hAnsi="宋体" w:eastAsia="宋体" w:cs="宋体"/>
                <w:color w:val="auto"/>
                <w:highlight w:val="none"/>
              </w:rPr>
              <w:t>开展履约验收。验收时，按照采购合同的约定对每一项技术、服务、安全标准的履约情况进行确认。验收结束后，应当出具验收书，列明各项标准的验收情况及项目总体评价，由验收双方共同签署。</w:t>
            </w:r>
          </w:p>
          <w:p w14:paraId="0A8A61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eastAsia="zh-CN"/>
              </w:rPr>
              <w:t>2.</w:t>
            </w:r>
            <w:r>
              <w:rPr>
                <w:rFonts w:hint="eastAsia" w:ascii="宋体" w:hAnsi="宋体" w:eastAsia="宋体" w:cs="宋体"/>
                <w:color w:val="auto"/>
                <w:highlight w:val="none"/>
              </w:rPr>
              <w:t>验收费用：</w:t>
            </w:r>
            <w:r>
              <w:rPr>
                <w:rFonts w:hint="eastAsia" w:ascii="宋体" w:hAnsi="宋体" w:eastAsia="宋体" w:cs="宋体"/>
                <w:color w:val="auto"/>
                <w:highlight w:val="none"/>
                <w:lang w:val="en-US" w:eastAsia="zh-CN"/>
              </w:rPr>
              <w:t>由中标人负责所有的验收费用。</w:t>
            </w:r>
          </w:p>
          <w:p w14:paraId="7B03D8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六</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报价</w:t>
            </w:r>
            <w:r>
              <w:rPr>
                <w:rFonts w:hint="eastAsia" w:ascii="宋体" w:hAnsi="宋体" w:eastAsia="宋体" w:cs="宋体"/>
                <w:color w:val="auto"/>
                <w:highlight w:val="none"/>
              </w:rPr>
              <w:t>要求</w:t>
            </w:r>
          </w:p>
          <w:p w14:paraId="0957B0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报价必须</w:t>
            </w:r>
            <w:r>
              <w:rPr>
                <w:rFonts w:hint="eastAsia" w:ascii="宋体" w:hAnsi="宋体" w:cs="宋体"/>
                <w:color w:val="auto"/>
                <w:highlight w:val="none"/>
                <w:lang w:eastAsia="zh-CN"/>
              </w:rPr>
              <w:t>包含</w:t>
            </w:r>
            <w:r>
              <w:rPr>
                <w:rFonts w:hint="eastAsia" w:ascii="宋体" w:hAnsi="宋体" w:eastAsia="宋体" w:cs="宋体"/>
                <w:color w:val="auto"/>
                <w:highlight w:val="none"/>
              </w:rPr>
              <w:t>以下部分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w:t>
            </w:r>
          </w:p>
          <w:p w14:paraId="231AE0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（1）员工工资、社会保险费用（含养老保险、医疗保险、工伤保险、失业保险、生育保险及人身意外伤害保险）、福利费、奖金、安保人员加班费等； </w:t>
            </w:r>
          </w:p>
          <w:p w14:paraId="6C5AC4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（2）服务材料消耗品的补充、更换、维修维护、服装等费用； </w:t>
            </w:r>
          </w:p>
          <w:p w14:paraId="2EE7E2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（3）员工必要的保险费用和各项税金； </w:t>
            </w:r>
          </w:p>
          <w:p w14:paraId="605AEB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（4）企业合理利润</w:t>
            </w:r>
            <w:r>
              <w:rPr>
                <w:rFonts w:hint="eastAsia" w:ascii="宋体" w:hAnsi="宋体" w:cs="宋体"/>
                <w:color w:val="auto"/>
                <w:highlight w:val="none"/>
                <w:lang w:val="en-US" w:eastAsia="zh-CN"/>
              </w:rPr>
              <w:t>；</w:t>
            </w:r>
          </w:p>
          <w:p w14:paraId="4BB6EB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（5）</w:t>
            </w:r>
            <w:r>
              <w:rPr>
                <w:rFonts w:hint="eastAsia" w:ascii="宋体" w:hAnsi="宋体" w:cs="宋体"/>
                <w:color w:val="auto"/>
                <w:highlight w:val="none"/>
                <w:lang w:eastAsia="zh-CN"/>
              </w:rPr>
              <w:t>项目</w:t>
            </w:r>
            <w:r>
              <w:rPr>
                <w:rFonts w:hint="eastAsia" w:ascii="宋体" w:hAnsi="宋体" w:eastAsia="宋体" w:cs="宋体"/>
                <w:color w:val="auto"/>
                <w:highlight w:val="none"/>
              </w:rPr>
              <w:t>验收的费用</w:t>
            </w:r>
            <w:r>
              <w:rPr>
                <w:rFonts w:hint="eastAsia" w:ascii="宋体" w:hAnsi="宋体" w:eastAsia="宋体" w:cs="宋体"/>
                <w:color w:val="auto"/>
                <w:highlight w:val="none"/>
                <w:lang w:eastAsia="zh-CN"/>
              </w:rPr>
              <w:t>。</w:t>
            </w:r>
          </w:p>
          <w:p w14:paraId="2B5A5C68">
            <w:pPr>
              <w:pStyle w:val="2"/>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2.说明：</w:t>
            </w:r>
            <w:r>
              <w:rPr>
                <w:rFonts w:hint="eastAsia" w:ascii="宋体" w:hAnsi="宋体" w:cs="宋体"/>
                <w:color w:val="auto"/>
                <w:highlight w:val="none"/>
                <w:lang w:val="en-US" w:eastAsia="zh-CN"/>
              </w:rPr>
              <w:t>投标报价应包含</w:t>
            </w:r>
            <w:r>
              <w:rPr>
                <w:rFonts w:hint="eastAsia" w:ascii="宋体" w:hAnsi="宋体" w:eastAsia="宋体" w:cs="宋体"/>
                <w:color w:val="auto"/>
                <w:highlight w:val="none"/>
                <w:lang w:val="en-US" w:eastAsia="zh-CN"/>
              </w:rPr>
              <w:t>但并不限于本项目各项购买服务及相关服务等的费用和所需缴纳的税、费。由于投标报价未填报或填报不完整、不清楚或存在其它任何失误，所导致的任何不利后果均应当由</w:t>
            </w:r>
            <w:r>
              <w:rPr>
                <w:rFonts w:hint="eastAsia"/>
                <w:color w:val="auto"/>
                <w:highlight w:val="none"/>
                <w:lang w:val="en-US" w:eastAsia="zh-CN"/>
              </w:rPr>
              <w:t>投标人</w:t>
            </w:r>
            <w:r>
              <w:rPr>
                <w:rFonts w:hint="eastAsia" w:ascii="宋体" w:hAnsi="宋体" w:eastAsia="宋体" w:cs="宋体"/>
                <w:color w:val="auto"/>
                <w:highlight w:val="none"/>
                <w:lang w:val="en-US" w:eastAsia="zh-CN"/>
              </w:rPr>
              <w:t>自行承担。</w:t>
            </w:r>
          </w:p>
          <w:p w14:paraId="523375D0">
            <w:pPr>
              <w:pStyle w:val="3"/>
              <w:spacing w:line="360" w:lineRule="auto"/>
              <w:rPr>
                <w:rFonts w:hint="default"/>
                <w:highlight w:val="none"/>
                <w:lang w:val="en-US" w:eastAsia="zh-CN"/>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3.中标人必须在中标后30天内在防城港市公安局港口分局治安大队进行备案，否则采购人有权终止合同，并向中标人追究由此造成的损失。</w:t>
            </w:r>
          </w:p>
        </w:tc>
      </w:tr>
    </w:tbl>
    <w:p w14:paraId="3865D066"/>
    <w:p w14:paraId="4EA36E8C">
      <w:pPr>
        <w:tabs>
          <w:tab w:val="left" w:pos="180"/>
          <w:tab w:val="left" w:pos="1620"/>
        </w:tabs>
        <w:spacing w:line="420" w:lineRule="exact"/>
        <w:ind w:firstLine="420" w:firstLineChars="200"/>
        <w:jc w:val="left"/>
        <w:rPr>
          <w:rFonts w:hint="eastAsia" w:ascii="宋体" w:hAnsi="宋体" w:cs="宋体"/>
          <w:color w:val="auto"/>
        </w:rPr>
      </w:pPr>
    </w:p>
    <w:p w14:paraId="30F18534">
      <w:pPr>
        <w:spacing w:line="320" w:lineRule="exact"/>
        <w:rPr>
          <w:rFonts w:hint="eastAsia" w:ascii="宋体" w:hAnsi="宋体" w:eastAsia="宋体" w:cs="Times New Roman"/>
          <w:color w:val="auto"/>
          <w:highlight w:val="none"/>
        </w:rPr>
      </w:pPr>
    </w:p>
    <w:p w14:paraId="05EF53DF">
      <w:pPr>
        <w:rPr>
          <w:rFonts w:hint="eastAsia"/>
          <w:color w:val="auto"/>
        </w:rPr>
      </w:pPr>
      <w:r>
        <w:rPr>
          <w:rFonts w:hint="eastAsia"/>
          <w:color w:val="auto"/>
        </w:rPr>
        <w:br w:type="page"/>
      </w:r>
    </w:p>
    <w:p w14:paraId="47282AB8">
      <w:pPr>
        <w:keepNext w:val="0"/>
        <w:keepLines w:val="0"/>
        <w:pageBreakBefore w:val="0"/>
        <w:widowControl w:val="0"/>
        <w:kinsoku/>
        <w:wordWrap/>
        <w:overflowPunct/>
        <w:topLinePunct w:val="0"/>
        <w:autoSpaceDE/>
        <w:autoSpaceDN/>
        <w:bidi w:val="0"/>
        <w:adjustRightInd/>
        <w:snapToGrid/>
        <w:spacing w:line="574" w:lineRule="exact"/>
        <w:jc w:val="both"/>
        <w:textAlignment w:val="auto"/>
        <w:rPr>
          <w:rFonts w:hint="eastAsia" w:ascii="方正小标宋简体" w:hAnsi="方正小标宋简体" w:eastAsia="方正小标宋简体" w:cs="方正小标宋简体"/>
          <w:b w:val="0"/>
          <w:bCs w:val="0"/>
          <w:color w:val="auto"/>
          <w:sz w:val="32"/>
          <w:szCs w:val="32"/>
        </w:rPr>
      </w:pPr>
      <w:bookmarkStart w:id="61" w:name="OLE_LINK6"/>
      <w:r>
        <w:rPr>
          <w:rFonts w:hint="eastAsia" w:ascii="方正小标宋简体" w:hAnsi="方正小标宋简体" w:eastAsia="方正小标宋简体" w:cs="方正小标宋简体"/>
          <w:b w:val="0"/>
          <w:bCs w:val="0"/>
          <w:color w:val="auto"/>
          <w:sz w:val="32"/>
          <w:szCs w:val="32"/>
          <w:lang w:val="en-US" w:eastAsia="zh-CN"/>
        </w:rPr>
        <w:t>附件1</w:t>
      </w:r>
      <w:bookmarkEnd w:id="61"/>
      <w:r>
        <w:rPr>
          <w:rFonts w:hint="eastAsia" w:ascii="方正小标宋简体" w:hAnsi="方正小标宋简体" w:eastAsia="方正小标宋简体" w:cs="方正小标宋简体"/>
          <w:b w:val="0"/>
          <w:bCs w:val="0"/>
          <w:color w:val="auto"/>
          <w:sz w:val="32"/>
          <w:szCs w:val="32"/>
          <w:lang w:val="en-US" w:eastAsia="zh-CN"/>
        </w:rPr>
        <w:t>：</w:t>
      </w:r>
      <w:r>
        <w:rPr>
          <w:rFonts w:hint="eastAsia" w:ascii="方正小标宋简体" w:hAnsi="方正小标宋简体" w:eastAsia="方正小标宋简体" w:cs="方正小标宋简体"/>
          <w:b w:val="0"/>
          <w:bCs w:val="0"/>
          <w:color w:val="auto"/>
          <w:sz w:val="32"/>
          <w:szCs w:val="32"/>
        </w:rPr>
        <w:t>保安服务工作质量考核办法</w:t>
      </w:r>
    </w:p>
    <w:p w14:paraId="25DA1184">
      <w:pPr>
        <w:keepNext w:val="0"/>
        <w:keepLines w:val="0"/>
        <w:pageBreakBefore w:val="0"/>
        <w:kinsoku/>
        <w:wordWrap/>
        <w:overflowPunct/>
        <w:topLinePunct w:val="0"/>
        <w:autoSpaceDE/>
        <w:autoSpaceDN/>
        <w:bidi w:val="0"/>
        <w:adjustRightInd/>
        <w:snapToGrid/>
        <w:spacing w:line="360" w:lineRule="atLeast"/>
        <w:textAlignment w:val="auto"/>
        <w:rPr>
          <w:rFonts w:hint="eastAsia" w:ascii="宋体" w:hAnsi="宋体" w:cs="宋体"/>
          <w:color w:val="auto"/>
          <w:sz w:val="24"/>
          <w:szCs w:val="24"/>
        </w:rPr>
      </w:pPr>
    </w:p>
    <w:p w14:paraId="7E87434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为创建安全文明和谐的校</w:t>
      </w:r>
      <w:r>
        <w:rPr>
          <w:rFonts w:hint="eastAsia" w:ascii="宋体" w:hAnsi="宋体" w:cs="宋体"/>
          <w:color w:val="auto"/>
          <w:sz w:val="21"/>
          <w:szCs w:val="21"/>
          <w:lang w:eastAsia="zh-CN"/>
        </w:rPr>
        <w:t>园</w:t>
      </w:r>
      <w:r>
        <w:rPr>
          <w:rFonts w:hint="eastAsia" w:ascii="宋体" w:hAnsi="宋体" w:cs="宋体"/>
          <w:color w:val="auto"/>
          <w:sz w:val="21"/>
          <w:szCs w:val="21"/>
        </w:rPr>
        <w:t>，提高校</w:t>
      </w:r>
      <w:r>
        <w:rPr>
          <w:rFonts w:hint="eastAsia" w:ascii="宋体" w:hAnsi="宋体" w:cs="宋体"/>
          <w:color w:val="auto"/>
          <w:sz w:val="21"/>
          <w:szCs w:val="21"/>
          <w:lang w:eastAsia="zh-CN"/>
        </w:rPr>
        <w:t>园</w:t>
      </w:r>
      <w:r>
        <w:rPr>
          <w:rFonts w:hint="eastAsia" w:ascii="宋体" w:hAnsi="宋体" w:cs="宋体"/>
          <w:color w:val="auto"/>
          <w:sz w:val="21"/>
          <w:szCs w:val="21"/>
        </w:rPr>
        <w:t>管理的服务质量和工作效率，使</w:t>
      </w:r>
      <w:r>
        <w:rPr>
          <w:rFonts w:hint="eastAsia" w:ascii="宋体" w:hAnsi="宋体" w:cs="宋体"/>
          <w:color w:val="auto"/>
          <w:sz w:val="21"/>
          <w:szCs w:val="21"/>
          <w:lang w:eastAsia="zh-CN"/>
        </w:rPr>
        <w:t>安保服务</w:t>
      </w:r>
      <w:r>
        <w:rPr>
          <w:rFonts w:hint="eastAsia" w:ascii="宋体" w:hAnsi="宋体" w:cs="宋体"/>
          <w:color w:val="auto"/>
          <w:sz w:val="21"/>
          <w:szCs w:val="21"/>
        </w:rPr>
        <w:t>的工作制度化、规范化、科学化，促使</w:t>
      </w:r>
      <w:r>
        <w:rPr>
          <w:rFonts w:hint="eastAsia" w:ascii="宋体" w:hAnsi="宋体" w:cs="宋体"/>
          <w:color w:val="auto"/>
          <w:sz w:val="21"/>
          <w:szCs w:val="21"/>
          <w:lang w:eastAsia="zh-CN"/>
        </w:rPr>
        <w:t>保安服务公司</w:t>
      </w:r>
      <w:r>
        <w:rPr>
          <w:rFonts w:hint="eastAsia" w:ascii="宋体" w:hAnsi="宋体" w:cs="宋体"/>
          <w:color w:val="auto"/>
          <w:sz w:val="21"/>
          <w:szCs w:val="21"/>
        </w:rPr>
        <w:t>按照要求切实履行合同和落实管理措施，为师生员工提供更优质和完善的服务，特制订保安服务工作质量考核办法。</w:t>
      </w:r>
    </w:p>
    <w:p w14:paraId="59ECE04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一、考核内容：</w:t>
      </w:r>
    </w:p>
    <w:p w14:paraId="2EAB1075">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rFonts w:hint="eastAsia" w:ascii="宋体" w:hAnsi="宋体" w:cs="宋体"/>
          <w:b/>
          <w:color w:val="auto"/>
          <w:sz w:val="21"/>
          <w:szCs w:val="21"/>
        </w:rPr>
      </w:pPr>
      <w:r>
        <w:rPr>
          <w:rFonts w:hint="eastAsia" w:ascii="宋体" w:hAnsi="宋体" w:cs="宋体"/>
          <w:b/>
          <w:color w:val="auto"/>
          <w:sz w:val="21"/>
          <w:szCs w:val="21"/>
        </w:rPr>
        <w:t>（一）安全管理要求(40分)</w:t>
      </w:r>
    </w:p>
    <w:p w14:paraId="3EB39D5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val="en-US" w:eastAsia="zh-CN"/>
        </w:rPr>
        <w:t>.</w:t>
      </w:r>
      <w:r>
        <w:rPr>
          <w:rFonts w:hint="eastAsia" w:ascii="宋体" w:hAnsi="宋体" w:cs="宋体"/>
          <w:color w:val="auto"/>
          <w:sz w:val="21"/>
          <w:szCs w:val="21"/>
        </w:rPr>
        <w:t>保安人员遵纪守法，认真贯彻执行校</w:t>
      </w:r>
      <w:r>
        <w:rPr>
          <w:rFonts w:hint="eastAsia" w:ascii="宋体" w:hAnsi="宋体" w:cs="宋体"/>
          <w:color w:val="auto"/>
          <w:sz w:val="21"/>
          <w:szCs w:val="21"/>
          <w:lang w:eastAsia="zh-CN"/>
        </w:rPr>
        <w:t>园</w:t>
      </w:r>
      <w:r>
        <w:rPr>
          <w:rFonts w:hint="eastAsia" w:ascii="宋体" w:hAnsi="宋体" w:cs="宋体"/>
          <w:color w:val="auto"/>
          <w:sz w:val="21"/>
          <w:szCs w:val="21"/>
        </w:rPr>
        <w:t>的安全、消防</w:t>
      </w:r>
      <w:r>
        <w:rPr>
          <w:rFonts w:hint="eastAsia" w:ascii="宋体" w:hAnsi="宋体" w:cs="宋体"/>
          <w:color w:val="auto"/>
          <w:sz w:val="21"/>
          <w:szCs w:val="21"/>
          <w:lang w:eastAsia="zh-CN"/>
        </w:rPr>
        <w:t>等</w:t>
      </w:r>
      <w:r>
        <w:rPr>
          <w:rFonts w:hint="eastAsia" w:ascii="宋体" w:hAnsi="宋体" w:cs="宋体"/>
          <w:color w:val="auto"/>
          <w:sz w:val="21"/>
          <w:szCs w:val="21"/>
        </w:rPr>
        <w:t>各项规章制度，无其他违法犯罪行为。（5分）</w:t>
      </w:r>
    </w:p>
    <w:p w14:paraId="515CF4D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val="en-US" w:eastAsia="zh-CN"/>
        </w:rPr>
        <w:t>.</w:t>
      </w:r>
      <w:r>
        <w:rPr>
          <w:rFonts w:hint="eastAsia" w:ascii="宋体" w:hAnsi="宋体" w:cs="宋体"/>
          <w:color w:val="auto"/>
          <w:sz w:val="21"/>
          <w:szCs w:val="21"/>
        </w:rPr>
        <w:t>对</w:t>
      </w:r>
      <w:r>
        <w:rPr>
          <w:rFonts w:hint="eastAsia" w:ascii="宋体" w:hAnsi="宋体" w:cs="宋体"/>
          <w:color w:val="auto"/>
          <w:sz w:val="21"/>
          <w:szCs w:val="21"/>
          <w:lang w:val="en-US" w:eastAsia="zh-CN"/>
        </w:rPr>
        <w:t>本月</w:t>
      </w:r>
      <w:r>
        <w:rPr>
          <w:rFonts w:hint="eastAsia" w:ascii="宋体" w:hAnsi="宋体" w:cs="宋体"/>
          <w:color w:val="auto"/>
          <w:sz w:val="21"/>
          <w:szCs w:val="21"/>
        </w:rPr>
        <w:t>存在问题进行限时整改，作书面汇报，整改彻底，效果显著。（5分）</w:t>
      </w:r>
    </w:p>
    <w:p w14:paraId="494706E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val="en-US" w:eastAsia="zh-CN"/>
        </w:rPr>
        <w:t>.</w:t>
      </w:r>
      <w:r>
        <w:rPr>
          <w:rFonts w:hint="eastAsia" w:ascii="宋体" w:hAnsi="宋体" w:cs="宋体"/>
          <w:color w:val="auto"/>
          <w:sz w:val="21"/>
          <w:szCs w:val="21"/>
        </w:rPr>
        <w:t>保安人员按合同要求配备齐全，岗位人员按照值班安排值班。（5分）</w:t>
      </w:r>
    </w:p>
    <w:p w14:paraId="7E181A3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4</w:t>
      </w:r>
      <w:r>
        <w:rPr>
          <w:rFonts w:hint="eastAsia" w:ascii="宋体" w:hAnsi="宋体" w:cs="宋体"/>
          <w:color w:val="auto"/>
          <w:sz w:val="21"/>
          <w:szCs w:val="21"/>
          <w:lang w:val="en-US" w:eastAsia="zh-CN"/>
        </w:rPr>
        <w:t>.</w:t>
      </w:r>
      <w:r>
        <w:rPr>
          <w:rFonts w:hint="eastAsia" w:ascii="宋体" w:hAnsi="宋体" w:cs="宋体"/>
          <w:color w:val="auto"/>
          <w:sz w:val="21"/>
          <w:szCs w:val="21"/>
        </w:rPr>
        <w:t>严格执行人员值班登记制度，台账完善，档案合理归类。（5分）</w:t>
      </w:r>
    </w:p>
    <w:p w14:paraId="581007C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5</w:t>
      </w:r>
      <w:r>
        <w:rPr>
          <w:rFonts w:hint="eastAsia" w:ascii="宋体" w:hAnsi="宋体" w:cs="宋体"/>
          <w:color w:val="auto"/>
          <w:sz w:val="21"/>
          <w:szCs w:val="21"/>
          <w:lang w:val="en-US" w:eastAsia="zh-CN"/>
        </w:rPr>
        <w:t>.</w:t>
      </w:r>
      <w:r>
        <w:rPr>
          <w:rFonts w:hint="eastAsia" w:ascii="宋体" w:hAnsi="宋体" w:cs="宋体"/>
          <w:color w:val="auto"/>
          <w:sz w:val="21"/>
          <w:szCs w:val="21"/>
        </w:rPr>
        <w:t>保安工作人员熟悉并能使用各类安全、消防设施和各种灭火器材；经过保安专业技能培训，</w:t>
      </w:r>
      <w:r>
        <w:rPr>
          <w:rFonts w:hint="eastAsia" w:ascii="宋体" w:hAnsi="宋体" w:cs="宋体"/>
          <w:color w:val="auto"/>
          <w:sz w:val="21"/>
          <w:szCs w:val="21"/>
          <w:lang w:eastAsia="zh-CN"/>
        </w:rPr>
        <w:t>持证</w:t>
      </w:r>
      <w:r>
        <w:rPr>
          <w:rFonts w:hint="eastAsia" w:ascii="宋体" w:hAnsi="宋体" w:cs="宋体"/>
          <w:color w:val="auto"/>
          <w:sz w:val="21"/>
          <w:szCs w:val="21"/>
        </w:rPr>
        <w:t>上岗。（5分）</w:t>
      </w:r>
    </w:p>
    <w:p w14:paraId="7546AFE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6</w:t>
      </w:r>
      <w:r>
        <w:rPr>
          <w:rFonts w:hint="eastAsia" w:ascii="宋体" w:hAnsi="宋体" w:cs="宋体"/>
          <w:color w:val="auto"/>
          <w:sz w:val="21"/>
          <w:szCs w:val="21"/>
          <w:lang w:val="en-US" w:eastAsia="zh-CN"/>
        </w:rPr>
        <w:t>.</w:t>
      </w:r>
      <w:r>
        <w:rPr>
          <w:rFonts w:hint="eastAsia" w:ascii="宋体" w:hAnsi="宋体" w:cs="宋体"/>
          <w:color w:val="auto"/>
          <w:sz w:val="21"/>
          <w:szCs w:val="21"/>
        </w:rPr>
        <w:t>管理区域秩序井然，有突发事件按预案及时处理，并迅速上报校</w:t>
      </w:r>
      <w:r>
        <w:rPr>
          <w:rFonts w:hint="eastAsia" w:ascii="宋体" w:hAnsi="宋体" w:cs="宋体"/>
          <w:color w:val="auto"/>
          <w:sz w:val="21"/>
          <w:szCs w:val="21"/>
          <w:lang w:eastAsia="zh-CN"/>
        </w:rPr>
        <w:t>园</w:t>
      </w:r>
      <w:r>
        <w:rPr>
          <w:rFonts w:hint="eastAsia" w:ascii="宋体" w:hAnsi="宋体" w:cs="宋体"/>
          <w:color w:val="auto"/>
          <w:sz w:val="21"/>
          <w:szCs w:val="21"/>
        </w:rPr>
        <w:t>有关部门。（5分）</w:t>
      </w:r>
    </w:p>
    <w:p w14:paraId="3EEBA18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7</w:t>
      </w:r>
      <w:r>
        <w:rPr>
          <w:rFonts w:hint="eastAsia" w:ascii="宋体" w:hAnsi="宋体" w:cs="宋体"/>
          <w:color w:val="auto"/>
          <w:sz w:val="21"/>
          <w:szCs w:val="21"/>
          <w:lang w:val="en-US" w:eastAsia="zh-CN"/>
        </w:rPr>
        <w:t>.</w:t>
      </w:r>
      <w:r>
        <w:rPr>
          <w:rFonts w:hint="eastAsia" w:ascii="宋体" w:hAnsi="宋体" w:cs="宋体"/>
          <w:color w:val="auto"/>
          <w:sz w:val="21"/>
          <w:szCs w:val="21"/>
        </w:rPr>
        <w:t>管理区域内无火灾、无治安、刑事案件发生，保障安全无重大责任事故。（10分）</w:t>
      </w:r>
    </w:p>
    <w:p w14:paraId="456EE64E">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 w:val="21"/>
          <w:szCs w:val="21"/>
        </w:rPr>
      </w:pPr>
      <w:r>
        <w:rPr>
          <w:rFonts w:hint="eastAsia" w:ascii="宋体" w:hAnsi="宋体" w:cs="宋体"/>
          <w:b/>
          <w:color w:val="auto"/>
          <w:sz w:val="21"/>
          <w:szCs w:val="21"/>
        </w:rPr>
        <w:t>（二）日常管理要求（60分）</w:t>
      </w:r>
    </w:p>
    <w:p w14:paraId="63FDF8CE">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 w:val="21"/>
          <w:szCs w:val="21"/>
        </w:rPr>
      </w:pPr>
      <w:r>
        <w:rPr>
          <w:rFonts w:hint="eastAsia" w:ascii="宋体" w:hAnsi="宋体" w:cs="宋体"/>
          <w:b/>
          <w:color w:val="auto"/>
          <w:sz w:val="21"/>
          <w:szCs w:val="21"/>
        </w:rPr>
        <w:t>1</w:t>
      </w:r>
      <w:r>
        <w:rPr>
          <w:rFonts w:hint="eastAsia" w:ascii="宋体" w:hAnsi="宋体" w:cs="宋体"/>
          <w:b/>
          <w:color w:val="auto"/>
          <w:sz w:val="21"/>
          <w:szCs w:val="21"/>
          <w:lang w:val="en-US" w:eastAsia="zh-CN"/>
        </w:rPr>
        <w:t>.</w:t>
      </w:r>
      <w:r>
        <w:rPr>
          <w:rFonts w:hint="eastAsia" w:ascii="宋体" w:hAnsi="宋体" w:cs="宋体"/>
          <w:b/>
          <w:color w:val="auto"/>
          <w:sz w:val="21"/>
          <w:szCs w:val="21"/>
        </w:rPr>
        <w:t>制度管理要求（5分）</w:t>
      </w:r>
    </w:p>
    <w:p w14:paraId="1C55887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rPr>
      </w:pPr>
      <w:r>
        <w:rPr>
          <w:rFonts w:hint="eastAsia" w:ascii="宋体" w:hAnsi="宋体" w:cs="宋体"/>
          <w:color w:val="auto"/>
          <w:sz w:val="21"/>
          <w:szCs w:val="21"/>
        </w:rPr>
        <w:t xml:space="preserve">     规范服务管理制度，保安队长监督检查日常保安工作，每天有值班、巡查记录，有班前班后的准备和交接工作记录，有员工的考勤、检查记录，各项工作记录完备详细。</w:t>
      </w:r>
    </w:p>
    <w:p w14:paraId="6A8655B4">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 w:val="21"/>
          <w:szCs w:val="21"/>
        </w:rPr>
      </w:pPr>
      <w:r>
        <w:rPr>
          <w:rFonts w:hint="eastAsia" w:ascii="宋体" w:hAnsi="宋体" w:cs="宋体"/>
          <w:b/>
          <w:color w:val="auto"/>
          <w:sz w:val="21"/>
          <w:szCs w:val="21"/>
        </w:rPr>
        <w:t>2.仪容仪表要求（10分）</w:t>
      </w:r>
    </w:p>
    <w:p w14:paraId="2D3B00A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（1）保安工作人员服装统一、整齐，佩戴工作牌；</w:t>
      </w:r>
    </w:p>
    <w:p w14:paraId="6855646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（2）男保安不留长发、胡须，男女保安不染发；</w:t>
      </w:r>
    </w:p>
    <w:p w14:paraId="7E70FCF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（3）坐姿端庄，与</w:t>
      </w:r>
      <w:r>
        <w:rPr>
          <w:rFonts w:hint="eastAsia" w:ascii="宋体" w:hAnsi="宋体" w:cs="宋体"/>
          <w:color w:val="auto"/>
          <w:sz w:val="21"/>
          <w:szCs w:val="21"/>
          <w:lang w:eastAsia="zh-CN"/>
        </w:rPr>
        <w:t>来访人员</w:t>
      </w:r>
      <w:r>
        <w:rPr>
          <w:rFonts w:hint="eastAsia" w:ascii="宋体" w:hAnsi="宋体" w:cs="宋体"/>
          <w:color w:val="auto"/>
          <w:sz w:val="21"/>
          <w:szCs w:val="21"/>
        </w:rPr>
        <w:t>交谈要起立；</w:t>
      </w:r>
    </w:p>
    <w:p w14:paraId="6ECE8A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（4）非任务需要不得奔跑。</w:t>
      </w:r>
    </w:p>
    <w:p w14:paraId="6F96E212">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rFonts w:hint="eastAsia" w:ascii="宋体" w:hAnsi="宋体" w:cs="宋体"/>
          <w:b/>
          <w:color w:val="auto"/>
          <w:sz w:val="21"/>
          <w:szCs w:val="21"/>
        </w:rPr>
      </w:pPr>
      <w:r>
        <w:rPr>
          <w:rFonts w:hint="eastAsia" w:ascii="宋体" w:hAnsi="宋体" w:cs="宋体"/>
          <w:b/>
          <w:color w:val="auto"/>
          <w:sz w:val="21"/>
          <w:szCs w:val="21"/>
        </w:rPr>
        <w:t>3.职责义务要求</w:t>
      </w:r>
      <w:r>
        <w:rPr>
          <w:rFonts w:hint="eastAsia" w:ascii="宋体" w:hAnsi="宋体" w:cs="宋体"/>
          <w:color w:val="auto"/>
          <w:sz w:val="21"/>
          <w:szCs w:val="21"/>
        </w:rPr>
        <w:t>（30分）</w:t>
      </w:r>
    </w:p>
    <w:p w14:paraId="7C09C54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（1）值班期间精神饱满，工作状态佳，遵从社会生活公德和职业道德，注重工作中的礼节礼貌，不能无故不接电话。</w:t>
      </w:r>
    </w:p>
    <w:p w14:paraId="723CF4F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rPr>
        <w:t>（2）不得无理顶撞</w:t>
      </w:r>
      <w:r>
        <w:rPr>
          <w:rFonts w:hint="eastAsia" w:ascii="宋体" w:hAnsi="宋体" w:cs="宋体"/>
          <w:color w:val="auto"/>
          <w:sz w:val="21"/>
          <w:szCs w:val="21"/>
          <w:lang w:eastAsia="zh-CN"/>
        </w:rPr>
        <w:t>师生员工及来访人员</w:t>
      </w:r>
      <w:r>
        <w:rPr>
          <w:rFonts w:hint="eastAsia" w:ascii="宋体" w:hAnsi="宋体" w:cs="宋体"/>
          <w:color w:val="auto"/>
          <w:sz w:val="21"/>
          <w:szCs w:val="21"/>
        </w:rPr>
        <w:t>，或对</w:t>
      </w:r>
      <w:r>
        <w:rPr>
          <w:rFonts w:hint="eastAsia" w:ascii="宋体" w:hAnsi="宋体" w:cs="宋体"/>
          <w:color w:val="auto"/>
          <w:sz w:val="21"/>
          <w:szCs w:val="21"/>
          <w:lang w:eastAsia="zh-CN"/>
        </w:rPr>
        <w:t>师生员工及来访人员</w:t>
      </w:r>
      <w:r>
        <w:rPr>
          <w:rFonts w:hint="eastAsia" w:ascii="宋体" w:hAnsi="宋体" w:cs="宋体"/>
          <w:color w:val="auto"/>
          <w:sz w:val="21"/>
          <w:szCs w:val="21"/>
        </w:rPr>
        <w:t>的合理请求不理不睬，无粗暴、蛮横行为</w:t>
      </w:r>
      <w:r>
        <w:rPr>
          <w:rFonts w:hint="eastAsia" w:ascii="宋体" w:hAnsi="宋体" w:cs="宋体"/>
          <w:color w:val="auto"/>
          <w:sz w:val="21"/>
          <w:szCs w:val="21"/>
          <w:lang w:eastAsia="zh-CN"/>
        </w:rPr>
        <w:t>。</w:t>
      </w:r>
    </w:p>
    <w:p w14:paraId="3A5DAC4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（3）坚守岗位，不迟到早退、不缺岗离岗窜岗、不酒后上岗，人员更换情况有记录并及时报</w:t>
      </w:r>
      <w:r>
        <w:rPr>
          <w:rFonts w:hint="eastAsia" w:ascii="宋体" w:hAnsi="宋体" w:cs="宋体"/>
          <w:color w:val="auto"/>
          <w:sz w:val="21"/>
          <w:szCs w:val="21"/>
          <w:lang w:eastAsia="zh-CN"/>
        </w:rPr>
        <w:t>学校相关</w:t>
      </w:r>
      <w:r>
        <w:rPr>
          <w:rFonts w:hint="eastAsia" w:ascii="宋体" w:hAnsi="宋体" w:cs="宋体"/>
          <w:color w:val="auto"/>
          <w:sz w:val="21"/>
          <w:szCs w:val="21"/>
        </w:rPr>
        <w:t>部门备案。</w:t>
      </w:r>
    </w:p>
    <w:p w14:paraId="0D336D9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（4）保护好各种值班记录，认真填写，记录内容完备详细。</w:t>
      </w:r>
    </w:p>
    <w:p w14:paraId="7B509EC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（5）做好安全巡逻及隐患排查，发现异常情况，应及时进行检查处理，做好处理情况记录，遇重大安全隐患或事故及时汇报</w:t>
      </w:r>
      <w:r>
        <w:rPr>
          <w:rFonts w:hint="eastAsia" w:ascii="宋体" w:hAnsi="宋体" w:cs="宋体"/>
          <w:color w:val="auto"/>
          <w:sz w:val="21"/>
          <w:szCs w:val="21"/>
          <w:lang w:eastAsia="zh-CN"/>
        </w:rPr>
        <w:t>学校分管领导</w:t>
      </w:r>
      <w:r>
        <w:rPr>
          <w:rFonts w:hint="eastAsia" w:ascii="宋体" w:hAnsi="宋体" w:cs="宋体"/>
          <w:color w:val="auto"/>
          <w:sz w:val="21"/>
          <w:szCs w:val="21"/>
        </w:rPr>
        <w:t>。</w:t>
      </w:r>
    </w:p>
    <w:p w14:paraId="2018B4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（6）高度重视和正确对待</w:t>
      </w:r>
      <w:r>
        <w:rPr>
          <w:rFonts w:hint="eastAsia" w:ascii="宋体" w:hAnsi="宋体" w:cs="宋体"/>
          <w:color w:val="auto"/>
          <w:sz w:val="21"/>
          <w:szCs w:val="21"/>
          <w:lang w:eastAsia="zh-CN"/>
        </w:rPr>
        <w:t>学校</w:t>
      </w:r>
      <w:r>
        <w:rPr>
          <w:rFonts w:hint="eastAsia" w:ascii="宋体" w:hAnsi="宋体" w:cs="宋体"/>
          <w:color w:val="auto"/>
          <w:sz w:val="21"/>
          <w:szCs w:val="21"/>
        </w:rPr>
        <w:t>师生员工的投诉，及时做好意见的反馈和跟踪。</w:t>
      </w:r>
    </w:p>
    <w:p w14:paraId="7BAF549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（7）保持值班岗亭卫生清洁，摆放物件整齐，杜绝脏乱差现象。</w:t>
      </w:r>
    </w:p>
    <w:p w14:paraId="478AF72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（8）配合做好学校重大活动的安保工作，完成</w:t>
      </w:r>
      <w:r>
        <w:rPr>
          <w:rFonts w:hint="eastAsia" w:ascii="宋体" w:hAnsi="宋体" w:cs="宋体"/>
          <w:color w:val="auto"/>
          <w:sz w:val="21"/>
          <w:szCs w:val="21"/>
          <w:lang w:eastAsia="zh-CN"/>
        </w:rPr>
        <w:t>学校</w:t>
      </w:r>
      <w:r>
        <w:rPr>
          <w:rFonts w:hint="eastAsia" w:ascii="宋体" w:hAnsi="宋体" w:cs="宋体"/>
          <w:color w:val="auto"/>
          <w:sz w:val="21"/>
          <w:szCs w:val="21"/>
        </w:rPr>
        <w:t>安排的</w:t>
      </w:r>
      <w:r>
        <w:rPr>
          <w:rFonts w:hint="eastAsia" w:ascii="宋体" w:hAnsi="宋体" w:cs="宋体"/>
          <w:color w:val="auto"/>
          <w:sz w:val="21"/>
          <w:szCs w:val="21"/>
          <w:lang w:eastAsia="zh-CN"/>
        </w:rPr>
        <w:t>其他</w:t>
      </w:r>
      <w:r>
        <w:rPr>
          <w:rFonts w:hint="eastAsia" w:ascii="宋体" w:hAnsi="宋体" w:cs="宋体"/>
          <w:color w:val="auto"/>
          <w:sz w:val="21"/>
          <w:szCs w:val="21"/>
        </w:rPr>
        <w:t>工作。</w:t>
      </w:r>
    </w:p>
    <w:p w14:paraId="421064D1">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rFonts w:hint="eastAsia" w:ascii="宋体" w:hAnsi="宋体" w:cs="宋体"/>
          <w:b/>
          <w:color w:val="auto"/>
          <w:sz w:val="21"/>
          <w:szCs w:val="21"/>
        </w:rPr>
      </w:pPr>
      <w:r>
        <w:rPr>
          <w:rFonts w:hint="eastAsia" w:ascii="宋体" w:hAnsi="宋体" w:cs="宋体"/>
          <w:b/>
          <w:color w:val="auto"/>
          <w:sz w:val="21"/>
          <w:szCs w:val="21"/>
        </w:rPr>
        <w:t>4.劳动纪律要求（15分）</w:t>
      </w:r>
    </w:p>
    <w:p w14:paraId="329A94B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（1）工作期间不留非相关人员闲聊或长时间电话闲聊。</w:t>
      </w:r>
    </w:p>
    <w:p w14:paraId="3E04C8F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（2）工作期间不看报纸杂志、不玩电脑手机、不瞌睡打盹等。</w:t>
      </w:r>
    </w:p>
    <w:p w14:paraId="5201379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（3）要注意维护</w:t>
      </w:r>
      <w:r>
        <w:rPr>
          <w:rFonts w:hint="eastAsia" w:ascii="宋体" w:hAnsi="宋体" w:cs="宋体"/>
          <w:color w:val="auto"/>
          <w:sz w:val="21"/>
          <w:szCs w:val="21"/>
          <w:lang w:eastAsia="zh-CN"/>
        </w:rPr>
        <w:t>学校</w:t>
      </w:r>
      <w:r>
        <w:rPr>
          <w:rFonts w:hint="eastAsia" w:ascii="宋体" w:hAnsi="宋体" w:cs="宋体"/>
          <w:color w:val="auto"/>
          <w:sz w:val="21"/>
          <w:szCs w:val="21"/>
        </w:rPr>
        <w:t>声誉，不能鼓吹或煽动其他人员做有损学校声誉的行为或言论。</w:t>
      </w:r>
    </w:p>
    <w:p w14:paraId="55A6292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（4）能按照</w:t>
      </w:r>
      <w:r>
        <w:rPr>
          <w:rFonts w:hint="eastAsia" w:ascii="宋体" w:hAnsi="宋体" w:cs="宋体"/>
          <w:color w:val="auto"/>
          <w:sz w:val="21"/>
          <w:szCs w:val="21"/>
          <w:lang w:eastAsia="zh-CN"/>
        </w:rPr>
        <w:t>学校</w:t>
      </w:r>
      <w:r>
        <w:rPr>
          <w:rFonts w:hint="eastAsia" w:ascii="宋体" w:hAnsi="宋体" w:cs="宋体"/>
          <w:color w:val="auto"/>
          <w:sz w:val="21"/>
          <w:szCs w:val="21"/>
        </w:rPr>
        <w:t>管理规定处理自身权限范围内的日常事宜，工作积极、主动，能随时接受</w:t>
      </w:r>
      <w:r>
        <w:rPr>
          <w:rFonts w:hint="eastAsia" w:ascii="宋体" w:hAnsi="宋体" w:cs="宋体"/>
          <w:color w:val="auto"/>
          <w:sz w:val="21"/>
          <w:szCs w:val="21"/>
          <w:lang w:eastAsia="zh-CN"/>
        </w:rPr>
        <w:t>学校相关</w:t>
      </w:r>
      <w:r>
        <w:rPr>
          <w:rFonts w:hint="eastAsia" w:ascii="宋体" w:hAnsi="宋体" w:cs="宋体"/>
          <w:color w:val="auto"/>
          <w:sz w:val="21"/>
          <w:szCs w:val="21"/>
        </w:rPr>
        <w:t>部门的工作检查、监督。</w:t>
      </w:r>
    </w:p>
    <w:p w14:paraId="201ACF9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（5）遭到投诉，经查情况属实</w:t>
      </w:r>
      <w:r>
        <w:rPr>
          <w:rFonts w:hint="eastAsia" w:ascii="宋体" w:hAnsi="宋体" w:cs="宋体"/>
          <w:color w:val="auto"/>
          <w:sz w:val="21"/>
          <w:szCs w:val="21"/>
          <w:lang w:eastAsia="zh-CN"/>
        </w:rPr>
        <w:t>将依法依规处理</w:t>
      </w:r>
      <w:r>
        <w:rPr>
          <w:rFonts w:hint="eastAsia" w:ascii="宋体" w:hAnsi="宋体" w:cs="宋体"/>
          <w:color w:val="auto"/>
          <w:sz w:val="21"/>
          <w:szCs w:val="21"/>
        </w:rPr>
        <w:t>。</w:t>
      </w:r>
    </w:p>
    <w:p w14:paraId="00160AD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color w:val="auto"/>
          <w:sz w:val="21"/>
          <w:szCs w:val="21"/>
          <w:lang w:val="en-US"/>
        </w:rPr>
      </w:pPr>
      <w:r>
        <w:rPr>
          <w:rFonts w:hint="eastAsia" w:ascii="宋体" w:hAnsi="宋体" w:cs="宋体"/>
          <w:color w:val="auto"/>
          <w:sz w:val="21"/>
          <w:szCs w:val="21"/>
          <w:lang w:val="en-US" w:eastAsia="zh-CN"/>
        </w:rPr>
        <w:t>以上分值酌情扣分。</w:t>
      </w:r>
    </w:p>
    <w:p w14:paraId="60CA597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二、考核程序</w:t>
      </w:r>
    </w:p>
    <w:p w14:paraId="02EA425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val="en-US" w:eastAsia="zh-CN"/>
        </w:rPr>
        <w:t>.</w:t>
      </w:r>
      <w:r>
        <w:rPr>
          <w:rFonts w:hint="eastAsia" w:ascii="宋体" w:hAnsi="宋体" w:cs="宋体"/>
          <w:color w:val="auto"/>
          <w:sz w:val="21"/>
          <w:szCs w:val="21"/>
        </w:rPr>
        <w:t>保安服务工作质量考核采用100分倒扣制，每月考核一次，考核得分计算方法：月终考核总得分=安全管理要求考核得分+日常管理要求考核得分</w:t>
      </w:r>
    </w:p>
    <w:p w14:paraId="52C2DE2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val="en-US" w:eastAsia="zh-CN"/>
        </w:rPr>
        <w:t>.</w:t>
      </w:r>
      <w:r>
        <w:rPr>
          <w:rFonts w:hint="eastAsia" w:ascii="宋体" w:hAnsi="宋体" w:cs="宋体"/>
          <w:color w:val="auto"/>
          <w:sz w:val="21"/>
          <w:szCs w:val="21"/>
        </w:rPr>
        <w:t>其中考核内容中的“安全管理要求”由</w:t>
      </w:r>
      <w:r>
        <w:rPr>
          <w:rFonts w:hint="eastAsia" w:ascii="宋体" w:hAnsi="宋体" w:cs="宋体"/>
          <w:color w:val="auto"/>
          <w:sz w:val="21"/>
          <w:szCs w:val="21"/>
          <w:lang w:eastAsia="zh-CN"/>
        </w:rPr>
        <w:t>学校</w:t>
      </w:r>
      <w:r>
        <w:rPr>
          <w:rFonts w:hint="eastAsia" w:ascii="宋体" w:hAnsi="宋体" w:cs="宋体"/>
          <w:color w:val="auto"/>
          <w:sz w:val="21"/>
          <w:szCs w:val="21"/>
        </w:rPr>
        <w:t>每月月终考核一次，得分视为本项本月最终考核得分；“日常管理要求”由</w:t>
      </w:r>
      <w:r>
        <w:rPr>
          <w:rFonts w:hint="eastAsia" w:ascii="宋体" w:hAnsi="宋体" w:cs="宋体"/>
          <w:color w:val="auto"/>
          <w:sz w:val="21"/>
          <w:szCs w:val="21"/>
          <w:lang w:eastAsia="zh-CN"/>
        </w:rPr>
        <w:t>学校</w:t>
      </w:r>
      <w:r>
        <w:rPr>
          <w:rFonts w:hint="eastAsia" w:ascii="宋体" w:hAnsi="宋体" w:cs="宋体"/>
          <w:color w:val="auto"/>
          <w:sz w:val="21"/>
          <w:szCs w:val="21"/>
        </w:rPr>
        <w:t>每天不定时对保安不定班次检查考核一次，以</w:t>
      </w:r>
      <w:r>
        <w:rPr>
          <w:rFonts w:hint="eastAsia" w:ascii="宋体" w:hAnsi="宋体" w:cs="宋体"/>
          <w:color w:val="auto"/>
          <w:sz w:val="21"/>
          <w:szCs w:val="21"/>
          <w:lang w:val="en-US" w:eastAsia="zh-CN"/>
        </w:rPr>
        <w:t>整</w:t>
      </w:r>
      <w:r>
        <w:rPr>
          <w:rFonts w:hint="eastAsia" w:ascii="宋体" w:hAnsi="宋体" w:cs="宋体"/>
          <w:color w:val="auto"/>
          <w:sz w:val="21"/>
          <w:szCs w:val="21"/>
        </w:rPr>
        <w:t>月内日平均分为本项本月最终日常管理要求考核得分。</w:t>
      </w:r>
    </w:p>
    <w:p w14:paraId="598519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三、考核结果处理</w:t>
      </w:r>
    </w:p>
    <w:p w14:paraId="1B43FE6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val="en-US" w:eastAsia="zh-CN"/>
        </w:rPr>
        <w:t>.</w:t>
      </w:r>
      <w:r>
        <w:rPr>
          <w:rFonts w:hint="eastAsia" w:ascii="宋体" w:hAnsi="宋体" w:cs="宋体"/>
          <w:color w:val="auto"/>
          <w:sz w:val="21"/>
          <w:szCs w:val="21"/>
        </w:rPr>
        <w:t>考核得分等次标准：综合得分90分以上（含90分）为</w:t>
      </w:r>
      <w:r>
        <w:rPr>
          <w:rFonts w:hint="eastAsia" w:ascii="宋体" w:hAnsi="宋体" w:cs="宋体"/>
          <w:color w:val="auto"/>
          <w:sz w:val="21"/>
          <w:szCs w:val="21"/>
          <w:lang w:eastAsia="zh-CN"/>
        </w:rPr>
        <w:t>一等</w:t>
      </w:r>
      <w:r>
        <w:rPr>
          <w:rFonts w:hint="eastAsia" w:ascii="宋体" w:hAnsi="宋体" w:cs="宋体"/>
          <w:color w:val="auto"/>
          <w:sz w:val="21"/>
          <w:szCs w:val="21"/>
        </w:rPr>
        <w:t>；80（含80分）至89分为</w:t>
      </w:r>
      <w:r>
        <w:rPr>
          <w:rFonts w:hint="eastAsia" w:ascii="宋体" w:hAnsi="宋体" w:cs="宋体"/>
          <w:color w:val="auto"/>
          <w:sz w:val="21"/>
          <w:szCs w:val="21"/>
          <w:lang w:eastAsia="zh-CN"/>
        </w:rPr>
        <w:t>二等</w:t>
      </w:r>
      <w:r>
        <w:rPr>
          <w:rFonts w:hint="eastAsia" w:ascii="宋体" w:hAnsi="宋体" w:cs="宋体"/>
          <w:color w:val="auto"/>
          <w:sz w:val="21"/>
          <w:szCs w:val="21"/>
        </w:rPr>
        <w:t>；70（含70分）至79分为</w:t>
      </w:r>
      <w:r>
        <w:rPr>
          <w:rFonts w:hint="eastAsia" w:ascii="宋体" w:hAnsi="宋体" w:cs="宋体"/>
          <w:color w:val="auto"/>
          <w:sz w:val="21"/>
          <w:szCs w:val="21"/>
          <w:lang w:eastAsia="zh-CN"/>
        </w:rPr>
        <w:t>三等</w:t>
      </w:r>
      <w:r>
        <w:rPr>
          <w:rFonts w:hint="eastAsia" w:ascii="宋体" w:hAnsi="宋体" w:cs="宋体"/>
          <w:color w:val="auto"/>
          <w:sz w:val="21"/>
          <w:szCs w:val="21"/>
        </w:rPr>
        <w:t>；70分以下为</w:t>
      </w:r>
      <w:r>
        <w:rPr>
          <w:rFonts w:hint="eastAsia" w:ascii="宋体" w:hAnsi="宋体" w:cs="宋体"/>
          <w:color w:val="auto"/>
          <w:sz w:val="21"/>
          <w:szCs w:val="21"/>
          <w:lang w:eastAsia="zh-CN"/>
        </w:rPr>
        <w:t>四等</w:t>
      </w:r>
      <w:r>
        <w:rPr>
          <w:rFonts w:hint="eastAsia" w:ascii="宋体" w:hAnsi="宋体" w:cs="宋体"/>
          <w:color w:val="auto"/>
          <w:sz w:val="21"/>
          <w:szCs w:val="21"/>
        </w:rPr>
        <w:t>。</w:t>
      </w:r>
    </w:p>
    <w:p w14:paraId="6EE3930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kern w:val="0"/>
          <w:sz w:val="21"/>
          <w:szCs w:val="21"/>
        </w:rPr>
      </w:pPr>
      <w:r>
        <w:rPr>
          <w:rFonts w:hint="eastAsia" w:ascii="宋体" w:hAnsi="宋体" w:cs="宋体"/>
          <w:color w:val="auto"/>
          <w:sz w:val="21"/>
          <w:szCs w:val="21"/>
        </w:rPr>
        <w:t>2</w:t>
      </w:r>
      <w:r>
        <w:rPr>
          <w:rFonts w:hint="eastAsia" w:ascii="宋体" w:hAnsi="宋体" w:cs="宋体"/>
          <w:color w:val="auto"/>
          <w:sz w:val="21"/>
          <w:szCs w:val="21"/>
          <w:lang w:val="en-US" w:eastAsia="zh-CN"/>
        </w:rPr>
        <w:t>.</w:t>
      </w:r>
      <w:r>
        <w:rPr>
          <w:rFonts w:hint="eastAsia" w:ascii="宋体" w:hAnsi="宋体" w:cs="宋体"/>
          <w:color w:val="auto"/>
          <w:sz w:val="21"/>
          <w:szCs w:val="21"/>
        </w:rPr>
        <w:t>考核所得等次</w:t>
      </w:r>
      <w:r>
        <w:rPr>
          <w:rFonts w:hint="eastAsia" w:ascii="宋体" w:hAnsi="宋体" w:cs="宋体"/>
          <w:color w:val="auto"/>
          <w:kern w:val="0"/>
          <w:sz w:val="21"/>
          <w:szCs w:val="21"/>
        </w:rPr>
        <w:t>作为每月对</w:t>
      </w:r>
      <w:r>
        <w:rPr>
          <w:rFonts w:hint="eastAsia" w:ascii="宋体" w:hAnsi="宋体" w:cs="宋体"/>
          <w:color w:val="auto"/>
          <w:kern w:val="0"/>
          <w:sz w:val="21"/>
          <w:szCs w:val="21"/>
          <w:lang w:eastAsia="zh-CN"/>
        </w:rPr>
        <w:t>中标人</w:t>
      </w:r>
      <w:r>
        <w:rPr>
          <w:rFonts w:hint="eastAsia" w:ascii="宋体" w:hAnsi="宋体" w:cs="宋体"/>
          <w:color w:val="auto"/>
          <w:kern w:val="0"/>
          <w:sz w:val="21"/>
          <w:szCs w:val="21"/>
        </w:rPr>
        <w:t>经济</w:t>
      </w:r>
      <w:r>
        <w:rPr>
          <w:rFonts w:hint="eastAsia" w:ascii="宋体" w:hAnsi="宋体" w:cs="宋体"/>
          <w:color w:val="auto"/>
          <w:kern w:val="0"/>
          <w:sz w:val="21"/>
          <w:szCs w:val="21"/>
          <w:lang w:val="en-US" w:eastAsia="zh-CN"/>
        </w:rPr>
        <w:t>评价和服务费扣减</w:t>
      </w:r>
      <w:r>
        <w:rPr>
          <w:rFonts w:hint="eastAsia" w:ascii="宋体" w:hAnsi="宋体" w:cs="宋体"/>
          <w:color w:val="auto"/>
          <w:kern w:val="0"/>
          <w:sz w:val="21"/>
          <w:szCs w:val="21"/>
        </w:rPr>
        <w:t>的依据。二者对应关系如下：</w:t>
      </w:r>
    </w:p>
    <w:p w14:paraId="7BF5CBC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lang w:eastAsia="zh-CN"/>
        </w:rPr>
        <w:t>一等</w:t>
      </w:r>
      <w:r>
        <w:rPr>
          <w:rFonts w:hint="eastAsia" w:ascii="宋体" w:hAnsi="宋体" w:cs="宋体"/>
          <w:color w:val="auto"/>
          <w:kern w:val="0"/>
          <w:sz w:val="21"/>
          <w:szCs w:val="21"/>
        </w:rPr>
        <w:t>：不</w:t>
      </w:r>
      <w:r>
        <w:rPr>
          <w:rFonts w:hint="eastAsia" w:ascii="宋体" w:hAnsi="宋体" w:cs="宋体"/>
          <w:color w:val="auto"/>
          <w:kern w:val="0"/>
          <w:sz w:val="21"/>
          <w:szCs w:val="21"/>
          <w:lang w:eastAsia="zh-CN"/>
        </w:rPr>
        <w:t>扣减</w:t>
      </w:r>
      <w:r>
        <w:rPr>
          <w:rFonts w:hint="eastAsia" w:ascii="宋体" w:hAnsi="宋体" w:cs="宋体"/>
          <w:color w:val="auto"/>
          <w:kern w:val="0"/>
          <w:sz w:val="21"/>
          <w:szCs w:val="21"/>
        </w:rPr>
        <w:t>；</w:t>
      </w:r>
    </w:p>
    <w:p w14:paraId="46FEB54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lang w:eastAsia="zh-CN"/>
        </w:rPr>
        <w:t>二等</w:t>
      </w:r>
      <w:r>
        <w:rPr>
          <w:rFonts w:hint="eastAsia" w:ascii="宋体" w:hAnsi="宋体" w:cs="宋体"/>
          <w:color w:val="auto"/>
          <w:kern w:val="0"/>
          <w:sz w:val="21"/>
          <w:szCs w:val="21"/>
        </w:rPr>
        <w:t>：</w:t>
      </w:r>
      <w:r>
        <w:rPr>
          <w:rFonts w:hint="eastAsia" w:ascii="宋体" w:hAnsi="宋体" w:cs="宋体"/>
          <w:color w:val="auto"/>
          <w:kern w:val="0"/>
          <w:sz w:val="21"/>
          <w:szCs w:val="21"/>
          <w:lang w:eastAsia="zh-CN"/>
        </w:rPr>
        <w:t>扣减</w:t>
      </w:r>
      <w:r>
        <w:rPr>
          <w:rFonts w:hint="eastAsia" w:ascii="宋体" w:hAnsi="宋体" w:cs="宋体"/>
          <w:color w:val="auto"/>
          <w:kern w:val="0"/>
          <w:sz w:val="21"/>
          <w:szCs w:val="21"/>
        </w:rPr>
        <w:t>当月</w:t>
      </w:r>
      <w:r>
        <w:rPr>
          <w:rFonts w:hint="eastAsia" w:ascii="宋体" w:hAnsi="宋体" w:cs="宋体"/>
          <w:color w:val="auto"/>
          <w:kern w:val="0"/>
          <w:sz w:val="21"/>
          <w:szCs w:val="21"/>
          <w:lang w:eastAsia="zh-CN"/>
        </w:rPr>
        <w:t>安保</w:t>
      </w:r>
      <w:r>
        <w:rPr>
          <w:rFonts w:hint="eastAsia" w:ascii="宋体" w:hAnsi="宋体" w:cs="宋体"/>
          <w:color w:val="auto"/>
          <w:kern w:val="0"/>
          <w:sz w:val="21"/>
          <w:szCs w:val="21"/>
        </w:rPr>
        <w:t>服务费的5%；</w:t>
      </w:r>
    </w:p>
    <w:p w14:paraId="5BCEE12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lang w:eastAsia="zh-CN"/>
        </w:rPr>
        <w:t>三等</w:t>
      </w:r>
      <w:r>
        <w:rPr>
          <w:rFonts w:hint="eastAsia" w:ascii="宋体" w:hAnsi="宋体" w:cs="宋体"/>
          <w:color w:val="auto"/>
          <w:kern w:val="0"/>
          <w:sz w:val="21"/>
          <w:szCs w:val="21"/>
        </w:rPr>
        <w:t>：</w:t>
      </w:r>
      <w:r>
        <w:rPr>
          <w:rFonts w:hint="eastAsia" w:ascii="宋体" w:hAnsi="宋体" w:cs="宋体"/>
          <w:color w:val="auto"/>
          <w:kern w:val="0"/>
          <w:sz w:val="21"/>
          <w:szCs w:val="21"/>
          <w:lang w:eastAsia="zh-CN"/>
        </w:rPr>
        <w:t>扣减</w:t>
      </w:r>
      <w:r>
        <w:rPr>
          <w:rFonts w:hint="eastAsia" w:ascii="宋体" w:hAnsi="宋体" w:cs="宋体"/>
          <w:color w:val="auto"/>
          <w:kern w:val="0"/>
          <w:sz w:val="21"/>
          <w:szCs w:val="21"/>
        </w:rPr>
        <w:t>当月</w:t>
      </w:r>
      <w:r>
        <w:rPr>
          <w:rFonts w:hint="eastAsia" w:ascii="宋体" w:hAnsi="宋体" w:cs="宋体"/>
          <w:color w:val="auto"/>
          <w:kern w:val="0"/>
          <w:sz w:val="21"/>
          <w:szCs w:val="21"/>
          <w:lang w:eastAsia="zh-CN"/>
        </w:rPr>
        <w:t>安保</w:t>
      </w:r>
      <w:r>
        <w:rPr>
          <w:rFonts w:hint="eastAsia" w:ascii="宋体" w:hAnsi="宋体" w:cs="宋体"/>
          <w:color w:val="auto"/>
          <w:kern w:val="0"/>
          <w:sz w:val="21"/>
          <w:szCs w:val="21"/>
        </w:rPr>
        <w:t>服务费的10%；</w:t>
      </w:r>
    </w:p>
    <w:p w14:paraId="09D745E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lang w:eastAsia="zh-CN"/>
        </w:rPr>
        <w:t>四等</w:t>
      </w:r>
      <w:r>
        <w:rPr>
          <w:rFonts w:hint="eastAsia" w:ascii="宋体" w:hAnsi="宋体" w:cs="宋体"/>
          <w:color w:val="auto"/>
          <w:kern w:val="0"/>
          <w:sz w:val="21"/>
          <w:szCs w:val="21"/>
        </w:rPr>
        <w:t>：</w:t>
      </w:r>
      <w:r>
        <w:rPr>
          <w:rFonts w:hint="eastAsia" w:ascii="宋体" w:hAnsi="宋体" w:cs="宋体"/>
          <w:color w:val="auto"/>
          <w:kern w:val="0"/>
          <w:sz w:val="21"/>
          <w:szCs w:val="21"/>
          <w:lang w:eastAsia="zh-CN"/>
        </w:rPr>
        <w:t>扣减</w:t>
      </w:r>
      <w:r>
        <w:rPr>
          <w:rFonts w:hint="eastAsia" w:ascii="宋体" w:hAnsi="宋体" w:cs="宋体"/>
          <w:color w:val="auto"/>
          <w:kern w:val="0"/>
          <w:sz w:val="21"/>
          <w:szCs w:val="21"/>
        </w:rPr>
        <w:t>当月</w:t>
      </w:r>
      <w:r>
        <w:rPr>
          <w:rFonts w:hint="eastAsia" w:ascii="宋体" w:hAnsi="宋体" w:cs="宋体"/>
          <w:color w:val="auto"/>
          <w:kern w:val="0"/>
          <w:sz w:val="21"/>
          <w:szCs w:val="21"/>
          <w:lang w:eastAsia="zh-CN"/>
        </w:rPr>
        <w:t>安保</w:t>
      </w:r>
      <w:r>
        <w:rPr>
          <w:rFonts w:hint="eastAsia" w:ascii="宋体" w:hAnsi="宋体" w:cs="宋体"/>
          <w:color w:val="auto"/>
          <w:kern w:val="0"/>
          <w:sz w:val="21"/>
          <w:szCs w:val="21"/>
        </w:rPr>
        <w:t>服务费的15%；</w:t>
      </w:r>
    </w:p>
    <w:p w14:paraId="1C6DBA90">
      <w:pPr>
        <w:ind w:firstLine="420" w:firstLineChars="200"/>
        <w:rPr>
          <w:rFonts w:hint="eastAsia" w:ascii="宋体" w:hAnsi="宋体" w:eastAsia="宋体" w:cs="宋体"/>
          <w:color w:val="auto"/>
          <w:sz w:val="32"/>
          <w:szCs w:val="32"/>
        </w:rPr>
      </w:pPr>
      <w:r>
        <w:rPr>
          <w:rFonts w:hint="eastAsia" w:ascii="宋体" w:hAnsi="宋体" w:cs="宋体"/>
          <w:color w:val="auto"/>
          <w:sz w:val="21"/>
          <w:szCs w:val="21"/>
          <w:lang w:eastAsia="zh-CN"/>
        </w:rPr>
        <w:t>防城港市港口区教育局安稳办</w:t>
      </w:r>
      <w:r>
        <w:rPr>
          <w:rFonts w:hint="eastAsia" w:ascii="宋体" w:hAnsi="宋体" w:cs="宋体"/>
          <w:color w:val="auto"/>
          <w:sz w:val="21"/>
          <w:szCs w:val="21"/>
        </w:rPr>
        <w:t>根据考核结果，对存在问题通过书面形式向</w:t>
      </w:r>
      <w:r>
        <w:rPr>
          <w:rFonts w:hint="eastAsia" w:hAnsi="宋体" w:cs="宋体"/>
          <w:color w:val="auto"/>
          <w:sz w:val="21"/>
          <w:szCs w:val="21"/>
          <w:lang w:val="en-US" w:eastAsia="zh-CN"/>
        </w:rPr>
        <w:t>中标人</w:t>
      </w:r>
      <w:r>
        <w:rPr>
          <w:rFonts w:hint="eastAsia" w:ascii="宋体" w:hAnsi="宋体" w:cs="宋体"/>
          <w:color w:val="auto"/>
          <w:sz w:val="21"/>
          <w:szCs w:val="21"/>
        </w:rPr>
        <w:t>提出限时整改意见，因整改不落实或落实不彻底，没有达到要求的，按照双方签订的合同或协议中的相关条款进行处理。</w:t>
      </w:r>
      <w:r>
        <w:rPr>
          <w:rFonts w:hint="eastAsia"/>
          <w:color w:val="auto"/>
        </w:rPr>
        <w:br w:type="page"/>
      </w:r>
      <w:r>
        <w:rPr>
          <w:rFonts w:ascii="Times New Roman" w:hAnsi="宋体" w:eastAsia="宋体" w:cs="Times New Roman"/>
          <w:color w:val="auto"/>
          <w:highlight w:val="none"/>
        </w:rPr>
        <w:t xml:space="preserve"> </w:t>
      </w:r>
      <w:r>
        <w:rPr>
          <w:rFonts w:hint="eastAsia" w:ascii="宋体" w:hAnsi="宋体" w:eastAsia="宋体" w:cs="宋体"/>
          <w:color w:val="auto"/>
          <w:sz w:val="32"/>
          <w:szCs w:val="32"/>
        </w:rPr>
        <w:t>附件</w:t>
      </w:r>
      <w:r>
        <w:rPr>
          <w:rFonts w:hint="eastAsia" w:ascii="宋体" w:hAnsi="宋体" w:cs="宋体"/>
          <w:color w:val="auto"/>
          <w:sz w:val="32"/>
          <w:szCs w:val="32"/>
          <w:lang w:val="en-US" w:eastAsia="zh-CN"/>
        </w:rPr>
        <w:t>2</w:t>
      </w:r>
      <w:r>
        <w:rPr>
          <w:rFonts w:hint="eastAsia" w:ascii="宋体" w:hAnsi="宋体" w:eastAsia="宋体" w:cs="宋体"/>
          <w:color w:val="auto"/>
          <w:sz w:val="32"/>
          <w:szCs w:val="32"/>
        </w:rPr>
        <w:t>：</w:t>
      </w:r>
    </w:p>
    <w:p w14:paraId="4DED74EC">
      <w:pPr>
        <w:spacing w:before="7"/>
        <w:rPr>
          <w:rFonts w:hint="eastAsia" w:ascii="宋体" w:hAnsi="宋体" w:eastAsia="宋体" w:cs="宋体"/>
          <w:color w:val="auto"/>
          <w:sz w:val="17"/>
          <w:szCs w:val="17"/>
        </w:rPr>
      </w:pPr>
    </w:p>
    <w:p w14:paraId="3280ED7F">
      <w:pPr>
        <w:pStyle w:val="14"/>
        <w:jc w:val="left"/>
        <w:rPr>
          <w:rFonts w:hint="eastAsia" w:ascii="宋体" w:hAnsi="宋体" w:eastAsia="宋体" w:cs="宋体"/>
          <w:color w:val="auto"/>
          <w:sz w:val="32"/>
          <w:szCs w:val="32"/>
        </w:rPr>
      </w:pPr>
    </w:p>
    <w:p w14:paraId="1A6A2F40">
      <w:pPr>
        <w:widowControl/>
        <w:spacing w:before="156" w:beforeLines="50" w:after="156" w:afterLines="50" w:line="280" w:lineRule="exact"/>
        <w:jc w:val="center"/>
        <w:rPr>
          <w:rFonts w:ascii="宋体" w:hAnsi="宋体" w:cs="宋体"/>
          <w:b/>
          <w:bCs/>
          <w:color w:val="auto"/>
          <w:kern w:val="0"/>
          <w:sz w:val="30"/>
          <w:szCs w:val="30"/>
        </w:rPr>
      </w:pPr>
      <w:bookmarkStart w:id="62" w:name="_Toc28361_WPSOffice_Level2"/>
      <w:r>
        <w:rPr>
          <w:rFonts w:hint="eastAsia" w:ascii="宋体" w:hAnsi="宋体" w:cs="宋体"/>
          <w:b/>
          <w:bCs/>
          <w:color w:val="auto"/>
          <w:kern w:val="0"/>
          <w:sz w:val="30"/>
          <w:szCs w:val="30"/>
        </w:rPr>
        <w:t>统计上大中小微型企业划分标准</w:t>
      </w:r>
      <w:bookmarkEnd w:id="62"/>
    </w:p>
    <w:tbl>
      <w:tblPr>
        <w:tblStyle w:val="2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396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19EAC3B">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69" w:type="dxa"/>
            <w:shd w:val="clear" w:color="auto" w:fill="8DB3E2"/>
            <w:noWrap w:val="0"/>
            <w:vAlign w:val="center"/>
          </w:tcPr>
          <w:p w14:paraId="0B21F27B">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shd w:val="clear" w:color="auto" w:fill="8DB3E2"/>
            <w:noWrap w:val="0"/>
            <w:vAlign w:val="center"/>
          </w:tcPr>
          <w:p w14:paraId="1514BE51">
            <w:pPr>
              <w:widowControl/>
              <w:spacing w:line="280" w:lineRule="exact"/>
              <w:jc w:val="center"/>
              <w:rPr>
                <w:rFonts w:hint="eastAsia" w:ascii="宋体" w:hAnsi="宋体" w:eastAsia="宋体" w:cs="宋体"/>
                <w:b/>
                <w:bCs/>
                <w:color w:val="auto"/>
                <w:kern w:val="0"/>
                <w:sz w:val="18"/>
                <w:szCs w:val="18"/>
                <w:lang w:eastAsia="zh-CN"/>
              </w:rPr>
            </w:pPr>
            <w:r>
              <w:rPr>
                <w:rFonts w:hint="eastAsia" w:ascii="宋体" w:hAnsi="宋体" w:cs="宋体"/>
                <w:b/>
                <w:bCs/>
                <w:color w:val="auto"/>
                <w:kern w:val="0"/>
                <w:sz w:val="18"/>
                <w:szCs w:val="18"/>
              </w:rPr>
              <w:t>计量</w:t>
            </w:r>
          </w:p>
          <w:p w14:paraId="625F7FF2">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1125" w:type="dxa"/>
            <w:shd w:val="clear" w:color="auto" w:fill="8DB3E2"/>
            <w:noWrap w:val="0"/>
            <w:vAlign w:val="center"/>
          </w:tcPr>
          <w:p w14:paraId="0CB4B11E">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shd w:val="clear" w:color="auto" w:fill="8DB3E2"/>
            <w:noWrap w:val="0"/>
            <w:vAlign w:val="center"/>
          </w:tcPr>
          <w:p w14:paraId="074A5831">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shd w:val="clear" w:color="auto" w:fill="8DB3E2"/>
            <w:noWrap w:val="0"/>
            <w:vAlign w:val="center"/>
          </w:tcPr>
          <w:p w14:paraId="0C3585E3">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shd w:val="clear" w:color="auto" w:fill="8DB3E2"/>
            <w:noWrap w:val="0"/>
            <w:vAlign w:val="center"/>
          </w:tcPr>
          <w:p w14:paraId="3D50773E">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14:paraId="4981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272F45B5">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农、林、牧、渔业</w:t>
            </w:r>
          </w:p>
        </w:tc>
        <w:tc>
          <w:tcPr>
            <w:tcW w:w="1369" w:type="dxa"/>
            <w:noWrap w:val="0"/>
            <w:vAlign w:val="center"/>
          </w:tcPr>
          <w:p w14:paraId="66DECB2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7EF22DE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5BD875F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0"/>
            <w:vAlign w:val="center"/>
          </w:tcPr>
          <w:p w14:paraId="4A9ACBF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0"/>
            <w:vAlign w:val="center"/>
          </w:tcPr>
          <w:p w14:paraId="199BCE7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noWrap w:val="0"/>
            <w:vAlign w:val="center"/>
          </w:tcPr>
          <w:p w14:paraId="41ED60F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65E9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7919EC9">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工业 *</w:t>
            </w:r>
          </w:p>
        </w:tc>
        <w:tc>
          <w:tcPr>
            <w:tcW w:w="1369" w:type="dxa"/>
            <w:noWrap w:val="0"/>
            <w:vAlign w:val="center"/>
          </w:tcPr>
          <w:p w14:paraId="34CCCA7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0C2A5D9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1518663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14:paraId="1534A64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14:paraId="6651AE5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0"/>
            <w:vAlign w:val="center"/>
          </w:tcPr>
          <w:p w14:paraId="7B5F8C3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7F8F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F04A952">
            <w:pPr>
              <w:widowControl/>
              <w:spacing w:line="280" w:lineRule="exact"/>
              <w:jc w:val="left"/>
              <w:rPr>
                <w:rFonts w:ascii="宋体" w:hAnsi="宋体" w:cs="宋体"/>
                <w:color w:val="auto"/>
                <w:kern w:val="0"/>
                <w:sz w:val="18"/>
                <w:szCs w:val="18"/>
              </w:rPr>
            </w:pPr>
          </w:p>
        </w:tc>
        <w:tc>
          <w:tcPr>
            <w:tcW w:w="1369" w:type="dxa"/>
            <w:noWrap w:val="0"/>
            <w:vAlign w:val="center"/>
          </w:tcPr>
          <w:p w14:paraId="67BCA9C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7D24AAB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5C0EB78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0"/>
            <w:vAlign w:val="center"/>
          </w:tcPr>
          <w:p w14:paraId="28FB4DF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noWrap w:val="0"/>
            <w:vAlign w:val="center"/>
          </w:tcPr>
          <w:p w14:paraId="68413B0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noWrap w:val="0"/>
            <w:vAlign w:val="center"/>
          </w:tcPr>
          <w:p w14:paraId="70F7499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301F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AC9B983">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建筑业</w:t>
            </w:r>
          </w:p>
        </w:tc>
        <w:tc>
          <w:tcPr>
            <w:tcW w:w="1369" w:type="dxa"/>
            <w:noWrap w:val="0"/>
            <w:vAlign w:val="center"/>
          </w:tcPr>
          <w:p w14:paraId="467474A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54DFA8C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19CD836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noWrap w:val="0"/>
            <w:vAlign w:val="center"/>
          </w:tcPr>
          <w:p w14:paraId="06FB5B2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noWrap w:val="0"/>
            <w:vAlign w:val="center"/>
          </w:tcPr>
          <w:p w14:paraId="4D6D893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noWrap w:val="0"/>
            <w:vAlign w:val="center"/>
          </w:tcPr>
          <w:p w14:paraId="4920437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14BC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ECC96DB">
            <w:pPr>
              <w:widowControl/>
              <w:spacing w:line="280" w:lineRule="exact"/>
              <w:jc w:val="left"/>
              <w:rPr>
                <w:rFonts w:ascii="宋体" w:hAnsi="宋体" w:cs="宋体"/>
                <w:color w:val="auto"/>
                <w:kern w:val="0"/>
                <w:sz w:val="18"/>
                <w:szCs w:val="18"/>
              </w:rPr>
            </w:pPr>
          </w:p>
        </w:tc>
        <w:tc>
          <w:tcPr>
            <w:tcW w:w="1369" w:type="dxa"/>
            <w:noWrap w:val="0"/>
            <w:vAlign w:val="center"/>
          </w:tcPr>
          <w:p w14:paraId="74A6E8A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0"/>
            <w:vAlign w:val="center"/>
          </w:tcPr>
          <w:p w14:paraId="61C8B70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3634E73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noWrap w:val="0"/>
            <w:vAlign w:val="center"/>
          </w:tcPr>
          <w:p w14:paraId="3D762D0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noWrap w:val="0"/>
            <w:vAlign w:val="center"/>
          </w:tcPr>
          <w:p w14:paraId="2012C7E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noWrap w:val="0"/>
            <w:vAlign w:val="center"/>
          </w:tcPr>
          <w:p w14:paraId="51E485F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14:paraId="0185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EA0531D">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批发业</w:t>
            </w:r>
          </w:p>
        </w:tc>
        <w:tc>
          <w:tcPr>
            <w:tcW w:w="1369" w:type="dxa"/>
            <w:noWrap w:val="0"/>
            <w:vAlign w:val="center"/>
          </w:tcPr>
          <w:p w14:paraId="100FAD8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602CE23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1FA5FBF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0"/>
            <w:vAlign w:val="center"/>
          </w:tcPr>
          <w:p w14:paraId="462886D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noWrap w:val="0"/>
            <w:vAlign w:val="center"/>
          </w:tcPr>
          <w:p w14:paraId="442A418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noWrap w:val="0"/>
            <w:vAlign w:val="center"/>
          </w:tcPr>
          <w:p w14:paraId="13FA10C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14:paraId="21DA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FBCA72D">
            <w:pPr>
              <w:widowControl/>
              <w:spacing w:line="280" w:lineRule="exact"/>
              <w:jc w:val="left"/>
              <w:rPr>
                <w:rFonts w:ascii="宋体" w:hAnsi="宋体" w:cs="宋体"/>
                <w:color w:val="auto"/>
                <w:kern w:val="0"/>
                <w:sz w:val="18"/>
                <w:szCs w:val="18"/>
              </w:rPr>
            </w:pPr>
          </w:p>
        </w:tc>
        <w:tc>
          <w:tcPr>
            <w:tcW w:w="1369" w:type="dxa"/>
            <w:noWrap w:val="0"/>
            <w:vAlign w:val="center"/>
          </w:tcPr>
          <w:p w14:paraId="5FBD6AC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0BFC354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493C7C7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0"/>
            <w:vAlign w:val="center"/>
          </w:tcPr>
          <w:p w14:paraId="2528787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noWrap w:val="0"/>
            <w:vAlign w:val="center"/>
          </w:tcPr>
          <w:p w14:paraId="2EA293A4">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noWrap w:val="0"/>
            <w:vAlign w:val="center"/>
          </w:tcPr>
          <w:p w14:paraId="05F0CB0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14:paraId="7374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D9EC511">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零售业</w:t>
            </w:r>
          </w:p>
        </w:tc>
        <w:tc>
          <w:tcPr>
            <w:tcW w:w="1369" w:type="dxa"/>
            <w:noWrap w:val="0"/>
            <w:vAlign w:val="center"/>
          </w:tcPr>
          <w:p w14:paraId="1E1BB27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470BDC5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7D97905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14:paraId="4A769AD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noWrap w:val="0"/>
            <w:vAlign w:val="center"/>
          </w:tcPr>
          <w:p w14:paraId="4F395F7C">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noWrap w:val="0"/>
            <w:vAlign w:val="center"/>
          </w:tcPr>
          <w:p w14:paraId="09CBA17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4231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302FF39">
            <w:pPr>
              <w:widowControl/>
              <w:spacing w:line="280" w:lineRule="exact"/>
              <w:jc w:val="left"/>
              <w:rPr>
                <w:rFonts w:ascii="宋体" w:hAnsi="宋体" w:cs="宋体"/>
                <w:color w:val="auto"/>
                <w:kern w:val="0"/>
                <w:sz w:val="18"/>
                <w:szCs w:val="18"/>
              </w:rPr>
            </w:pPr>
          </w:p>
        </w:tc>
        <w:tc>
          <w:tcPr>
            <w:tcW w:w="1369" w:type="dxa"/>
            <w:noWrap w:val="0"/>
            <w:vAlign w:val="center"/>
          </w:tcPr>
          <w:p w14:paraId="2EC13C6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16EAFE0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0480ED7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0"/>
            <w:vAlign w:val="center"/>
          </w:tcPr>
          <w:p w14:paraId="60E190C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0"/>
            <w:vAlign w:val="center"/>
          </w:tcPr>
          <w:p w14:paraId="1C93282D">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noWrap w:val="0"/>
            <w:vAlign w:val="center"/>
          </w:tcPr>
          <w:p w14:paraId="605E29D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512E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4A7BDF6">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交通运输业 *</w:t>
            </w:r>
          </w:p>
        </w:tc>
        <w:tc>
          <w:tcPr>
            <w:tcW w:w="1369" w:type="dxa"/>
            <w:noWrap w:val="0"/>
            <w:vAlign w:val="center"/>
          </w:tcPr>
          <w:p w14:paraId="140CE1E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56612F1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0590ABA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14:paraId="56FAA2D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14:paraId="3541AC7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0"/>
            <w:vAlign w:val="center"/>
          </w:tcPr>
          <w:p w14:paraId="2BE8055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4004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57E050D">
            <w:pPr>
              <w:widowControl/>
              <w:spacing w:line="280" w:lineRule="exact"/>
              <w:jc w:val="left"/>
              <w:rPr>
                <w:rFonts w:ascii="宋体" w:hAnsi="宋体" w:cs="宋体"/>
                <w:color w:val="auto"/>
                <w:kern w:val="0"/>
                <w:sz w:val="18"/>
                <w:szCs w:val="18"/>
              </w:rPr>
            </w:pPr>
          </w:p>
        </w:tc>
        <w:tc>
          <w:tcPr>
            <w:tcW w:w="1369" w:type="dxa"/>
            <w:noWrap w:val="0"/>
            <w:vAlign w:val="center"/>
          </w:tcPr>
          <w:p w14:paraId="5F34190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5E254D3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1005DBB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0"/>
            <w:vAlign w:val="center"/>
          </w:tcPr>
          <w:p w14:paraId="642E61D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noWrap w:val="0"/>
            <w:vAlign w:val="center"/>
          </w:tcPr>
          <w:p w14:paraId="21AD870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noWrap w:val="0"/>
            <w:vAlign w:val="center"/>
          </w:tcPr>
          <w:p w14:paraId="335597C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14:paraId="3EC7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AE9840E">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仓储业*</w:t>
            </w:r>
          </w:p>
        </w:tc>
        <w:tc>
          <w:tcPr>
            <w:tcW w:w="1369" w:type="dxa"/>
            <w:noWrap w:val="0"/>
            <w:vAlign w:val="center"/>
          </w:tcPr>
          <w:p w14:paraId="1730B9A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0ABE315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3FD4CA3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0"/>
            <w:vAlign w:val="center"/>
          </w:tcPr>
          <w:p w14:paraId="25911EF2">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noWrap w:val="0"/>
            <w:vAlign w:val="center"/>
          </w:tcPr>
          <w:p w14:paraId="1445186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noWrap w:val="0"/>
            <w:vAlign w:val="center"/>
          </w:tcPr>
          <w:p w14:paraId="65F0D2C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3C47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4EC38C8">
            <w:pPr>
              <w:widowControl/>
              <w:spacing w:line="280" w:lineRule="exact"/>
              <w:jc w:val="left"/>
              <w:rPr>
                <w:rFonts w:ascii="宋体" w:hAnsi="宋体" w:cs="宋体"/>
                <w:color w:val="auto"/>
                <w:kern w:val="0"/>
                <w:sz w:val="18"/>
                <w:szCs w:val="18"/>
              </w:rPr>
            </w:pPr>
          </w:p>
        </w:tc>
        <w:tc>
          <w:tcPr>
            <w:tcW w:w="1369" w:type="dxa"/>
            <w:noWrap w:val="0"/>
            <w:vAlign w:val="center"/>
          </w:tcPr>
          <w:p w14:paraId="3198D1B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007AF07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218AFFC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0"/>
            <w:vAlign w:val="center"/>
          </w:tcPr>
          <w:p w14:paraId="6D823DB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noWrap w:val="0"/>
            <w:vAlign w:val="center"/>
          </w:tcPr>
          <w:p w14:paraId="3CD75A4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0"/>
            <w:vAlign w:val="center"/>
          </w:tcPr>
          <w:p w14:paraId="2D556EA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3791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D28D44">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邮政业</w:t>
            </w:r>
          </w:p>
        </w:tc>
        <w:tc>
          <w:tcPr>
            <w:tcW w:w="1369" w:type="dxa"/>
            <w:noWrap w:val="0"/>
            <w:vAlign w:val="center"/>
          </w:tcPr>
          <w:p w14:paraId="51E6B2D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4583D97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21650C6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14:paraId="71E4B85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14:paraId="405FA67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0"/>
            <w:vAlign w:val="center"/>
          </w:tcPr>
          <w:p w14:paraId="655CFA5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7244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323E097">
            <w:pPr>
              <w:widowControl/>
              <w:spacing w:line="280" w:lineRule="exact"/>
              <w:jc w:val="left"/>
              <w:rPr>
                <w:rFonts w:ascii="宋体" w:hAnsi="宋体" w:cs="宋体"/>
                <w:color w:val="auto"/>
                <w:kern w:val="0"/>
                <w:sz w:val="18"/>
                <w:szCs w:val="18"/>
              </w:rPr>
            </w:pPr>
          </w:p>
        </w:tc>
        <w:tc>
          <w:tcPr>
            <w:tcW w:w="1369" w:type="dxa"/>
            <w:noWrap w:val="0"/>
            <w:vAlign w:val="center"/>
          </w:tcPr>
          <w:p w14:paraId="618C7F0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4F0A28C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623241C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0"/>
            <w:vAlign w:val="center"/>
          </w:tcPr>
          <w:p w14:paraId="556B5E2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noWrap w:val="0"/>
            <w:vAlign w:val="center"/>
          </w:tcPr>
          <w:p w14:paraId="77E812F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0"/>
            <w:vAlign w:val="center"/>
          </w:tcPr>
          <w:p w14:paraId="4B9BBF9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37F3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22A3155">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住宿业</w:t>
            </w:r>
          </w:p>
        </w:tc>
        <w:tc>
          <w:tcPr>
            <w:tcW w:w="1369" w:type="dxa"/>
            <w:noWrap w:val="0"/>
            <w:vAlign w:val="center"/>
          </w:tcPr>
          <w:p w14:paraId="57A2E21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1F07021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10579C9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14:paraId="2259CF7A">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0"/>
            <w:vAlign w:val="center"/>
          </w:tcPr>
          <w:p w14:paraId="18FE870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14:paraId="4E11851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1ED4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D458C11">
            <w:pPr>
              <w:widowControl/>
              <w:spacing w:line="280" w:lineRule="exact"/>
              <w:jc w:val="left"/>
              <w:rPr>
                <w:rFonts w:ascii="宋体" w:hAnsi="宋体" w:cs="宋体"/>
                <w:color w:val="auto"/>
                <w:kern w:val="0"/>
                <w:sz w:val="18"/>
                <w:szCs w:val="18"/>
              </w:rPr>
            </w:pPr>
          </w:p>
        </w:tc>
        <w:tc>
          <w:tcPr>
            <w:tcW w:w="1369" w:type="dxa"/>
            <w:noWrap w:val="0"/>
            <w:vAlign w:val="center"/>
          </w:tcPr>
          <w:p w14:paraId="30835E9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783B94E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01DB734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0"/>
            <w:vAlign w:val="center"/>
          </w:tcPr>
          <w:p w14:paraId="57A7656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0"/>
            <w:vAlign w:val="center"/>
          </w:tcPr>
          <w:p w14:paraId="2B5E4FF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0"/>
            <w:vAlign w:val="center"/>
          </w:tcPr>
          <w:p w14:paraId="58EA85A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696B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CB4CB7E">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餐饮业</w:t>
            </w:r>
          </w:p>
        </w:tc>
        <w:tc>
          <w:tcPr>
            <w:tcW w:w="1369" w:type="dxa"/>
            <w:noWrap w:val="0"/>
            <w:vAlign w:val="center"/>
          </w:tcPr>
          <w:p w14:paraId="1C4D828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3049497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14D168D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14:paraId="42AB620C">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0"/>
            <w:vAlign w:val="center"/>
          </w:tcPr>
          <w:p w14:paraId="49CEAAC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14:paraId="2A56481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1639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27F16EF">
            <w:pPr>
              <w:widowControl/>
              <w:spacing w:line="280" w:lineRule="exact"/>
              <w:jc w:val="left"/>
              <w:rPr>
                <w:rFonts w:ascii="宋体" w:hAnsi="宋体" w:cs="宋体"/>
                <w:color w:val="auto"/>
                <w:kern w:val="0"/>
                <w:sz w:val="18"/>
                <w:szCs w:val="18"/>
              </w:rPr>
            </w:pPr>
          </w:p>
        </w:tc>
        <w:tc>
          <w:tcPr>
            <w:tcW w:w="1369" w:type="dxa"/>
            <w:noWrap w:val="0"/>
            <w:vAlign w:val="center"/>
          </w:tcPr>
          <w:p w14:paraId="5625408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422AF27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063A9A0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0"/>
            <w:vAlign w:val="center"/>
          </w:tcPr>
          <w:p w14:paraId="14AD97A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0"/>
            <w:vAlign w:val="center"/>
          </w:tcPr>
          <w:p w14:paraId="48D37C8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0"/>
            <w:vAlign w:val="center"/>
          </w:tcPr>
          <w:p w14:paraId="4ACE3B4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0F96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968A9BF">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信息传输业 *</w:t>
            </w:r>
          </w:p>
        </w:tc>
        <w:tc>
          <w:tcPr>
            <w:tcW w:w="1369" w:type="dxa"/>
            <w:noWrap w:val="0"/>
            <w:vAlign w:val="center"/>
          </w:tcPr>
          <w:p w14:paraId="604B5F4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6D6FAF4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1CE6CF1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noWrap w:val="0"/>
            <w:vAlign w:val="center"/>
          </w:tcPr>
          <w:p w14:paraId="2A25DFA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noWrap w:val="0"/>
            <w:vAlign w:val="center"/>
          </w:tcPr>
          <w:p w14:paraId="3BFDF90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14:paraId="14163B3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7FE5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08379BF">
            <w:pPr>
              <w:widowControl/>
              <w:spacing w:line="280" w:lineRule="exact"/>
              <w:jc w:val="left"/>
              <w:rPr>
                <w:rFonts w:ascii="宋体" w:hAnsi="宋体" w:cs="宋体"/>
                <w:color w:val="auto"/>
                <w:kern w:val="0"/>
                <w:sz w:val="18"/>
                <w:szCs w:val="18"/>
              </w:rPr>
            </w:pPr>
          </w:p>
        </w:tc>
        <w:tc>
          <w:tcPr>
            <w:tcW w:w="1369" w:type="dxa"/>
            <w:noWrap w:val="0"/>
            <w:vAlign w:val="center"/>
          </w:tcPr>
          <w:p w14:paraId="4FDD8CC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192F37B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33D44B8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noWrap w:val="0"/>
            <w:vAlign w:val="center"/>
          </w:tcPr>
          <w:p w14:paraId="13F84A4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noWrap w:val="0"/>
            <w:vAlign w:val="center"/>
          </w:tcPr>
          <w:p w14:paraId="0676268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0"/>
            <w:vAlign w:val="center"/>
          </w:tcPr>
          <w:p w14:paraId="770BE4A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1CC9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1C5F74B">
            <w:pPr>
              <w:widowControl/>
              <w:spacing w:line="280" w:lineRule="exact"/>
              <w:jc w:val="left"/>
              <w:rPr>
                <w:rFonts w:ascii="宋体" w:hAnsi="宋体" w:cs="宋体"/>
                <w:color w:val="auto"/>
                <w:spacing w:val="-12"/>
                <w:kern w:val="0"/>
                <w:sz w:val="18"/>
                <w:szCs w:val="18"/>
              </w:rPr>
            </w:pPr>
            <w:r>
              <w:rPr>
                <w:rFonts w:hint="eastAsia" w:ascii="宋体" w:hAnsi="宋体" w:cs="宋体"/>
                <w:color w:val="auto"/>
                <w:spacing w:val="-12"/>
                <w:kern w:val="0"/>
                <w:sz w:val="18"/>
                <w:szCs w:val="18"/>
              </w:rPr>
              <w:t>软件和信息技术服</w:t>
            </w:r>
            <w:r>
              <w:rPr>
                <w:rFonts w:hint="eastAsia" w:ascii="宋体" w:hAnsi="宋体" w:cs="宋体"/>
                <w:color w:val="auto"/>
                <w:kern w:val="0"/>
                <w:sz w:val="18"/>
                <w:szCs w:val="18"/>
              </w:rPr>
              <w:t>务业</w:t>
            </w:r>
          </w:p>
        </w:tc>
        <w:tc>
          <w:tcPr>
            <w:tcW w:w="1369" w:type="dxa"/>
            <w:noWrap w:val="0"/>
            <w:vAlign w:val="center"/>
          </w:tcPr>
          <w:p w14:paraId="6D358BA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690EE33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3632049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14:paraId="7D74DF1F">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0"/>
            <w:vAlign w:val="center"/>
          </w:tcPr>
          <w:p w14:paraId="0A441C5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14:paraId="72E4A6A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54A3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9389576">
            <w:pPr>
              <w:widowControl/>
              <w:spacing w:line="280" w:lineRule="exact"/>
              <w:jc w:val="left"/>
              <w:rPr>
                <w:rFonts w:ascii="宋体" w:hAnsi="宋体" w:cs="宋体"/>
                <w:color w:val="auto"/>
                <w:spacing w:val="-12"/>
                <w:kern w:val="0"/>
                <w:sz w:val="18"/>
                <w:szCs w:val="18"/>
              </w:rPr>
            </w:pPr>
          </w:p>
        </w:tc>
        <w:tc>
          <w:tcPr>
            <w:tcW w:w="1369" w:type="dxa"/>
            <w:noWrap w:val="0"/>
            <w:vAlign w:val="center"/>
          </w:tcPr>
          <w:p w14:paraId="54B4E80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2BA285D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6E26570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0"/>
            <w:vAlign w:val="center"/>
          </w:tcPr>
          <w:p w14:paraId="15055C2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noWrap w:val="0"/>
            <w:vAlign w:val="center"/>
          </w:tcPr>
          <w:p w14:paraId="3174DA4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noWrap w:val="0"/>
            <w:vAlign w:val="center"/>
          </w:tcPr>
          <w:p w14:paraId="2E0EE11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140E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328701F">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房地产开发经营</w:t>
            </w:r>
          </w:p>
        </w:tc>
        <w:tc>
          <w:tcPr>
            <w:tcW w:w="1369" w:type="dxa"/>
            <w:noWrap w:val="0"/>
            <w:vAlign w:val="center"/>
          </w:tcPr>
          <w:p w14:paraId="46F0592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336068D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3AC2EA3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noWrap w:val="0"/>
            <w:vAlign w:val="center"/>
          </w:tcPr>
          <w:p w14:paraId="07E265A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noWrap w:val="0"/>
            <w:vAlign w:val="center"/>
          </w:tcPr>
          <w:p w14:paraId="355F0F0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0"/>
            <w:vAlign w:val="center"/>
          </w:tcPr>
          <w:p w14:paraId="3D4B130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7C78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0C65359">
            <w:pPr>
              <w:widowControl/>
              <w:spacing w:line="280" w:lineRule="exact"/>
              <w:jc w:val="left"/>
              <w:rPr>
                <w:rFonts w:ascii="宋体" w:hAnsi="宋体" w:cs="宋体"/>
                <w:color w:val="auto"/>
                <w:kern w:val="0"/>
                <w:sz w:val="18"/>
                <w:szCs w:val="18"/>
              </w:rPr>
            </w:pPr>
          </w:p>
        </w:tc>
        <w:tc>
          <w:tcPr>
            <w:tcW w:w="1369" w:type="dxa"/>
            <w:noWrap w:val="0"/>
            <w:vAlign w:val="center"/>
          </w:tcPr>
          <w:p w14:paraId="5E471A5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0"/>
            <w:vAlign w:val="center"/>
          </w:tcPr>
          <w:p w14:paraId="46A4078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6D6FC21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noWrap w:val="0"/>
            <w:vAlign w:val="center"/>
          </w:tcPr>
          <w:p w14:paraId="0BCB33B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noWrap w:val="0"/>
            <w:vAlign w:val="center"/>
          </w:tcPr>
          <w:p w14:paraId="366EF83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noWrap w:val="0"/>
            <w:vAlign w:val="center"/>
          </w:tcPr>
          <w:p w14:paraId="119805D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14:paraId="249B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2D47087">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物业管理</w:t>
            </w:r>
          </w:p>
        </w:tc>
        <w:tc>
          <w:tcPr>
            <w:tcW w:w="1369" w:type="dxa"/>
            <w:noWrap w:val="0"/>
            <w:vAlign w:val="center"/>
          </w:tcPr>
          <w:p w14:paraId="134F70E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5E5709F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1C61E45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14:paraId="37A84DA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14:paraId="64E62A4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noWrap w:val="0"/>
            <w:vAlign w:val="center"/>
          </w:tcPr>
          <w:p w14:paraId="2A46F70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14:paraId="17AF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F621A73">
            <w:pPr>
              <w:widowControl/>
              <w:spacing w:line="280" w:lineRule="exact"/>
              <w:jc w:val="left"/>
              <w:rPr>
                <w:rFonts w:ascii="宋体" w:hAnsi="宋体" w:cs="宋体"/>
                <w:color w:val="auto"/>
                <w:kern w:val="0"/>
                <w:sz w:val="18"/>
                <w:szCs w:val="18"/>
              </w:rPr>
            </w:pPr>
          </w:p>
        </w:tc>
        <w:tc>
          <w:tcPr>
            <w:tcW w:w="1369" w:type="dxa"/>
            <w:noWrap w:val="0"/>
            <w:vAlign w:val="center"/>
          </w:tcPr>
          <w:p w14:paraId="0D4BF38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7D56B87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0848D36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noWrap w:val="0"/>
            <w:vAlign w:val="center"/>
          </w:tcPr>
          <w:p w14:paraId="2A8292A7">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noWrap w:val="0"/>
            <w:vAlign w:val="center"/>
          </w:tcPr>
          <w:p w14:paraId="583AEF5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noWrap w:val="0"/>
            <w:vAlign w:val="center"/>
          </w:tcPr>
          <w:p w14:paraId="0EBB2F0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14:paraId="62ED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0E0319F">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租赁和商务服务业</w:t>
            </w:r>
          </w:p>
        </w:tc>
        <w:tc>
          <w:tcPr>
            <w:tcW w:w="1369" w:type="dxa"/>
            <w:noWrap w:val="0"/>
            <w:vAlign w:val="center"/>
          </w:tcPr>
          <w:p w14:paraId="1C5B82C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12EAFF6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57DEF4E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14:paraId="59EC51CC">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0"/>
            <w:vAlign w:val="center"/>
          </w:tcPr>
          <w:p w14:paraId="236451E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14:paraId="0719FF5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32BC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A060E6E">
            <w:pPr>
              <w:widowControl/>
              <w:spacing w:line="280" w:lineRule="exact"/>
              <w:jc w:val="left"/>
              <w:rPr>
                <w:rFonts w:ascii="宋体" w:hAnsi="宋体" w:cs="宋体"/>
                <w:color w:val="auto"/>
                <w:kern w:val="0"/>
                <w:sz w:val="18"/>
                <w:szCs w:val="18"/>
              </w:rPr>
            </w:pPr>
          </w:p>
        </w:tc>
        <w:tc>
          <w:tcPr>
            <w:tcW w:w="1369" w:type="dxa"/>
            <w:noWrap w:val="0"/>
            <w:vAlign w:val="center"/>
          </w:tcPr>
          <w:p w14:paraId="3944B8D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0"/>
            <w:vAlign w:val="center"/>
          </w:tcPr>
          <w:p w14:paraId="2EE264A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7EEA819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noWrap w:val="0"/>
            <w:vAlign w:val="center"/>
          </w:tcPr>
          <w:p w14:paraId="1AFDE52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noWrap w:val="0"/>
            <w:vAlign w:val="center"/>
          </w:tcPr>
          <w:p w14:paraId="1135C23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noWrap w:val="0"/>
            <w:vAlign w:val="center"/>
          </w:tcPr>
          <w:p w14:paraId="436BD0B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14:paraId="46BA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2171C2D2">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其他未列明行业 *</w:t>
            </w:r>
          </w:p>
        </w:tc>
        <w:tc>
          <w:tcPr>
            <w:tcW w:w="1369" w:type="dxa"/>
            <w:noWrap w:val="0"/>
            <w:vAlign w:val="center"/>
          </w:tcPr>
          <w:p w14:paraId="012CA68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14DFC99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4F76C70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14:paraId="6F5C3061">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0"/>
            <w:vAlign w:val="center"/>
          </w:tcPr>
          <w:p w14:paraId="73AC60A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14:paraId="4E603B0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14:paraId="65BC3D17">
      <w:pPr>
        <w:widowControl/>
        <w:spacing w:line="280" w:lineRule="exact"/>
        <w:rPr>
          <w:rFonts w:ascii="宋体" w:hAnsi="宋体" w:cs="宋体"/>
          <w:color w:val="auto"/>
          <w:spacing w:val="8"/>
          <w:kern w:val="0"/>
          <w:sz w:val="24"/>
        </w:rPr>
      </w:pPr>
    </w:p>
    <w:p w14:paraId="2762A823">
      <w:pPr>
        <w:widowControl/>
        <w:spacing w:line="360" w:lineRule="auto"/>
        <w:rPr>
          <w:rFonts w:hint="eastAsia" w:ascii="宋体" w:hAnsi="宋体" w:cs="宋体"/>
          <w:color w:val="auto"/>
          <w:spacing w:val="8"/>
          <w:kern w:val="0"/>
          <w:szCs w:val="21"/>
        </w:rPr>
      </w:pPr>
    </w:p>
    <w:p w14:paraId="1C253253">
      <w:pPr>
        <w:widowControl/>
        <w:spacing w:line="360" w:lineRule="auto"/>
        <w:rPr>
          <w:rFonts w:ascii="宋体" w:hAnsi="宋体" w:cs="宋体"/>
          <w:color w:val="auto"/>
          <w:spacing w:val="8"/>
          <w:kern w:val="0"/>
          <w:szCs w:val="21"/>
        </w:rPr>
      </w:pPr>
      <w:r>
        <w:rPr>
          <w:rFonts w:hint="eastAsia" w:ascii="宋体" w:hAnsi="宋体" w:cs="宋体"/>
          <w:color w:val="auto"/>
          <w:spacing w:val="8"/>
          <w:kern w:val="0"/>
          <w:szCs w:val="21"/>
        </w:rPr>
        <w:t>说明：</w:t>
      </w:r>
    </w:p>
    <w:p w14:paraId="666234E3">
      <w:pPr>
        <w:pStyle w:val="14"/>
        <w:adjustRightInd w:val="0"/>
        <w:spacing w:line="360" w:lineRule="auto"/>
        <w:ind w:firstLine="452" w:firstLineChars="200"/>
        <w:contextualSpacing/>
        <w:rPr>
          <w:rFonts w:hAnsi="宋体" w:cs="宋体"/>
          <w:color w:val="auto"/>
          <w:spacing w:val="8"/>
          <w:kern w:val="0"/>
          <w:szCs w:val="21"/>
        </w:rPr>
      </w:pPr>
      <w:r>
        <w:rPr>
          <w:rFonts w:hint="eastAsia" w:hAnsi="宋体" w:cs="宋体"/>
          <w:color w:val="auto"/>
          <w:spacing w:val="8"/>
          <w:kern w:val="0"/>
          <w:szCs w:val="21"/>
        </w:rPr>
        <w:t>1.大型、中型和小型企业须同时满足所列指标的下限，否则下划一档；微型企业只须满足所列指标中的一项即可。</w:t>
      </w:r>
    </w:p>
    <w:p w14:paraId="6B418B35">
      <w:pPr>
        <w:pStyle w:val="14"/>
        <w:adjustRightInd w:val="0"/>
        <w:spacing w:line="360" w:lineRule="auto"/>
        <w:ind w:firstLine="452" w:firstLineChars="200"/>
        <w:contextualSpacing/>
        <w:rPr>
          <w:rFonts w:hAnsi="宋体" w:cs="宋体"/>
          <w:color w:val="auto"/>
          <w:spacing w:val="8"/>
          <w:kern w:val="0"/>
          <w:szCs w:val="21"/>
        </w:rPr>
      </w:pPr>
      <w:r>
        <w:rPr>
          <w:rFonts w:hint="eastAsia" w:hAnsi="宋体" w:cs="宋体"/>
          <w:color w:val="auto"/>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lang w:eastAsia="zh-CN"/>
        </w:rPr>
        <w:t>；</w:t>
      </w:r>
      <w:r>
        <w:rPr>
          <w:rFonts w:hint="eastAsia" w:hAnsi="宋体" w:cs="宋体"/>
          <w:color w:val="auto"/>
          <w:spacing w:val="8"/>
          <w:kern w:val="0"/>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8C95450">
      <w:pPr>
        <w:pStyle w:val="14"/>
        <w:spacing w:line="360" w:lineRule="auto"/>
        <w:ind w:firstLine="452" w:firstLineChars="200"/>
        <w:rPr>
          <w:rFonts w:hAnsi="宋体" w:cs="宋体"/>
          <w:color w:val="auto"/>
          <w:spacing w:val="8"/>
          <w:kern w:val="0"/>
          <w:sz w:val="24"/>
          <w:szCs w:val="24"/>
        </w:rPr>
      </w:pPr>
      <w:r>
        <w:rPr>
          <w:rFonts w:hint="eastAsia" w:hAnsi="宋体" w:cs="宋体"/>
          <w:color w:val="auto"/>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161CB56">
      <w:pPr>
        <w:jc w:val="center"/>
        <w:outlineLvl w:val="0"/>
        <w:rPr>
          <w:rFonts w:hint="eastAsia" w:ascii="Times New Roman" w:hAnsi="Times New Roman" w:eastAsia="宋体" w:cs="Times New Roman"/>
          <w:b/>
          <w:color w:val="auto"/>
          <w:sz w:val="36"/>
          <w:highlight w:val="none"/>
        </w:rPr>
      </w:pPr>
      <w:bookmarkStart w:id="63" w:name="_Toc9063"/>
      <w:bookmarkStart w:id="64" w:name="_Toc28587"/>
      <w:bookmarkStart w:id="65" w:name="_Toc6362"/>
      <w:bookmarkStart w:id="66" w:name="_Toc532545044"/>
      <w:bookmarkStart w:id="67" w:name="_Toc3325"/>
      <w:bookmarkStart w:id="68" w:name="_Toc496"/>
      <w:bookmarkStart w:id="69" w:name="_Toc29172"/>
      <w:bookmarkStart w:id="70" w:name="_Toc26039"/>
      <w:bookmarkStart w:id="71" w:name="_Toc8975"/>
      <w:bookmarkStart w:id="72" w:name="_Toc24489"/>
      <w:r>
        <w:rPr>
          <w:rFonts w:hint="eastAsia" w:ascii="Times New Roman" w:hAnsi="Times New Roman" w:eastAsia="宋体" w:cs="Times New Roman"/>
          <w:b/>
          <w:color w:val="auto"/>
          <w:sz w:val="36"/>
          <w:highlight w:val="none"/>
        </w:rPr>
        <w:br w:type="page"/>
      </w:r>
    </w:p>
    <w:p w14:paraId="18DC84CC">
      <w:pPr>
        <w:pStyle w:val="14"/>
        <w:jc w:val="center"/>
        <w:outlineLvl w:val="0"/>
        <w:rPr>
          <w:rFonts w:hint="eastAsia" w:hAnsi="宋体" w:eastAsia="宋体" w:cs="Times New Roman"/>
          <w:b/>
          <w:color w:val="auto"/>
          <w:sz w:val="36"/>
          <w:szCs w:val="36"/>
          <w:highlight w:val="none"/>
        </w:rPr>
      </w:pPr>
      <w:bookmarkStart w:id="73" w:name="_Toc20085"/>
      <w:bookmarkStart w:id="74" w:name="_Toc20953"/>
      <w:bookmarkStart w:id="75" w:name="_Toc26044"/>
      <w:bookmarkStart w:id="76" w:name="_Toc15364"/>
      <w:r>
        <w:rPr>
          <w:rFonts w:hint="eastAsia" w:ascii="Times New Roman" w:hAnsi="Times New Roman" w:eastAsia="宋体" w:cs="Times New Roman"/>
          <w:b/>
          <w:color w:val="auto"/>
          <w:sz w:val="36"/>
          <w:highlight w:val="none"/>
        </w:rPr>
        <w:t>第三章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投标人须知</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4289C53">
      <w:pPr>
        <w:pStyle w:val="14"/>
        <w:spacing w:line="720" w:lineRule="auto"/>
        <w:jc w:val="center"/>
        <w:outlineLvl w:val="1"/>
        <w:rPr>
          <w:rFonts w:hint="eastAsia" w:ascii="Times New Roman" w:hAnsi="Times New Roman" w:eastAsia="宋体" w:cs="Times New Roman"/>
          <w:b/>
          <w:color w:val="auto"/>
          <w:sz w:val="30"/>
          <w:szCs w:val="30"/>
          <w:highlight w:val="none"/>
        </w:rPr>
      </w:pPr>
      <w:bookmarkStart w:id="77" w:name="_Toc16388"/>
      <w:bookmarkStart w:id="78" w:name="_Toc32208"/>
      <w:bookmarkStart w:id="79" w:name="_Toc8769"/>
      <w:bookmarkStart w:id="80" w:name="_Toc1597"/>
      <w:bookmarkStart w:id="81" w:name="_Toc24714"/>
      <w:bookmarkStart w:id="82" w:name="_Toc10039"/>
      <w:bookmarkStart w:id="83" w:name="_Toc29813"/>
      <w:bookmarkStart w:id="84" w:name="_Toc11515"/>
      <w:bookmarkStart w:id="85" w:name="_Toc29809"/>
      <w:bookmarkStart w:id="86" w:name="_Toc4562"/>
      <w:r>
        <w:rPr>
          <w:rFonts w:hint="eastAsia" w:ascii="Times New Roman" w:hAnsi="Times New Roman" w:eastAsia="宋体" w:cs="Times New Roman"/>
          <w:b/>
          <w:color w:val="auto"/>
          <w:sz w:val="30"/>
          <w:szCs w:val="30"/>
          <w:highlight w:val="none"/>
        </w:rPr>
        <w:t>第一节</w:t>
      </w:r>
      <w:r>
        <w:rPr>
          <w:rFonts w:ascii="Times New Roman" w:hAnsi="Times New Roman" w:eastAsia="宋体" w:cs="Times New Roman"/>
          <w:b/>
          <w:color w:val="auto"/>
          <w:sz w:val="30"/>
          <w:szCs w:val="30"/>
          <w:highlight w:val="none"/>
        </w:rPr>
        <w:t xml:space="preserve"> </w:t>
      </w:r>
      <w:r>
        <w:rPr>
          <w:rFonts w:hint="eastAsia" w:ascii="Times New Roman" w:hAnsi="Times New Roman" w:eastAsia="宋体" w:cs="Times New Roman"/>
          <w:b/>
          <w:color w:val="auto"/>
          <w:sz w:val="30"/>
          <w:szCs w:val="30"/>
          <w:highlight w:val="none"/>
        </w:rPr>
        <w:t>投标人须知前附表</w:t>
      </w:r>
      <w:bookmarkEnd w:id="77"/>
      <w:bookmarkEnd w:id="78"/>
      <w:bookmarkEnd w:id="79"/>
      <w:bookmarkEnd w:id="80"/>
      <w:bookmarkEnd w:id="81"/>
      <w:bookmarkEnd w:id="82"/>
      <w:bookmarkEnd w:id="83"/>
      <w:bookmarkEnd w:id="84"/>
      <w:bookmarkEnd w:id="85"/>
      <w:bookmarkEnd w:id="86"/>
    </w:p>
    <w:tbl>
      <w:tblPr>
        <w:tblStyle w:val="21"/>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71385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63FDC9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278949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80A6AA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549F0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C9C4233">
            <w:pPr>
              <w:spacing w:line="38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2D119AF">
            <w:pPr>
              <w:spacing w:line="380" w:lineRule="exact"/>
              <w:rPr>
                <w:rFonts w:hint="eastAsia" w:ascii="宋体" w:hAnsi="宋体" w:eastAsia="宋体" w:cs="宋体"/>
                <w:color w:val="auto"/>
                <w:sz w:val="21"/>
                <w:szCs w:val="21"/>
                <w:highlight w:val="none"/>
              </w:rPr>
            </w:pPr>
            <w:r>
              <w:rPr>
                <w:rFonts w:hint="eastAsia" w:ascii="宋体" w:hAnsi="宋体" w:cs="宋体"/>
                <w:color w:val="auto"/>
                <w:szCs w:val="21"/>
              </w:rPr>
              <w:t>投标人的资格要求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5A63417">
            <w:pPr>
              <w:pStyle w:val="10"/>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rPr>
              <w:t>详见招标公告。</w:t>
            </w:r>
          </w:p>
        </w:tc>
      </w:tr>
      <w:tr w14:paraId="096A68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A6457B7">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C34E70D">
            <w:pPr>
              <w:spacing w:line="380" w:lineRule="exact"/>
              <w:rPr>
                <w:rFonts w:hint="eastAsia" w:ascii="宋体" w:hAnsi="宋体" w:eastAsia="宋体" w:cs="宋体"/>
                <w:color w:val="auto"/>
                <w:sz w:val="21"/>
                <w:szCs w:val="21"/>
                <w:highlight w:val="none"/>
              </w:rPr>
            </w:pPr>
            <w:bookmarkStart w:id="87" w:name="_5"/>
            <w:bookmarkEnd w:id="87"/>
            <w:bookmarkStart w:id="88" w:name="_9.2"/>
            <w:bookmarkEnd w:id="88"/>
            <w:bookmarkStart w:id="89" w:name="_8.1"/>
            <w:bookmarkEnd w:id="89"/>
            <w:r>
              <w:rPr>
                <w:rFonts w:hint="eastAsia" w:ascii="宋体" w:hAnsi="宋体" w:eastAsia="宋体" w:cs="宋体"/>
                <w:color w:val="auto"/>
                <w:sz w:val="21"/>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12C68DC">
            <w:pPr>
              <w:pStyle w:val="10"/>
              <w:spacing w:line="380" w:lineRule="exact"/>
              <w:rPr>
                <w:rFonts w:hint="eastAsia" w:ascii="宋体" w:hAnsi="宋体" w:eastAsia="宋体" w:cs="宋体"/>
                <w:color w:val="auto"/>
                <w:sz w:val="21"/>
                <w:szCs w:val="21"/>
                <w:highlight w:val="none"/>
              </w:rPr>
            </w:pPr>
            <w:bookmarkStart w:id="90" w:name="PO_3000001866_PM007"/>
            <w:r>
              <w:rPr>
                <w:rFonts w:hint="eastAsia" w:ascii="宋体" w:hAnsi="宋体" w:cs="宋体"/>
                <w:color w:val="auto"/>
                <w:szCs w:val="21"/>
              </w:rPr>
              <w:t>详见招标公告。</w:t>
            </w:r>
            <w:bookmarkEnd w:id="90"/>
          </w:p>
        </w:tc>
      </w:tr>
      <w:tr w14:paraId="2CE81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93236C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014FA16">
            <w:pPr>
              <w:spacing w:line="380" w:lineRule="exac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312BFAE">
            <w:pPr>
              <w:pStyle w:val="10"/>
              <w:spacing w:line="380" w:lineRule="exact"/>
              <w:rPr>
                <w:rFonts w:hint="eastAsia" w:ascii="宋体" w:hAnsi="宋体" w:eastAsia="宋体" w:cs="宋体"/>
                <w:i w:val="0"/>
                <w:iCs w:val="0"/>
                <w:color w:val="auto"/>
                <w:sz w:val="21"/>
                <w:szCs w:val="21"/>
                <w:highlight w:val="none"/>
                <w:lang w:eastAsia="zh-CN"/>
              </w:rPr>
            </w:pPr>
            <w:r>
              <w:rPr>
                <w:rFonts w:hint="eastAsia" w:ascii="宋体" w:hAnsi="宋体" w:cs="宋体"/>
                <w:i w:val="0"/>
                <w:iCs w:val="0"/>
                <w:color w:val="auto"/>
                <w:szCs w:val="21"/>
                <w:highlight w:val="none"/>
                <w:lang w:val="en-US" w:eastAsia="zh-CN"/>
              </w:rPr>
              <w:t>无</w:t>
            </w:r>
          </w:p>
        </w:tc>
      </w:tr>
      <w:tr w14:paraId="475935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8DD56C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B7ABDA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AB105A1">
            <w:pPr>
              <w:pStyle w:val="10"/>
              <w:spacing w:line="380" w:lineRule="exact"/>
              <w:rPr>
                <w:rFonts w:hint="eastAsia" w:ascii="宋体" w:hAnsi="宋体" w:eastAsia="宋体" w:cs="宋体"/>
                <w:color w:val="auto"/>
                <w:sz w:val="21"/>
                <w:szCs w:val="21"/>
                <w:highlight w:val="none"/>
                <w:lang w:eastAsia="zh-CN"/>
              </w:rPr>
            </w:pPr>
            <w:bookmarkStart w:id="91" w:name="PO_3000001866_PM044"/>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不允许分包</w:t>
            </w:r>
            <w:bookmarkEnd w:id="91"/>
          </w:p>
          <w:p w14:paraId="6D99FCFE">
            <w:pPr>
              <w:pStyle w:val="10"/>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转包/分包内容：</w:t>
            </w:r>
            <w:r>
              <w:rPr>
                <w:rFonts w:hint="eastAsia" w:ascii="宋体" w:hAnsi="宋体" w:eastAsia="宋体" w:cs="宋体"/>
                <w:color w:val="auto"/>
                <w:sz w:val="21"/>
                <w:szCs w:val="21"/>
                <w:highlight w:val="none"/>
                <w:u w:val="single"/>
              </w:rPr>
              <w:t xml:space="preserve">                                     。</w:t>
            </w:r>
          </w:p>
          <w:p w14:paraId="25316ABA">
            <w:pPr>
              <w:pStyle w:val="10"/>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转包/分包金额或者比例：</w:t>
            </w:r>
            <w:r>
              <w:rPr>
                <w:rFonts w:hint="eastAsia" w:ascii="宋体" w:hAnsi="宋体" w:eastAsia="宋体" w:cs="宋体"/>
                <w:color w:val="auto"/>
                <w:sz w:val="21"/>
                <w:szCs w:val="21"/>
                <w:highlight w:val="none"/>
                <w:u w:val="single"/>
              </w:rPr>
              <w:t xml:space="preserve">                                     。</w:t>
            </w:r>
          </w:p>
        </w:tc>
      </w:tr>
      <w:tr w14:paraId="0B533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FEEB2B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42ECE0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F5CD83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公告中“六、其他补充事宜”中网上查询地址上发布</w:t>
            </w:r>
            <w:r>
              <w:rPr>
                <w:rFonts w:hint="eastAsia" w:ascii="宋体" w:hAnsi="宋体" w:eastAsia="宋体" w:cs="宋体"/>
                <w:color w:val="auto"/>
                <w:kern w:val="0"/>
                <w:sz w:val="21"/>
                <w:szCs w:val="21"/>
                <w:highlight w:val="none"/>
              </w:rPr>
              <w:t>。</w:t>
            </w:r>
          </w:p>
        </w:tc>
      </w:tr>
      <w:tr w14:paraId="5581B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3E78F83">
            <w:pPr>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6025C3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19F7BE5">
            <w:pPr>
              <w:snapToGrid w:val="0"/>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不组织召开开标前答疑会</w:t>
            </w:r>
          </w:p>
          <w:p w14:paraId="779C10EC">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□组织召开开标前答疑会</w:t>
            </w:r>
          </w:p>
          <w:p w14:paraId="41301B1B">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u w:val="single"/>
              </w:rPr>
              <w:t xml:space="preserve">              </w:t>
            </w:r>
          </w:p>
        </w:tc>
      </w:tr>
      <w:tr w14:paraId="74801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tcBorders>
              <w:top w:val="nil"/>
              <w:left w:val="single" w:color="auto" w:sz="4" w:space="0"/>
              <w:bottom w:val="nil"/>
              <w:right w:val="single" w:color="auto" w:sz="4" w:space="0"/>
            </w:tcBorders>
            <w:noWrap w:val="0"/>
            <w:vAlign w:val="center"/>
          </w:tcPr>
          <w:p w14:paraId="6F70A79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EE83946">
            <w:pPr>
              <w:snapToGrid w:val="0"/>
              <w:spacing w:line="380" w:lineRule="exact"/>
              <w:jc w:val="left"/>
              <w:rPr>
                <w:rFonts w:hint="eastAsia" w:ascii="宋体" w:hAnsi="宋体" w:eastAsia="宋体" w:cs="宋体"/>
                <w:color w:val="auto"/>
                <w:sz w:val="21"/>
                <w:szCs w:val="21"/>
                <w:highlight w:val="none"/>
              </w:rPr>
            </w:pPr>
            <w:bookmarkStart w:id="92" w:name="_13.2"/>
            <w:bookmarkEnd w:id="92"/>
            <w:r>
              <w:rPr>
                <w:rFonts w:hint="eastAsia" w:ascii="宋体" w:hAnsi="宋体" w:eastAsia="宋体" w:cs="宋体"/>
                <w:color w:val="auto"/>
                <w:sz w:val="21"/>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B1F28A1">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1、投标人为法人或者其他组织的，提供营业执照等证明文件</w:t>
            </w:r>
            <w:r>
              <w:rPr>
                <w:rFonts w:hint="eastAsia" w:ascii="宋体" w:hAnsi="宋体" w:cs="宋体"/>
                <w:color w:val="auto"/>
                <w:sz w:val="21"/>
                <w:szCs w:val="21"/>
                <w:highlight w:val="none"/>
                <w:lang w:eastAsia="zh-CN"/>
              </w:rPr>
              <w:t>复印件</w:t>
            </w:r>
            <w:r>
              <w:rPr>
                <w:rFonts w:hint="eastAsia" w:ascii="宋体" w:hAnsi="宋体" w:eastAsia="宋体" w:cs="宋体"/>
                <w:color w:val="auto"/>
                <w:sz w:val="21"/>
                <w:szCs w:val="21"/>
                <w:highlight w:val="none"/>
              </w:rPr>
              <w:t>（如营业执照或者事业单位法人证书或者</w:t>
            </w:r>
            <w:r>
              <w:rPr>
                <w:rStyle w:val="29"/>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等），投标人为自然人的，提供</w:t>
            </w:r>
            <w:r>
              <w:rPr>
                <w:rFonts w:hint="eastAsia" w:ascii="宋体" w:hAnsi="宋体" w:cs="宋体"/>
                <w:color w:val="auto"/>
                <w:sz w:val="21"/>
                <w:szCs w:val="21"/>
                <w:highlight w:val="none"/>
                <w:lang w:eastAsia="zh-CN"/>
              </w:rPr>
              <w:t>有效</w:t>
            </w:r>
            <w:r>
              <w:rPr>
                <w:rFonts w:hint="eastAsia" w:ascii="宋体" w:hAnsi="宋体" w:eastAsia="宋体" w:cs="宋体"/>
                <w:color w:val="auto"/>
                <w:sz w:val="21"/>
                <w:szCs w:val="21"/>
                <w:highlight w:val="none"/>
              </w:rPr>
              <w:t>身份证</w:t>
            </w:r>
            <w:r>
              <w:rPr>
                <w:rFonts w:hint="eastAsia" w:ascii="宋体" w:hAnsi="宋体" w:cs="宋体"/>
                <w:color w:val="auto"/>
                <w:sz w:val="21"/>
                <w:szCs w:val="21"/>
                <w:highlight w:val="none"/>
                <w:lang w:eastAsia="zh-CN"/>
              </w:rPr>
              <w:t>正反面</w:t>
            </w:r>
            <w:r>
              <w:rPr>
                <w:rFonts w:hint="eastAsia" w:ascii="宋体" w:hAnsi="宋体" w:eastAsia="宋体" w:cs="宋体"/>
                <w:color w:val="auto"/>
                <w:sz w:val="21"/>
                <w:szCs w:val="21"/>
                <w:highlight w:val="none"/>
              </w:rPr>
              <w:t>复印件。（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0D500FD">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cs="宋体"/>
                <w:color w:val="auto"/>
                <w:szCs w:val="21"/>
                <w:highlight w:val="none"/>
              </w:rPr>
              <w:t>防城港市政府采购供应商信用承诺函</w:t>
            </w:r>
            <w:r>
              <w:rPr>
                <w:rFonts w:hint="eastAsia" w:ascii="宋体" w:eastAsia="宋体" w:cs="宋体"/>
                <w:color w:val="auto"/>
                <w:szCs w:val="21"/>
                <w:highlight w:val="none"/>
              </w:rPr>
              <w:t>（格式后附）；</w:t>
            </w:r>
            <w:r>
              <w:rPr>
                <w:rFonts w:hint="eastAsia" w:ascii="宋体" w:eastAsia="宋体" w:cs="宋体"/>
                <w:b/>
                <w:bCs/>
                <w:color w:val="auto"/>
                <w:szCs w:val="21"/>
                <w:highlight w:val="none"/>
              </w:rPr>
              <w:t>（必须提供，否则作无效投标处理）</w:t>
            </w:r>
          </w:p>
          <w:p w14:paraId="732DDA27">
            <w:pPr>
              <w:numPr>
                <w:ilvl w:val="0"/>
                <w:numId w:val="0"/>
              </w:numPr>
              <w:snapToGrid w:val="0"/>
              <w:spacing w:line="380" w:lineRule="exact"/>
              <w:jc w:val="left"/>
              <w:rPr>
                <w:rFonts w:hint="eastAsia" w:ascii="宋体" w:hAnsi="宋体" w:eastAsia="宋体" w:cs="Times New Roman"/>
                <w:color w:val="auto"/>
                <w:szCs w:val="21"/>
              </w:rPr>
            </w:pPr>
            <w:r>
              <w:rPr>
                <w:rFonts w:hint="eastAsia" w:ascii="宋体" w:hAnsi="宋体" w:cs="Times New Roman"/>
                <w:color w:val="auto"/>
                <w:szCs w:val="21"/>
                <w:lang w:val="en-US" w:eastAsia="zh-CN"/>
              </w:rPr>
              <w:t>3</w:t>
            </w:r>
            <w:r>
              <w:rPr>
                <w:rFonts w:hint="eastAsia" w:ascii="宋体" w:hAnsi="宋体" w:eastAsia="宋体" w:cs="Times New Roman"/>
                <w:color w:val="auto"/>
                <w:szCs w:val="21"/>
              </w:rPr>
              <w:t>、</w:t>
            </w:r>
            <w:r>
              <w:rPr>
                <w:rFonts w:hint="eastAsia" w:ascii="宋体" w:hAnsi="宋体" w:eastAsia="宋体" w:cs="宋体"/>
                <w:color w:val="auto"/>
                <w:szCs w:val="21"/>
                <w:highlight w:val="none"/>
              </w:rPr>
              <w:t>本项目的特定资格要求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提供投标人的</w:t>
            </w:r>
            <w:r>
              <w:rPr>
                <w:rFonts w:hint="eastAsia" w:ascii="宋体" w:hAnsi="宋体" w:cs="宋体"/>
                <w:color w:val="auto"/>
                <w:szCs w:val="21"/>
                <w:highlight w:val="none"/>
                <w:lang w:eastAsia="zh-CN"/>
              </w:rPr>
              <w:t>有效的《保安服务许可证》</w:t>
            </w:r>
            <w:r>
              <w:rPr>
                <w:rFonts w:hint="eastAsia" w:ascii="宋体" w:hAnsi="宋体" w:cs="宋体"/>
                <w:color w:val="auto"/>
                <w:szCs w:val="21"/>
                <w:highlight w:val="none"/>
                <w:lang w:val="en-US" w:eastAsia="zh-CN"/>
              </w:rPr>
              <w:t>复印件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2918C51F">
            <w:pPr>
              <w:numPr>
                <w:ilvl w:val="0"/>
                <w:numId w:val="0"/>
              </w:numPr>
              <w:snapToGrid w:val="0"/>
              <w:spacing w:line="380" w:lineRule="exact"/>
              <w:ind w:left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i w:val="0"/>
                <w:iCs w:val="0"/>
                <w:color w:val="auto"/>
                <w:sz w:val="21"/>
                <w:szCs w:val="21"/>
                <w:highlight w:val="none"/>
                <w:lang w:eastAsia="zh-CN"/>
              </w:rPr>
              <w:t>本项目为专门面向</w:t>
            </w:r>
            <w:r>
              <w:rPr>
                <w:rFonts w:hint="eastAsia" w:ascii="宋体" w:hAnsi="宋体" w:cs="宋体"/>
                <w:i w:val="0"/>
                <w:iCs w:val="0"/>
                <w:color w:val="FF0000"/>
                <w:sz w:val="21"/>
                <w:szCs w:val="21"/>
                <w:highlight w:val="none"/>
                <w:lang w:val="en-US" w:eastAsia="zh-CN"/>
              </w:rPr>
              <w:t>小微</w:t>
            </w:r>
            <w:r>
              <w:rPr>
                <w:rFonts w:hint="eastAsia" w:ascii="宋体" w:hAnsi="宋体" w:eastAsia="宋体" w:cs="宋体"/>
                <w:i w:val="0"/>
                <w:iCs w:val="0"/>
                <w:color w:val="auto"/>
                <w:sz w:val="21"/>
                <w:szCs w:val="21"/>
                <w:highlight w:val="none"/>
                <w:lang w:eastAsia="zh-CN"/>
              </w:rPr>
              <w:t>企业采购的项目</w:t>
            </w:r>
            <w:r>
              <w:rPr>
                <w:rFonts w:hint="eastAsia" w:ascii="宋体" w:hAnsi="宋体" w:cs="宋体"/>
                <w:i w:val="0"/>
                <w:iCs w:val="0"/>
                <w:color w:val="auto"/>
                <w:sz w:val="21"/>
                <w:szCs w:val="21"/>
                <w:highlight w:val="none"/>
                <w:lang w:val="en-US" w:eastAsia="zh-CN"/>
              </w:rPr>
              <w:t>。投标人必须</w:t>
            </w:r>
            <w:r>
              <w:rPr>
                <w:rFonts w:hint="eastAsia" w:ascii="宋体" w:hAnsi="宋体" w:eastAsia="宋体" w:cs="宋体"/>
                <w:i w:val="0"/>
                <w:iCs w:val="0"/>
                <w:color w:val="auto"/>
                <w:sz w:val="21"/>
                <w:szCs w:val="21"/>
                <w:highlight w:val="none"/>
                <w:lang w:eastAsia="zh-CN"/>
              </w:rPr>
              <w:t>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宋体"/>
                <w:b/>
                <w:i w:val="0"/>
                <w:iCs w:val="0"/>
                <w:color w:val="auto"/>
                <w:sz w:val="21"/>
                <w:szCs w:val="21"/>
                <w:highlight w:val="none"/>
              </w:rPr>
              <w:t>（必须提供，否则作无效投标处理）</w:t>
            </w:r>
          </w:p>
          <w:p w14:paraId="32F3F296">
            <w:pPr>
              <w:numPr>
                <w:ilvl w:val="0"/>
                <w:numId w:val="0"/>
              </w:numPr>
              <w:snapToGrid w:val="0"/>
              <w:spacing w:line="380" w:lineRule="exact"/>
              <w:ind w:left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声明函（格式后附）。（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8DF5477">
            <w:pPr>
              <w:snapToGrid w:val="0"/>
              <w:spacing w:line="380" w:lineRule="exact"/>
              <w:jc w:val="left"/>
              <w:rPr>
                <w:rFonts w:hint="eastAsia" w:ascii="宋体" w:hAnsi="宋体" w:eastAsia="宋体" w:cs="宋体"/>
                <w:color w:val="auto"/>
                <w:sz w:val="21"/>
                <w:szCs w:val="21"/>
                <w:highlight w:val="none"/>
              </w:rPr>
            </w:pPr>
            <w:r>
              <w:rPr>
                <w:rFonts w:hint="eastAsia" w:ascii="宋体" w:hAnsi="宋体" w:cs="Times New Roman"/>
                <w:color w:val="auto"/>
                <w:szCs w:val="21"/>
                <w:lang w:val="en-US" w:eastAsia="zh-CN"/>
              </w:rPr>
              <w:t>6</w:t>
            </w:r>
            <w:r>
              <w:rPr>
                <w:rFonts w:hint="eastAsia" w:ascii="宋体" w:hAnsi="宋体" w:eastAsia="宋体" w:cs="Times New Roman"/>
                <w:color w:val="auto"/>
                <w:szCs w:val="21"/>
              </w:rPr>
              <w:t>、</w:t>
            </w:r>
            <w:r>
              <w:rPr>
                <w:rFonts w:hint="eastAsia" w:ascii="宋体" w:hAnsi="宋体" w:eastAsia="宋体" w:cs="宋体"/>
                <w:color w:val="auto"/>
                <w:sz w:val="21"/>
                <w:szCs w:val="21"/>
                <w:highlight w:val="none"/>
              </w:rPr>
              <w:t>除招标文件规定必须提供以外，投标人认为需要提供的其他证明材料（格式自拟）。</w:t>
            </w:r>
          </w:p>
          <w:p w14:paraId="7A62EF84">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 xml:space="preserve"> </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p>
        </w:tc>
      </w:tr>
      <w:tr w14:paraId="2CD9D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nil"/>
              <w:left w:val="single" w:color="auto" w:sz="4" w:space="0"/>
              <w:bottom w:val="nil"/>
              <w:right w:val="single" w:color="auto" w:sz="4" w:space="0"/>
            </w:tcBorders>
            <w:noWrap w:val="0"/>
            <w:vAlign w:val="center"/>
          </w:tcPr>
          <w:p w14:paraId="4B320889">
            <w:pPr>
              <w:spacing w:line="380" w:lineRule="exac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BD31C30">
            <w:pPr>
              <w:snapToGrid w:val="0"/>
              <w:spacing w:line="380" w:lineRule="exact"/>
              <w:jc w:val="left"/>
              <w:rPr>
                <w:rFonts w:hint="eastAsia" w:ascii="宋体" w:hAnsi="宋体" w:eastAsia="宋体" w:cs="宋体"/>
                <w:color w:val="auto"/>
                <w:sz w:val="21"/>
                <w:szCs w:val="21"/>
                <w:highlight w:val="none"/>
              </w:rPr>
            </w:pPr>
            <w:bookmarkStart w:id="93" w:name="_13.3"/>
            <w:bookmarkEnd w:id="93"/>
            <w:r>
              <w:rPr>
                <w:rFonts w:hint="eastAsia" w:ascii="宋体" w:hAnsi="宋体" w:eastAsia="宋体" w:cs="宋体"/>
                <w:color w:val="auto"/>
                <w:sz w:val="21"/>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27B05F1">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055BFCD">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BE7C90D">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22197A81">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362A9D9">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、投标人情况介绍（格式自拟）；</w:t>
            </w:r>
          </w:p>
          <w:p w14:paraId="1AADE231">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评标标准”提供有关证明材料）。</w:t>
            </w:r>
          </w:p>
          <w:p w14:paraId="55F36CD1">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1.法定代表人授权委托书必须由法定代表人及委托代理人签字，并加盖投标人公章，否则作无效投标处理。</w:t>
            </w:r>
          </w:p>
          <w:p w14:paraId="6EDB7240">
            <w:pPr>
              <w:snapToGrid w:val="0"/>
              <w:spacing w:line="3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50066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restart"/>
            <w:tcBorders>
              <w:top w:val="nil"/>
              <w:left w:val="single" w:color="auto" w:sz="4" w:space="0"/>
              <w:bottom w:val="single" w:color="auto" w:sz="4" w:space="0"/>
              <w:right w:val="single" w:color="auto" w:sz="4" w:space="0"/>
            </w:tcBorders>
            <w:noWrap w:val="0"/>
            <w:vAlign w:val="center"/>
          </w:tcPr>
          <w:p w14:paraId="2790EE74">
            <w:pPr>
              <w:spacing w:line="380" w:lineRule="exac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DFBA786">
            <w:pPr>
              <w:snapToGrid w:val="0"/>
              <w:spacing w:line="380" w:lineRule="exact"/>
              <w:jc w:val="left"/>
              <w:rPr>
                <w:rFonts w:hint="eastAsia" w:ascii="宋体" w:hAnsi="宋体" w:eastAsia="宋体" w:cs="宋体"/>
                <w:color w:val="auto"/>
                <w:sz w:val="21"/>
                <w:szCs w:val="21"/>
                <w:highlight w:val="none"/>
              </w:rPr>
            </w:pPr>
            <w:bookmarkStart w:id="94" w:name="_13.4"/>
            <w:bookmarkEnd w:id="94"/>
            <w:r>
              <w:rPr>
                <w:rFonts w:hint="eastAsia" w:ascii="宋体" w:hAnsi="宋体" w:eastAsia="宋体" w:cs="宋体"/>
                <w:color w:val="auto"/>
                <w:sz w:val="21"/>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702894D">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64FE3D5">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bookmarkStart w:id="95" w:name="OLE_LINK4"/>
            <w:r>
              <w:rPr>
                <w:rFonts w:hint="eastAsia" w:ascii="宋体" w:hAnsi="宋体" w:cs="宋体"/>
                <w:color w:val="auto"/>
                <w:sz w:val="21"/>
                <w:szCs w:val="21"/>
                <w:highlight w:val="none"/>
                <w:lang w:eastAsia="zh-CN"/>
              </w:rPr>
              <w:t>服务实施方案</w:t>
            </w:r>
            <w:bookmarkEnd w:id="95"/>
            <w:r>
              <w:rPr>
                <w:rFonts w:hint="eastAsia" w:ascii="宋体" w:hAnsi="宋体" w:cs="宋体"/>
                <w:color w:val="auto"/>
                <w:sz w:val="21"/>
                <w:szCs w:val="21"/>
                <w:highlight w:val="none"/>
                <w:lang w:eastAsia="zh-CN"/>
              </w:rPr>
              <w:t>（格式自拟）</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5EF4271">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主要管理、</w:t>
            </w:r>
            <w:r>
              <w:rPr>
                <w:rFonts w:hint="eastAsia" w:ascii="宋体" w:hAnsi="宋体" w:eastAsia="宋体" w:cs="宋体"/>
                <w:color w:val="auto"/>
                <w:sz w:val="21"/>
                <w:szCs w:val="21"/>
                <w:highlight w:val="none"/>
                <w:lang w:eastAsia="zh-CN"/>
              </w:rPr>
              <w:t>服务人员情况表</w:t>
            </w:r>
            <w:r>
              <w:rPr>
                <w:rFonts w:hint="eastAsia" w:ascii="宋体" w:hAnsi="宋体" w:eastAsia="宋体" w:cs="宋体"/>
                <w:color w:val="auto"/>
                <w:sz w:val="21"/>
                <w:szCs w:val="21"/>
                <w:highlight w:val="none"/>
              </w:rPr>
              <w:t>（格式</w:t>
            </w:r>
            <w:r>
              <w:rPr>
                <w:rFonts w:hint="eastAsia"/>
                <w:color w:val="auto"/>
                <w:sz w:val="21"/>
                <w:szCs w:val="21"/>
              </w:rPr>
              <w:t>后附</w:t>
            </w:r>
            <w:r>
              <w:rPr>
                <w:rFonts w:hint="eastAsia" w:ascii="宋体" w:hAnsi="宋体" w:eastAsia="宋体" w:cs="宋体"/>
                <w:color w:val="auto"/>
                <w:sz w:val="21"/>
                <w:szCs w:val="21"/>
                <w:highlight w:val="none"/>
              </w:rPr>
              <w:t>）；</w:t>
            </w:r>
          </w:p>
          <w:p w14:paraId="7C53597F">
            <w:pPr>
              <w:snapToGrid w:val="0"/>
              <w:spacing w:line="380" w:lineRule="exact"/>
              <w:jc w:val="left"/>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、除招标文件规定必须提供以外，投标人需要说明的其他文件和说明（格式自拟）。</w:t>
            </w:r>
          </w:p>
          <w:p w14:paraId="4A444C48">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27D40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31C96CD4">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4725EF3">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2BB34F4">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val="0"/>
                <w:bCs/>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b w:val="0"/>
                <w:bCs/>
                <w:color w:val="auto"/>
                <w:sz w:val="21"/>
                <w:szCs w:val="21"/>
                <w:highlight w:val="none"/>
              </w:rPr>
              <w:t>）</w:t>
            </w:r>
          </w:p>
          <w:p w14:paraId="7E251C4F">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w:t>
            </w:r>
            <w:r>
              <w:rPr>
                <w:rFonts w:hint="eastAsia"/>
                <w:color w:val="auto"/>
                <w:szCs w:val="21"/>
              </w:rPr>
              <w:t>（格式后附）</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36FF5E1">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3、投标人针对报价需要说明的其他文件和说明（格式自拟）。</w:t>
            </w:r>
          </w:p>
        </w:tc>
      </w:tr>
      <w:tr w14:paraId="374DB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E0DD1F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DD4BA7D">
            <w:pPr>
              <w:spacing w:line="380" w:lineRule="exact"/>
              <w:rPr>
                <w:rFonts w:hint="eastAsia" w:ascii="宋体" w:hAnsi="宋体" w:eastAsia="宋体" w:cs="宋体"/>
                <w:color w:val="auto"/>
                <w:sz w:val="21"/>
                <w:szCs w:val="21"/>
                <w:highlight w:val="none"/>
              </w:rPr>
            </w:pPr>
            <w:bookmarkStart w:id="96" w:name="_16.2"/>
            <w:bookmarkEnd w:id="96"/>
            <w:r>
              <w:rPr>
                <w:rFonts w:hint="eastAsia" w:ascii="宋体" w:hAnsi="宋体" w:eastAsia="宋体" w:cs="宋体"/>
                <w:color w:val="auto"/>
                <w:sz w:val="21"/>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A065274">
            <w:pPr>
              <w:snapToGrid w:val="0"/>
              <w:spacing w:line="38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投标报价是履行合同的最终价格，报价必须含以下部分，包括：</w:t>
            </w:r>
          </w:p>
          <w:p w14:paraId="5B19F6B9">
            <w:pPr>
              <w:snapToGrid w:val="0"/>
              <w:spacing w:line="38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（1）员工工资、社会保险费用（含养老保险、医疗保险、工伤保险、失业保险、生育保险及人身意外伤害保险）、福利费、奖金、安保人员加班费等； </w:t>
            </w:r>
          </w:p>
          <w:p w14:paraId="34469477">
            <w:pPr>
              <w:snapToGrid w:val="0"/>
              <w:spacing w:line="38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（2）服务材料消耗品的补充、更换、维修维护、服装等费用； </w:t>
            </w:r>
          </w:p>
          <w:p w14:paraId="7A7F8D22">
            <w:pPr>
              <w:snapToGrid w:val="0"/>
              <w:spacing w:line="38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（3）员工必要的保险费用和各项税金； </w:t>
            </w:r>
          </w:p>
          <w:p w14:paraId="54866DAA">
            <w:pPr>
              <w:snapToGrid w:val="0"/>
              <w:spacing w:line="38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（4）企业合理利润</w:t>
            </w:r>
          </w:p>
          <w:p w14:paraId="49BE1C78">
            <w:pPr>
              <w:snapToGrid w:val="0"/>
              <w:spacing w:line="380" w:lineRule="exact"/>
              <w:jc w:val="left"/>
              <w:rPr>
                <w:rFonts w:hint="eastAsia"/>
                <w:color w:val="auto"/>
              </w:rPr>
            </w:pPr>
            <w:r>
              <w:rPr>
                <w:rFonts w:hint="eastAsia" w:ascii="宋体" w:hAnsi="宋体" w:eastAsia="宋体" w:cs="宋体"/>
                <w:color w:val="auto"/>
                <w:sz w:val="21"/>
                <w:szCs w:val="21"/>
                <w:highlight w:val="none"/>
                <w:lang w:eastAsia="zh-CN"/>
              </w:rPr>
              <w:t>（5）项目验收的费用。</w:t>
            </w:r>
          </w:p>
        </w:tc>
      </w:tr>
      <w:tr w14:paraId="38557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0B3D15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BFC0B3B">
            <w:pPr>
              <w:spacing w:line="380" w:lineRule="exact"/>
              <w:rPr>
                <w:rFonts w:hint="eastAsia" w:ascii="宋体" w:hAnsi="宋体" w:eastAsia="宋体" w:cs="宋体"/>
                <w:color w:val="auto"/>
                <w:sz w:val="21"/>
                <w:szCs w:val="21"/>
                <w:highlight w:val="none"/>
              </w:rPr>
            </w:pPr>
            <w:bookmarkStart w:id="97" w:name="_17.1"/>
            <w:bookmarkEnd w:id="97"/>
            <w:r>
              <w:rPr>
                <w:rFonts w:hint="eastAsia" w:ascii="宋体" w:hAnsi="宋体" w:eastAsia="宋体" w:cs="宋体"/>
                <w:color w:val="auto"/>
                <w:sz w:val="21"/>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69BFADB">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cs="宋体"/>
                <w:color w:val="auto"/>
                <w:sz w:val="21"/>
                <w:szCs w:val="21"/>
                <w:highlight w:val="none"/>
                <w:u w:val="single"/>
                <w:lang w:val="en-US" w:eastAsia="zh-CN"/>
              </w:rPr>
              <w:t xml:space="preserve">  60  </w:t>
            </w:r>
            <w:r>
              <w:rPr>
                <w:rFonts w:hint="eastAsia" w:ascii="宋体" w:hAnsi="宋体" w:cs="宋体"/>
                <w:color w:val="auto"/>
                <w:sz w:val="21"/>
                <w:szCs w:val="21"/>
                <w:highlight w:val="none"/>
                <w:u w:val="none"/>
                <w:lang w:val="en-US" w:eastAsia="zh-CN"/>
              </w:rPr>
              <w:t>日</w:t>
            </w:r>
            <w:r>
              <w:rPr>
                <w:rFonts w:hint="eastAsia" w:ascii="宋体" w:hAnsi="宋体" w:eastAsia="宋体" w:cs="宋体"/>
                <w:color w:val="auto"/>
                <w:sz w:val="21"/>
                <w:szCs w:val="21"/>
                <w:highlight w:val="none"/>
              </w:rPr>
              <w:t>。</w:t>
            </w:r>
          </w:p>
        </w:tc>
      </w:tr>
      <w:tr w14:paraId="5A5C8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4F06E4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4896800">
            <w:pPr>
              <w:spacing w:line="380" w:lineRule="exact"/>
              <w:rPr>
                <w:rFonts w:hint="eastAsia" w:ascii="宋体" w:hAnsi="宋体" w:eastAsia="宋体" w:cs="宋体"/>
                <w:color w:val="auto"/>
                <w:sz w:val="21"/>
                <w:szCs w:val="21"/>
                <w:highlight w:val="none"/>
              </w:rPr>
            </w:pPr>
            <w:bookmarkStart w:id="98" w:name="_18"/>
            <w:bookmarkEnd w:id="98"/>
            <w:r>
              <w:rPr>
                <w:rFonts w:hint="eastAsia" w:ascii="宋体" w:hAnsi="宋体" w:eastAsia="宋体" w:cs="宋体"/>
                <w:color w:val="auto"/>
                <w:sz w:val="21"/>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0506C5B">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本项目不需要缴纳投标保证金。</w:t>
            </w:r>
          </w:p>
        </w:tc>
      </w:tr>
      <w:tr w14:paraId="49F29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5B9E9B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B5E304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937C1FB">
            <w:pPr>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w:t>
            </w:r>
            <w:r>
              <w:rPr>
                <w:rFonts w:hint="eastAsia" w:ascii="宋体" w:hAnsi="宋体" w:cs="宋体"/>
                <w:color w:val="auto"/>
                <w:sz w:val="21"/>
                <w:szCs w:val="21"/>
                <w:highlight w:val="none"/>
                <w:lang w:eastAsia="zh-CN"/>
              </w:rPr>
              <w:t>成</w:t>
            </w:r>
            <w:r>
              <w:rPr>
                <w:rFonts w:hint="eastAsia" w:ascii="宋体" w:hAnsi="宋体" w:eastAsia="宋体" w:cs="宋体"/>
                <w:color w:val="auto"/>
                <w:sz w:val="21"/>
                <w:szCs w:val="21"/>
                <w:highlight w:val="none"/>
              </w:rPr>
              <w:t>电子文件，商务文件和技术文件按顺序合并生成电子文件。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Cs w:val="21"/>
                <w:lang w:eastAsia="zh-CN"/>
              </w:rPr>
              <w:t>注：</w:t>
            </w:r>
            <w:r>
              <w:rPr>
                <w:rFonts w:hint="eastAsia" w:ascii="宋体" w:hAnsi="宋体" w:eastAsia="宋体" w:cs="宋体"/>
                <w:b/>
                <w:bCs/>
                <w:color w:val="auto"/>
                <w:szCs w:val="21"/>
              </w:rPr>
              <w:t>按照本</w:t>
            </w:r>
            <w:r>
              <w:rPr>
                <w:rFonts w:hint="eastAsia" w:ascii="宋体" w:hAnsi="宋体" w:eastAsia="宋体" w:cs="宋体"/>
                <w:b/>
                <w:bCs/>
                <w:color w:val="auto"/>
                <w:szCs w:val="21"/>
                <w:lang w:eastAsia="zh-CN"/>
              </w:rPr>
              <w:t>招标</w:t>
            </w:r>
            <w:r>
              <w:rPr>
                <w:rFonts w:hint="eastAsia" w:ascii="宋体" w:hAnsi="宋体" w:eastAsia="宋体" w:cs="宋体"/>
                <w:b/>
                <w:bCs/>
                <w:color w:val="auto"/>
                <w:szCs w:val="21"/>
              </w:rPr>
              <w:t>文件“</w:t>
            </w:r>
            <w:r>
              <w:rPr>
                <w:rFonts w:hint="eastAsia" w:ascii="宋体" w:hAnsi="宋体" w:cs="宋体"/>
                <w:b/>
                <w:bCs/>
                <w:color w:val="auto"/>
                <w:szCs w:val="21"/>
              </w:rPr>
              <w:t>第六章 投标文件格式</w:t>
            </w:r>
            <w:r>
              <w:rPr>
                <w:rFonts w:hint="eastAsia" w:ascii="宋体" w:hAnsi="宋体" w:eastAsia="宋体" w:cs="宋体"/>
                <w:b/>
                <w:bCs/>
                <w:color w:val="auto"/>
                <w:szCs w:val="21"/>
              </w:rPr>
              <w:t>”编写</w:t>
            </w:r>
            <w:r>
              <w:rPr>
                <w:rFonts w:hint="eastAsia" w:ascii="宋体" w:hAnsi="宋体" w:eastAsia="宋体" w:cs="宋体"/>
                <w:b/>
                <w:bCs/>
                <w:color w:val="auto"/>
                <w:szCs w:val="21"/>
                <w:lang w:eastAsia="zh-CN"/>
              </w:rPr>
              <w:t>，</w:t>
            </w:r>
            <w:r>
              <w:rPr>
                <w:rFonts w:hint="eastAsia" w:ascii="宋体" w:hAnsi="宋体" w:eastAsia="宋体" w:cs="宋体"/>
                <w:b/>
                <w:bCs/>
                <w:color w:val="auto"/>
                <w:szCs w:val="21"/>
              </w:rPr>
              <w:t>第</w:t>
            </w:r>
            <w:r>
              <w:rPr>
                <w:rFonts w:hint="eastAsia" w:ascii="宋体" w:hAnsi="宋体" w:eastAsia="宋体" w:cs="宋体"/>
                <w:b/>
                <w:bCs/>
                <w:color w:val="auto"/>
                <w:szCs w:val="21"/>
                <w:lang w:eastAsia="zh-CN"/>
              </w:rPr>
              <w:t>六</w:t>
            </w:r>
            <w:r>
              <w:rPr>
                <w:rFonts w:hint="eastAsia" w:ascii="宋体" w:hAnsi="宋体" w:eastAsia="宋体" w:cs="宋体"/>
                <w:b/>
                <w:bCs/>
                <w:color w:val="auto"/>
                <w:szCs w:val="21"/>
              </w:rPr>
              <w:t>章未附格式的，由</w:t>
            </w:r>
            <w:r>
              <w:rPr>
                <w:rFonts w:hint="eastAsia" w:ascii="宋体" w:hAnsi="宋体" w:eastAsia="宋体" w:cs="宋体"/>
                <w:b/>
                <w:bCs/>
                <w:color w:val="auto"/>
                <w:szCs w:val="21"/>
                <w:lang w:eastAsia="zh-CN"/>
              </w:rPr>
              <w:t>投标人</w:t>
            </w:r>
            <w:r>
              <w:rPr>
                <w:rFonts w:hint="eastAsia" w:ascii="宋体" w:hAnsi="宋体" w:eastAsia="宋体" w:cs="宋体"/>
                <w:b/>
                <w:bCs/>
                <w:color w:val="auto"/>
                <w:szCs w:val="21"/>
              </w:rPr>
              <w:t>自行拟定</w:t>
            </w:r>
            <w:r>
              <w:rPr>
                <w:rFonts w:hint="eastAsia" w:ascii="宋体" w:hAnsi="宋体" w:cs="宋体"/>
                <w:b/>
                <w:bCs/>
                <w:color w:val="auto"/>
                <w:szCs w:val="21"/>
                <w:lang w:eastAsia="zh-CN"/>
              </w:rPr>
              <w:t>）</w:t>
            </w:r>
          </w:p>
        </w:tc>
      </w:tr>
      <w:tr w14:paraId="5E32D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00706C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D8B5FB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034F150">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57DB4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5" w:type="dxa"/>
            <w:vMerge w:val="restart"/>
            <w:tcBorders>
              <w:top w:val="single" w:color="auto" w:sz="4" w:space="0"/>
              <w:left w:val="single" w:color="auto" w:sz="4" w:space="0"/>
              <w:bottom w:val="nil"/>
              <w:right w:val="single" w:color="auto" w:sz="4" w:space="0"/>
            </w:tcBorders>
            <w:noWrap w:val="0"/>
            <w:vAlign w:val="center"/>
          </w:tcPr>
          <w:p w14:paraId="7ED11FE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985B698">
            <w:pPr>
              <w:spacing w:line="380" w:lineRule="exact"/>
              <w:rPr>
                <w:rFonts w:hint="eastAsia" w:ascii="宋体" w:hAnsi="宋体" w:eastAsia="宋体" w:cs="宋体"/>
                <w:color w:val="auto"/>
                <w:sz w:val="21"/>
                <w:szCs w:val="21"/>
                <w:highlight w:val="none"/>
              </w:rPr>
            </w:pPr>
            <w:bookmarkStart w:id="99" w:name="_21.1"/>
            <w:bookmarkEnd w:id="99"/>
            <w:r>
              <w:rPr>
                <w:rFonts w:hint="eastAsia" w:ascii="宋体" w:hAnsi="宋体" w:eastAsia="宋体" w:cs="宋体"/>
                <w:color w:val="auto"/>
                <w:sz w:val="21"/>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1E6F78E">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0FA70C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75" w:type="dxa"/>
            <w:vMerge w:val="continue"/>
            <w:tcBorders>
              <w:top w:val="single" w:color="auto" w:sz="4" w:space="0"/>
              <w:left w:val="single" w:color="auto" w:sz="4" w:space="0"/>
              <w:bottom w:val="nil"/>
              <w:right w:val="single" w:color="auto" w:sz="4" w:space="0"/>
            </w:tcBorders>
            <w:noWrap w:val="0"/>
            <w:vAlign w:val="center"/>
          </w:tcPr>
          <w:p w14:paraId="70763B07">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0A6ABD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700E8A9">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06EE9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75" w:type="dxa"/>
            <w:vMerge w:val="continue"/>
            <w:tcBorders>
              <w:top w:val="single" w:color="auto" w:sz="4" w:space="0"/>
              <w:left w:val="single" w:color="auto" w:sz="4" w:space="0"/>
              <w:bottom w:val="nil"/>
              <w:right w:val="single" w:color="auto" w:sz="4" w:space="0"/>
            </w:tcBorders>
            <w:noWrap w:val="0"/>
            <w:vAlign w:val="center"/>
          </w:tcPr>
          <w:p w14:paraId="41CA9B78">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2B61F3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D5D5816">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cs="宋体"/>
                <w:bCs/>
                <w:color w:val="auto"/>
                <w:szCs w:val="21"/>
                <w:lang w:val="en-US" w:eastAsia="zh-CN"/>
              </w:rPr>
              <w:t>无</w:t>
            </w:r>
          </w:p>
        </w:tc>
      </w:tr>
      <w:tr w14:paraId="4B752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43E329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A5E7F7D">
            <w:pPr>
              <w:spacing w:line="380" w:lineRule="exact"/>
              <w:rPr>
                <w:rFonts w:hint="eastAsia" w:ascii="宋体" w:hAnsi="宋体" w:eastAsia="宋体" w:cs="宋体"/>
                <w:color w:val="auto"/>
                <w:sz w:val="21"/>
                <w:szCs w:val="21"/>
                <w:highlight w:val="none"/>
              </w:rPr>
            </w:pPr>
            <w:bookmarkStart w:id="100" w:name="_23"/>
            <w:bookmarkEnd w:id="100"/>
            <w:r>
              <w:rPr>
                <w:rFonts w:hint="eastAsia" w:ascii="宋体" w:hAnsi="宋体" w:eastAsia="宋体" w:cs="宋体"/>
                <w:color w:val="auto"/>
                <w:sz w:val="21"/>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8812396">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550EE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3BD8D74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2FD615C">
            <w:pPr>
              <w:spacing w:line="380" w:lineRule="exact"/>
              <w:rPr>
                <w:rFonts w:hint="eastAsia" w:ascii="宋体" w:hAnsi="宋体" w:eastAsia="宋体" w:cs="宋体"/>
                <w:color w:val="auto"/>
                <w:sz w:val="21"/>
                <w:szCs w:val="21"/>
                <w:highlight w:val="none"/>
              </w:rPr>
            </w:pPr>
            <w:bookmarkStart w:id="101" w:name="_25.3"/>
            <w:bookmarkEnd w:id="101"/>
            <w:r>
              <w:rPr>
                <w:rFonts w:hint="eastAsia" w:ascii="宋体" w:hAnsi="宋体" w:eastAsia="宋体" w:cs="宋体"/>
                <w:color w:val="auto"/>
                <w:sz w:val="21"/>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218D4C4">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34E77D37">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6BF1B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4559DF39">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61E966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D11AEEB">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14:paraId="43D78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65EC406">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23BA21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3391F5F">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w:t>
            </w:r>
            <w:r>
              <w:rPr>
                <w:rFonts w:hint="eastAsia" w:ascii="宋体" w:hAnsi="宋体" w:cs="宋体"/>
                <w:color w:val="auto"/>
                <w:szCs w:val="21"/>
                <w:lang w:val="en-US" w:eastAsia="zh-CN"/>
              </w:rPr>
              <w:t>附件</w:t>
            </w:r>
            <w:r>
              <w:rPr>
                <w:rFonts w:hint="eastAsia" w:ascii="宋体" w:hAnsi="宋体" w:cs="宋体"/>
                <w:color w:val="auto"/>
                <w:szCs w:val="21"/>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上传保存。</w:t>
            </w:r>
          </w:p>
        </w:tc>
      </w:tr>
      <w:tr w14:paraId="75DEE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E45E4C6">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9D7BC2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857081E">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C0C6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A8E36D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E87D14C">
            <w:pPr>
              <w:spacing w:line="380" w:lineRule="exact"/>
              <w:rPr>
                <w:rFonts w:hint="eastAsia" w:ascii="宋体" w:hAnsi="宋体" w:eastAsia="宋体" w:cs="宋体"/>
                <w:color w:val="auto"/>
                <w:sz w:val="21"/>
                <w:szCs w:val="21"/>
                <w:highlight w:val="none"/>
              </w:rPr>
            </w:pPr>
            <w:bookmarkStart w:id="102" w:name="_28.3"/>
            <w:bookmarkEnd w:id="102"/>
            <w:bookmarkStart w:id="103" w:name="_26"/>
            <w:bookmarkEnd w:id="103"/>
            <w:r>
              <w:rPr>
                <w:rFonts w:hint="eastAsia" w:ascii="宋体" w:hAnsi="宋体" w:eastAsia="宋体" w:cs="宋体"/>
                <w:color w:val="auto"/>
                <w:sz w:val="21"/>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BAA46EB">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p>
          <w:p w14:paraId="2A4C5052">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14:paraId="7B506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75" w:type="dxa"/>
            <w:tcBorders>
              <w:top w:val="single" w:color="auto" w:sz="4" w:space="0"/>
              <w:left w:val="single" w:color="auto" w:sz="4" w:space="0"/>
              <w:bottom w:val="nil"/>
              <w:right w:val="single" w:color="auto" w:sz="4" w:space="0"/>
            </w:tcBorders>
            <w:noWrap w:val="0"/>
            <w:vAlign w:val="center"/>
          </w:tcPr>
          <w:p w14:paraId="65CDDEF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268" w:type="dxa"/>
            <w:tcBorders>
              <w:top w:val="single" w:color="auto" w:sz="4" w:space="0"/>
              <w:left w:val="single" w:color="auto" w:sz="4" w:space="0"/>
              <w:bottom w:val="nil"/>
              <w:right w:val="single" w:color="auto" w:sz="4" w:space="0"/>
            </w:tcBorders>
            <w:noWrap w:val="0"/>
            <w:vAlign w:val="center"/>
          </w:tcPr>
          <w:p w14:paraId="71001290">
            <w:pPr>
              <w:spacing w:line="380" w:lineRule="exact"/>
              <w:rPr>
                <w:rFonts w:hint="eastAsia" w:ascii="宋体" w:hAnsi="宋体" w:eastAsia="宋体" w:cs="宋体"/>
                <w:color w:val="auto"/>
                <w:sz w:val="21"/>
                <w:szCs w:val="21"/>
                <w:highlight w:val="none"/>
              </w:rPr>
            </w:pPr>
            <w:bookmarkStart w:id="104" w:name="_29.2.2（2）"/>
            <w:bookmarkEnd w:id="104"/>
            <w:r>
              <w:rPr>
                <w:rFonts w:hint="eastAsia" w:ascii="宋体" w:hAnsi="宋体" w:eastAsia="宋体" w:cs="宋体"/>
                <w:color w:val="auto"/>
                <w:sz w:val="21"/>
                <w:szCs w:val="21"/>
                <w:highlight w:val="none"/>
              </w:rPr>
              <w:t>允许负偏离项</w:t>
            </w:r>
          </w:p>
        </w:tc>
        <w:tc>
          <w:tcPr>
            <w:tcW w:w="7297" w:type="dxa"/>
            <w:tcBorders>
              <w:top w:val="single" w:color="auto" w:sz="4" w:space="0"/>
              <w:left w:val="single" w:color="auto" w:sz="4" w:space="0"/>
              <w:bottom w:val="nil"/>
              <w:right w:val="single" w:color="auto" w:sz="4" w:space="0"/>
            </w:tcBorders>
            <w:noWrap w:val="0"/>
            <w:vAlign w:val="center"/>
          </w:tcPr>
          <w:p w14:paraId="548C291C">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106434E0">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w:t>
            </w:r>
          </w:p>
        </w:tc>
      </w:tr>
      <w:tr w14:paraId="38F33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501E34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805BEBE">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确定中标人时，出现中标候选人</w:t>
            </w:r>
            <w:r>
              <w:rPr>
                <w:rFonts w:hint="eastAsia" w:ascii="宋体" w:hAnsi="宋体" w:cs="宋体"/>
                <w:color w:val="auto"/>
                <w:szCs w:val="21"/>
                <w:lang w:eastAsia="zh-CN"/>
              </w:rPr>
              <w:t>排名</w:t>
            </w:r>
            <w:r>
              <w:rPr>
                <w:rFonts w:hint="eastAsia" w:ascii="宋体" w:hAnsi="宋体" w:eastAsia="宋体" w:cs="宋体"/>
                <w:color w:val="auto"/>
                <w:sz w:val="21"/>
                <w:szCs w:val="21"/>
                <w:highlight w:val="none"/>
              </w:rPr>
              <w:t xml:space="preserve">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887A421">
            <w:pPr>
              <w:pStyle w:val="10"/>
              <w:spacing w:line="360" w:lineRule="auto"/>
              <w:rPr>
                <w:rFonts w:hint="eastAsia"/>
                <w:b/>
                <w:bCs/>
                <w:color w:val="auto"/>
                <w:highlight w:val="none"/>
                <w:lang w:eastAsia="zh-CN"/>
              </w:rPr>
            </w:pPr>
            <w:r>
              <w:rPr>
                <w:rFonts w:hint="eastAsia" w:ascii="宋体" w:hAnsi="宋体" w:eastAsia="宋体" w:cs="宋体"/>
                <w:color w:val="auto"/>
                <w:szCs w:val="21"/>
                <w:highlight w:val="none"/>
              </w:rPr>
              <w:t>采购人确定中标人时，出现中标候选人并列的情形，采购人按以下的方式确定中标人：</w:t>
            </w:r>
          </w:p>
          <w:p w14:paraId="051DBF10">
            <w:pPr>
              <w:autoSpaceDE w:val="0"/>
              <w:autoSpaceDN w:val="0"/>
              <w:snapToGrid w:val="0"/>
              <w:textAlignment w:val="bottom"/>
              <w:rPr>
                <w:rFonts w:hint="eastAsia" w:ascii="宋体" w:hAnsi="宋体" w:eastAsia="宋体" w:cs="宋体"/>
                <w:i/>
                <w:iCs/>
                <w:color w:val="auto"/>
                <w:szCs w:val="21"/>
                <w:highlight w:val="cya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技术分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高的优先、商务分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顺序</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p w14:paraId="2A8FB6D0">
            <w:pPr>
              <w:pStyle w:val="1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w:t>
            </w:r>
            <w:r>
              <w:rPr>
                <w:rFonts w:ascii="宋体" w:hAnsi="宋体" w:eastAsia="宋体" w:cs="宋体"/>
                <w:color w:val="auto"/>
                <w:sz w:val="21"/>
                <w:highlight w:val="none"/>
              </w:rPr>
              <w:t>采取随机抽取的方式确定</w:t>
            </w:r>
            <w:r>
              <w:rPr>
                <w:rFonts w:hint="eastAsia" w:ascii="宋体" w:hAnsi="宋体" w:eastAsia="宋体" w:cs="宋体"/>
                <w:color w:val="auto"/>
                <w:sz w:val="21"/>
                <w:highlight w:val="none"/>
                <w:lang w:eastAsia="zh-CN"/>
              </w:rPr>
              <w:t>。</w:t>
            </w:r>
          </w:p>
        </w:tc>
      </w:tr>
      <w:tr w14:paraId="13A1B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DB522B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B6EA88F">
            <w:pPr>
              <w:spacing w:line="380" w:lineRule="exact"/>
              <w:rPr>
                <w:rFonts w:hint="eastAsia" w:ascii="宋体" w:hAnsi="宋体" w:eastAsia="宋体" w:cs="宋体"/>
                <w:color w:val="auto"/>
                <w:sz w:val="21"/>
                <w:szCs w:val="21"/>
                <w:highlight w:val="none"/>
              </w:rPr>
            </w:pPr>
            <w:bookmarkStart w:id="105" w:name="_39.1"/>
            <w:bookmarkEnd w:id="105"/>
            <w:r>
              <w:rPr>
                <w:rFonts w:hint="eastAsia" w:ascii="宋体" w:hAnsi="宋体" w:eastAsia="宋体" w:cs="宋体"/>
                <w:color w:val="auto"/>
                <w:sz w:val="21"/>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4D1AF312">
            <w:pPr>
              <w:autoSpaceDE w:val="0"/>
              <w:autoSpaceDN w:val="0"/>
              <w:snapToGrid w:val="0"/>
              <w:spacing w:line="380" w:lineRule="exact"/>
              <w:jc w:val="left"/>
              <w:textAlignment w:val="bottom"/>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tc>
      </w:tr>
      <w:tr w14:paraId="2A712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4C87C4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0990039">
            <w:pPr>
              <w:spacing w:line="380" w:lineRule="exact"/>
              <w:rPr>
                <w:rFonts w:hint="eastAsia" w:ascii="宋体" w:hAnsi="宋体" w:eastAsia="宋体" w:cs="宋体"/>
                <w:color w:val="auto"/>
                <w:sz w:val="21"/>
                <w:szCs w:val="21"/>
                <w:highlight w:val="none"/>
              </w:rPr>
            </w:pPr>
            <w:bookmarkStart w:id="106" w:name="_40.1"/>
            <w:bookmarkEnd w:id="106"/>
            <w:r>
              <w:rPr>
                <w:rFonts w:hint="eastAsia" w:ascii="宋体" w:hAnsi="宋体" w:eastAsia="宋体" w:cs="宋体"/>
                <w:color w:val="auto"/>
                <w:sz w:val="21"/>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D47C41F">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电子采购合同需要</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通过有效CA证书进行电子签署</w:t>
            </w:r>
            <w:r>
              <w:rPr>
                <w:rFonts w:hint="eastAsia" w:ascii="宋体" w:hAnsi="宋体" w:cs="宋体"/>
                <w:color w:val="auto"/>
                <w:sz w:val="21"/>
                <w:szCs w:val="21"/>
                <w:highlight w:val="none"/>
                <w:lang w:eastAsia="zh-CN"/>
              </w:rPr>
              <w:t>。</w:t>
            </w:r>
            <w:r>
              <w:rPr>
                <w:rFonts w:hint="eastAsia" w:ascii="宋体" w:hAnsi="宋体" w:cs="宋体"/>
                <w:b/>
                <w:bCs/>
                <w:i w:val="0"/>
                <w:iCs w:val="0"/>
                <w:color w:val="auto"/>
                <w:szCs w:val="21"/>
                <w:highlight w:val="none"/>
                <w:lang w:eastAsia="zh-CN"/>
              </w:rPr>
              <w:t>（适用于</w:t>
            </w:r>
            <w:r>
              <w:rPr>
                <w:rFonts w:hint="eastAsia" w:ascii="宋体" w:hAnsi="宋体" w:cs="宋体"/>
                <w:b/>
                <w:bCs/>
                <w:i w:val="0"/>
                <w:iCs w:val="0"/>
                <w:color w:val="auto"/>
                <w:szCs w:val="21"/>
                <w:highlight w:val="none"/>
              </w:rPr>
              <w:t>签订</w:t>
            </w:r>
            <w:r>
              <w:rPr>
                <w:rFonts w:hint="eastAsia" w:ascii="宋体" w:hAnsi="宋体" w:cs="宋体"/>
                <w:b/>
                <w:bCs/>
                <w:i w:val="0"/>
                <w:iCs w:val="0"/>
                <w:color w:val="auto"/>
                <w:szCs w:val="21"/>
                <w:highlight w:val="none"/>
                <w:lang w:eastAsia="zh-CN"/>
              </w:rPr>
              <w:t>电子</w:t>
            </w:r>
            <w:r>
              <w:rPr>
                <w:rFonts w:hint="eastAsia" w:ascii="宋体" w:hAnsi="宋体" w:cs="宋体"/>
                <w:b/>
                <w:bCs/>
                <w:i w:val="0"/>
                <w:iCs w:val="0"/>
                <w:color w:val="auto"/>
                <w:szCs w:val="21"/>
                <w:highlight w:val="none"/>
              </w:rPr>
              <w:t>合同</w:t>
            </w:r>
            <w:r>
              <w:rPr>
                <w:rFonts w:hint="eastAsia" w:ascii="宋体" w:hAnsi="宋体" w:cs="宋体"/>
                <w:b/>
                <w:bCs/>
                <w:i w:val="0"/>
                <w:iCs w:val="0"/>
                <w:color w:val="auto"/>
                <w:szCs w:val="21"/>
                <w:highlight w:val="none"/>
                <w:lang w:eastAsia="zh-CN"/>
              </w:rPr>
              <w:t>的情形）</w:t>
            </w:r>
          </w:p>
        </w:tc>
      </w:tr>
      <w:tr w14:paraId="7624E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093C64C7">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51159A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4F6DA24">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6F78E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FFDF8DD">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BBD38D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5A78A39">
            <w:pPr>
              <w:spacing w:line="360" w:lineRule="auto"/>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名称：</w:t>
            </w:r>
            <w:r>
              <w:rPr>
                <w:rFonts w:hint="eastAsia" w:ascii="宋体" w:hAnsi="宋体" w:eastAsia="宋体" w:cs="宋体"/>
                <w:color w:val="auto"/>
                <w:kern w:val="0"/>
                <w:szCs w:val="21"/>
                <w:highlight w:val="none"/>
                <w:lang w:eastAsia="zh-CN"/>
              </w:rPr>
              <w:t>防城港市港口区</w:t>
            </w:r>
            <w:r>
              <w:rPr>
                <w:rFonts w:hint="eastAsia" w:ascii="宋体" w:hAnsi="宋体" w:cs="宋体"/>
                <w:color w:val="auto"/>
                <w:kern w:val="0"/>
                <w:szCs w:val="21"/>
                <w:highlight w:val="none"/>
                <w:lang w:eastAsia="zh-CN"/>
              </w:rPr>
              <w:t>教育局</w:t>
            </w:r>
          </w:p>
          <w:p w14:paraId="72308646">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禤德庆；0770-</w:t>
            </w:r>
            <w:r>
              <w:rPr>
                <w:rFonts w:hint="eastAsia" w:ascii="宋体" w:hAnsi="宋体" w:eastAsia="宋体" w:cs="宋体"/>
                <w:color w:val="auto"/>
                <w:szCs w:val="21"/>
                <w:highlight w:val="none"/>
                <w:lang w:eastAsia="zh-CN"/>
              </w:rPr>
              <w:t>2810059</w:t>
            </w:r>
          </w:p>
          <w:p w14:paraId="70F5055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eastAsia="宋体" w:cs="宋体"/>
                <w:color w:val="auto"/>
                <w:kern w:val="0"/>
                <w:szCs w:val="21"/>
                <w:highlight w:val="none"/>
              </w:rPr>
              <w:t>防城港市</w:t>
            </w:r>
            <w:r>
              <w:rPr>
                <w:rFonts w:hint="eastAsia" w:ascii="宋体" w:hAnsi="宋体" w:eastAsia="宋体" w:cs="宋体"/>
                <w:color w:val="auto"/>
                <w:kern w:val="0"/>
                <w:szCs w:val="21"/>
                <w:highlight w:val="none"/>
                <w:lang w:val="en-US" w:eastAsia="zh-CN"/>
              </w:rPr>
              <w:t>港口区渔洲坪兴教路88号</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14:paraId="2E4960AA">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名称：</w:t>
            </w:r>
            <w:r>
              <w:rPr>
                <w:rFonts w:hint="eastAsia" w:ascii="宋体" w:hAnsi="宋体" w:cs="宋体"/>
                <w:color w:val="auto"/>
                <w:highlight w:val="none"/>
                <w:lang w:eastAsia="zh-CN"/>
              </w:rPr>
              <w:t>广西冠宁工程咨询有限公司</w:t>
            </w:r>
          </w:p>
          <w:p w14:paraId="289821EE">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w:t>
            </w:r>
            <w:r>
              <w:rPr>
                <w:rFonts w:hint="eastAsia" w:ascii="宋体" w:hAnsi="宋体"/>
                <w:color w:val="auto"/>
                <w:szCs w:val="21"/>
                <w:highlight w:val="none"/>
                <w:lang w:eastAsia="zh-CN"/>
              </w:rPr>
              <w:t>0771-5725583、18577828837</w:t>
            </w:r>
          </w:p>
          <w:p w14:paraId="4CA9D6AA">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通讯地址：</w:t>
            </w:r>
            <w:r>
              <w:rPr>
                <w:rFonts w:hint="eastAsia" w:ascii="宋体" w:hAnsi="宋体"/>
                <w:color w:val="auto"/>
                <w:szCs w:val="21"/>
                <w:highlight w:val="none"/>
                <w:lang w:eastAsia="zh-CN"/>
              </w:rPr>
              <w:t>防城港市港口区西湾广场北侧阳光海岸碧海新天7号楼9层909号房</w:t>
            </w:r>
          </w:p>
        </w:tc>
      </w:tr>
      <w:tr w14:paraId="72C22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3C3E07B">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DE13A6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39BEEBD">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质疑期内每个工作日（北京时间）</w:t>
            </w:r>
            <w:r>
              <w:rPr>
                <w:rFonts w:hint="eastAsia" w:ascii="宋体" w:hAnsi="宋体" w:cs="宋体"/>
                <w:color w:val="auto"/>
                <w:sz w:val="21"/>
                <w:szCs w:val="21"/>
                <w:highlight w:val="none"/>
                <w:lang w:eastAsia="zh-CN"/>
              </w:rPr>
              <w:t>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下午</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tc>
      </w:tr>
      <w:tr w14:paraId="5077C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tcBorders>
              <w:top w:val="nil"/>
              <w:left w:val="single" w:color="auto" w:sz="4" w:space="0"/>
              <w:bottom w:val="single" w:color="auto" w:sz="4" w:space="0"/>
              <w:right w:val="single" w:color="auto" w:sz="4" w:space="0"/>
            </w:tcBorders>
            <w:noWrap w:val="0"/>
            <w:vAlign w:val="center"/>
          </w:tcPr>
          <w:p w14:paraId="022F395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5137B6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EE8B23B">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1、受理方式：纸质方式受理，投诉书正、副本（经过质疑的事项才可投诉）。</w:t>
            </w:r>
          </w:p>
          <w:p w14:paraId="75BAC446">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2、通讯方式</w:t>
            </w:r>
          </w:p>
          <w:p w14:paraId="701CBF0A">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w:t>
            </w:r>
            <w:bookmarkStart w:id="107" w:name="PO_3000001867_PM036"/>
            <w:r>
              <w:rPr>
                <w:rFonts w:hint="eastAsia" w:ascii="宋体" w:hAnsi="宋体" w:eastAsia="宋体" w:cs="宋体"/>
                <w:color w:val="auto"/>
                <w:sz w:val="21"/>
                <w:szCs w:val="21"/>
                <w:highlight w:val="none"/>
                <w:lang w:eastAsia="zh-CN"/>
              </w:rPr>
              <w:t>防城港市港口区</w:t>
            </w:r>
            <w:r>
              <w:rPr>
                <w:rFonts w:hint="eastAsia" w:ascii="宋体" w:hAnsi="宋体" w:eastAsia="宋体" w:cs="宋体"/>
                <w:color w:val="auto"/>
                <w:sz w:val="21"/>
                <w:szCs w:val="21"/>
                <w:highlight w:val="none"/>
                <w:lang w:val="en-US" w:eastAsia="zh-CN"/>
              </w:rPr>
              <w:t>财政局</w:t>
            </w:r>
            <w:r>
              <w:rPr>
                <w:rFonts w:hint="eastAsia" w:ascii="宋体" w:hAnsi="宋体" w:eastAsia="宋体" w:cs="宋体"/>
                <w:color w:val="auto"/>
                <w:sz w:val="21"/>
                <w:szCs w:val="21"/>
                <w:highlight w:val="none"/>
                <w:lang w:eastAsia="zh-CN"/>
              </w:rPr>
              <w:t xml:space="preserve"> </w:t>
            </w:r>
            <w:bookmarkEnd w:id="107"/>
            <w:r>
              <w:rPr>
                <w:rFonts w:hint="eastAsia" w:ascii="宋体" w:hAnsi="宋体" w:eastAsia="宋体" w:cs="宋体"/>
                <w:color w:val="auto"/>
                <w:sz w:val="21"/>
                <w:szCs w:val="21"/>
                <w:highlight w:val="none"/>
                <w:lang w:eastAsia="zh-CN"/>
              </w:rPr>
              <w:t xml:space="preserve"> </w:t>
            </w:r>
          </w:p>
          <w:p w14:paraId="74DB04BA">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bookmarkStart w:id="108" w:name="PO_3000001867_PM039"/>
            <w:r>
              <w:rPr>
                <w:rFonts w:hint="eastAsia" w:ascii="宋体" w:hAnsi="宋体" w:eastAsia="宋体" w:cs="宋体"/>
                <w:color w:val="auto"/>
                <w:sz w:val="21"/>
                <w:szCs w:val="21"/>
                <w:highlight w:val="none"/>
                <w:lang w:eastAsia="zh-CN"/>
              </w:rPr>
              <w:t>防城港市港口区</w:t>
            </w:r>
            <w:r>
              <w:rPr>
                <w:rFonts w:hint="eastAsia" w:ascii="宋体" w:hAnsi="宋体" w:eastAsia="宋体" w:cs="宋体"/>
                <w:color w:val="auto"/>
                <w:sz w:val="21"/>
                <w:szCs w:val="21"/>
                <w:highlight w:val="none"/>
                <w:lang w:val="en-US" w:eastAsia="zh-CN"/>
              </w:rPr>
              <w:t>渔洲坪街道建政路</w:t>
            </w:r>
            <w:r>
              <w:rPr>
                <w:rFonts w:hint="eastAsia" w:ascii="宋体" w:hAnsi="宋体" w:eastAsia="宋体" w:cs="宋体"/>
                <w:color w:val="auto"/>
                <w:sz w:val="21"/>
                <w:szCs w:val="21"/>
                <w:highlight w:val="none"/>
                <w:lang w:eastAsia="zh-CN"/>
              </w:rPr>
              <w:t xml:space="preserve"> </w:t>
            </w:r>
            <w:bookmarkEnd w:id="108"/>
            <w:r>
              <w:rPr>
                <w:rFonts w:hint="eastAsia" w:ascii="宋体" w:hAnsi="宋体" w:eastAsia="宋体" w:cs="宋体"/>
                <w:color w:val="auto"/>
                <w:sz w:val="21"/>
                <w:szCs w:val="21"/>
                <w:highlight w:val="none"/>
                <w:lang w:eastAsia="zh-CN"/>
              </w:rPr>
              <w:t xml:space="preserve"> </w:t>
            </w:r>
          </w:p>
          <w:p w14:paraId="221E918F">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联系电话：0770-6106362</w:t>
            </w:r>
          </w:p>
        </w:tc>
      </w:tr>
      <w:tr w14:paraId="38571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70EDFABB">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D6D8E46">
            <w:pPr>
              <w:spacing w:line="380" w:lineRule="exact"/>
              <w:rPr>
                <w:rFonts w:hint="eastAsia" w:ascii="宋体" w:hAnsi="宋体" w:eastAsia="宋体" w:cs="宋体"/>
                <w:color w:val="auto"/>
                <w:sz w:val="21"/>
                <w:szCs w:val="21"/>
                <w:highlight w:val="none"/>
              </w:rPr>
            </w:pPr>
            <w:bookmarkStart w:id="109" w:name="_42"/>
            <w:bookmarkEnd w:id="109"/>
            <w:bookmarkStart w:id="110" w:name="_41"/>
            <w:bookmarkEnd w:id="110"/>
            <w:r>
              <w:rPr>
                <w:rFonts w:hint="eastAsia" w:ascii="宋体" w:hAnsi="宋体" w:eastAsia="宋体" w:cs="宋体"/>
                <w:color w:val="auto"/>
                <w:sz w:val="21"/>
                <w:szCs w:val="21"/>
                <w:highlight w:val="none"/>
              </w:rPr>
              <w:t>采购代理</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93C436C">
            <w:pPr>
              <w:pStyle w:val="14"/>
              <w:snapToGrid w:val="0"/>
              <w:spacing w:line="380" w:lineRule="exact"/>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本项目</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代理服务费由</w:t>
            </w:r>
            <w:r>
              <w:rPr>
                <w:rFonts w:hint="eastAsia" w:ascii="宋体" w:hAnsi="宋体" w:eastAsia="宋体" w:cs="宋体"/>
                <w:color w:val="auto"/>
                <w:sz w:val="21"/>
                <w:szCs w:val="21"/>
                <w:highlight w:val="none"/>
                <w:u w:val="single"/>
              </w:rPr>
              <w:t>中标人</w:t>
            </w:r>
            <w:r>
              <w:rPr>
                <w:rFonts w:hint="eastAsia" w:hAnsi="宋体" w:cs="宋体"/>
                <w:color w:val="auto"/>
              </w:rPr>
              <w:t>在</w:t>
            </w:r>
            <w:r>
              <w:rPr>
                <w:rFonts w:hint="eastAsia" w:hAnsi="宋体" w:eastAsia="宋体" w:cs="宋体"/>
                <w:color w:val="auto"/>
                <w:sz w:val="21"/>
                <w:highlight w:val="none"/>
                <w:lang w:val="en-US" w:eastAsia="zh-CN"/>
              </w:rPr>
              <w:t>签订合同</w:t>
            </w:r>
            <w:r>
              <w:rPr>
                <w:rFonts w:hint="eastAsia" w:hAnsi="宋体" w:cs="宋体"/>
                <w:color w:val="auto"/>
              </w:rPr>
              <w:t>前，</w:t>
            </w:r>
            <w:r>
              <w:rPr>
                <w:rFonts w:hint="eastAsia" w:hAnsi="宋体" w:eastAsia="宋体" w:cs="宋体"/>
                <w:color w:val="auto"/>
                <w:sz w:val="21"/>
                <w:highlight w:val="none"/>
                <w:lang w:val="en-US" w:eastAsia="zh-CN"/>
              </w:rPr>
              <w:t>以银行转账、电汇等方式</w:t>
            </w:r>
            <w:r>
              <w:rPr>
                <w:rFonts w:hint="eastAsia" w:hAnsi="宋体" w:cs="宋体"/>
                <w:color w:val="auto"/>
              </w:rPr>
              <w:t>一次性向采购代理机构支付</w:t>
            </w:r>
            <w:r>
              <w:rPr>
                <w:rFonts w:hint="eastAsia" w:ascii="宋体" w:hAnsi="宋体" w:eastAsia="宋体" w:cs="宋体"/>
                <w:color w:val="auto"/>
                <w:sz w:val="21"/>
                <w:szCs w:val="21"/>
                <w:highlight w:val="none"/>
              </w:rPr>
              <w:t>。</w:t>
            </w:r>
          </w:p>
          <w:p w14:paraId="35174B49">
            <w:pPr>
              <w:pStyle w:val="14"/>
              <w:snapToGrid w:val="0"/>
              <w:spacing w:line="380" w:lineRule="exac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□采购人支付</w:t>
            </w:r>
            <w:r>
              <w:rPr>
                <w:rFonts w:hint="eastAsia" w:hAnsi="宋体" w:cs="宋体"/>
                <w:color w:val="auto"/>
                <w:lang w:eastAsia="zh-CN"/>
              </w:rPr>
              <w:t>：</w:t>
            </w:r>
            <w:r>
              <w:rPr>
                <w:rFonts w:hint="eastAsia" w:hAnsi="宋体" w:cs="宋体"/>
                <w:color w:val="auto"/>
                <w:lang w:val="en-US" w:eastAsia="zh-CN"/>
              </w:rPr>
              <w:t>/</w:t>
            </w:r>
          </w:p>
          <w:p w14:paraId="339CD401">
            <w:pPr>
              <w:pStyle w:val="14"/>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w:t>
            </w:r>
          </w:p>
        </w:tc>
      </w:tr>
      <w:tr w14:paraId="4B460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4"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9E84F8E">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F0F61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55DAB17">
            <w:pPr>
              <w:snapToGrid w:val="0"/>
              <w:spacing w:line="360" w:lineRule="auto"/>
              <w:rPr>
                <w:rFonts w:hint="eastAsia" w:ascii="宋体" w:hAnsi="宋体" w:eastAsia="宋体" w:cs="宋体"/>
                <w:color w:val="auto"/>
                <w:szCs w:val="20"/>
              </w:rPr>
            </w:pPr>
            <w:r>
              <w:rPr>
                <w:rFonts w:hint="eastAsia" w:ascii="宋体" w:hAnsi="宋体" w:cs="宋体"/>
                <w:color w:val="auto"/>
                <w:szCs w:val="20"/>
                <w:lang w:eastAsia="zh-CN"/>
              </w:rPr>
              <w:t>☑</w:t>
            </w:r>
            <w:r>
              <w:rPr>
                <w:rFonts w:hint="eastAsia" w:ascii="宋体" w:hAnsi="宋体" w:eastAsia="宋体" w:cs="宋体"/>
                <w:color w:val="auto"/>
                <w:szCs w:val="20"/>
              </w:rPr>
              <w:t>以</w:t>
            </w:r>
            <w:r>
              <w:rPr>
                <w:rFonts w:hint="eastAsia" w:hAnsi="宋体" w:cs="宋体"/>
                <w:color w:val="auto"/>
                <w:kern w:val="0"/>
                <w:szCs w:val="21"/>
                <w:highlight w:val="none"/>
                <w:lang w:eastAsia="zh-CN"/>
              </w:rPr>
              <w:t>项目</w:t>
            </w:r>
            <w:r>
              <w:rPr>
                <w:rFonts w:hint="eastAsia" w:ascii="宋体" w:hAnsi="宋体" w:eastAsia="宋体" w:cs="宋体"/>
                <w:color w:val="auto"/>
                <w:szCs w:val="20"/>
              </w:rPr>
              <w:t>中标金额为计费额，按本须知正文第40.2条规定的收费计算标准（</w:t>
            </w:r>
            <w:r>
              <w:rPr>
                <w:rFonts w:hint="eastAsia" w:ascii="宋体" w:hAnsi="宋体" w:cs="宋体"/>
                <w:color w:val="auto"/>
                <w:szCs w:val="20"/>
                <w:lang w:eastAsia="zh-CN"/>
              </w:rPr>
              <w:t>服务</w:t>
            </w:r>
            <w:r>
              <w:rPr>
                <w:rFonts w:hint="eastAsia" w:ascii="宋体" w:hAnsi="宋体" w:eastAsia="宋体" w:cs="宋体"/>
                <w:color w:val="auto"/>
                <w:szCs w:val="20"/>
              </w:rPr>
              <w:t>类）采用差额定率累进法计算出收费基准价格，采购代理收费以收费基准价格收取。</w:t>
            </w:r>
          </w:p>
          <w:p w14:paraId="43B2824F">
            <w:pPr>
              <w:pStyle w:val="14"/>
              <w:snapToGrid w:val="0"/>
              <w:spacing w:line="360" w:lineRule="auto"/>
              <w:rPr>
                <w:rFonts w:hint="default" w:ascii="宋体" w:hAnsi="宋体" w:eastAsia="宋体" w:cs="宋体"/>
                <w:color w:val="auto"/>
                <w:sz w:val="21"/>
                <w:szCs w:val="21"/>
                <w:highlight w:val="none"/>
                <w:u w:val="single"/>
                <w:lang w:val="en-US" w:eastAsia="zh-CN"/>
              </w:rPr>
            </w:pPr>
            <w:r>
              <w:rPr>
                <w:rFonts w:hint="eastAsia" w:hAnsi="宋体" w:cs="宋体"/>
                <w:color w:val="auto"/>
                <w:szCs w:val="20"/>
                <w:lang w:eastAsia="zh-CN"/>
              </w:rPr>
              <w:t>□</w:t>
            </w:r>
            <w:r>
              <w:rPr>
                <w:rFonts w:hint="eastAsia" w:ascii="宋体" w:hAnsi="宋体" w:eastAsia="宋体" w:cs="宋体"/>
                <w:color w:val="auto"/>
                <w:szCs w:val="20"/>
              </w:rPr>
              <w:t>固定采购代理收费：</w:t>
            </w:r>
            <w:r>
              <w:rPr>
                <w:rFonts w:hint="eastAsia" w:hAnsi="宋体" w:cs="宋体"/>
                <w:color w:val="auto"/>
                <w:szCs w:val="20"/>
                <w:u w:val="single"/>
                <w:lang w:eastAsia="zh-CN"/>
              </w:rPr>
              <w:t xml:space="preserve"> </w:t>
            </w:r>
            <w:r>
              <w:rPr>
                <w:rFonts w:hint="eastAsia" w:hAnsi="宋体" w:cs="宋体"/>
                <w:color w:val="auto"/>
                <w:szCs w:val="20"/>
                <w:u w:val="single"/>
                <w:lang w:val="en-US" w:eastAsia="zh-CN"/>
              </w:rPr>
              <w:t xml:space="preserve">          。</w:t>
            </w:r>
          </w:p>
        </w:tc>
      </w:tr>
      <w:tr w14:paraId="3EA32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4103D21B">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110E5B4">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959F8D9">
            <w:pPr>
              <w:pStyle w:val="14"/>
              <w:snapToGrid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账</w:t>
            </w:r>
            <w:r>
              <w:rPr>
                <w:rFonts w:hint="eastAsia" w:ascii="宋体" w:hAnsi="宋体" w:eastAsia="宋体" w:cs="宋体"/>
                <w:color w:val="auto"/>
                <w:sz w:val="21"/>
                <w:szCs w:val="21"/>
                <w:highlight w:val="none"/>
              </w:rPr>
              <w:t>户名称：</w:t>
            </w:r>
            <w:r>
              <w:rPr>
                <w:rFonts w:hint="eastAsia" w:hAnsi="宋体" w:cs="宋体"/>
                <w:color w:val="auto"/>
                <w:sz w:val="21"/>
                <w:szCs w:val="21"/>
                <w:highlight w:val="none"/>
                <w:lang w:eastAsia="zh-CN"/>
              </w:rPr>
              <w:t>广西冠宁工程咨询有限公司</w:t>
            </w:r>
            <w:r>
              <w:rPr>
                <w:rFonts w:hint="eastAsia" w:ascii="宋体" w:hAnsi="宋体" w:eastAsia="宋体" w:cs="宋体"/>
                <w:color w:val="auto"/>
                <w:sz w:val="21"/>
                <w:szCs w:val="21"/>
                <w:highlight w:val="none"/>
              </w:rPr>
              <w:t>防城港分公司</w:t>
            </w:r>
          </w:p>
          <w:p w14:paraId="5E4B1112">
            <w:pPr>
              <w:pStyle w:val="14"/>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w:t>
            </w:r>
            <w:r>
              <w:rPr>
                <w:rFonts w:hint="eastAsia" w:hAnsi="宋体" w:cs="宋体"/>
                <w:color w:val="auto"/>
                <w:sz w:val="21"/>
                <w:szCs w:val="21"/>
                <w:highlight w:val="none"/>
                <w:lang w:eastAsia="zh-CN"/>
              </w:rPr>
              <w:t>中国农业银行股份有限公司上思县支行</w:t>
            </w:r>
          </w:p>
          <w:p w14:paraId="454903F5">
            <w:pPr>
              <w:pStyle w:val="14"/>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hAnsi="宋体" w:cs="宋体"/>
                <w:color w:val="auto"/>
                <w:sz w:val="21"/>
                <w:szCs w:val="21"/>
                <w:highlight w:val="none"/>
                <w:lang w:eastAsia="zh-CN"/>
              </w:rPr>
              <w:t>20772101040023410</w:t>
            </w:r>
          </w:p>
        </w:tc>
      </w:tr>
      <w:tr w14:paraId="0EBB6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68B6806">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4A9F985">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E670F10">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0DA67D0E">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13B49D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政府采购货物和服务招标投标管理办法</w:t>
            </w:r>
            <w:r>
              <w:rPr>
                <w:rFonts w:hint="eastAsia" w:ascii="宋体" w:hAnsi="宋体" w:eastAsia="宋体" w:cs="宋体"/>
                <w:color w:val="auto"/>
                <w:sz w:val="21"/>
                <w:szCs w:val="21"/>
                <w:highlight w:val="none"/>
              </w:rPr>
              <w:t>》等有关</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编制，参与本项目的各政府采购当事人依法享有上述法律法规所赋予的权利与义务。</w:t>
            </w:r>
          </w:p>
        </w:tc>
      </w:tr>
      <w:tr w14:paraId="5E8B0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D0702B0">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9FCEAFA">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8C8C6E4">
            <w:pPr>
              <w:pStyle w:val="1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47385957">
            <w:pPr>
              <w:pStyle w:val="1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2.本招标文件中描述投标人的“签字”是指投标人通过指定电子化政府采购平台办理数字证书（CA认证）获得的以投标人法定代表人或者委托代理人姓名制作的电子印章或手写签字。</w:t>
            </w:r>
          </w:p>
          <w:p w14:paraId="79ED9D67">
            <w:pPr>
              <w:pStyle w:val="10"/>
              <w:tabs>
                <w:tab w:val="center" w:pos="4153"/>
                <w:tab w:val="right" w:pos="8306"/>
              </w:tabs>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26AE6EC5">
            <w:pPr>
              <w:pStyle w:val="1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8658278">
            <w:pPr>
              <w:pStyle w:val="1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5.自然人投标的，招标文件规定盖公章处由自然人摁手指指印。</w:t>
            </w:r>
          </w:p>
          <w:p w14:paraId="3F56AF4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 xml:space="preserve">    6.本招标文件所称的“以上”“以下”“以内”“届满”，包括本数；所称的“不满”“超过”“以外”，不包括本数。</w:t>
            </w:r>
          </w:p>
        </w:tc>
      </w:tr>
    </w:tbl>
    <w:p w14:paraId="03B22D80">
      <w:pPr>
        <w:widowControl/>
        <w:spacing w:line="412" w:lineRule="auto"/>
        <w:jc w:val="left"/>
        <w:rPr>
          <w:rFonts w:ascii="Arial" w:hAnsi="Arial" w:eastAsia="黑体"/>
          <w:b/>
          <w:bCs/>
          <w:color w:val="auto"/>
          <w:sz w:val="32"/>
          <w:szCs w:val="32"/>
          <w:highlight w:val="none"/>
        </w:rPr>
        <w:sectPr>
          <w:footerReference r:id="rId7" w:type="default"/>
          <w:pgSz w:w="11905" w:h="16838"/>
          <w:pgMar w:top="1134" w:right="1134" w:bottom="1134" w:left="1134" w:header="850" w:footer="850" w:gutter="0"/>
          <w:pgNumType w:fmt="decimal"/>
          <w:cols w:space="0" w:num="1"/>
          <w:titlePg/>
          <w:rtlGutter w:val="0"/>
          <w:docGrid w:linePitch="331" w:charSpace="0"/>
        </w:sectPr>
      </w:pPr>
    </w:p>
    <w:p w14:paraId="184074FD">
      <w:pPr>
        <w:rPr>
          <w:rFonts w:hint="eastAsia" w:ascii="Times New Roman" w:hAnsi="Times New Roman" w:eastAsia="宋体" w:cs="Times New Roman"/>
          <w:color w:val="auto"/>
          <w:highlight w:val="none"/>
        </w:rPr>
      </w:pPr>
    </w:p>
    <w:p w14:paraId="3A240A99">
      <w:pPr>
        <w:pStyle w:val="5"/>
        <w:jc w:val="center"/>
        <w:rPr>
          <w:rFonts w:cs="Times New Roman"/>
          <w:color w:val="auto"/>
          <w:highlight w:val="none"/>
        </w:rPr>
      </w:pPr>
      <w:bookmarkStart w:id="111" w:name="_Toc13813"/>
      <w:bookmarkStart w:id="112" w:name="_Toc7784"/>
      <w:bookmarkStart w:id="113" w:name="_Toc25117"/>
      <w:bookmarkStart w:id="114" w:name="_Toc24313"/>
      <w:bookmarkStart w:id="115" w:name="_Toc1030"/>
      <w:bookmarkStart w:id="116" w:name="_Toc453"/>
      <w:bookmarkStart w:id="117" w:name="_Toc8807"/>
      <w:bookmarkStart w:id="118" w:name="_Toc11336"/>
      <w:bookmarkStart w:id="119" w:name="_Toc30841"/>
      <w:bookmarkStart w:id="120" w:name="_Toc29311"/>
      <w:r>
        <w:rPr>
          <w:rFonts w:hint="eastAsia" w:cs="Times New Roman"/>
          <w:color w:val="auto"/>
          <w:highlight w:val="none"/>
        </w:rPr>
        <w:t>第二节</w:t>
      </w:r>
      <w:r>
        <w:rPr>
          <w:rFonts w:cs="Times New Roman"/>
          <w:color w:val="auto"/>
          <w:highlight w:val="none"/>
        </w:rPr>
        <w:t xml:space="preserve"> </w:t>
      </w:r>
      <w:r>
        <w:rPr>
          <w:rFonts w:hint="eastAsia" w:cs="Times New Roman"/>
          <w:color w:val="auto"/>
          <w:highlight w:val="none"/>
        </w:rPr>
        <w:t>投标人须知正文</w:t>
      </w:r>
      <w:bookmarkEnd w:id="111"/>
      <w:bookmarkEnd w:id="112"/>
      <w:bookmarkEnd w:id="113"/>
      <w:bookmarkEnd w:id="114"/>
      <w:bookmarkEnd w:id="115"/>
      <w:bookmarkEnd w:id="116"/>
      <w:bookmarkEnd w:id="117"/>
      <w:bookmarkEnd w:id="118"/>
      <w:bookmarkEnd w:id="119"/>
      <w:bookmarkEnd w:id="120"/>
    </w:p>
    <w:p w14:paraId="45B57DD5">
      <w:pPr>
        <w:pStyle w:val="6"/>
        <w:keepNext w:val="0"/>
        <w:keepLines w:val="0"/>
        <w:spacing w:line="400" w:lineRule="exact"/>
        <w:jc w:val="center"/>
        <w:rPr>
          <w:rFonts w:ascii="Times New Roman" w:hAnsi="Times New Roman" w:eastAsia="宋体" w:cs="Times New Roman"/>
          <w:color w:val="auto"/>
          <w:highlight w:val="none"/>
        </w:rPr>
      </w:pPr>
      <w:bookmarkStart w:id="121" w:name="_Toc28360"/>
      <w:bookmarkStart w:id="122" w:name="_Toc3607"/>
      <w:bookmarkStart w:id="123" w:name="_Toc15523"/>
      <w:bookmarkStart w:id="124" w:name="_Toc18594"/>
      <w:bookmarkStart w:id="125" w:name="_Toc22266"/>
      <w:bookmarkStart w:id="126" w:name="_Toc19454"/>
      <w:bookmarkStart w:id="127" w:name="_Toc21176"/>
      <w:bookmarkStart w:id="128" w:name="_Toc30794"/>
      <w:bookmarkStart w:id="129" w:name="_Toc6594"/>
      <w:bookmarkStart w:id="130" w:name="_Toc3522"/>
      <w:r>
        <w:rPr>
          <w:rFonts w:hint="eastAsia" w:ascii="Times New Roman" w:hAnsi="Times New Roman" w:eastAsia="宋体" w:cs="Times New Roman"/>
          <w:color w:val="auto"/>
          <w:highlight w:val="none"/>
        </w:rPr>
        <w:t>一、总</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则</w:t>
      </w:r>
      <w:bookmarkEnd w:id="121"/>
      <w:bookmarkEnd w:id="122"/>
      <w:bookmarkEnd w:id="123"/>
      <w:bookmarkEnd w:id="124"/>
      <w:bookmarkEnd w:id="125"/>
      <w:bookmarkEnd w:id="126"/>
      <w:bookmarkEnd w:id="127"/>
      <w:bookmarkEnd w:id="128"/>
      <w:bookmarkEnd w:id="129"/>
      <w:bookmarkEnd w:id="130"/>
    </w:p>
    <w:p w14:paraId="00E92E4B">
      <w:pPr>
        <w:spacing w:line="360" w:lineRule="auto"/>
        <w:ind w:firstLine="480" w:firstLineChars="200"/>
        <w:rPr>
          <w:rFonts w:ascii="黑体" w:hAnsi="黑体" w:eastAsia="黑体" w:cs="Times New Roman"/>
          <w:color w:val="auto"/>
          <w:sz w:val="24"/>
          <w:highlight w:val="none"/>
        </w:rPr>
      </w:pPr>
      <w:bookmarkStart w:id="131" w:name="_Toc254970527"/>
      <w:bookmarkStart w:id="132" w:name="_Toc254970668"/>
      <w:r>
        <w:rPr>
          <w:rFonts w:hint="eastAsia" w:ascii="黑体" w:hAnsi="黑体" w:eastAsia="黑体" w:cs="Times New Roman"/>
          <w:color w:val="auto"/>
          <w:sz w:val="24"/>
          <w:highlight w:val="none"/>
        </w:rPr>
        <w:t>1.适用范围</w:t>
      </w:r>
      <w:bookmarkEnd w:id="131"/>
      <w:bookmarkEnd w:id="132"/>
    </w:p>
    <w:p w14:paraId="3DF3FA2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1.1适用法律：本项目采购人、采购代理机构、投标人、评标委员会的相关行为均受《中华人民共和国政府采购法</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中华人民共和国政府采购法实施条例</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政府采购货物和服务招标投标管理办法》及本项目本级和上级财政部门政府采购有关规定的约束和保护。</w:t>
      </w:r>
    </w:p>
    <w:p w14:paraId="2CA7DF5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A3F1B72">
      <w:pPr>
        <w:spacing w:line="360" w:lineRule="auto"/>
        <w:ind w:firstLine="480" w:firstLineChars="200"/>
        <w:rPr>
          <w:rFonts w:hint="eastAsia" w:ascii="黑体" w:hAnsi="黑体" w:eastAsia="黑体" w:cs="Times New Roman"/>
          <w:color w:val="auto"/>
          <w:sz w:val="24"/>
          <w:highlight w:val="none"/>
        </w:rPr>
      </w:pPr>
      <w:bookmarkStart w:id="133" w:name="_Toc254970669"/>
      <w:bookmarkStart w:id="134" w:name="_Toc254970528"/>
      <w:r>
        <w:rPr>
          <w:rFonts w:hint="eastAsia" w:ascii="黑体" w:hAnsi="黑体" w:eastAsia="黑体" w:cs="Times New Roman"/>
          <w:color w:val="auto"/>
          <w:sz w:val="24"/>
          <w:highlight w:val="none"/>
        </w:rPr>
        <w:t>2.定义</w:t>
      </w:r>
      <w:bookmarkEnd w:id="133"/>
      <w:bookmarkEnd w:id="134"/>
    </w:p>
    <w:p w14:paraId="3CF4FF17">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2.1“采购人”是指依法进行政府采购的国家机关、事业单位、团体组织。</w:t>
      </w:r>
    </w:p>
    <w:p w14:paraId="757065B4">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2.2“采购代理机构” 指政府采购集中采购机构和集中采购机构以外的采购代理机构。</w:t>
      </w:r>
    </w:p>
    <w:p w14:paraId="3C3314ED">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2.3“供应商”是指向采购人提供货物、工程或者服务的法人、其他组织或者自然人。</w:t>
      </w:r>
    </w:p>
    <w:p w14:paraId="76A11B5C">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2.4“投标人”是指响应招标、参加投标竞争的法人、非法人组织或者自然人。</w:t>
      </w:r>
    </w:p>
    <w:p w14:paraId="0F29C3BA">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2.5“服务”是指除货物和工程以外的其他政府采购对象。</w:t>
      </w:r>
    </w:p>
    <w:p w14:paraId="4926653B">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2.6“书面形式”是指合同书、信件和数据电文（包括电报、电传、传真、短信、电子数据交换和电子邮件）等可以有形地表现所载内容的形式。</w:t>
      </w:r>
    </w:p>
    <w:p w14:paraId="54F26DA9">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2.7“实质性要求”是指招标文件中已经指明不满足则投标无效的条款，或者不能负偏离的条款，或者采购需求中带“</w:t>
      </w:r>
      <w:r>
        <w:rPr>
          <w:rFonts w:hint="eastAsia" w:ascii="宋体" w:hAnsi="宋体" w:eastAsia="宋体" w:cs="Times New Roman"/>
          <w:b/>
          <w:bCs/>
          <w:color w:val="auto"/>
          <w:szCs w:val="21"/>
          <w:highlight w:val="none"/>
        </w:rPr>
        <w:t>▲</w:t>
      </w:r>
      <w:r>
        <w:rPr>
          <w:rFonts w:hint="eastAsia" w:ascii="宋体" w:hAnsi="宋体" w:eastAsia="宋体" w:cs="Times New Roman"/>
          <w:b/>
          <w:color w:val="auto"/>
          <w:szCs w:val="21"/>
          <w:highlight w:val="none"/>
        </w:rPr>
        <w:t>”的条款。</w:t>
      </w:r>
    </w:p>
    <w:p w14:paraId="32BA47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2.8</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14:paraId="36E56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29D3ACA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2.10</w:t>
      </w:r>
      <w:r>
        <w:rPr>
          <w:rFonts w:hint="eastAsia" w:ascii="宋体" w:hAnsi="宋体" w:eastAsia="宋体" w:cs="宋体"/>
          <w:color w:val="auto"/>
          <w:szCs w:val="21"/>
          <w:highlight w:val="none"/>
        </w:rPr>
        <w:t>“允许负偏离的条款”是指采购需求中的不属于“实质性要求”的条款。</w:t>
      </w:r>
      <w:bookmarkStart w:id="135" w:name="_Toc254970529"/>
      <w:bookmarkStart w:id="136" w:name="_Toc254970670"/>
    </w:p>
    <w:p w14:paraId="47301024">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w:t>
      </w:r>
      <w:bookmarkEnd w:id="135"/>
      <w:bookmarkEnd w:id="136"/>
      <w:r>
        <w:rPr>
          <w:rFonts w:hint="eastAsia" w:ascii="黑体" w:hAnsi="黑体" w:eastAsia="黑体" w:cs="Times New Roman"/>
          <w:color w:val="auto"/>
          <w:sz w:val="24"/>
          <w:highlight w:val="none"/>
        </w:rPr>
        <w:t>投标人的资格要求</w:t>
      </w:r>
    </w:p>
    <w:p w14:paraId="2FBF9B7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投标人的资格要求详见“招标公告”。</w:t>
      </w:r>
    </w:p>
    <w:p w14:paraId="768EED0B">
      <w:pPr>
        <w:spacing w:line="360" w:lineRule="auto"/>
        <w:ind w:firstLine="480" w:firstLineChars="200"/>
        <w:rPr>
          <w:rFonts w:hint="eastAsia" w:ascii="黑体" w:hAnsi="黑体" w:eastAsia="黑体" w:cs="Times New Roman"/>
          <w:color w:val="auto"/>
          <w:sz w:val="24"/>
          <w:highlight w:val="none"/>
        </w:rPr>
      </w:pPr>
      <w:bookmarkStart w:id="137" w:name="_Toc254970530"/>
      <w:bookmarkStart w:id="138" w:name="_Toc254970671"/>
      <w:r>
        <w:rPr>
          <w:rFonts w:hint="eastAsia" w:ascii="黑体" w:hAnsi="黑体" w:eastAsia="黑体" w:cs="Times New Roman"/>
          <w:color w:val="auto"/>
          <w:sz w:val="24"/>
          <w:highlight w:val="none"/>
        </w:rPr>
        <w:t>4.投标委托</w:t>
      </w:r>
      <w:bookmarkEnd w:id="137"/>
      <w:bookmarkEnd w:id="138"/>
    </w:p>
    <w:p w14:paraId="2E999F8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投标人代表参加投标活动过程中必须携带个人有效身份证件。如投标人代表不是法定代表人，须持有法定代表人授权委托书（按第六章要求格式填写）。</w:t>
      </w:r>
    </w:p>
    <w:p w14:paraId="3D9ECBD4">
      <w:pPr>
        <w:spacing w:line="360" w:lineRule="auto"/>
        <w:ind w:firstLine="480" w:firstLineChars="200"/>
        <w:rPr>
          <w:rFonts w:hint="eastAsia" w:ascii="黑体" w:hAnsi="黑体" w:eastAsia="黑体" w:cs="Times New Roman"/>
          <w:color w:val="auto"/>
          <w:sz w:val="24"/>
          <w:highlight w:val="none"/>
        </w:rPr>
      </w:pPr>
      <w:bookmarkStart w:id="139" w:name="_5.投标费用"/>
      <w:bookmarkEnd w:id="139"/>
      <w:bookmarkStart w:id="140" w:name="_Toc254970531"/>
      <w:bookmarkStart w:id="141" w:name="_Toc254970672"/>
      <w:r>
        <w:rPr>
          <w:rFonts w:hint="eastAsia" w:ascii="黑体" w:hAnsi="黑体" w:eastAsia="黑体" w:cs="Times New Roman"/>
          <w:color w:val="auto"/>
          <w:sz w:val="24"/>
          <w:highlight w:val="none"/>
        </w:rPr>
        <w:t>5.投标费用</w:t>
      </w:r>
      <w:bookmarkEnd w:id="140"/>
      <w:bookmarkEnd w:id="141"/>
    </w:p>
    <w:p w14:paraId="22DA299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30776280">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6.联合体投标</w:t>
      </w:r>
    </w:p>
    <w:p w14:paraId="754CAB5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6.1本项目是否接受联合体投标，详见“投标人须知前附表”。</w:t>
      </w:r>
    </w:p>
    <w:p w14:paraId="3C36BE25">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6.2如接受联合体投标，联合体投标要求详见“投标人须知前附表”。</w:t>
      </w:r>
    </w:p>
    <w:p w14:paraId="254D43FE">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eastAsia="zh-CN"/>
        </w:rPr>
        <w:t>第九条、</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规定，接受大中型企业与小微企业组成联合体的采购项目，对于联合协议约定小微企业的合同份额占到合同总金额30%以上的，采购人、采购代理机构应当对联合体的报价给予4%</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6%的扣除，用扣除后的价格参加评审。组成联合体的小微企业与联合体内其他企业、分包企业之间存在直接控股、管理关系的，不享受价格扣除优惠政策。</w:t>
      </w:r>
    </w:p>
    <w:p w14:paraId="0FF8822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 xml:space="preserve">7.转包与分包             </w:t>
      </w:r>
    </w:p>
    <w:p w14:paraId="19A6413D">
      <w:pPr>
        <w:spacing w:line="360" w:lineRule="auto"/>
        <w:ind w:firstLine="422" w:firstLineChars="200"/>
        <w:rPr>
          <w:rFonts w:hint="default" w:ascii="宋体" w:hAnsi="宋体" w:eastAsia="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7.1 本项目不允许转包。</w:t>
      </w:r>
    </w:p>
    <w:p w14:paraId="2B4DF589">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7.</w:t>
      </w:r>
      <w:r>
        <w:rPr>
          <w:rFonts w:hint="eastAsia" w:ascii="宋体" w:hAnsi="宋体" w:cs="Times New Roman"/>
          <w:b/>
          <w:color w:val="auto"/>
          <w:szCs w:val="21"/>
          <w:highlight w:val="none"/>
          <w:lang w:val="en-US" w:eastAsia="zh-CN"/>
        </w:rPr>
        <w:t>2</w:t>
      </w:r>
      <w:r>
        <w:rPr>
          <w:rFonts w:hint="eastAsia" w:ascii="宋体" w:hAnsi="宋体" w:eastAsia="宋体" w:cs="Times New Roman"/>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961AAE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根据《政府采购促进中小企业发展管理办法》（财库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）第九条及</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6%的扣除，用扣除后的价格参加评审。接受分包的小微企业与分包企业之间存在直接控股、管理关系的，不享受价格扣除优惠政策。</w:t>
      </w:r>
    </w:p>
    <w:p w14:paraId="0591315E">
      <w:pPr>
        <w:spacing w:line="360" w:lineRule="auto"/>
        <w:ind w:firstLine="480" w:firstLineChars="200"/>
        <w:rPr>
          <w:rFonts w:hint="eastAsia" w:ascii="黑体" w:hAnsi="黑体" w:eastAsia="黑体" w:cs="Times New Roman"/>
          <w:color w:val="auto"/>
          <w:sz w:val="24"/>
          <w:highlight w:val="none"/>
        </w:rPr>
      </w:pPr>
      <w:bookmarkStart w:id="142" w:name="_Toc254970673"/>
      <w:bookmarkStart w:id="143" w:name="_Toc254970532"/>
      <w:r>
        <w:rPr>
          <w:rFonts w:hint="eastAsia" w:ascii="黑体" w:hAnsi="黑体" w:eastAsia="黑体" w:cs="Times New Roman"/>
          <w:color w:val="auto"/>
          <w:sz w:val="24"/>
          <w:highlight w:val="none"/>
        </w:rPr>
        <w:t>8.特别说明：</w:t>
      </w:r>
      <w:bookmarkEnd w:id="142"/>
      <w:bookmarkEnd w:id="143"/>
      <w:bookmarkStart w:id="144" w:name="_8.1提供相同品牌产品且通过资格审查、符合性审查的不同投标人参加同一合"/>
      <w:bookmarkEnd w:id="144"/>
    </w:p>
    <w:p w14:paraId="72859671">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8.1如果本招标文件要求投标人提供资格、信誉、荣誉、业绩与企业认证等材料的，则投标人所提供的以上材料必须为</w:t>
      </w:r>
      <w:r>
        <w:rPr>
          <w:rFonts w:hint="eastAsia" w:ascii="宋体" w:hAnsi="宋体" w:cs="Times New Roman"/>
          <w:b/>
          <w:color w:val="auto"/>
          <w:szCs w:val="21"/>
          <w:highlight w:val="none"/>
          <w:lang w:eastAsia="zh-CN"/>
        </w:rPr>
        <w:t>该</w:t>
      </w:r>
      <w:r>
        <w:rPr>
          <w:rFonts w:hint="eastAsia" w:ascii="宋体" w:hAnsi="宋体" w:eastAsia="宋体" w:cs="Times New Roman"/>
          <w:b/>
          <w:color w:val="auto"/>
          <w:szCs w:val="21"/>
          <w:highlight w:val="none"/>
        </w:rPr>
        <w:t>投标人所拥有。</w:t>
      </w:r>
    </w:p>
    <w:p w14:paraId="17F67596">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8.2投标人应仔细阅读招标文件的所有内容，按照招标文件的要求提交投标文件，并对所提供的全部资料的真实性承担法律责任。</w:t>
      </w:r>
    </w:p>
    <w:p w14:paraId="4F598542">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204B2F60">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9.回避与串通投标</w:t>
      </w:r>
    </w:p>
    <w:p w14:paraId="683EA815">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9.1在政府采购活动中，采购人员及相关人员与供应商有下列利害关系之一的，应当回避：</w:t>
      </w:r>
    </w:p>
    <w:p w14:paraId="2D3FB1C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2532B33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2BE49D8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7BC8C9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1891AD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1959A83D">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29733D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9.2有下列情形之一的视为投标人相互串通投标，投标文件将被视为无效：</w:t>
      </w:r>
    </w:p>
    <w:p w14:paraId="1E980314">
      <w:pPr>
        <w:spacing w:line="360" w:lineRule="auto"/>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cs="宋体"/>
          <w:b/>
          <w:color w:val="auto"/>
          <w:szCs w:val="21"/>
        </w:rPr>
        <w:t>或者不同投标人报名的IP地址一致的；</w:t>
      </w:r>
    </w:p>
    <w:p w14:paraId="09F0A50A">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7F0A7063">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460B75FD">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（4）不同投标人的电子投标文件异常一致或者投标报价呈规律性差异；</w:t>
      </w:r>
    </w:p>
    <w:p w14:paraId="14CE5467">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14:paraId="548DBE9D">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14:paraId="6F6EAC88">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9.3供应商有下列情形之一的，属于恶意串通行为，将报同级监督管理部门：</w:t>
      </w:r>
    </w:p>
    <w:p w14:paraId="0EEB75E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p>
    <w:p w14:paraId="23779F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14:paraId="6BF5A5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14:paraId="579903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429C994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573D33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5F4589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2DE4B735">
      <w:pPr>
        <w:pStyle w:val="14"/>
        <w:snapToGrid w:val="0"/>
        <w:spacing w:line="360" w:lineRule="auto"/>
        <w:ind w:left="2" w:leftChars="1" w:firstLine="422" w:firstLineChars="200"/>
        <w:rPr>
          <w:rFonts w:hAnsi="宋体" w:eastAsia="宋体" w:cs="Times New Roman"/>
          <w:b/>
          <w:color w:val="auto"/>
          <w:highlight w:val="none"/>
        </w:rPr>
      </w:pPr>
    </w:p>
    <w:p w14:paraId="6C2DBBC9">
      <w:pPr>
        <w:pStyle w:val="6"/>
        <w:keepNext w:val="0"/>
        <w:keepLines w:val="0"/>
        <w:spacing w:line="400" w:lineRule="exact"/>
        <w:jc w:val="center"/>
        <w:rPr>
          <w:rFonts w:hint="eastAsia" w:ascii="Times New Roman" w:hAnsi="Times New Roman" w:eastAsia="宋体" w:cs="Times New Roman"/>
          <w:color w:val="auto"/>
          <w:highlight w:val="none"/>
        </w:rPr>
      </w:pPr>
      <w:bookmarkStart w:id="145" w:name="_Toc6920"/>
      <w:bookmarkStart w:id="146" w:name="_Toc17855"/>
      <w:bookmarkStart w:id="147" w:name="_Toc22911"/>
      <w:bookmarkStart w:id="148" w:name="_Toc128"/>
      <w:bookmarkStart w:id="149" w:name="_Toc10320"/>
      <w:bookmarkStart w:id="150" w:name="_Toc254970534"/>
      <w:bookmarkStart w:id="151" w:name="_Toc9988"/>
      <w:bookmarkStart w:id="152" w:name="_Toc25104"/>
      <w:bookmarkStart w:id="153" w:name="_Toc11054"/>
      <w:bookmarkStart w:id="154" w:name="_Toc19016"/>
      <w:bookmarkStart w:id="155" w:name="_Toc254970675"/>
      <w:bookmarkStart w:id="156" w:name="_Toc18580"/>
      <w:r>
        <w:rPr>
          <w:rFonts w:hint="eastAsia" w:ascii="Times New Roman" w:hAnsi="Times New Roman" w:eastAsia="宋体" w:cs="Times New Roman"/>
          <w:color w:val="auto"/>
          <w:highlight w:val="none"/>
        </w:rPr>
        <w:t>二、招标文件</w:t>
      </w:r>
      <w:bookmarkEnd w:id="145"/>
      <w:bookmarkEnd w:id="146"/>
      <w:bookmarkEnd w:id="147"/>
      <w:bookmarkEnd w:id="148"/>
      <w:bookmarkEnd w:id="149"/>
      <w:bookmarkEnd w:id="150"/>
      <w:bookmarkEnd w:id="151"/>
      <w:bookmarkEnd w:id="152"/>
      <w:bookmarkEnd w:id="153"/>
      <w:bookmarkEnd w:id="154"/>
      <w:bookmarkEnd w:id="155"/>
      <w:bookmarkEnd w:id="156"/>
    </w:p>
    <w:p w14:paraId="1D88D26B">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10.招标文件的组成</w:t>
      </w:r>
    </w:p>
    <w:p w14:paraId="6068202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招标公告；</w:t>
      </w:r>
    </w:p>
    <w:p w14:paraId="50D5712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第二章 采购需求； </w:t>
      </w:r>
    </w:p>
    <w:p w14:paraId="2BEFB52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第三章 投标人须知；</w:t>
      </w:r>
    </w:p>
    <w:p w14:paraId="7FC67FB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评标方法</w:t>
      </w:r>
      <w:r>
        <w:rPr>
          <w:rFonts w:hint="eastAsia" w:ascii="宋体" w:hAnsi="宋体" w:cs="Times New Roman"/>
          <w:color w:val="auto"/>
          <w:szCs w:val="21"/>
          <w:highlight w:val="none"/>
          <w:lang w:eastAsia="zh-CN"/>
        </w:rPr>
        <w:t>和</w:t>
      </w:r>
      <w:r>
        <w:rPr>
          <w:rFonts w:hint="eastAsia" w:ascii="宋体" w:hAnsi="宋体" w:eastAsia="宋体" w:cs="Times New Roman"/>
          <w:color w:val="auto"/>
          <w:szCs w:val="21"/>
          <w:highlight w:val="none"/>
        </w:rPr>
        <w:t>评标标准；</w:t>
      </w:r>
    </w:p>
    <w:p w14:paraId="257E975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拟签订的合同文本；</w:t>
      </w:r>
    </w:p>
    <w:p w14:paraId="607F2A2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投标文件格式；</w:t>
      </w:r>
    </w:p>
    <w:p w14:paraId="43E66D9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14:paraId="5AA934B3">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根据本章</w:t>
      </w:r>
      <w:r>
        <w:rPr>
          <w:rFonts w:hint="eastAsia" w:ascii="宋体" w:hAnsi="宋体" w:eastAsia="宋体" w:cs="宋体"/>
          <w:color w:val="auto"/>
          <w:highlight w:val="none"/>
        </w:rPr>
        <w:t>第11.1</w:t>
      </w:r>
      <w:r>
        <w:rPr>
          <w:rFonts w:hint="eastAsia" w:ascii="Times New Roman" w:hAnsi="宋体" w:eastAsia="宋体" w:cs="Times New Roman"/>
          <w:color w:val="auto"/>
          <w:highlight w:val="none"/>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auto"/>
          <w:highlight w:val="none"/>
        </w:rPr>
        <w:t>以最后澄清或修改公告为准。</w:t>
      </w:r>
    </w:p>
    <w:p w14:paraId="0849124E">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11.招标文件的澄清、修改 、现场考察和答疑会</w:t>
      </w:r>
    </w:p>
    <w:p w14:paraId="49EC0139">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 11.1采购人或者采购代理机构可以对已发出的招标文件进行必要的澄清或者修改，但不得改变采购标的和资格条件。澄清或者修改应当在原</w:t>
      </w:r>
      <w:r>
        <w:rPr>
          <w:rFonts w:hint="eastAsia" w:ascii="宋体" w:hAnsi="宋体" w:cs="Times New Roman"/>
          <w:b/>
          <w:color w:val="auto"/>
          <w:szCs w:val="21"/>
          <w:highlight w:val="none"/>
          <w:lang w:eastAsia="zh-CN"/>
        </w:rPr>
        <w:t>招标</w:t>
      </w:r>
      <w:r>
        <w:rPr>
          <w:rFonts w:hint="eastAsia" w:ascii="宋体" w:hAnsi="宋体" w:eastAsia="宋体" w:cs="Times New Roman"/>
          <w:b/>
          <w:color w:val="auto"/>
          <w:szCs w:val="21"/>
          <w:highlight w:val="none"/>
        </w:rPr>
        <w:t>公告发布媒体上发布澄清公告。澄清或者修改的内容为招标文件的组成部分。</w:t>
      </w:r>
    </w:p>
    <w:p w14:paraId="16725ED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1D08C0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1AABEAF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3E0BD23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1871233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57"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57"/>
    <w:p w14:paraId="5A3CA058">
      <w:pPr>
        <w:pStyle w:val="6"/>
        <w:keepNext w:val="0"/>
        <w:keepLines w:val="0"/>
        <w:spacing w:line="400" w:lineRule="exact"/>
        <w:jc w:val="center"/>
        <w:rPr>
          <w:rFonts w:ascii="Times New Roman" w:hAnsi="Times New Roman" w:eastAsia="宋体" w:cs="Times New Roman"/>
          <w:color w:val="auto"/>
          <w:highlight w:val="none"/>
        </w:rPr>
      </w:pPr>
      <w:bookmarkStart w:id="158" w:name="_Toc7841"/>
      <w:bookmarkStart w:id="159" w:name="_Toc254970535"/>
      <w:bookmarkStart w:id="160" w:name="_Toc24872"/>
      <w:bookmarkStart w:id="161" w:name="_Toc32499"/>
      <w:bookmarkStart w:id="162" w:name="_Toc12080"/>
      <w:bookmarkStart w:id="163" w:name="_Toc27367"/>
      <w:bookmarkStart w:id="164" w:name="_Toc28419"/>
      <w:bookmarkStart w:id="165" w:name="_Toc32154"/>
      <w:bookmarkStart w:id="166" w:name="_Toc2635"/>
      <w:bookmarkStart w:id="167" w:name="_Toc16623"/>
      <w:bookmarkStart w:id="168" w:name="_Toc20"/>
      <w:bookmarkStart w:id="169" w:name="_Toc254970676"/>
      <w:r>
        <w:rPr>
          <w:rFonts w:hint="eastAsia" w:ascii="Times New Roman" w:hAnsi="Times New Roman" w:eastAsia="宋体" w:cs="Times New Roman"/>
          <w:color w:val="auto"/>
          <w:highlight w:val="none"/>
        </w:rPr>
        <w:t>三、投标文件的编制</w:t>
      </w:r>
      <w:bookmarkEnd w:id="158"/>
      <w:bookmarkEnd w:id="159"/>
      <w:bookmarkEnd w:id="160"/>
      <w:bookmarkEnd w:id="161"/>
      <w:bookmarkEnd w:id="162"/>
      <w:bookmarkEnd w:id="163"/>
      <w:bookmarkEnd w:id="164"/>
      <w:bookmarkEnd w:id="165"/>
      <w:bookmarkEnd w:id="166"/>
      <w:bookmarkEnd w:id="167"/>
      <w:bookmarkEnd w:id="168"/>
      <w:bookmarkEnd w:id="169"/>
    </w:p>
    <w:p w14:paraId="488E5750">
      <w:pPr>
        <w:spacing w:line="360" w:lineRule="auto"/>
        <w:ind w:firstLine="480" w:firstLineChars="200"/>
        <w:rPr>
          <w:rFonts w:ascii="黑体" w:hAnsi="黑体" w:eastAsia="黑体" w:cs="Times New Roman"/>
          <w:color w:val="auto"/>
          <w:sz w:val="24"/>
          <w:highlight w:val="none"/>
        </w:rPr>
      </w:pPr>
      <w:bookmarkStart w:id="170" w:name="_Toc254970677"/>
      <w:bookmarkStart w:id="171" w:name="_Toc254970536"/>
      <w:r>
        <w:rPr>
          <w:rFonts w:hint="eastAsia" w:ascii="黑体" w:hAnsi="黑体" w:eastAsia="黑体" w:cs="Times New Roman"/>
          <w:color w:val="auto"/>
          <w:sz w:val="24"/>
          <w:highlight w:val="none"/>
        </w:rPr>
        <w:t>12.投标文件的编制原则</w:t>
      </w:r>
    </w:p>
    <w:p w14:paraId="4F90FC6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投标人必须按照招标文件的要求编制投标文件。投标文件必须对招标文件提出的要求和条件作出明确响应。</w:t>
      </w:r>
    </w:p>
    <w:p w14:paraId="1F2ACD33">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13.投标文件的组成</w:t>
      </w:r>
      <w:bookmarkEnd w:id="170"/>
      <w:bookmarkEnd w:id="171"/>
    </w:p>
    <w:p w14:paraId="502D4A2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13.1投标文件由报价文件、资格证明文件、商务文件、技术文件四部分组成。</w:t>
      </w:r>
    </w:p>
    <w:p w14:paraId="1061DF75">
      <w:pPr>
        <w:spacing w:line="360" w:lineRule="auto"/>
        <w:ind w:firstLine="420" w:firstLineChars="200"/>
        <w:rPr>
          <w:rFonts w:hint="eastAsia" w:ascii="宋体" w:hAnsi="宋体" w:eastAsia="宋体" w:cs="Times New Roman"/>
          <w:bCs/>
          <w:color w:val="auto"/>
          <w:szCs w:val="21"/>
          <w:highlight w:val="none"/>
        </w:rPr>
      </w:pPr>
      <w:bookmarkStart w:id="172" w:name="_13.2资格证明文件：具体材料见“投标人须知前附表”。"/>
      <w:bookmarkEnd w:id="172"/>
      <w:bookmarkStart w:id="173" w:name="_13.1报价文件:_具体材料见“投标人须知前附表”。"/>
      <w:bookmarkEnd w:id="173"/>
      <w:r>
        <w:rPr>
          <w:rFonts w:hint="eastAsia" w:ascii="宋体" w:hAnsi="宋体" w:eastAsia="宋体" w:cs="Times New Roman"/>
          <w:bCs/>
          <w:color w:val="auto"/>
          <w:szCs w:val="21"/>
          <w:highlight w:val="none"/>
        </w:rPr>
        <w:t>（1）资格证明文件：具体材料见“投标人须知前附表”。</w:t>
      </w:r>
    </w:p>
    <w:p w14:paraId="5C991D8D">
      <w:pPr>
        <w:spacing w:line="360" w:lineRule="auto"/>
        <w:ind w:firstLine="420" w:firstLineChars="200"/>
        <w:rPr>
          <w:rFonts w:hint="eastAsia" w:ascii="宋体" w:hAnsi="宋体" w:eastAsia="宋体" w:cs="Times New Roman"/>
          <w:bCs/>
          <w:color w:val="auto"/>
          <w:szCs w:val="21"/>
          <w:highlight w:val="none"/>
        </w:rPr>
      </w:pPr>
      <w:bookmarkStart w:id="174" w:name="_13.3商务文件:_具体材料见“投标人须知前附表”。"/>
      <w:bookmarkEnd w:id="174"/>
      <w:r>
        <w:rPr>
          <w:rFonts w:hint="eastAsia" w:ascii="宋体" w:hAnsi="宋体" w:eastAsia="宋体" w:cs="Times New Roman"/>
          <w:bCs/>
          <w:color w:val="auto"/>
          <w:szCs w:val="21"/>
          <w:highlight w:val="none"/>
        </w:rPr>
        <w:t>（2）商务文件：具体材料见“投标人须知前附表”。</w:t>
      </w:r>
    </w:p>
    <w:p w14:paraId="27600A34">
      <w:pPr>
        <w:spacing w:line="360" w:lineRule="auto"/>
        <w:ind w:firstLine="420" w:firstLineChars="200"/>
        <w:rPr>
          <w:rFonts w:hint="eastAsia" w:ascii="宋体" w:hAnsi="宋体" w:eastAsia="宋体" w:cs="Times New Roman"/>
          <w:bCs/>
          <w:color w:val="auto"/>
          <w:szCs w:val="21"/>
          <w:highlight w:val="none"/>
        </w:rPr>
      </w:pPr>
      <w:bookmarkStart w:id="175" w:name="_13.4技术文件：具体材料见“投标人须知前附表”。"/>
      <w:bookmarkEnd w:id="175"/>
      <w:r>
        <w:rPr>
          <w:rFonts w:hint="eastAsia" w:ascii="宋体" w:hAnsi="宋体" w:eastAsia="宋体" w:cs="Times New Roman"/>
          <w:bCs/>
          <w:color w:val="auto"/>
          <w:szCs w:val="21"/>
          <w:highlight w:val="none"/>
        </w:rPr>
        <w:t xml:space="preserve">（3）技术文件：具体材料见“投标人须知前附表”。 </w:t>
      </w:r>
    </w:p>
    <w:p w14:paraId="0C943CD3">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（4）报价文件： 具体材料见“投标人须知前附表”。</w:t>
      </w:r>
    </w:p>
    <w:p w14:paraId="132A2B86">
      <w:pPr>
        <w:spacing w:line="360" w:lineRule="auto"/>
        <w:ind w:firstLine="420" w:firstLineChars="200"/>
        <w:rPr>
          <w:rFonts w:hint="eastAsia" w:ascii="宋体" w:hAnsi="宋体" w:eastAsia="宋体" w:cs="Times New Roman"/>
          <w:bCs/>
          <w:color w:val="auto"/>
          <w:szCs w:val="21"/>
          <w:highlight w:val="none"/>
        </w:rPr>
      </w:pPr>
      <w:bookmarkStart w:id="176" w:name="_13.5投标文件电子版：具体材料见“投标人须知前附表”。"/>
      <w:bookmarkEnd w:id="176"/>
      <w:r>
        <w:rPr>
          <w:rFonts w:hint="eastAsia" w:ascii="宋体" w:hAnsi="宋体" w:eastAsia="宋体" w:cs="Times New Roman"/>
          <w:bCs/>
          <w:color w:val="auto"/>
          <w:szCs w:val="21"/>
          <w:highlight w:val="none"/>
        </w:rPr>
        <w:t>13.2投标文件电子版：具体要求见本节19.投标文件编制。</w:t>
      </w:r>
    </w:p>
    <w:p w14:paraId="4C51B07D">
      <w:pPr>
        <w:spacing w:line="360" w:lineRule="auto"/>
        <w:ind w:firstLine="480" w:firstLineChars="200"/>
        <w:rPr>
          <w:rFonts w:hint="eastAsia" w:ascii="黑体" w:hAnsi="黑体" w:eastAsia="黑体" w:cs="Times New Roman"/>
          <w:color w:val="auto"/>
          <w:sz w:val="24"/>
          <w:highlight w:val="none"/>
        </w:rPr>
      </w:pPr>
      <w:bookmarkStart w:id="177" w:name="_Toc254970678"/>
      <w:bookmarkStart w:id="178" w:name="_Toc254970537"/>
      <w:r>
        <w:rPr>
          <w:rFonts w:hint="eastAsia" w:ascii="黑体" w:hAnsi="黑体" w:eastAsia="黑体" w:cs="Times New Roman"/>
          <w:color w:val="auto"/>
          <w:sz w:val="24"/>
          <w:highlight w:val="none"/>
        </w:rPr>
        <w:t>14.投标文件的语言及计量</w:t>
      </w:r>
      <w:bookmarkEnd w:id="177"/>
      <w:bookmarkEnd w:id="178"/>
    </w:p>
    <w:p w14:paraId="40C21EB2">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14.1语言文字</w:t>
      </w:r>
    </w:p>
    <w:p w14:paraId="7730DE70">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EE8F368">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14.2投标计量单位</w:t>
      </w:r>
    </w:p>
    <w:p w14:paraId="08C7EF93">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招标文件已有明确规定的，使用招标文件规定的计量单位；招标文件没有规定的，应采用中华人民共和国法定计量单位，货币种类为人民币，否则视同未响应。</w:t>
      </w:r>
    </w:p>
    <w:p w14:paraId="15F0444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15.投标</w:t>
      </w:r>
      <w:r>
        <w:rPr>
          <w:rFonts w:hint="eastAsia" w:ascii="黑体" w:hAnsi="黑体" w:eastAsia="黑体" w:cs="Times New Roman"/>
          <w:color w:val="auto"/>
          <w:sz w:val="24"/>
          <w:highlight w:val="none"/>
          <w:lang w:val="en-US" w:eastAsia="zh-CN"/>
        </w:rPr>
        <w:t>文件提交</w:t>
      </w:r>
      <w:r>
        <w:rPr>
          <w:rFonts w:hint="eastAsia" w:ascii="黑体" w:hAnsi="黑体" w:eastAsia="黑体" w:cs="Times New Roman"/>
          <w:color w:val="auto"/>
          <w:sz w:val="24"/>
          <w:highlight w:val="none"/>
        </w:rPr>
        <w:t>的风险</w:t>
      </w:r>
    </w:p>
    <w:p w14:paraId="5EAC3EC0">
      <w:pPr>
        <w:spacing w:line="360" w:lineRule="auto"/>
        <w:ind w:firstLine="420" w:firstLineChars="200"/>
        <w:rPr>
          <w:rFonts w:hint="eastAsia" w:ascii="Times New Roman" w:hAnsi="宋体" w:eastAsia="宋体" w:cs="Times New Roman"/>
          <w:b/>
          <w:bCs/>
          <w:color w:val="auto"/>
          <w:highlight w:val="none"/>
        </w:rPr>
      </w:pPr>
      <w:r>
        <w:rPr>
          <w:rFonts w:hint="eastAsia" w:ascii="Times New Roman" w:hAnsi="宋体" w:eastAsia="宋体" w:cs="Times New Roman"/>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45631227">
      <w:pPr>
        <w:spacing w:line="360" w:lineRule="auto"/>
        <w:ind w:firstLine="480" w:firstLineChars="200"/>
        <w:rPr>
          <w:rFonts w:ascii="黑体" w:hAnsi="黑体" w:eastAsia="黑体" w:cs="Times New Roman"/>
          <w:color w:val="auto"/>
          <w:sz w:val="24"/>
          <w:highlight w:val="none"/>
        </w:rPr>
      </w:pPr>
      <w:bookmarkStart w:id="179" w:name="_Toc254970679"/>
      <w:bookmarkStart w:id="180" w:name="_Toc254970538"/>
      <w:r>
        <w:rPr>
          <w:rFonts w:hint="eastAsia" w:ascii="黑体" w:hAnsi="黑体" w:eastAsia="黑体" w:cs="Times New Roman"/>
          <w:color w:val="auto"/>
          <w:sz w:val="24"/>
          <w:highlight w:val="none"/>
        </w:rPr>
        <w:t>16.投标报价</w:t>
      </w:r>
      <w:bookmarkEnd w:id="179"/>
      <w:bookmarkEnd w:id="180"/>
    </w:p>
    <w:p w14:paraId="4EF7D3E7">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16.1投标报价应</w:t>
      </w:r>
      <w:r>
        <w:rPr>
          <w:rFonts w:hint="eastAsia" w:ascii="宋体" w:hAnsi="宋体" w:eastAsia="宋体" w:cs="Times New Roman"/>
          <w:bCs/>
          <w:color w:val="auto"/>
          <w:szCs w:val="20"/>
          <w:highlight w:val="none"/>
        </w:rPr>
        <w:t>按“第六章　投标文件格式”中“开标一览表”格式填写。</w:t>
      </w:r>
    </w:p>
    <w:p w14:paraId="2B3D54CE">
      <w:pPr>
        <w:spacing w:line="360" w:lineRule="auto"/>
        <w:ind w:firstLine="420" w:firstLineChars="200"/>
        <w:rPr>
          <w:rFonts w:hint="eastAsia" w:ascii="宋体" w:hAnsi="宋体" w:eastAsia="宋体" w:cs="Times New Roman"/>
          <w:bCs/>
          <w:color w:val="auto"/>
          <w:szCs w:val="21"/>
          <w:highlight w:val="none"/>
        </w:rPr>
      </w:pPr>
      <w:bookmarkStart w:id="181" w:name="_16.2投标报价具体定义见投标人须知前附表。"/>
      <w:bookmarkEnd w:id="181"/>
      <w:r>
        <w:rPr>
          <w:rFonts w:hint="eastAsia" w:ascii="宋体" w:hAnsi="宋体" w:eastAsia="宋体" w:cs="Times New Roman"/>
          <w:bCs/>
          <w:color w:val="auto"/>
          <w:szCs w:val="21"/>
          <w:highlight w:val="none"/>
        </w:rPr>
        <w:t>16.2投标报价具体包括内容详见“投标人须知前附表”。</w:t>
      </w:r>
    </w:p>
    <w:p w14:paraId="631F0C4D">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16.3投标人必须就所投项目的全部内容分别作完整唯一总价报价，不得存在漏项报价；投标人必须就所投项目的单项内容作唯一报价。</w:t>
      </w:r>
    </w:p>
    <w:p w14:paraId="6DC8592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17.投标有效期</w:t>
      </w:r>
    </w:p>
    <w:p w14:paraId="62635A6B">
      <w:pPr>
        <w:spacing w:line="360" w:lineRule="auto"/>
        <w:ind w:firstLine="420" w:firstLineChars="200"/>
        <w:rPr>
          <w:rFonts w:hint="eastAsia" w:ascii="宋体" w:hAnsi="宋体" w:eastAsia="宋体" w:cs="Times New Roman"/>
          <w:bCs/>
          <w:color w:val="auto"/>
          <w:szCs w:val="21"/>
          <w:highlight w:val="none"/>
        </w:rPr>
      </w:pPr>
      <w:bookmarkStart w:id="182" w:name="_17.1投标有效期应按“投标人须知中的前附表”规定的期限。"/>
      <w:bookmarkEnd w:id="182"/>
      <w:r>
        <w:rPr>
          <w:rFonts w:hint="eastAsia" w:ascii="宋体" w:hAnsi="宋体" w:eastAsia="宋体" w:cs="Times New Roman"/>
          <w:bCs/>
          <w:color w:val="auto"/>
          <w:szCs w:val="21"/>
          <w:highlight w:val="none"/>
        </w:rPr>
        <w:t>17.1投标有效期是指为保证采购人有足够的时间在开标后完成评标、定标、合同签订等工作而要求投标人提交的投标文件在一定时间内保持有效的期限。</w:t>
      </w:r>
    </w:p>
    <w:p w14:paraId="24AB2E71">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17.2</w:t>
      </w:r>
      <w:bookmarkStart w:id="183" w:name="_Toc254970681"/>
      <w:bookmarkStart w:id="184" w:name="_Toc254970540"/>
      <w:r>
        <w:rPr>
          <w:rFonts w:hint="eastAsia" w:ascii="宋体" w:hAnsi="宋体" w:eastAsia="宋体" w:cs="Times New Roman"/>
          <w:bCs/>
          <w:color w:val="auto"/>
          <w:szCs w:val="21"/>
          <w:highlight w:val="none"/>
        </w:rPr>
        <w:t xml:space="preserve"> 投标有效期应按规定的期限作出承诺，具体详见“投标人须知前附表”。</w:t>
      </w:r>
    </w:p>
    <w:p w14:paraId="7113F7A8">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17.3投标人的投标文件在投标有效期内均保持有效。</w:t>
      </w:r>
      <w:bookmarkEnd w:id="183"/>
      <w:bookmarkEnd w:id="184"/>
    </w:p>
    <w:p w14:paraId="1DDD398C">
      <w:pPr>
        <w:spacing w:line="360" w:lineRule="auto"/>
        <w:ind w:firstLine="480" w:firstLineChars="200"/>
        <w:rPr>
          <w:rFonts w:hint="eastAsia" w:ascii="黑体" w:hAnsi="黑体" w:eastAsia="黑体" w:cs="Times New Roman"/>
          <w:color w:val="auto"/>
          <w:sz w:val="24"/>
          <w:highlight w:val="none"/>
        </w:rPr>
      </w:pPr>
      <w:bookmarkStart w:id="185" w:name="_18.投标保证金"/>
      <w:bookmarkEnd w:id="185"/>
      <w:bookmarkStart w:id="186" w:name="_Toc254970541"/>
      <w:bookmarkStart w:id="187" w:name="_Toc254970682"/>
      <w:r>
        <w:rPr>
          <w:rFonts w:hint="eastAsia" w:ascii="黑体" w:hAnsi="黑体" w:eastAsia="黑体" w:cs="Times New Roman"/>
          <w:color w:val="auto"/>
          <w:sz w:val="24"/>
          <w:highlight w:val="none"/>
        </w:rPr>
        <w:t>18.投标保证金</w:t>
      </w:r>
      <w:bookmarkEnd w:id="186"/>
      <w:bookmarkEnd w:id="187"/>
    </w:p>
    <w:p w14:paraId="604BAFAF">
      <w:pPr>
        <w:pStyle w:val="7"/>
        <w:keepNext w:val="0"/>
        <w:keepLines w:val="0"/>
        <w:spacing w:before="0" w:after="0" w:line="360" w:lineRule="auto"/>
        <w:ind w:left="420" w:leftChars="200"/>
        <w:rPr>
          <w:rFonts w:hint="default" w:ascii="宋体" w:hAnsi="宋体" w:eastAsia="宋体" w:cs="宋体"/>
          <w:b w:val="0"/>
          <w:color w:val="auto"/>
          <w:sz w:val="21"/>
          <w:szCs w:val="21"/>
          <w:highlight w:val="none"/>
          <w:lang w:val="en-US" w:eastAsia="zh-CN"/>
        </w:rPr>
      </w:pPr>
      <w:bookmarkStart w:id="188" w:name="_Toc254970542"/>
      <w:bookmarkStart w:id="189" w:name="_Toc254970683"/>
      <w:r>
        <w:rPr>
          <w:rFonts w:hint="eastAsia" w:ascii="宋体" w:hAnsi="宋体" w:eastAsia="宋体" w:cs="宋体"/>
          <w:b w:val="0"/>
          <w:color w:val="auto"/>
          <w:sz w:val="21"/>
          <w:szCs w:val="21"/>
          <w:highlight w:val="none"/>
        </w:rPr>
        <w:t>18.1</w:t>
      </w:r>
      <w:r>
        <w:rPr>
          <w:rFonts w:hint="eastAsia" w:ascii="宋体" w:hAnsi="宋体" w:cs="宋体"/>
          <w:b w:val="0"/>
          <w:color w:val="auto"/>
          <w:sz w:val="21"/>
          <w:szCs w:val="21"/>
          <w:highlight w:val="none"/>
          <w:lang w:val="en-US" w:eastAsia="zh-CN"/>
        </w:rPr>
        <w:t>本项目不需要提交投标保证金</w:t>
      </w:r>
    </w:p>
    <w:p w14:paraId="553FACC9">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19.投标文件的</w:t>
      </w:r>
      <w:bookmarkEnd w:id="188"/>
      <w:bookmarkEnd w:id="189"/>
      <w:r>
        <w:rPr>
          <w:rFonts w:hint="eastAsia" w:ascii="黑体" w:hAnsi="黑体" w:eastAsia="黑体" w:cs="Times New Roman"/>
          <w:color w:val="auto"/>
          <w:sz w:val="24"/>
          <w:highlight w:val="none"/>
        </w:rPr>
        <w:t>编制</w:t>
      </w:r>
    </w:p>
    <w:p w14:paraId="405B02AD">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90" w:name="_19.2投标文件应按报价文件、资格证明文件、商务文件、技术文件分别编制"/>
      <w:bookmarkEnd w:id="190"/>
      <w:r>
        <w:rPr>
          <w:rFonts w:hint="eastAsia" w:ascii="宋体" w:hAnsi="宋体" w:eastAsia="宋体" w:cs="宋体"/>
          <w:color w:val="auto"/>
          <w:szCs w:val="21"/>
          <w:highlight w:val="none"/>
        </w:rPr>
        <w:t xml:space="preserve"> </w:t>
      </w:r>
    </w:p>
    <w:p w14:paraId="1F820E2D">
      <w:pPr>
        <w:pStyle w:val="3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14:paraId="26E446BE">
      <w:pPr>
        <w:pStyle w:val="3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02DE875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358B1DE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color w:val="auto"/>
          <w:szCs w:val="21"/>
          <w:highlight w:val="none"/>
          <w:lang w:eastAsia="zh-CN"/>
        </w:rPr>
        <w:t>。</w:t>
      </w:r>
    </w:p>
    <w:p w14:paraId="6BCCF415">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332B2F6A">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r>
        <w:rPr>
          <w:rFonts w:hint="eastAsia" w:ascii="Times New Roman" w:hAnsi="宋体" w:eastAsia="宋体" w:cs="Times New Roman"/>
          <w:bCs/>
          <w:color w:val="auto"/>
          <w:szCs w:val="21"/>
          <w:highlight w:val="none"/>
        </w:rPr>
        <w:t>”</w:t>
      </w:r>
      <w:r>
        <w:rPr>
          <w:rFonts w:hint="eastAsia" w:ascii="宋体" w:hAnsi="宋体" w:eastAsia="宋体" w:cs="宋体"/>
          <w:b/>
          <w:color w:val="auto"/>
          <w:szCs w:val="21"/>
          <w:highlight w:val="none"/>
          <w:u w:val="single"/>
        </w:rPr>
        <w:t>。</w:t>
      </w:r>
    </w:p>
    <w:p w14:paraId="15796C69">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20.备份投标文件</w:t>
      </w:r>
    </w:p>
    <w:p w14:paraId="1ED121B0">
      <w:pPr>
        <w:spacing w:line="360" w:lineRule="auto"/>
        <w:ind w:firstLine="420" w:firstLineChars="200"/>
        <w:rPr>
          <w:rFonts w:hint="eastAsia" w:ascii="黑体" w:hAnsi="黑体" w:eastAsia="黑体" w:cs="Times New Roman"/>
          <w:color w:val="auto"/>
          <w:sz w:val="24"/>
          <w:highlight w:val="none"/>
        </w:rPr>
      </w:pPr>
      <w:r>
        <w:rPr>
          <w:rFonts w:hint="eastAsia" w:ascii="Times New Roman" w:hAnsi="宋体" w:eastAsia="宋体" w:cs="Times New Roman"/>
          <w:bCs/>
          <w:color w:val="auto"/>
          <w:szCs w:val="21"/>
          <w:highlight w:val="none"/>
        </w:rPr>
        <w:t>详见“投标人须知前附表”。</w:t>
      </w:r>
    </w:p>
    <w:p w14:paraId="379BFF52">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21.投标文件的提交</w:t>
      </w:r>
    </w:p>
    <w:p w14:paraId="7F748EBA">
      <w:pPr>
        <w:spacing w:line="360" w:lineRule="auto"/>
        <w:ind w:firstLine="420" w:firstLineChars="200"/>
        <w:rPr>
          <w:rFonts w:hint="eastAsia" w:ascii="Times New Roman" w:hAnsi="宋体" w:eastAsia="宋体" w:cs="Times New Roman"/>
          <w:b/>
          <w:color w:val="auto"/>
          <w:highlight w:val="none"/>
        </w:rPr>
      </w:pPr>
      <w:bookmarkStart w:id="191" w:name="_21.1投标人必须在“投标人须知中的前附表”规定的投标文件接收时间和投"/>
      <w:bookmarkEnd w:id="191"/>
      <w:r>
        <w:rPr>
          <w:rFonts w:hint="eastAsia" w:ascii="宋体" w:hAnsi="宋体" w:eastAsia="宋体" w:cs="宋体"/>
          <w:bCs/>
          <w:color w:val="auto"/>
          <w:szCs w:val="21"/>
          <w:highlight w:val="none"/>
        </w:rPr>
        <w:t>21.1</w:t>
      </w:r>
      <w:r>
        <w:rPr>
          <w:rFonts w:hint="eastAsia" w:ascii="Times New Roman" w:hAnsi="宋体" w:eastAsia="宋体" w:cs="Times New Roman"/>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ascii="Times New Roman" w:hAnsi="宋体" w:eastAsia="宋体" w:cs="Times New Roman"/>
          <w:bCs/>
          <w:color w:val="auto"/>
          <w:szCs w:val="21"/>
          <w:highlight w:val="none"/>
        </w:rPr>
        <w:t>CA</w:t>
      </w:r>
      <w:r>
        <w:rPr>
          <w:rFonts w:hint="eastAsia" w:ascii="Times New Roman" w:hAnsi="宋体" w:eastAsia="宋体" w:cs="Times New Roman"/>
          <w:bCs/>
          <w:color w:val="auto"/>
          <w:szCs w:val="21"/>
          <w:highlight w:val="none"/>
        </w:rPr>
        <w:t>认证锁）进行电子签章、加密，然后通过网络将加密的电子投标文件递交至</w:t>
      </w:r>
      <w:r>
        <w:rPr>
          <w:rFonts w:hint="eastAsia" w:ascii="宋体" w:hAnsi="宋体" w:cs="宋体"/>
          <w:b w:val="0"/>
          <w:bCs w:val="0"/>
          <w:color w:val="auto"/>
          <w:sz w:val="21"/>
          <w:szCs w:val="21"/>
          <w:highlight w:val="none"/>
          <w:lang w:val="en-US" w:eastAsia="zh-CN"/>
        </w:rPr>
        <w:t>广西政府采购云平台</w:t>
      </w:r>
      <w:r>
        <w:rPr>
          <w:rFonts w:hint="eastAsia" w:ascii="Times New Roman" w:hAnsi="宋体" w:eastAsia="宋体" w:cs="Times New Roman"/>
          <w:bCs/>
          <w:color w:val="auto"/>
          <w:szCs w:val="21"/>
          <w:highlight w:val="none"/>
        </w:rPr>
        <w:t>。</w:t>
      </w:r>
      <w:r>
        <w:rPr>
          <w:rFonts w:ascii="Times New Roman" w:hAnsi="宋体" w:eastAsia="宋体" w:cs="Times New Roman"/>
          <w:bCs/>
          <w:color w:val="auto"/>
          <w:szCs w:val="21"/>
          <w:highlight w:val="none"/>
        </w:rPr>
        <w:t xml:space="preserve"> </w:t>
      </w:r>
      <w:r>
        <w:rPr>
          <w:rFonts w:ascii="Times New Roman" w:hAnsi="宋体" w:eastAsia="宋体" w:cs="Times New Roman"/>
          <w:b/>
          <w:color w:val="auto"/>
          <w:highlight w:val="none"/>
        </w:rPr>
        <w:t xml:space="preserve"> </w:t>
      </w:r>
    </w:p>
    <w:p w14:paraId="1445DAC8">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1"/>
          <w:highlight w:val="none"/>
        </w:rPr>
        <w:t>21.2未在规定时间内提交或者未按照招标文件要求密封或者标记的电子投标文件，</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将拒收。</w:t>
      </w:r>
    </w:p>
    <w:p w14:paraId="265649FA">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21.3电子版投标文件提交方式见“招标公告”</w:t>
      </w:r>
      <w:r>
        <w:rPr>
          <w:rFonts w:hint="eastAsia" w:ascii="宋体" w:hAnsi="宋体" w:cs="Times New Roman"/>
          <w:color w:val="auto"/>
          <w:szCs w:val="21"/>
          <w:highlight w:val="none"/>
          <w:lang w:eastAsia="zh-CN"/>
        </w:rPr>
        <w:t>。</w:t>
      </w:r>
    </w:p>
    <w:p w14:paraId="3D6470E7">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22. 投标文件的补充、修改、撤回</w:t>
      </w:r>
      <w:bookmarkStart w:id="192" w:name="_Toc254970543"/>
      <w:bookmarkStart w:id="193" w:name="_Toc254970684"/>
    </w:p>
    <w:p w14:paraId="4140DB0E">
      <w:pPr>
        <w:spacing w:line="360" w:lineRule="auto"/>
        <w:ind w:firstLine="420" w:firstLineChars="200"/>
        <w:rPr>
          <w:rFonts w:hint="eastAsia" w:ascii="黑体" w:hAnsi="黑体" w:eastAsia="黑体" w:cs="Times New Roman"/>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14:paraId="09DA9CB8">
      <w:pPr>
        <w:pStyle w:val="3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192"/>
    <w:bookmarkEnd w:id="193"/>
    <w:p w14:paraId="2F61A17A">
      <w:pPr>
        <w:pStyle w:val="12"/>
        <w:snapToGrid w:val="0"/>
        <w:spacing w:line="400" w:lineRule="exact"/>
        <w:ind w:firstLine="739"/>
        <w:rPr>
          <w:rFonts w:hint="eastAsia" w:hAnsi="宋体" w:eastAsia="宋体" w:cs="Times New Roman"/>
          <w:snapToGrid w:val="0"/>
          <w:color w:val="auto"/>
          <w:sz w:val="21"/>
          <w:szCs w:val="21"/>
          <w:highlight w:val="none"/>
        </w:rPr>
      </w:pPr>
    </w:p>
    <w:p w14:paraId="1921330D">
      <w:pPr>
        <w:pStyle w:val="6"/>
        <w:keepNext w:val="0"/>
        <w:keepLines w:val="0"/>
        <w:spacing w:line="400" w:lineRule="exact"/>
        <w:jc w:val="center"/>
        <w:rPr>
          <w:rFonts w:hint="eastAsia" w:ascii="Times New Roman" w:hAnsi="Times New Roman" w:eastAsia="宋体" w:cs="Times New Roman"/>
          <w:color w:val="auto"/>
          <w:highlight w:val="none"/>
        </w:rPr>
      </w:pPr>
      <w:bookmarkStart w:id="194" w:name="_Toc1586"/>
      <w:bookmarkStart w:id="195" w:name="_Toc12790"/>
      <w:bookmarkStart w:id="196" w:name="_Toc810"/>
      <w:bookmarkStart w:id="197" w:name="_Toc13250"/>
      <w:bookmarkStart w:id="198" w:name="_Toc14091"/>
      <w:bookmarkStart w:id="199" w:name="_Toc1356"/>
      <w:bookmarkStart w:id="200" w:name="_Toc254970544"/>
      <w:bookmarkStart w:id="201" w:name="_Toc22661"/>
      <w:bookmarkStart w:id="202" w:name="_Toc32494"/>
      <w:bookmarkStart w:id="203" w:name="_Toc2573"/>
      <w:bookmarkStart w:id="204" w:name="_Toc27037"/>
      <w:bookmarkStart w:id="205" w:name="_Toc254970685"/>
      <w:r>
        <w:rPr>
          <w:rFonts w:hint="eastAsia" w:ascii="Times New Roman" w:hAnsi="Times New Roman" w:eastAsia="宋体" w:cs="Times New Roman"/>
          <w:color w:val="auto"/>
          <w:highlight w:val="none"/>
        </w:rPr>
        <w:t>四、开</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194"/>
      <w:bookmarkEnd w:id="195"/>
      <w:bookmarkEnd w:id="196"/>
      <w:bookmarkEnd w:id="197"/>
      <w:bookmarkEnd w:id="198"/>
      <w:bookmarkEnd w:id="199"/>
      <w:bookmarkEnd w:id="200"/>
      <w:bookmarkEnd w:id="201"/>
      <w:bookmarkEnd w:id="202"/>
      <w:bookmarkEnd w:id="203"/>
      <w:bookmarkEnd w:id="204"/>
      <w:bookmarkEnd w:id="205"/>
    </w:p>
    <w:p w14:paraId="0896FED2">
      <w:pPr>
        <w:spacing w:line="360" w:lineRule="auto"/>
        <w:ind w:firstLine="480" w:firstLineChars="200"/>
        <w:rPr>
          <w:rFonts w:ascii="黑体" w:hAnsi="黑体" w:eastAsia="黑体" w:cs="Times New Roman"/>
          <w:color w:val="auto"/>
          <w:sz w:val="24"/>
          <w:highlight w:val="none"/>
        </w:rPr>
      </w:pPr>
      <w:bookmarkStart w:id="206" w:name="_23.开标时间和地点"/>
      <w:bookmarkEnd w:id="206"/>
      <w:r>
        <w:rPr>
          <w:rFonts w:hint="eastAsia" w:ascii="黑体" w:hAnsi="黑体" w:eastAsia="黑体" w:cs="Times New Roman"/>
          <w:color w:val="auto"/>
          <w:sz w:val="24"/>
          <w:highlight w:val="none"/>
        </w:rPr>
        <w:t>23.开标时间和地点</w:t>
      </w:r>
    </w:p>
    <w:p w14:paraId="10B9A25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0CAB07A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1D05DFF9">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24.开标程序</w:t>
      </w:r>
    </w:p>
    <w:p w14:paraId="509C6384">
      <w:pPr>
        <w:autoSpaceDE w:val="0"/>
        <w:autoSpaceDN w:val="0"/>
        <w:adjustRightIn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szCs w:val="21"/>
          <w:highlight w:val="none"/>
        </w:rPr>
        <w:t>24.1</w:t>
      </w:r>
      <w:r>
        <w:rPr>
          <w:rFonts w:hint="eastAsia" w:ascii="宋体" w:hAnsi="宋体" w:eastAsia="宋体" w:cs="Times New Roman"/>
          <w:color w:val="auto"/>
          <w:kern w:val="0"/>
          <w:szCs w:val="21"/>
          <w:highlight w:val="none"/>
        </w:rPr>
        <w:t>开标形式：</w:t>
      </w:r>
    </w:p>
    <w:p w14:paraId="10E30062">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Cs/>
          <w:color w:val="auto"/>
          <w:szCs w:val="21"/>
          <w:highlight w:val="none"/>
        </w:rPr>
        <w:t>开标的准备工作由采购代理机构负责落实，采购代理机构必须基于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Times New Roman"/>
          <w:bCs/>
          <w:color w:val="auto"/>
          <w:szCs w:val="21"/>
          <w:highlight w:val="none"/>
          <w:lang w:eastAsia="zh-CN"/>
        </w:rPr>
        <w:t>依法抽取</w:t>
      </w:r>
      <w:r>
        <w:rPr>
          <w:rFonts w:hint="eastAsia" w:ascii="宋体" w:hAnsi="宋体" w:eastAsia="宋体" w:cs="Times New Roman"/>
          <w:bCs/>
          <w:color w:val="auto"/>
          <w:szCs w:val="21"/>
          <w:highlight w:val="none"/>
        </w:rPr>
        <w:t>评审专家，如采购代理机构未按规定</w:t>
      </w:r>
      <w:r>
        <w:rPr>
          <w:rFonts w:hint="eastAsia" w:ascii="宋体" w:hAnsi="宋体" w:cs="Times New Roman"/>
          <w:bCs/>
          <w:color w:val="auto"/>
          <w:szCs w:val="21"/>
          <w:highlight w:val="none"/>
          <w:lang w:eastAsia="zh-CN"/>
        </w:rPr>
        <w:t>抽</w:t>
      </w:r>
      <w:r>
        <w:rPr>
          <w:rFonts w:hint="eastAsia" w:ascii="宋体" w:hAnsi="宋体" w:eastAsia="宋体" w:cs="Times New Roman"/>
          <w:bCs/>
          <w:color w:val="auto"/>
          <w:szCs w:val="21"/>
          <w:highlight w:val="none"/>
        </w:rPr>
        <w:t>取专家的，视为本次开评标无效，应当重新采购；</w:t>
      </w:r>
    </w:p>
    <w:p w14:paraId="434FA8FB">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（2）采购代理机构将按照招标文件规定的时间通过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Cs/>
          <w:color w:val="auto"/>
          <w:szCs w:val="21"/>
          <w:highlight w:val="none"/>
        </w:rPr>
        <w:t>组织线上开标活动、开启投标文件，所有</w:t>
      </w:r>
      <w:r>
        <w:rPr>
          <w:rFonts w:hint="eastAsia" w:ascii="宋体" w:hAnsi="宋体" w:cs="Times New Roman"/>
          <w:bCs/>
          <w:color w:val="auto"/>
          <w:szCs w:val="21"/>
          <w:highlight w:val="none"/>
          <w:lang w:eastAsia="zh-CN"/>
        </w:rPr>
        <w:t>投标人</w:t>
      </w:r>
      <w:r>
        <w:rPr>
          <w:rFonts w:hint="eastAsia" w:ascii="宋体" w:hAnsi="宋体" w:eastAsia="宋体" w:cs="Times New Roman"/>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5720A16">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24.2开标程序：</w:t>
      </w:r>
    </w:p>
    <w:p w14:paraId="15CDC112">
      <w:pPr>
        <w:pStyle w:val="14"/>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color w:val="auto"/>
          <w:szCs w:val="21"/>
          <w:highlight w:val="none"/>
        </w:rPr>
        <w:t>（1）解密电子投标文件。</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仿宋_GB2312"/>
          <w:color w:val="auto"/>
          <w:szCs w:val="21"/>
          <w:highlight w:val="none"/>
        </w:rPr>
        <w:t>按开标时间自动提取所有投标文件。采购代理机构依托</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向各投标人发出电子加密投标文件【开始解密】通知，由投标人在规定的时间内自行将投标文件在线解密。投标人的法定代表人或其委托代理人</w:t>
      </w:r>
      <w:r>
        <w:rPr>
          <w:rFonts w:hint="eastAsia" w:hAnsi="宋体" w:eastAsia="宋体" w:cs="Times New Roman"/>
          <w:b/>
          <w:color w:val="auto"/>
          <w:szCs w:val="21"/>
          <w:highlight w:val="none"/>
        </w:rPr>
        <w:t>须携带加密时所用的CA锁准时登录到</w:t>
      </w:r>
      <w:r>
        <w:rPr>
          <w:rFonts w:hint="eastAsia" w:ascii="宋体" w:hAnsi="宋体" w:cs="Times New Roman"/>
          <w:b/>
          <w:bCs w:val="0"/>
          <w:color w:val="auto"/>
          <w:sz w:val="21"/>
          <w:szCs w:val="21"/>
          <w:highlight w:val="none"/>
          <w:lang w:val="en-US" w:eastAsia="zh-CN"/>
        </w:rPr>
        <w:t>广西政府采购云平台</w:t>
      </w:r>
      <w:r>
        <w:rPr>
          <w:rFonts w:hint="eastAsia" w:hAnsi="宋体" w:eastAsia="宋体" w:cs="Times New Roman"/>
          <w:b/>
          <w:color w:val="auto"/>
          <w:szCs w:val="21"/>
          <w:highlight w:val="none"/>
        </w:rPr>
        <w:t>电子开标大厅签到并对电子投标文件</w:t>
      </w:r>
      <w:r>
        <w:rPr>
          <w:rFonts w:hint="eastAsia" w:hAnsi="宋体" w:cs="Times New Roman"/>
          <w:b/>
          <w:color w:val="auto"/>
          <w:szCs w:val="21"/>
          <w:highlight w:val="none"/>
          <w:lang w:eastAsia="zh-CN"/>
        </w:rPr>
        <w:t>在线</w:t>
      </w:r>
      <w:r>
        <w:rPr>
          <w:rFonts w:hint="eastAsia" w:hAnsi="宋体" w:eastAsia="宋体" w:cs="Times New Roman"/>
          <w:b/>
          <w:color w:val="auto"/>
          <w:szCs w:val="21"/>
          <w:highlight w:val="none"/>
        </w:rPr>
        <w:t>解密</w:t>
      </w:r>
      <w:r>
        <w:rPr>
          <w:rFonts w:hint="eastAsia" w:hAnsi="宋体" w:eastAsia="宋体" w:cs="Times New Roman"/>
          <w:color w:val="auto"/>
          <w:szCs w:val="21"/>
          <w:highlight w:val="none"/>
        </w:rPr>
        <w:t>。</w:t>
      </w:r>
      <w:r>
        <w:rPr>
          <w:rFonts w:hint="eastAsia" w:hAnsi="宋体" w:eastAsia="宋体" w:cs="Times New Roman"/>
          <w:b/>
          <w:bCs/>
          <w:color w:val="auto"/>
          <w:szCs w:val="21"/>
          <w:highlight w:val="none"/>
        </w:rPr>
        <w:t>投标文件未按时解密的，</w:t>
      </w:r>
      <w:r>
        <w:rPr>
          <w:rFonts w:hint="eastAsia" w:hAnsi="宋体" w:eastAsia="宋体" w:cs="Times New Roman"/>
          <w:b/>
          <w:color w:val="auto"/>
          <w:szCs w:val="21"/>
          <w:highlight w:val="none"/>
        </w:rPr>
        <w:t>均视为无效投标。</w:t>
      </w:r>
    </w:p>
    <w:p w14:paraId="58FD57BC">
      <w:pPr>
        <w:pStyle w:val="14"/>
        <w:snapToGrid w:val="0"/>
        <w:spacing w:line="440" w:lineRule="exact"/>
        <w:ind w:firstLine="420" w:firstLineChars="200"/>
        <w:rPr>
          <w:rFonts w:hint="eastAsia" w:hAnsi="宋体" w:eastAsia="宋体" w:cs="Times New Roman"/>
          <w:color w:val="auto"/>
          <w:szCs w:val="21"/>
          <w:highlight w:val="none"/>
        </w:rPr>
      </w:pPr>
      <w:r>
        <w:rPr>
          <w:rFonts w:hint="eastAsia" w:hAnsi="宋体" w:eastAsia="宋体" w:cs="Times New Roman"/>
          <w:color w:val="auto"/>
          <w:szCs w:val="21"/>
          <w:highlight w:val="none"/>
        </w:rPr>
        <w:t>（解密</w:t>
      </w:r>
      <w:r>
        <w:rPr>
          <w:rFonts w:hint="eastAsia" w:hAnsi="宋体" w:eastAsia="宋体" w:cs="Times New Roman"/>
          <w:bCs/>
          <w:color w:val="auto"/>
          <w:szCs w:val="21"/>
          <w:highlight w:val="none"/>
        </w:rPr>
        <w:t>异常情况处理：详见本章</w:t>
      </w:r>
      <w:r>
        <w:rPr>
          <w:rFonts w:hint="eastAsia" w:hAnsi="宋体" w:eastAsia="宋体" w:cs="Times New Roman"/>
          <w:color w:val="auto"/>
          <w:highlight w:val="none"/>
        </w:rPr>
        <w:t>29.3 电子交易活动的中止。</w:t>
      </w:r>
      <w:r>
        <w:rPr>
          <w:rFonts w:hint="eastAsia" w:hAnsi="宋体" w:eastAsia="宋体" w:cs="Times New Roman"/>
          <w:color w:val="auto"/>
          <w:szCs w:val="21"/>
          <w:highlight w:val="none"/>
        </w:rPr>
        <w:t>）</w:t>
      </w:r>
    </w:p>
    <w:p w14:paraId="4C41F28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b/>
          <w:color w:val="auto"/>
          <w:szCs w:val="21"/>
          <w:highlight w:val="none"/>
        </w:rPr>
        <w:t>电子唱标。</w:t>
      </w:r>
      <w:r>
        <w:rPr>
          <w:rFonts w:hint="eastAsia" w:ascii="宋体" w:hAnsi="宋体" w:eastAsia="宋体" w:cs="Times New Roman"/>
          <w:color w:val="auto"/>
          <w:szCs w:val="21"/>
          <w:highlight w:val="none"/>
        </w:rPr>
        <w:t>投标文件解密结束，各投标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报价均在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远程不见面开标大厅展示；</w:t>
      </w:r>
    </w:p>
    <w:p w14:paraId="11B285C1">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45B8BBFC">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8FCA766">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5</w:t>
      </w:r>
      <w:r>
        <w:rPr>
          <w:rFonts w:hint="eastAsia" w:ascii="宋体" w:hAnsi="宋体" w:eastAsia="宋体" w:cs="Times New Roman"/>
          <w:bCs/>
          <w:color w:val="auto"/>
          <w:szCs w:val="21"/>
          <w:highlight w:val="none"/>
        </w:rPr>
        <w:t>）开标结束。</w:t>
      </w:r>
    </w:p>
    <w:p w14:paraId="47E889D3">
      <w:pPr>
        <w:pStyle w:val="14"/>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bCs/>
          <w:color w:val="auto"/>
          <w:szCs w:val="21"/>
          <w:highlight w:val="none"/>
        </w:rPr>
        <w:t>特别说明：</w:t>
      </w:r>
      <w:r>
        <w:rPr>
          <w:rFonts w:hint="eastAsia" w:hAnsi="宋体" w:eastAsia="宋体" w:cs="Times New Roman"/>
          <w:color w:val="auto"/>
          <w:szCs w:val="21"/>
          <w:highlight w:val="none"/>
        </w:rPr>
        <w:t>如遇</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电子化开标或评审程序调整的，按调整后执行。</w:t>
      </w:r>
    </w:p>
    <w:p w14:paraId="46A7805F">
      <w:pPr>
        <w:pStyle w:val="14"/>
        <w:snapToGrid w:val="0"/>
        <w:spacing w:line="400" w:lineRule="exact"/>
        <w:ind w:left="689" w:leftChars="228" w:hanging="210" w:hangingChars="100"/>
        <w:rPr>
          <w:rFonts w:hint="eastAsia" w:hAnsi="宋体" w:eastAsia="宋体" w:cs="Times New Roman"/>
          <w:color w:val="auto"/>
          <w:highlight w:val="none"/>
        </w:rPr>
      </w:pPr>
    </w:p>
    <w:p w14:paraId="4877CB68">
      <w:pPr>
        <w:pStyle w:val="6"/>
        <w:keepNext w:val="0"/>
        <w:keepLines w:val="0"/>
        <w:spacing w:line="400" w:lineRule="exact"/>
        <w:jc w:val="center"/>
        <w:rPr>
          <w:rFonts w:hint="eastAsia" w:ascii="Times New Roman" w:hAnsi="Times New Roman" w:eastAsia="宋体" w:cs="Times New Roman"/>
          <w:color w:val="auto"/>
          <w:highlight w:val="none"/>
        </w:rPr>
      </w:pPr>
      <w:bookmarkStart w:id="207" w:name="_Toc19053"/>
      <w:bookmarkStart w:id="208" w:name="_Toc31994"/>
      <w:bookmarkStart w:id="209" w:name="_Toc6866"/>
      <w:bookmarkStart w:id="210" w:name="_Toc22509"/>
      <w:bookmarkStart w:id="211" w:name="_Toc25053"/>
      <w:bookmarkStart w:id="212" w:name="_Toc29189"/>
      <w:bookmarkStart w:id="213" w:name="_Toc1489"/>
      <w:bookmarkStart w:id="214" w:name="_Toc23512"/>
      <w:bookmarkStart w:id="215" w:name="_Toc2575"/>
      <w:bookmarkStart w:id="216" w:name="_Toc8919"/>
      <w:r>
        <w:rPr>
          <w:rFonts w:hint="eastAsia" w:ascii="Times New Roman" w:hAnsi="Times New Roman" w:eastAsia="宋体" w:cs="Times New Roman"/>
          <w:color w:val="auto"/>
          <w:highlight w:val="none"/>
        </w:rPr>
        <w:t>五、资格审查</w:t>
      </w:r>
      <w:bookmarkEnd w:id="207"/>
      <w:bookmarkEnd w:id="208"/>
      <w:bookmarkEnd w:id="209"/>
      <w:bookmarkEnd w:id="210"/>
      <w:bookmarkEnd w:id="211"/>
      <w:bookmarkEnd w:id="212"/>
      <w:bookmarkEnd w:id="213"/>
      <w:bookmarkEnd w:id="214"/>
      <w:bookmarkEnd w:id="215"/>
      <w:bookmarkEnd w:id="216"/>
    </w:p>
    <w:p w14:paraId="373F565A">
      <w:pPr>
        <w:pStyle w:val="7"/>
        <w:keepNext w:val="0"/>
        <w:keepLines w:val="0"/>
        <w:spacing w:before="0" w:after="0" w:line="360" w:lineRule="auto"/>
        <w:ind w:firstLine="482"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25.资格审查</w:t>
      </w:r>
    </w:p>
    <w:p w14:paraId="62EBBFDA">
      <w:pPr>
        <w:spacing w:line="360" w:lineRule="auto"/>
        <w:ind w:firstLine="422" w:firstLineChars="200"/>
        <w:rPr>
          <w:rFonts w:hint="eastAsia" w:ascii="宋体" w:hAnsi="宋体" w:eastAsia="宋体" w:cs="Times New Roman"/>
          <w:b/>
          <w:bCs/>
          <w:color w:val="auto"/>
          <w:szCs w:val="20"/>
          <w:highlight w:val="none"/>
        </w:rPr>
      </w:pPr>
      <w:r>
        <w:rPr>
          <w:rFonts w:hint="eastAsia" w:ascii="宋体" w:hAnsi="宋体" w:eastAsia="宋体" w:cs="Times New Roman"/>
          <w:b/>
          <w:bCs/>
          <w:color w:val="auto"/>
          <w:szCs w:val="20"/>
          <w:highlight w:val="none"/>
        </w:rPr>
        <w:t xml:space="preserve"> 25.1开标结束后，采购人或采购</w:t>
      </w:r>
      <w:r>
        <w:rPr>
          <w:rFonts w:hint="eastAsia" w:ascii="宋体" w:hAnsi="宋体" w:cs="Times New Roman"/>
          <w:b/>
          <w:bCs/>
          <w:color w:val="auto"/>
          <w:szCs w:val="20"/>
          <w:highlight w:val="none"/>
          <w:lang w:eastAsia="zh-CN"/>
        </w:rPr>
        <w:t>代理</w:t>
      </w:r>
      <w:r>
        <w:rPr>
          <w:rFonts w:hint="eastAsia" w:ascii="宋体" w:hAnsi="宋体" w:eastAsia="宋体" w:cs="Times New Roman"/>
          <w:b/>
          <w:bCs/>
          <w:color w:val="auto"/>
          <w:szCs w:val="20"/>
          <w:highlight w:val="none"/>
        </w:rPr>
        <w:t>机构依法通过电子投标文件对投标人的资格进行线上审查。</w:t>
      </w:r>
    </w:p>
    <w:p w14:paraId="2DF45C3C">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25.</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14:paraId="37D7236F">
      <w:pPr>
        <w:spacing w:line="360" w:lineRule="auto"/>
        <w:ind w:firstLine="422" w:firstLineChars="200"/>
        <w:rPr>
          <w:rFonts w:hint="eastAsia" w:ascii="宋体" w:hAnsi="宋体" w:eastAsia="宋体" w:cs="Times New Roman"/>
          <w:b/>
          <w:bCs/>
          <w:color w:val="auto"/>
          <w:szCs w:val="20"/>
          <w:highlight w:val="none"/>
        </w:rPr>
      </w:pPr>
      <w:bookmarkStart w:id="217" w:name="_25.3_投标人有下列情形之一的，资格审查不通过而导致其投标无效："/>
      <w:bookmarkEnd w:id="217"/>
      <w:r>
        <w:rPr>
          <w:rFonts w:hint="eastAsia" w:ascii="宋体" w:hAnsi="宋体" w:eastAsia="宋体" w:cs="Times New Roman"/>
          <w:b/>
          <w:bCs/>
          <w:color w:val="auto"/>
          <w:szCs w:val="20"/>
          <w:highlight w:val="none"/>
        </w:rPr>
        <w:t>25.</w:t>
      </w:r>
      <w:r>
        <w:rPr>
          <w:rFonts w:hint="eastAsia" w:ascii="宋体" w:hAnsi="宋体" w:cs="Times New Roman"/>
          <w:b/>
          <w:bCs/>
          <w:color w:val="auto"/>
          <w:szCs w:val="20"/>
          <w:highlight w:val="none"/>
          <w:lang w:val="en-US" w:eastAsia="zh-CN"/>
        </w:rPr>
        <w:t>3</w:t>
      </w:r>
      <w:r>
        <w:rPr>
          <w:rFonts w:hint="eastAsia" w:ascii="宋体" w:hAnsi="宋体" w:eastAsia="宋体" w:cs="Times New Roman"/>
          <w:b/>
          <w:bCs/>
          <w:color w:val="auto"/>
          <w:szCs w:val="20"/>
          <w:highlight w:val="none"/>
        </w:rPr>
        <w:t>投标人有下列情形之一的，资格审查不通过，作无效投标处理：</w:t>
      </w:r>
    </w:p>
    <w:p w14:paraId="1A812B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14:paraId="210938F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4C031B4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520B8CBE">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（4）同一合同项下的不同供应商，单位负责人为同一人或者存在直接控股、管理关系的；为本项目提供过整体设计、规范编制或者项目管理、监理、检测等服务的。</w:t>
      </w:r>
    </w:p>
    <w:p w14:paraId="3B02AE7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资格审查的合格投标人不足3家的，不得评标。</w:t>
      </w:r>
    </w:p>
    <w:p w14:paraId="3291502B">
      <w:pPr>
        <w:pStyle w:val="6"/>
        <w:keepNext w:val="0"/>
        <w:keepLines w:val="0"/>
        <w:spacing w:line="360" w:lineRule="auto"/>
        <w:jc w:val="center"/>
        <w:rPr>
          <w:rFonts w:hint="eastAsia" w:ascii="Times New Roman" w:hAnsi="Times New Roman" w:eastAsia="宋体" w:cs="Times New Roman"/>
          <w:color w:val="auto"/>
          <w:highlight w:val="none"/>
        </w:rPr>
      </w:pPr>
      <w:bookmarkStart w:id="218" w:name="_Toc3548"/>
      <w:bookmarkStart w:id="219" w:name="_Toc29412"/>
      <w:bookmarkStart w:id="220" w:name="_Toc1454"/>
      <w:bookmarkStart w:id="221" w:name="_Toc20446"/>
      <w:bookmarkStart w:id="222" w:name="_Toc21152"/>
      <w:bookmarkStart w:id="223" w:name="_Toc15749"/>
      <w:bookmarkStart w:id="224" w:name="_Toc19035"/>
      <w:bookmarkStart w:id="225" w:name="_Toc11169"/>
      <w:bookmarkStart w:id="226" w:name="_Toc20983"/>
      <w:bookmarkStart w:id="227" w:name="_Toc2770"/>
      <w:r>
        <w:rPr>
          <w:rFonts w:hint="eastAsia" w:ascii="Times New Roman" w:hAnsi="Times New Roman" w:eastAsia="宋体" w:cs="Times New Roman"/>
          <w:color w:val="auto"/>
          <w:highlight w:val="none"/>
        </w:rPr>
        <w:t>六、评</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218"/>
      <w:bookmarkEnd w:id="219"/>
      <w:bookmarkEnd w:id="220"/>
      <w:bookmarkEnd w:id="221"/>
      <w:bookmarkEnd w:id="222"/>
      <w:bookmarkEnd w:id="223"/>
      <w:bookmarkEnd w:id="224"/>
      <w:bookmarkEnd w:id="225"/>
      <w:bookmarkEnd w:id="226"/>
      <w:bookmarkEnd w:id="227"/>
    </w:p>
    <w:p w14:paraId="2DCB7BFD">
      <w:pPr>
        <w:spacing w:line="360" w:lineRule="auto"/>
        <w:ind w:firstLine="480" w:firstLineChars="200"/>
        <w:rPr>
          <w:rFonts w:ascii="黑体" w:hAnsi="黑体" w:eastAsia="黑体" w:cs="Times New Roman"/>
          <w:color w:val="auto"/>
          <w:sz w:val="24"/>
          <w:highlight w:val="none"/>
        </w:rPr>
      </w:pPr>
      <w:bookmarkStart w:id="228" w:name="_26.组建评标委员会"/>
      <w:bookmarkEnd w:id="228"/>
      <w:r>
        <w:rPr>
          <w:rFonts w:hint="eastAsia" w:ascii="黑体" w:hAnsi="黑体" w:eastAsia="黑体" w:cs="Times New Roman"/>
          <w:color w:val="auto"/>
          <w:sz w:val="24"/>
          <w:highlight w:val="none"/>
        </w:rPr>
        <w:t>26.组建评标委员会</w:t>
      </w:r>
    </w:p>
    <w:p w14:paraId="5063993E">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评标委员会由采购人代表和评审专家组成，人数为</w:t>
      </w:r>
      <w:r>
        <w:rPr>
          <w:rFonts w:ascii="Times New Roman" w:hAnsi="宋体" w:eastAsia="宋体" w:cs="Times New Roman"/>
          <w:color w:val="auto"/>
          <w:highlight w:val="none"/>
        </w:rPr>
        <w:t>5</w:t>
      </w:r>
      <w:r>
        <w:rPr>
          <w:rFonts w:hint="eastAsia" w:ascii="Times New Roman" w:hAnsi="宋体" w:eastAsia="宋体" w:cs="Times New Roman"/>
          <w:color w:val="auto"/>
          <w:highlight w:val="none"/>
        </w:rPr>
        <w:t>人以上单数，其中评审专家不得少于成员总数的三分之二。</w:t>
      </w:r>
    </w:p>
    <w:p w14:paraId="1F40F6B5">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参加过采购项目前期咨询论证的专家，不得参加该采购项目的评审活动。</w:t>
      </w:r>
    </w:p>
    <w:p w14:paraId="11B92210">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27.评标的依据</w:t>
      </w:r>
    </w:p>
    <w:p w14:paraId="3E77B85E">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评标委员会以招标文件为依据对投标文件进行评审，</w:t>
      </w:r>
      <w:r>
        <w:rPr>
          <w:rFonts w:hint="eastAsia" w:ascii="Times New Roman" w:hAnsi="宋体" w:eastAsia="宋体" w:cs="宋体"/>
          <w:color w:val="auto"/>
          <w:highlight w:val="none"/>
        </w:rPr>
        <w:t>“第四章</w:t>
      </w:r>
      <w:r>
        <w:rPr>
          <w:rFonts w:ascii="Times New Roman" w:hAnsi="宋体" w:eastAsia="宋体" w:cs="宋体"/>
          <w:color w:val="auto"/>
          <w:highlight w:val="none"/>
        </w:rPr>
        <w:t xml:space="preserve"> </w:t>
      </w:r>
      <w:r>
        <w:rPr>
          <w:rFonts w:hint="eastAsia" w:ascii="Times New Roman" w:hAnsi="宋体" w:eastAsia="宋体" w:cs="宋体"/>
          <w:color w:val="auto"/>
          <w:highlight w:val="none"/>
        </w:rPr>
        <w:t>评标方法和评标标准”</w:t>
      </w:r>
      <w:r>
        <w:rPr>
          <w:rFonts w:hint="eastAsia" w:ascii="Times New Roman" w:hAnsi="宋体" w:eastAsia="宋体" w:cs="Times New Roman"/>
          <w:color w:val="auto"/>
          <w:highlight w:val="none"/>
        </w:rPr>
        <w:t>没有规定的方法、评审因素和标准，不作为评标依据。</w:t>
      </w:r>
    </w:p>
    <w:p w14:paraId="17BE80B5">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28.评标原则</w:t>
      </w:r>
    </w:p>
    <w:p w14:paraId="56EB3B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3DB3D1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2</w:t>
      </w:r>
      <w:r>
        <w:rPr>
          <w:rFonts w:hint="eastAsia" w:ascii="宋体" w:hAnsi="宋体" w:eastAsia="宋体" w:cs="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3F0C61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3</w:t>
      </w:r>
      <w:r>
        <w:rPr>
          <w:rFonts w:hint="eastAsia" w:ascii="宋体" w:hAnsi="宋体" w:eastAsia="宋体" w:cs="宋体"/>
          <w:color w:val="auto"/>
          <w:highlight w:val="none"/>
        </w:rPr>
        <w:t>评标过程的监控。本项目电子评标过程实行网上留痕、全程录音、录像监控，投标人在评标过程中所进行的试图影响评标结果的不公正活动，可能导致其投标</w:t>
      </w:r>
      <w:r>
        <w:rPr>
          <w:rFonts w:hint="eastAsia" w:ascii="宋体" w:hAnsi="宋体" w:eastAsia="宋体" w:cs="宋体"/>
          <w:color w:val="auto"/>
          <w:highlight w:val="none"/>
          <w:lang w:eastAsia="zh-CN"/>
        </w:rPr>
        <w:t>作</w:t>
      </w:r>
      <w:r>
        <w:rPr>
          <w:rFonts w:hint="eastAsia" w:ascii="宋体" w:hAnsi="宋体" w:eastAsia="宋体" w:cs="宋体"/>
          <w:color w:val="auto"/>
          <w:highlight w:val="none"/>
        </w:rPr>
        <w:t>无效处理。</w:t>
      </w:r>
    </w:p>
    <w:p w14:paraId="2B122E36">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4</w:t>
      </w:r>
      <w:r>
        <w:rPr>
          <w:rFonts w:hint="eastAsia" w:ascii="宋体" w:hAnsi="宋体" w:eastAsia="宋体" w:cs="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178951F">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29.评标方法</w:t>
      </w:r>
      <w:r>
        <w:rPr>
          <w:rFonts w:hint="eastAsia" w:ascii="黑体" w:hAnsi="黑体" w:eastAsia="黑体" w:cs="Times New Roman"/>
          <w:color w:val="auto"/>
          <w:sz w:val="24"/>
          <w:highlight w:val="none"/>
          <w:lang w:eastAsia="zh-CN"/>
        </w:rPr>
        <w:t>和</w:t>
      </w:r>
      <w:r>
        <w:rPr>
          <w:rFonts w:hint="eastAsia" w:ascii="黑体" w:hAnsi="黑体" w:eastAsia="黑体" w:cs="Times New Roman"/>
          <w:color w:val="auto"/>
          <w:sz w:val="24"/>
          <w:highlight w:val="none"/>
        </w:rPr>
        <w:t>评标标准</w:t>
      </w:r>
    </w:p>
    <w:p w14:paraId="09C26F1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4808AD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44B5832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6F40D18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B66303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6EDF2E9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503F98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1A9F1A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175323D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D42C678">
      <w:pPr>
        <w:pStyle w:val="14"/>
        <w:snapToGrid w:val="0"/>
        <w:spacing w:line="400" w:lineRule="exact"/>
        <w:ind w:firstLine="420" w:firstLineChars="200"/>
        <w:rPr>
          <w:rFonts w:hAnsi="宋体" w:eastAsia="宋体" w:cs="Times New Roman"/>
          <w:color w:val="auto"/>
          <w:highlight w:val="none"/>
        </w:rPr>
      </w:pPr>
    </w:p>
    <w:p w14:paraId="0D682A65">
      <w:pPr>
        <w:pStyle w:val="6"/>
        <w:keepNext w:val="0"/>
        <w:keepLines w:val="0"/>
        <w:spacing w:line="400" w:lineRule="exact"/>
        <w:jc w:val="center"/>
        <w:rPr>
          <w:rFonts w:hint="eastAsia" w:ascii="Times New Roman" w:hAnsi="Times New Roman" w:eastAsia="宋体" w:cs="Times New Roman"/>
          <w:color w:val="auto"/>
          <w:highlight w:val="none"/>
        </w:rPr>
      </w:pPr>
      <w:bookmarkStart w:id="229" w:name="_Toc254970687"/>
      <w:bookmarkStart w:id="230" w:name="_Toc254970546"/>
      <w:bookmarkStart w:id="231" w:name="_Toc4688"/>
      <w:bookmarkStart w:id="232" w:name="_Toc2302"/>
      <w:bookmarkStart w:id="233" w:name="_Toc14661"/>
      <w:bookmarkStart w:id="234" w:name="_Toc31226"/>
      <w:bookmarkStart w:id="235" w:name="_Toc32339"/>
      <w:bookmarkStart w:id="236" w:name="_Toc10427"/>
      <w:bookmarkStart w:id="237" w:name="_Toc24771"/>
      <w:bookmarkStart w:id="238" w:name="_Toc10518"/>
      <w:bookmarkStart w:id="239" w:name="_Toc15452"/>
      <w:bookmarkStart w:id="240" w:name="_Toc31698"/>
      <w:r>
        <w:rPr>
          <w:rFonts w:hint="eastAsia" w:ascii="Times New Roman" w:hAnsi="Times New Roman" w:eastAsia="宋体" w:cs="Times New Roman"/>
          <w:color w:val="auto"/>
          <w:highlight w:val="none"/>
        </w:rPr>
        <w:t>七、</w:t>
      </w:r>
      <w:bookmarkEnd w:id="229"/>
      <w:bookmarkEnd w:id="230"/>
      <w:r>
        <w:rPr>
          <w:rFonts w:hint="eastAsia" w:ascii="Times New Roman" w:hAnsi="Times New Roman" w:eastAsia="宋体" w:cs="Times New Roman"/>
          <w:color w:val="auto"/>
          <w:highlight w:val="none"/>
        </w:rPr>
        <w:t>中标和合同</w:t>
      </w:r>
      <w:bookmarkEnd w:id="231"/>
      <w:bookmarkEnd w:id="232"/>
      <w:bookmarkEnd w:id="233"/>
      <w:bookmarkEnd w:id="234"/>
      <w:bookmarkEnd w:id="235"/>
      <w:bookmarkEnd w:id="236"/>
      <w:bookmarkEnd w:id="237"/>
      <w:bookmarkEnd w:id="238"/>
      <w:bookmarkEnd w:id="239"/>
      <w:bookmarkEnd w:id="240"/>
    </w:p>
    <w:p w14:paraId="017A3BA2">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30.确定中标人</w:t>
      </w:r>
    </w:p>
    <w:p w14:paraId="4149376D">
      <w:pPr>
        <w:spacing w:line="360" w:lineRule="auto"/>
        <w:ind w:firstLine="420" w:firstLineChars="200"/>
        <w:rPr>
          <w:rFonts w:hint="eastAsia" w:ascii="宋体" w:hAnsi="宋体" w:eastAsia="宋体" w:cs="Courier New"/>
          <w:b/>
          <w:bCs/>
          <w:color w:val="auto"/>
          <w:szCs w:val="21"/>
          <w:highlight w:val="none"/>
        </w:rPr>
      </w:pPr>
      <w:r>
        <w:rPr>
          <w:rFonts w:hint="eastAsia" w:ascii="宋体" w:hAnsi="宋体" w:cs="宋体"/>
          <w:b w:val="0"/>
          <w:bCs w:val="0"/>
          <w:color w:val="auto"/>
          <w:szCs w:val="21"/>
        </w:rPr>
        <w:t>30.1</w:t>
      </w:r>
      <w:r>
        <w:rPr>
          <w:rFonts w:hint="eastAsia" w:ascii="宋体" w:hAnsi="宋体" w:eastAsia="宋体" w:cs="宋体"/>
          <w:color w:val="auto"/>
          <w:sz w:val="21"/>
        </w:rPr>
        <w:t>采购人在收到</w:t>
      </w:r>
      <w:r>
        <w:rPr>
          <w:rFonts w:hint="eastAsia" w:ascii="宋体" w:hAnsi="宋体" w:cs="宋体"/>
          <w:color w:val="auto"/>
          <w:sz w:val="21"/>
          <w:lang w:eastAsia="zh-CN"/>
        </w:rPr>
        <w:t>评标委员会出具的</w:t>
      </w:r>
      <w:r>
        <w:rPr>
          <w:rFonts w:hint="eastAsia" w:ascii="宋体" w:hAnsi="宋体" w:eastAsia="宋体" w:cs="宋体"/>
          <w:color w:val="auto"/>
          <w:sz w:val="21"/>
        </w:rPr>
        <w:t>评标报告之日起5个工作日内在评标报告推荐的中标候选人名单中按顺序确定中标人。采购人也可以事先授权评标委员会直接确定中标人。</w:t>
      </w:r>
      <w:r>
        <w:rPr>
          <w:rFonts w:ascii="宋体" w:hAnsi="宋体" w:eastAsia="宋体" w:cs="宋体"/>
          <w:color w:val="auto"/>
          <w:sz w:val="21"/>
        </w:rPr>
        <w:t>中标候选人并列的，由采购人或者采购人委托评标委员会按照</w:t>
      </w:r>
      <w:r>
        <w:rPr>
          <w:rFonts w:hint="eastAsia"/>
          <w:color w:val="auto"/>
          <w:lang w:eastAsia="zh-CN"/>
        </w:rPr>
        <w:t>“投标人须知前附表”</w:t>
      </w:r>
      <w:r>
        <w:rPr>
          <w:rFonts w:ascii="宋体" w:hAnsi="宋体" w:eastAsia="宋体" w:cs="宋体"/>
          <w:color w:val="auto"/>
          <w:sz w:val="21"/>
        </w:rPr>
        <w:t>规定的方式确定中标人；招标文件未规定的，采取随机抽取的方式确定。</w:t>
      </w:r>
      <w:r>
        <w:rPr>
          <w:rFonts w:hint="eastAsia" w:ascii="宋体" w:hAnsi="宋体" w:cs="宋体"/>
          <w:b/>
          <w:bCs/>
          <w:color w:val="auto"/>
          <w:szCs w:val="21"/>
          <w:lang w:val="en-US" w:eastAsia="zh-CN"/>
        </w:rPr>
        <w:t xml:space="preserve">   </w:t>
      </w:r>
    </w:p>
    <w:p w14:paraId="2FD08B0A">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25E2DC7">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30.3中标</w:t>
      </w:r>
      <w:r>
        <w:rPr>
          <w:rFonts w:hint="eastAsia" w:ascii="宋体" w:hAnsi="宋体" w:cs="Courier New"/>
          <w:color w:val="auto"/>
          <w:szCs w:val="21"/>
          <w:highlight w:val="none"/>
          <w:lang w:eastAsia="zh-CN"/>
        </w:rPr>
        <w:t>人</w:t>
      </w:r>
      <w:r>
        <w:rPr>
          <w:rFonts w:hint="eastAsia" w:ascii="宋体" w:hAnsi="宋体" w:eastAsia="宋体" w:cs="Courier New"/>
          <w:color w:val="auto"/>
          <w:szCs w:val="21"/>
          <w:highlight w:val="none"/>
        </w:rPr>
        <w:t>无正当理由拒签合同的，根据《中华人民共和国政府采购法》第七十七条第一款规定处理。</w:t>
      </w:r>
    </w:p>
    <w:p w14:paraId="53FA8862">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30.4根据《中华人民共和国民法典》</w:t>
      </w:r>
      <w:r>
        <w:rPr>
          <w:rFonts w:hint="eastAsia" w:ascii="Times New Roman" w:hAnsi="Times New Roman" w:eastAsia="宋体" w:cs="Times New Roman"/>
          <w:color w:val="auto"/>
          <w:sz w:val="19"/>
          <w:szCs w:val="19"/>
          <w:highlight w:val="none"/>
        </w:rPr>
        <w:t>第五百六十三条</w:t>
      </w:r>
      <w:r>
        <w:rPr>
          <w:rFonts w:hint="eastAsia" w:ascii="宋体" w:hAnsi="宋体" w:eastAsia="宋体" w:cs="Courier New"/>
          <w:color w:val="auto"/>
          <w:szCs w:val="21"/>
          <w:highlight w:val="none"/>
        </w:rPr>
        <w:t>，因不可抗力致使不能实现合同目的的，当事人可以解除合同。</w:t>
      </w:r>
    </w:p>
    <w:p w14:paraId="6D4F7D08">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31. 结果公告</w:t>
      </w:r>
    </w:p>
    <w:p w14:paraId="5FC5D0F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14:paraId="33F510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6581D7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14:paraId="4C3369C4">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32.发出中标通知书</w:t>
      </w:r>
    </w:p>
    <w:p w14:paraId="6570B48F">
      <w:pPr>
        <w:spacing w:line="360" w:lineRule="auto"/>
        <w:ind w:firstLine="422" w:firstLineChars="200"/>
        <w:rPr>
          <w:rFonts w:hint="eastAsia" w:ascii="宋体" w:hAnsi="宋体" w:eastAsia="宋体" w:cs="Times New Roman"/>
          <w:b/>
          <w:color w:val="auto"/>
          <w:szCs w:val="21"/>
          <w:highlight w:val="yellow"/>
        </w:rPr>
      </w:pPr>
      <w:r>
        <w:rPr>
          <w:rFonts w:hint="eastAsia" w:ascii="宋体" w:hAnsi="宋体" w:eastAsia="宋体" w:cs="Times New Roman"/>
          <w:b/>
          <w:color w:val="auto"/>
          <w:szCs w:val="21"/>
          <w:highlight w:val="none"/>
        </w:rPr>
        <w:t>32.1在发布中标公告的同时，采购代理机构向中标人通过</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发出电子中标通知书。</w:t>
      </w:r>
    </w:p>
    <w:p w14:paraId="146618F7">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32.2对未通过资格审查的投标人，采购人或采购</w:t>
      </w:r>
      <w:r>
        <w:rPr>
          <w:rFonts w:hint="eastAsia" w:ascii="宋体" w:hAnsi="宋体" w:cs="Times New Roman"/>
          <w:b/>
          <w:color w:val="auto"/>
          <w:szCs w:val="21"/>
          <w:highlight w:val="none"/>
          <w:lang w:eastAsia="zh-CN"/>
        </w:rPr>
        <w:t>代理</w:t>
      </w:r>
      <w:r>
        <w:rPr>
          <w:rFonts w:hint="eastAsia" w:ascii="宋体" w:hAnsi="宋体" w:eastAsia="宋体" w:cs="Times New Roman"/>
          <w:b/>
          <w:color w:val="auto"/>
          <w:szCs w:val="21"/>
          <w:highlight w:val="none"/>
        </w:rPr>
        <w:t>机构应当告知其未通过的原因；采用综合评分办法评审的，采购人或采购机构还应当告知未中标人本人的评审得分与排序。</w:t>
      </w:r>
    </w:p>
    <w:p w14:paraId="17C9ADD7">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33. 无义务解释未中标原因</w:t>
      </w:r>
    </w:p>
    <w:p w14:paraId="46F5BE0C">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采购代理机构无义务向未中标的投标人解释未中标原因和退还投标文件。</w:t>
      </w:r>
    </w:p>
    <w:p w14:paraId="0F6944BE">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34.合同授予标准</w:t>
      </w:r>
    </w:p>
    <w:p w14:paraId="2E8C2CB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14:paraId="0C960489">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35.履约保证金</w:t>
      </w:r>
    </w:p>
    <w:p w14:paraId="05DFCA35">
      <w:pPr>
        <w:pStyle w:val="7"/>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bookmarkStart w:id="241" w:name="_39.1中标人须于签订合同前按本须知前附表规定的金额转账或电汇到指定账"/>
      <w:bookmarkEnd w:id="241"/>
      <w:r>
        <w:rPr>
          <w:rFonts w:hint="eastAsia" w:ascii="宋体" w:hAnsi="宋体" w:eastAsia="宋体" w:cs="宋体"/>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宋体"/>
          <w:b w:val="0"/>
          <w:color w:val="auto"/>
          <w:sz w:val="21"/>
          <w:szCs w:val="21"/>
          <w:highlight w:val="none"/>
          <w:lang w:eastAsia="zh-CN"/>
        </w:rPr>
        <w:t>依法</w:t>
      </w:r>
      <w:r>
        <w:rPr>
          <w:rFonts w:hint="eastAsia" w:ascii="宋体" w:hAnsi="宋体" w:eastAsia="宋体" w:cs="宋体"/>
          <w:b w:val="0"/>
          <w:color w:val="auto"/>
          <w:sz w:val="21"/>
          <w:szCs w:val="21"/>
          <w:highlight w:val="none"/>
        </w:rPr>
        <w:t>确定下一候选人为中标人，也可以重新开展政府采购活动。</w:t>
      </w:r>
    </w:p>
    <w:p w14:paraId="5BF980A6">
      <w:pPr>
        <w:pStyle w:val="7"/>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75C1B043">
      <w:pPr>
        <w:pStyle w:val="7"/>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35.3在履约保证金退还日期前，若中标人的开户名称、开户银行、</w:t>
      </w:r>
      <w:r>
        <w:rPr>
          <w:rFonts w:hint="eastAsia" w:ascii="宋体" w:hAnsi="宋体" w:eastAsia="宋体" w:cs="宋体"/>
          <w:b w:val="0"/>
          <w:color w:val="auto"/>
          <w:sz w:val="21"/>
          <w:szCs w:val="21"/>
          <w:highlight w:val="none"/>
          <w:lang w:eastAsia="zh-CN"/>
        </w:rPr>
        <w:t>账</w:t>
      </w:r>
      <w:r>
        <w:rPr>
          <w:rFonts w:hint="eastAsia" w:ascii="宋体" w:hAnsi="宋体" w:eastAsia="宋体" w:cs="宋体"/>
          <w:b w:val="0"/>
          <w:color w:val="auto"/>
          <w:sz w:val="21"/>
          <w:szCs w:val="21"/>
          <w:highlight w:val="none"/>
        </w:rPr>
        <w:t>号有变动的，请以书面形式通知履约保证金收取单位，否则由此产生的后果由中标人自行承担。</w:t>
      </w:r>
    </w:p>
    <w:p w14:paraId="5F1FC15A">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36.签订合同</w:t>
      </w:r>
    </w:p>
    <w:p w14:paraId="11D2C506">
      <w:pPr>
        <w:spacing w:line="360" w:lineRule="auto"/>
        <w:ind w:firstLine="422" w:firstLineChars="200"/>
        <w:rPr>
          <w:rFonts w:hint="eastAsia"/>
          <w:b/>
          <w:bCs/>
          <w:i w:val="0"/>
          <w:iCs w:val="0"/>
          <w:color w:val="auto"/>
          <w:szCs w:val="21"/>
          <w:highlight w:val="none"/>
          <w:lang w:eastAsia="zh-CN"/>
        </w:rPr>
      </w:pPr>
      <w:bookmarkStart w:id="242" w:name="_40.1投标人接到中标通知书后，按须知前附表规定向采购人出示相关资格证"/>
      <w:bookmarkEnd w:id="242"/>
      <w:r>
        <w:rPr>
          <w:rFonts w:hint="eastAsia" w:ascii="宋体" w:hAnsi="宋体" w:cs="宋体"/>
          <w:b/>
          <w:color w:val="auto"/>
          <w:sz w:val="21"/>
          <w:szCs w:val="21"/>
          <w:highlight w:val="none"/>
        </w:rPr>
        <w:t>36.1中标人</w:t>
      </w:r>
      <w:r>
        <w:rPr>
          <w:rFonts w:hint="eastAsia" w:ascii="宋体" w:hAnsi="宋体" w:cs="宋体"/>
          <w:b/>
          <w:color w:val="auto"/>
          <w:sz w:val="21"/>
          <w:szCs w:val="21"/>
          <w:highlight w:val="none"/>
          <w:lang w:eastAsia="zh-CN"/>
        </w:rPr>
        <w:t>在</w:t>
      </w:r>
      <w:r>
        <w:rPr>
          <w:rFonts w:ascii="宋体" w:hAnsi="宋体" w:cs="宋体"/>
          <w:b/>
          <w:bCs/>
          <w:color w:val="auto"/>
          <w:kern w:val="0"/>
          <w:sz w:val="21"/>
          <w:szCs w:val="21"/>
          <w:highlight w:val="none"/>
        </w:rPr>
        <w:t>中标通知书发出之日起</w:t>
      </w:r>
      <w:r>
        <w:rPr>
          <w:rFonts w:hint="eastAsia" w:ascii="宋体" w:hAnsi="宋体" w:cs="宋体"/>
          <w:b/>
          <w:color w:val="auto"/>
          <w:sz w:val="21"/>
          <w:szCs w:val="21"/>
          <w:highlight w:val="none"/>
        </w:rPr>
        <w:t>，</w:t>
      </w:r>
      <w:r>
        <w:rPr>
          <w:rFonts w:hint="eastAsia" w:ascii="宋体" w:hAnsi="宋体" w:cs="宋体"/>
          <w:color w:val="auto"/>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r>
        <w:rPr>
          <w:rFonts w:hint="eastAsia" w:ascii="宋体" w:hAnsi="宋体" w:cs="宋体"/>
          <w:i w:val="0"/>
          <w:iCs w:val="0"/>
          <w:color w:val="auto"/>
          <w:kern w:val="0"/>
          <w:sz w:val="21"/>
          <w:szCs w:val="21"/>
          <w:highlight w:val="none"/>
          <w:lang w:val="zh-CN"/>
        </w:rPr>
        <w:t>。</w:t>
      </w:r>
      <w:r>
        <w:rPr>
          <w:rFonts w:hint="eastAsia"/>
          <w:b/>
          <w:bCs/>
          <w:i w:val="0"/>
          <w:iCs w:val="0"/>
          <w:color w:val="auto"/>
          <w:szCs w:val="21"/>
          <w:highlight w:val="none"/>
          <w:lang w:eastAsia="zh-CN"/>
        </w:rPr>
        <w:t>（适用于</w:t>
      </w:r>
      <w:r>
        <w:rPr>
          <w:rFonts w:hint="eastAsia"/>
          <w:b/>
          <w:bCs/>
          <w:i w:val="0"/>
          <w:iCs w:val="0"/>
          <w:color w:val="auto"/>
          <w:szCs w:val="21"/>
          <w:highlight w:val="none"/>
        </w:rPr>
        <w:t>签订</w:t>
      </w:r>
      <w:r>
        <w:rPr>
          <w:rFonts w:hint="eastAsia"/>
          <w:b/>
          <w:bCs/>
          <w:i w:val="0"/>
          <w:iCs w:val="0"/>
          <w:color w:val="auto"/>
          <w:szCs w:val="21"/>
          <w:highlight w:val="none"/>
          <w:lang w:eastAsia="zh-CN"/>
        </w:rPr>
        <w:t>电子</w:t>
      </w:r>
      <w:r>
        <w:rPr>
          <w:rFonts w:hint="eastAsia"/>
          <w:b/>
          <w:bCs/>
          <w:i w:val="0"/>
          <w:iCs w:val="0"/>
          <w:color w:val="auto"/>
          <w:szCs w:val="21"/>
          <w:highlight w:val="none"/>
        </w:rPr>
        <w:t>合同</w:t>
      </w:r>
      <w:r>
        <w:rPr>
          <w:rFonts w:hint="eastAsia"/>
          <w:b/>
          <w:bCs/>
          <w:i w:val="0"/>
          <w:iCs w:val="0"/>
          <w:color w:val="auto"/>
          <w:szCs w:val="21"/>
          <w:highlight w:val="none"/>
          <w:lang w:eastAsia="zh-CN"/>
        </w:rPr>
        <w:t>的情形）</w:t>
      </w:r>
    </w:p>
    <w:p w14:paraId="6B95AFE3">
      <w:pPr>
        <w:pStyle w:val="30"/>
        <w:snapToGrid w:val="0"/>
        <w:spacing w:before="0"/>
        <w:ind w:firstLine="420"/>
        <w:rPr>
          <w:rFonts w:hint="eastAsia"/>
          <w:b/>
          <w:bCs/>
          <w:i w:val="0"/>
          <w:iCs w:val="0"/>
          <w:color w:val="auto"/>
          <w:sz w:val="22"/>
          <w:szCs w:val="20"/>
          <w:highlight w:val="none"/>
          <w:lang w:eastAsia="zh-CN"/>
        </w:rPr>
      </w:pPr>
      <w:r>
        <w:rPr>
          <w:rFonts w:hint="eastAsia" w:ascii="宋体" w:hAnsi="宋体" w:cs="宋体"/>
          <w:i w:val="0"/>
          <w:iCs w:val="0"/>
          <w:color w:val="auto"/>
          <w:kern w:val="0"/>
          <w:sz w:val="21"/>
          <w:szCs w:val="21"/>
          <w:highlight w:val="none"/>
          <w:lang w:val="zh-CN"/>
        </w:rPr>
        <w:t>36.2</w:t>
      </w:r>
      <w:r>
        <w:rPr>
          <w:rFonts w:hint="eastAsia" w:ascii="宋体" w:hAnsi="宋体" w:cs="宋体"/>
          <w:i w:val="0"/>
          <w:iCs w:val="0"/>
          <w:color w:val="auto"/>
          <w:sz w:val="21"/>
          <w:szCs w:val="21"/>
          <w:highlight w:val="none"/>
        </w:rPr>
        <w:t>采购合同由采购人与中标</w:t>
      </w:r>
      <w:r>
        <w:rPr>
          <w:rFonts w:hint="eastAsia" w:ascii="宋体" w:hAnsi="宋体" w:cs="宋体"/>
          <w:i w:val="0"/>
          <w:iCs w:val="0"/>
          <w:color w:val="auto"/>
          <w:sz w:val="21"/>
          <w:szCs w:val="21"/>
          <w:highlight w:val="none"/>
          <w:lang w:eastAsia="zh-CN"/>
        </w:rPr>
        <w:t>人</w:t>
      </w:r>
      <w:r>
        <w:rPr>
          <w:rFonts w:hint="eastAsia" w:ascii="宋体" w:hAnsi="宋体" w:cs="宋体"/>
          <w:i w:val="0"/>
          <w:iCs w:val="0"/>
          <w:color w:val="auto"/>
          <w:sz w:val="21"/>
          <w:szCs w:val="21"/>
          <w:highlight w:val="none"/>
        </w:rPr>
        <w:t>根据招标文件、投标文件等内容通过政府采购电子交易平台在线签订，自动备案。</w:t>
      </w:r>
      <w:r>
        <w:rPr>
          <w:rFonts w:hint="eastAsia"/>
          <w:b/>
          <w:bCs/>
          <w:i w:val="0"/>
          <w:iCs w:val="0"/>
          <w:color w:val="auto"/>
          <w:sz w:val="22"/>
          <w:szCs w:val="20"/>
          <w:highlight w:val="none"/>
          <w:lang w:eastAsia="zh-CN"/>
        </w:rPr>
        <w:t>（适用于</w:t>
      </w:r>
      <w:r>
        <w:rPr>
          <w:rFonts w:hint="eastAsia"/>
          <w:b/>
          <w:bCs/>
          <w:i w:val="0"/>
          <w:iCs w:val="0"/>
          <w:color w:val="auto"/>
          <w:sz w:val="22"/>
          <w:szCs w:val="20"/>
          <w:highlight w:val="none"/>
        </w:rPr>
        <w:t>签订</w:t>
      </w:r>
      <w:r>
        <w:rPr>
          <w:rFonts w:hint="eastAsia"/>
          <w:b/>
          <w:bCs/>
          <w:i w:val="0"/>
          <w:iCs w:val="0"/>
          <w:color w:val="auto"/>
          <w:sz w:val="22"/>
          <w:szCs w:val="20"/>
          <w:highlight w:val="none"/>
          <w:lang w:eastAsia="zh-CN"/>
        </w:rPr>
        <w:t>电子</w:t>
      </w:r>
      <w:r>
        <w:rPr>
          <w:rFonts w:hint="eastAsia"/>
          <w:b/>
          <w:bCs/>
          <w:i w:val="0"/>
          <w:iCs w:val="0"/>
          <w:color w:val="auto"/>
          <w:sz w:val="22"/>
          <w:szCs w:val="20"/>
          <w:highlight w:val="none"/>
        </w:rPr>
        <w:t>合同</w:t>
      </w:r>
      <w:r>
        <w:rPr>
          <w:rFonts w:hint="eastAsia"/>
          <w:b/>
          <w:bCs/>
          <w:i w:val="0"/>
          <w:iCs w:val="0"/>
          <w:color w:val="auto"/>
          <w:sz w:val="22"/>
          <w:szCs w:val="20"/>
          <w:highlight w:val="none"/>
          <w:lang w:eastAsia="zh-CN"/>
        </w:rPr>
        <w:t>的情形）</w:t>
      </w:r>
    </w:p>
    <w:p w14:paraId="4B17853C">
      <w:pPr>
        <w:pStyle w:val="30"/>
        <w:snapToGrid w:val="0"/>
        <w:spacing w:before="0"/>
        <w:ind w:firstLine="420"/>
        <w:rPr>
          <w:rFonts w:hint="eastAsia" w:ascii="宋体" w:hAnsi="宋体" w:eastAsia="宋体" w:cs="仿宋_GB2312"/>
          <w:color w:val="auto"/>
          <w:sz w:val="21"/>
          <w:szCs w:val="21"/>
          <w:highlight w:val="none"/>
        </w:rPr>
      </w:pPr>
      <w:r>
        <w:rPr>
          <w:rFonts w:hint="eastAsia" w:ascii="宋体" w:hAnsi="宋体" w:eastAsia="宋体" w:cs="Times New Roman"/>
          <w:color w:val="auto"/>
          <w:sz w:val="21"/>
          <w:szCs w:val="21"/>
          <w:highlight w:val="none"/>
        </w:rPr>
        <w:t>36.3签订合同时间：按中标通知书规定的时间与采购人签订合同。</w:t>
      </w:r>
    </w:p>
    <w:p w14:paraId="4BFDBE4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36.4中标人拒绝与采购人签订合同的，采购人可以按照评审报告推荐的中标候选人名单排序，</w:t>
      </w:r>
      <w:r>
        <w:rPr>
          <w:rFonts w:hint="eastAsia" w:ascii="宋体" w:hAnsi="宋体" w:cs="Times New Roman"/>
          <w:color w:val="auto"/>
          <w:szCs w:val="21"/>
          <w:highlight w:val="none"/>
          <w:lang w:eastAsia="zh-CN"/>
        </w:rPr>
        <w:t>依法</w:t>
      </w:r>
      <w:r>
        <w:rPr>
          <w:rFonts w:hint="eastAsia" w:ascii="宋体" w:hAnsi="宋体" w:eastAsia="宋体" w:cs="Times New Roman"/>
          <w:color w:val="auto"/>
          <w:szCs w:val="21"/>
          <w:highlight w:val="none"/>
        </w:rPr>
        <w:t>确定下一候选人为中标人，也可以重新开展政府采购活动。如采购人无正当理由拒签合同的，给中标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造成损失的，中标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可追究采购人承担相应的法律责任。</w:t>
      </w:r>
    </w:p>
    <w:p w14:paraId="7AAD9A2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36.5政府采购合同是政府采购项目验收的依据，中标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3A1540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36.6采购人或中标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4E86049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36.7</w:t>
      </w:r>
      <w:r>
        <w:rPr>
          <w:rFonts w:hint="eastAsia" w:ascii="宋体" w:hAnsi="宋体" w:eastAsia="宋体" w:cs="仿宋_GB2312"/>
          <w:color w:val="auto"/>
          <w:szCs w:val="21"/>
          <w:highlight w:val="none"/>
        </w:rPr>
        <w:t>如签订合同并生效后，</w:t>
      </w:r>
      <w:r>
        <w:rPr>
          <w:rFonts w:hint="eastAsia" w:ascii="宋体" w:hAnsi="宋体" w:cs="仿宋_GB2312"/>
          <w:color w:val="auto"/>
          <w:szCs w:val="21"/>
          <w:highlight w:val="none"/>
          <w:lang w:eastAsia="zh-CN"/>
        </w:rPr>
        <w:t>中标人</w:t>
      </w:r>
      <w:r>
        <w:rPr>
          <w:rFonts w:hint="eastAsia" w:ascii="宋体" w:hAnsi="宋体" w:eastAsia="宋体" w:cs="仿宋_GB2312"/>
          <w:color w:val="auto"/>
          <w:szCs w:val="21"/>
          <w:highlight w:val="none"/>
        </w:rPr>
        <w:t>无故拒绝或延期，除按照合同条款处理外，将承担相应的法律责任。</w:t>
      </w:r>
    </w:p>
    <w:p w14:paraId="5758A307">
      <w:pPr>
        <w:spacing w:line="360" w:lineRule="auto"/>
        <w:ind w:firstLine="480" w:firstLineChars="200"/>
        <w:rPr>
          <w:rFonts w:hint="eastAsia" w:ascii="黑体" w:hAnsi="黑体" w:eastAsia="黑体" w:cs="Times New Roman"/>
          <w:color w:val="auto"/>
          <w:sz w:val="24"/>
          <w:highlight w:val="none"/>
        </w:rPr>
      </w:pPr>
      <w:bookmarkStart w:id="243" w:name="_41.政府采购合同公告"/>
      <w:bookmarkEnd w:id="243"/>
      <w:r>
        <w:rPr>
          <w:rFonts w:hint="eastAsia" w:ascii="黑体" w:hAnsi="黑体" w:eastAsia="黑体" w:cs="Times New Roman"/>
          <w:color w:val="auto"/>
          <w:sz w:val="24"/>
          <w:highlight w:val="none"/>
        </w:rPr>
        <w:t>37.政府采购合同公告</w:t>
      </w:r>
    </w:p>
    <w:p w14:paraId="20EA7E07">
      <w:pPr>
        <w:spacing w:line="360" w:lineRule="auto"/>
        <w:ind w:firstLine="420" w:firstLineChars="200"/>
        <w:rPr>
          <w:rFonts w:hint="eastAsia" w:ascii="宋体" w:hAnsi="宋体" w:eastAsia="宋体" w:cs="Times New Roman"/>
          <w:color w:val="auto"/>
          <w:highlight w:val="none"/>
        </w:rPr>
      </w:pPr>
      <w:r>
        <w:rPr>
          <w:rFonts w:hint="eastAsia" w:ascii="Times New Roman" w:hAnsi="宋体" w:eastAsia="宋体" w:cs="Times New Roman"/>
          <w:color w:val="auto"/>
          <w:highlight w:val="none"/>
        </w:rPr>
        <w:t>采购人应当自政府采购合同签订之日起</w:t>
      </w:r>
      <w:r>
        <w:rPr>
          <w:rFonts w:ascii="Times New Roman" w:hAnsi="宋体" w:eastAsia="宋体" w:cs="Times New Roman"/>
          <w:color w:val="auto"/>
          <w:highlight w:val="none"/>
        </w:rPr>
        <w:t>2</w:t>
      </w:r>
      <w:r>
        <w:rPr>
          <w:rFonts w:hint="eastAsia" w:ascii="Times New Roman" w:hAnsi="宋体" w:eastAsia="宋体" w:cs="Times New Roman"/>
          <w:color w:val="auto"/>
          <w:highlight w:val="none"/>
        </w:rPr>
        <w:t>个工作日内，将政府采购合同</w:t>
      </w:r>
      <w:r>
        <w:rPr>
          <w:rFonts w:hint="eastAsia" w:ascii="宋体" w:hAnsi="宋体" w:eastAsia="宋体" w:cs="Times New Roman"/>
          <w:bCs/>
          <w:color w:val="auto"/>
          <w:highlight w:val="none"/>
        </w:rPr>
        <w:t>在省级以上人民政府财政部门指定的媒体</w:t>
      </w:r>
      <w:r>
        <w:rPr>
          <w:rFonts w:hint="eastAsia" w:ascii="Times New Roman" w:hAnsi="宋体" w:eastAsia="宋体" w:cs="Times New Roman"/>
          <w:color w:val="auto"/>
          <w:highlight w:val="none"/>
        </w:rPr>
        <w:t>上公告，但政府采购合同中涉及国家秘密、商业秘密的内容除外。</w:t>
      </w:r>
    </w:p>
    <w:p w14:paraId="246B40A0">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38. 询问、质疑和投诉</w:t>
      </w:r>
    </w:p>
    <w:p w14:paraId="77E4F287">
      <w:pPr>
        <w:spacing w:line="360" w:lineRule="auto"/>
        <w:ind w:firstLine="422" w:firstLineChars="200"/>
        <w:rPr>
          <w:rFonts w:hint="eastAsia" w:ascii="Times New Roman" w:hAnsi="宋体" w:eastAsia="宋体" w:cs="Times New Roman"/>
          <w:b/>
          <w:color w:val="auto"/>
          <w:szCs w:val="21"/>
          <w:highlight w:val="none"/>
        </w:rPr>
      </w:pPr>
      <w:r>
        <w:rPr>
          <w:rFonts w:ascii="Times New Roman" w:hAnsi="宋体" w:eastAsia="宋体" w:cs="Times New Roman"/>
          <w:b/>
          <w:color w:val="auto"/>
          <w:szCs w:val="21"/>
          <w:highlight w:val="none"/>
        </w:rPr>
        <w:t>38.1</w:t>
      </w:r>
      <w:r>
        <w:rPr>
          <w:rFonts w:hint="eastAsia" w:ascii="Times New Roman" w:hAnsi="宋体" w:eastAsia="宋体" w:cs="Times New Roman"/>
          <w:b/>
          <w:color w:val="auto"/>
          <w:szCs w:val="21"/>
          <w:highlight w:val="none"/>
        </w:rPr>
        <w:t>询问</w:t>
      </w:r>
    </w:p>
    <w:p w14:paraId="26C4152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1DE0179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0F68522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14:paraId="7F837402">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72089EC7">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38.2.1</w:t>
      </w:r>
      <w:r>
        <w:rPr>
          <w:rFonts w:hint="eastAsia" w:ascii="宋体" w:hAnsi="宋体" w:eastAsia="宋体" w:cs="Times New Roman"/>
          <w:b/>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宋体" w:hAnsi="宋体" w:cs="Times New Roman"/>
          <w:b/>
          <w:color w:val="auto"/>
          <w:szCs w:val="21"/>
          <w:highlight w:val="none"/>
          <w:lang w:eastAsia="zh-CN"/>
        </w:rPr>
        <w:t>或</w:t>
      </w:r>
      <w:r>
        <w:rPr>
          <w:rFonts w:hint="eastAsia" w:ascii="宋体" w:hAnsi="宋体" w:eastAsia="宋体" w:cs="Times New Roman"/>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3228C30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4F9F361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30A90CD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545271F6">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0035ED02">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1AA623F1">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0F98F73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14:paraId="0BF8D62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17B90D5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7813341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103DDEB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14:paraId="706E492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14:paraId="2FCD7E6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14:paraId="7F4AC14D">
      <w:pPr>
        <w:spacing w:line="360" w:lineRule="auto"/>
        <w:ind w:firstLine="422" w:firstLineChars="200"/>
        <w:rPr>
          <w:rFonts w:ascii="宋体" w:hAnsi="宋体" w:eastAsia="宋体" w:cs="Times New Roman"/>
          <w:b/>
          <w:bCs/>
          <w:color w:val="auto"/>
          <w:szCs w:val="21"/>
          <w:highlight w:val="none"/>
        </w:rPr>
      </w:pPr>
      <w:bookmarkStart w:id="244" w:name="_9.2质疑、投诉应当采用书面形式，质疑函、投诉书均应明确阐述招标文件、"/>
      <w:bookmarkEnd w:id="244"/>
      <w:r>
        <w:rPr>
          <w:rFonts w:hint="eastAsia" w:ascii="宋体" w:hAnsi="宋体" w:eastAsia="宋体" w:cs="Times New Roman"/>
          <w:b/>
          <w:bCs/>
          <w:color w:val="auto"/>
          <w:szCs w:val="21"/>
          <w:highlight w:val="none"/>
        </w:rPr>
        <w:t xml:space="preserve"> 38.2.5 </w:t>
      </w:r>
      <w:r>
        <w:rPr>
          <w:rFonts w:hint="eastAsia" w:ascii="Times New Roman" w:hAnsi="宋体" w:eastAsia="宋体" w:cs="Times New Roman"/>
          <w:b/>
          <w:bCs/>
          <w:color w:val="auto"/>
          <w:highlight w:val="none"/>
        </w:rPr>
        <w:t>供应商提出质疑应当提交质疑函和必要的证明材料，针对同一采购程序环节的质疑必须在法定质疑期内一次性提出。质疑函应当包括下列内容（质疑函格式后附）：</w:t>
      </w:r>
    </w:p>
    <w:p w14:paraId="72E338E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1D84688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65D36C7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4F74E03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0E4C029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211BB6F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31DCF678">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供应商为自然人的，应当由本人签字；供应商为法人或者其他组织的，应当由法定代表人、主要负责人，或者其委托代理人签字或者盖章，并加盖公章。</w:t>
      </w:r>
    </w:p>
    <w:p w14:paraId="6D5AD1A9">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rPr>
        <w:t>。</w:t>
      </w:r>
    </w:p>
    <w:p w14:paraId="5CC8E150">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410A8147">
      <w:pPr>
        <w:spacing w:line="360" w:lineRule="auto"/>
        <w:ind w:firstLine="420" w:firstLineChars="200"/>
        <w:rPr>
          <w:rFonts w:hint="eastAsia" w:ascii="Times New Roman" w:hAnsi="宋体" w:eastAsia="宋体" w:cs="Times New Roman"/>
          <w:bCs/>
          <w:color w:val="auto"/>
          <w:highlight w:val="none"/>
        </w:rPr>
      </w:pPr>
      <w:r>
        <w:rPr>
          <w:rFonts w:hint="eastAsia" w:ascii="Times New Roman" w:hAnsi="宋体" w:eastAsia="宋体" w:cs="Times New Roman"/>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0F51238B">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6A5873C9">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质疑答复导致中标结果改变的，采购人或者采购代理机构应当将有关情况书面报告本级财政部门。</w:t>
      </w:r>
    </w:p>
    <w:p w14:paraId="1EA53EBD">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38.3</w:t>
      </w:r>
      <w:r>
        <w:rPr>
          <w:rFonts w:hint="eastAsia" w:ascii="Times New Roman" w:hAnsi="宋体" w:eastAsia="宋体" w:cs="Times New Roman"/>
          <w:b/>
          <w:color w:val="auto"/>
          <w:highlight w:val="none"/>
        </w:rPr>
        <w:t>投诉</w:t>
      </w:r>
    </w:p>
    <w:p w14:paraId="5EACB195">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14:paraId="22BDAA5D">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2B832D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14:paraId="2F497D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0409985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155C71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584AAE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30D6AA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02AE90D1">
      <w:pPr>
        <w:spacing w:line="360" w:lineRule="auto"/>
        <w:ind w:firstLine="420" w:firstLineChars="200"/>
        <w:rPr>
          <w:rFonts w:hint="eastAsia" w:ascii="宋体" w:hAnsi="宋体" w:cs="宋体"/>
          <w:b w:val="0"/>
          <w:bCs/>
          <w:color w:val="auto"/>
        </w:rPr>
      </w:pPr>
      <w:r>
        <w:rPr>
          <w:rFonts w:hint="eastAsia" w:ascii="宋体" w:hAnsi="宋体" w:cs="宋体"/>
          <w:b w:val="0"/>
          <w:bCs/>
          <w:color w:val="auto"/>
        </w:rPr>
        <w:t>投诉人为自然人的，应当由本人签字；投诉人为法人或者其他组织的，应当由法定代表人、主要负责人，或者其授权代表签字或者盖章，并加盖公章。</w:t>
      </w:r>
    </w:p>
    <w:p w14:paraId="5B2E5D71">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577037CE">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44B65C1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5C79071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6CD71B8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34A3093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2D2113D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14:paraId="7729C5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14:paraId="1B8E8911">
      <w:pPr>
        <w:snapToGrid w:val="0"/>
        <w:spacing w:line="360" w:lineRule="auto"/>
        <w:ind w:left="120" w:leftChars="57" w:firstLine="482" w:firstLineChars="150"/>
        <w:jc w:val="center"/>
        <w:outlineLvl w:val="2"/>
        <w:rPr>
          <w:rFonts w:hint="eastAsia" w:ascii="Times New Roman" w:hAnsi="Times New Roman" w:eastAsia="宋体" w:cs="Times New Roman"/>
          <w:b/>
          <w:bCs/>
          <w:color w:val="auto"/>
          <w:sz w:val="32"/>
          <w:szCs w:val="32"/>
          <w:highlight w:val="none"/>
        </w:rPr>
      </w:pPr>
      <w:bookmarkStart w:id="245" w:name="_Toc8731"/>
      <w:bookmarkStart w:id="246" w:name="_Toc13659"/>
      <w:bookmarkStart w:id="247" w:name="_Toc29288"/>
      <w:bookmarkStart w:id="248" w:name="_Toc23239"/>
      <w:bookmarkStart w:id="249" w:name="_Toc7828"/>
      <w:bookmarkStart w:id="250" w:name="_Toc26583"/>
      <w:bookmarkStart w:id="251" w:name="_Toc1756"/>
      <w:bookmarkStart w:id="252" w:name="_Toc14937"/>
      <w:bookmarkStart w:id="253" w:name="_Toc25946"/>
      <w:bookmarkStart w:id="254" w:name="_Toc27653"/>
      <w:r>
        <w:rPr>
          <w:rFonts w:hint="eastAsia" w:ascii="Times New Roman" w:hAnsi="Times New Roman" w:eastAsia="宋体" w:cs="Times New Roman"/>
          <w:b/>
          <w:bCs/>
          <w:color w:val="auto"/>
          <w:sz w:val="32"/>
          <w:szCs w:val="32"/>
          <w:highlight w:val="none"/>
        </w:rPr>
        <w:t>八、验收</w:t>
      </w:r>
      <w:bookmarkEnd w:id="245"/>
      <w:bookmarkEnd w:id="246"/>
      <w:bookmarkEnd w:id="247"/>
      <w:bookmarkEnd w:id="248"/>
      <w:bookmarkEnd w:id="249"/>
      <w:bookmarkEnd w:id="250"/>
      <w:bookmarkEnd w:id="251"/>
      <w:bookmarkEnd w:id="252"/>
      <w:bookmarkEnd w:id="253"/>
      <w:bookmarkEnd w:id="254"/>
    </w:p>
    <w:p w14:paraId="7AA3C17A">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39.</w:t>
      </w:r>
      <w:r>
        <w:rPr>
          <w:rFonts w:hint="eastAsia" w:ascii="Times New Roman" w:hAnsi="宋体" w:eastAsia="宋体" w:cs="Times New Roman"/>
          <w:b/>
          <w:color w:val="auto"/>
          <w:highlight w:val="none"/>
        </w:rPr>
        <w:t>验收</w:t>
      </w:r>
    </w:p>
    <w:p w14:paraId="44EE4022">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14:paraId="58EC8EB7">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7F258FBC">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14:paraId="2460E2CE">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14:paraId="69FD1E30">
      <w:pPr>
        <w:pStyle w:val="14"/>
        <w:snapToGrid w:val="0"/>
        <w:spacing w:line="400" w:lineRule="exact"/>
        <w:rPr>
          <w:rFonts w:hAnsi="宋体" w:eastAsia="宋体" w:cs="Times New Roman"/>
          <w:color w:val="auto"/>
          <w:highlight w:val="none"/>
        </w:rPr>
      </w:pPr>
    </w:p>
    <w:p w14:paraId="4BAC9834">
      <w:pPr>
        <w:pStyle w:val="6"/>
        <w:keepNext w:val="0"/>
        <w:keepLines w:val="0"/>
        <w:spacing w:line="360" w:lineRule="auto"/>
        <w:jc w:val="center"/>
        <w:rPr>
          <w:rFonts w:hint="eastAsia" w:ascii="Times New Roman" w:hAnsi="Times New Roman" w:eastAsia="宋体" w:cs="Times New Roman"/>
          <w:color w:val="auto"/>
          <w:highlight w:val="none"/>
        </w:rPr>
      </w:pPr>
      <w:bookmarkStart w:id="255" w:name="_八、其他事项"/>
      <w:bookmarkEnd w:id="255"/>
      <w:bookmarkStart w:id="256" w:name="_Toc28972"/>
      <w:bookmarkStart w:id="257" w:name="_Toc32163"/>
      <w:bookmarkStart w:id="258" w:name="_Toc13217"/>
      <w:bookmarkStart w:id="259" w:name="_Toc14814"/>
      <w:bookmarkStart w:id="260" w:name="_Toc27249"/>
      <w:bookmarkStart w:id="261" w:name="_Toc5795"/>
      <w:bookmarkStart w:id="262" w:name="_Toc31560"/>
      <w:bookmarkStart w:id="263" w:name="_Toc13612"/>
      <w:bookmarkStart w:id="264" w:name="_Toc24348"/>
      <w:bookmarkStart w:id="265" w:name="_Toc16509"/>
      <w:r>
        <w:rPr>
          <w:rFonts w:hint="eastAsia" w:ascii="Times New Roman" w:hAnsi="Times New Roman" w:eastAsia="宋体" w:cs="Times New Roman"/>
          <w:color w:val="auto"/>
          <w:highlight w:val="none"/>
        </w:rPr>
        <w:t>九、其他事项</w:t>
      </w:r>
      <w:bookmarkEnd w:id="256"/>
      <w:bookmarkEnd w:id="257"/>
      <w:bookmarkEnd w:id="258"/>
      <w:bookmarkEnd w:id="259"/>
      <w:bookmarkEnd w:id="260"/>
      <w:bookmarkEnd w:id="261"/>
      <w:bookmarkEnd w:id="262"/>
      <w:bookmarkEnd w:id="263"/>
      <w:bookmarkEnd w:id="264"/>
      <w:bookmarkEnd w:id="265"/>
    </w:p>
    <w:p w14:paraId="20593611">
      <w:pPr>
        <w:spacing w:line="360" w:lineRule="auto"/>
        <w:ind w:firstLine="480" w:firstLineChars="200"/>
        <w:rPr>
          <w:rFonts w:ascii="黑体" w:hAnsi="黑体" w:eastAsia="黑体" w:cs="Times New Roman"/>
          <w:color w:val="auto"/>
          <w:sz w:val="24"/>
          <w:highlight w:val="none"/>
        </w:rPr>
      </w:pPr>
      <w:bookmarkStart w:id="266" w:name="_42.代理服务费"/>
      <w:bookmarkEnd w:id="266"/>
      <w:r>
        <w:rPr>
          <w:rFonts w:hint="eastAsia" w:ascii="黑体" w:hAnsi="黑体" w:eastAsia="黑体" w:cs="Times New Roman"/>
          <w:color w:val="auto"/>
          <w:sz w:val="24"/>
          <w:highlight w:val="none"/>
        </w:rPr>
        <w:t>40.</w:t>
      </w:r>
      <w:r>
        <w:rPr>
          <w:rFonts w:hint="eastAsia" w:ascii="黑体" w:hAnsi="黑体" w:eastAsia="黑体" w:cs="Times New Roman"/>
          <w:color w:val="auto"/>
          <w:sz w:val="24"/>
          <w:highlight w:val="none"/>
          <w:lang w:eastAsia="zh-CN"/>
        </w:rPr>
        <w:t>采购</w:t>
      </w:r>
      <w:r>
        <w:rPr>
          <w:rFonts w:hint="eastAsia" w:ascii="黑体" w:hAnsi="黑体" w:eastAsia="黑体" w:cs="Times New Roman"/>
          <w:color w:val="auto"/>
          <w:sz w:val="24"/>
          <w:highlight w:val="none"/>
        </w:rPr>
        <w:t>代理服务费</w:t>
      </w:r>
    </w:p>
    <w:p w14:paraId="005B2E86">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cs="Times New Roman"/>
          <w:b w:val="0"/>
          <w:bCs/>
          <w:color w:val="auto"/>
          <w:szCs w:val="21"/>
          <w:highlight w:val="none"/>
          <w:lang w:val="en-US" w:eastAsia="zh-CN"/>
        </w:rPr>
        <w:t>40.1</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w:t>
      </w:r>
      <w:r>
        <w:rPr>
          <w:rFonts w:hint="eastAsia" w:ascii="宋体" w:hAnsi="宋体" w:cs="Times New Roman"/>
          <w:b w:val="0"/>
          <w:bCs/>
          <w:color w:val="auto"/>
          <w:szCs w:val="21"/>
          <w:highlight w:val="none"/>
          <w:lang w:eastAsia="zh-CN"/>
        </w:rPr>
        <w:t>费</w:t>
      </w:r>
      <w:r>
        <w:rPr>
          <w:rFonts w:hint="eastAsia" w:ascii="宋体" w:hAnsi="宋体" w:eastAsia="宋体" w:cs="Times New Roman"/>
          <w:b w:val="0"/>
          <w:bCs/>
          <w:color w:val="auto"/>
          <w:szCs w:val="21"/>
          <w:highlight w:val="none"/>
        </w:rPr>
        <w:t>收费标准及缴费账户详见“投标人须知前附表”，投标人为联合体的，可以由联合体中的一方或者多方共同</w:t>
      </w:r>
      <w:r>
        <w:rPr>
          <w:rFonts w:hint="eastAsia" w:ascii="宋体" w:hAnsi="宋体" w:cs="Times New Roman"/>
          <w:b w:val="0"/>
          <w:bCs/>
          <w:color w:val="auto"/>
          <w:szCs w:val="21"/>
          <w:highlight w:val="none"/>
          <w:lang w:eastAsia="zh-CN"/>
        </w:rPr>
        <w:t>缴</w:t>
      </w:r>
      <w:r>
        <w:rPr>
          <w:rFonts w:hint="eastAsia" w:ascii="宋体" w:hAnsi="宋体" w:eastAsia="宋体" w:cs="Times New Roman"/>
          <w:b w:val="0"/>
          <w:bCs/>
          <w:color w:val="auto"/>
          <w:szCs w:val="21"/>
          <w:highlight w:val="none"/>
        </w:rPr>
        <w:t>纳</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代理服务费。</w:t>
      </w:r>
    </w:p>
    <w:p w14:paraId="434F69E3">
      <w:pPr>
        <w:pStyle w:val="7"/>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eastAsia="zh-CN"/>
        </w:rPr>
        <w:t>40.2</w:t>
      </w:r>
      <w:r>
        <w:rPr>
          <w:rFonts w:hint="eastAsia" w:ascii="宋体" w:hAnsi="宋体" w:eastAsia="宋体" w:cs="宋体"/>
          <w:b w:val="0"/>
          <w:color w:val="auto"/>
          <w:sz w:val="21"/>
          <w:szCs w:val="21"/>
          <w:lang w:eastAsia="zh-CN"/>
        </w:rPr>
        <w:t>采购</w:t>
      </w:r>
      <w:r>
        <w:rPr>
          <w:rFonts w:hint="eastAsia" w:ascii="宋体" w:hAnsi="宋体" w:eastAsia="宋体" w:cs="宋体"/>
          <w:b w:val="0"/>
          <w:color w:val="auto"/>
          <w:sz w:val="21"/>
          <w:szCs w:val="21"/>
        </w:rPr>
        <w:t>代理服务</w:t>
      </w:r>
      <w:r>
        <w:rPr>
          <w:rFonts w:hint="eastAsia" w:ascii="宋体" w:hAnsi="宋体" w:eastAsia="宋体" w:cs="宋体"/>
          <w:b w:val="0"/>
          <w:color w:val="auto"/>
          <w:sz w:val="21"/>
          <w:szCs w:val="21"/>
          <w:lang w:eastAsia="zh-CN"/>
        </w:rPr>
        <w:t>费</w:t>
      </w:r>
      <w:r>
        <w:rPr>
          <w:rFonts w:hint="eastAsia" w:ascii="宋体" w:hAnsi="宋体" w:eastAsia="宋体" w:cs="宋体"/>
          <w:b w:val="0"/>
          <w:color w:val="auto"/>
          <w:sz w:val="21"/>
          <w:szCs w:val="21"/>
        </w:rPr>
        <w:t>收费标准：</w:t>
      </w:r>
    </w:p>
    <w:tbl>
      <w:tblPr>
        <w:tblStyle w:val="21"/>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F18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1FE4E705">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费率</w:t>
            </w:r>
          </w:p>
          <w:p w14:paraId="6CA81E2D">
            <w:pPr>
              <w:spacing w:line="360" w:lineRule="auto"/>
              <w:rPr>
                <w:rFonts w:hint="eastAsia" w:ascii="宋体" w:hAnsi="宋体" w:eastAsia="宋体" w:cs="宋体"/>
                <w:color w:val="auto"/>
                <w:szCs w:val="21"/>
              </w:rPr>
            </w:pPr>
            <w:r>
              <w:rPr>
                <w:rFonts w:hint="eastAsia" w:ascii="宋体" w:hAnsi="宋体" w:eastAsia="宋体" w:cs="宋体"/>
                <w:color w:val="auto"/>
                <w:szCs w:val="21"/>
              </w:rPr>
              <w:t>中标金额</w:t>
            </w:r>
          </w:p>
        </w:tc>
        <w:tc>
          <w:tcPr>
            <w:tcW w:w="1659" w:type="dxa"/>
            <w:noWrap w:val="0"/>
            <w:vAlign w:val="center"/>
          </w:tcPr>
          <w:p w14:paraId="6F6E061B">
            <w:pPr>
              <w:spacing w:line="360" w:lineRule="auto"/>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货物招标</w:t>
            </w:r>
          </w:p>
        </w:tc>
        <w:tc>
          <w:tcPr>
            <w:tcW w:w="1687" w:type="dxa"/>
            <w:noWrap w:val="0"/>
            <w:vAlign w:val="center"/>
          </w:tcPr>
          <w:p w14:paraId="386FAB8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服务招标</w:t>
            </w:r>
          </w:p>
        </w:tc>
        <w:tc>
          <w:tcPr>
            <w:tcW w:w="1659" w:type="dxa"/>
            <w:noWrap w:val="0"/>
            <w:vAlign w:val="center"/>
          </w:tcPr>
          <w:p w14:paraId="02C485C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工程招标</w:t>
            </w:r>
          </w:p>
        </w:tc>
      </w:tr>
      <w:tr w14:paraId="50B0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9D62FBA">
            <w:pPr>
              <w:spacing w:line="360" w:lineRule="auto"/>
              <w:rPr>
                <w:rFonts w:hint="eastAsia" w:ascii="宋体" w:hAnsi="宋体" w:eastAsia="宋体" w:cs="宋体"/>
                <w:color w:val="auto"/>
                <w:szCs w:val="21"/>
              </w:rPr>
            </w:pPr>
            <w:r>
              <w:rPr>
                <w:rFonts w:hint="eastAsia" w:ascii="宋体" w:hAnsi="宋体" w:eastAsia="宋体" w:cs="宋体"/>
                <w:color w:val="auto"/>
                <w:szCs w:val="21"/>
              </w:rPr>
              <w:t>100万元以下</w:t>
            </w:r>
          </w:p>
        </w:tc>
        <w:tc>
          <w:tcPr>
            <w:tcW w:w="1659" w:type="dxa"/>
            <w:noWrap w:val="0"/>
            <w:vAlign w:val="top"/>
          </w:tcPr>
          <w:p w14:paraId="6E174AB9">
            <w:pPr>
              <w:spacing w:line="360" w:lineRule="auto"/>
              <w:rPr>
                <w:rFonts w:hint="eastAsia" w:ascii="宋体" w:hAnsi="宋体" w:eastAsia="宋体" w:cs="宋体"/>
                <w:color w:val="auto"/>
                <w:szCs w:val="21"/>
              </w:rPr>
            </w:pPr>
            <w:r>
              <w:rPr>
                <w:rFonts w:hint="eastAsia" w:ascii="宋体" w:hAnsi="宋体" w:eastAsia="宋体" w:cs="宋体"/>
                <w:color w:val="auto"/>
                <w:kern w:val="0"/>
                <w:szCs w:val="21"/>
              </w:rPr>
              <w:t xml:space="preserve">  1.5%                </w:t>
            </w:r>
          </w:p>
        </w:tc>
        <w:tc>
          <w:tcPr>
            <w:tcW w:w="1687" w:type="dxa"/>
            <w:noWrap w:val="0"/>
            <w:vAlign w:val="top"/>
          </w:tcPr>
          <w:p w14:paraId="5C43DD86">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1.5%</w:t>
            </w:r>
          </w:p>
        </w:tc>
        <w:tc>
          <w:tcPr>
            <w:tcW w:w="1659" w:type="dxa"/>
            <w:noWrap w:val="0"/>
            <w:vAlign w:val="top"/>
          </w:tcPr>
          <w:p w14:paraId="4CCFE127">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1.0% </w:t>
            </w:r>
          </w:p>
        </w:tc>
      </w:tr>
      <w:tr w14:paraId="074A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882468">
            <w:pPr>
              <w:spacing w:line="360" w:lineRule="auto"/>
              <w:rPr>
                <w:rFonts w:hint="eastAsia" w:ascii="宋体" w:hAnsi="宋体" w:eastAsia="宋体" w:cs="宋体"/>
                <w:color w:val="auto"/>
                <w:szCs w:val="21"/>
              </w:rPr>
            </w:pPr>
            <w:r>
              <w:rPr>
                <w:rFonts w:hint="eastAsia" w:ascii="宋体" w:hAnsi="宋体" w:cs="宋体"/>
                <w:color w:val="auto"/>
                <w:szCs w:val="21"/>
                <w:lang w:eastAsia="zh-CN"/>
              </w:rPr>
              <w:t>100万～500万</w:t>
            </w:r>
            <w:r>
              <w:rPr>
                <w:rFonts w:hint="eastAsia" w:ascii="宋体" w:hAnsi="宋体" w:eastAsia="宋体" w:cs="宋体"/>
                <w:color w:val="auto"/>
                <w:szCs w:val="21"/>
              </w:rPr>
              <w:t>元</w:t>
            </w:r>
          </w:p>
        </w:tc>
        <w:tc>
          <w:tcPr>
            <w:tcW w:w="1659" w:type="dxa"/>
            <w:noWrap w:val="0"/>
            <w:vAlign w:val="top"/>
          </w:tcPr>
          <w:p w14:paraId="729D4E22">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1.1%                 </w:t>
            </w:r>
          </w:p>
        </w:tc>
        <w:tc>
          <w:tcPr>
            <w:tcW w:w="1687" w:type="dxa"/>
            <w:noWrap w:val="0"/>
            <w:vAlign w:val="top"/>
          </w:tcPr>
          <w:p w14:paraId="61BBC1D0">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0.8%</w:t>
            </w:r>
          </w:p>
        </w:tc>
        <w:tc>
          <w:tcPr>
            <w:tcW w:w="1659" w:type="dxa"/>
            <w:noWrap w:val="0"/>
            <w:vAlign w:val="top"/>
          </w:tcPr>
          <w:p w14:paraId="4FD67475">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0.7% </w:t>
            </w:r>
          </w:p>
        </w:tc>
      </w:tr>
      <w:tr w14:paraId="5D7D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E71BAD5">
            <w:pPr>
              <w:spacing w:line="360" w:lineRule="auto"/>
              <w:rPr>
                <w:rFonts w:hint="eastAsia" w:ascii="宋体" w:hAnsi="宋体" w:eastAsia="宋体" w:cs="宋体"/>
                <w:color w:val="auto"/>
                <w:szCs w:val="21"/>
              </w:rPr>
            </w:pPr>
            <w:r>
              <w:rPr>
                <w:rFonts w:hint="eastAsia" w:ascii="宋体" w:hAnsi="宋体" w:cs="宋体"/>
                <w:color w:val="auto"/>
                <w:szCs w:val="21"/>
                <w:lang w:eastAsia="zh-CN"/>
              </w:rPr>
              <w:t>500万～1000万</w:t>
            </w:r>
            <w:r>
              <w:rPr>
                <w:rFonts w:hint="eastAsia" w:ascii="宋体" w:hAnsi="宋体" w:eastAsia="宋体" w:cs="宋体"/>
                <w:color w:val="auto"/>
                <w:szCs w:val="21"/>
              </w:rPr>
              <w:t>元</w:t>
            </w:r>
          </w:p>
        </w:tc>
        <w:tc>
          <w:tcPr>
            <w:tcW w:w="1659" w:type="dxa"/>
            <w:noWrap w:val="0"/>
            <w:vAlign w:val="top"/>
          </w:tcPr>
          <w:p w14:paraId="3640842D">
            <w:pPr>
              <w:spacing w:line="360" w:lineRule="auto"/>
              <w:rPr>
                <w:rFonts w:hint="eastAsia" w:ascii="宋体" w:hAnsi="宋体" w:eastAsia="宋体" w:cs="宋体"/>
                <w:color w:val="auto"/>
                <w:szCs w:val="21"/>
              </w:rPr>
            </w:pPr>
            <w:r>
              <w:rPr>
                <w:rFonts w:hint="eastAsia" w:ascii="宋体" w:hAnsi="宋体" w:eastAsia="宋体" w:cs="宋体"/>
                <w:color w:val="auto"/>
                <w:kern w:val="0"/>
                <w:szCs w:val="21"/>
              </w:rPr>
              <w:t xml:space="preserve">  0.8%                </w:t>
            </w:r>
          </w:p>
        </w:tc>
        <w:tc>
          <w:tcPr>
            <w:tcW w:w="1687" w:type="dxa"/>
            <w:noWrap w:val="0"/>
            <w:vAlign w:val="top"/>
          </w:tcPr>
          <w:p w14:paraId="66A6855E">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0.45%</w:t>
            </w:r>
          </w:p>
        </w:tc>
        <w:tc>
          <w:tcPr>
            <w:tcW w:w="1659" w:type="dxa"/>
            <w:noWrap w:val="0"/>
            <w:vAlign w:val="top"/>
          </w:tcPr>
          <w:p w14:paraId="1169EF27">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0.55%</w:t>
            </w:r>
          </w:p>
        </w:tc>
      </w:tr>
      <w:tr w14:paraId="5066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E4E0EE8">
            <w:pPr>
              <w:spacing w:line="360" w:lineRule="auto"/>
              <w:rPr>
                <w:rFonts w:hint="eastAsia" w:ascii="宋体" w:hAnsi="宋体" w:eastAsia="宋体" w:cs="宋体"/>
                <w:color w:val="auto"/>
                <w:szCs w:val="21"/>
              </w:rPr>
            </w:pPr>
            <w:r>
              <w:rPr>
                <w:rFonts w:hint="eastAsia" w:ascii="宋体" w:hAnsi="宋体" w:cs="宋体"/>
                <w:color w:val="auto"/>
                <w:szCs w:val="21"/>
                <w:lang w:eastAsia="zh-CN"/>
              </w:rPr>
              <w:t>1000万～5000万</w:t>
            </w:r>
            <w:r>
              <w:rPr>
                <w:rFonts w:hint="eastAsia" w:ascii="宋体" w:hAnsi="宋体" w:eastAsia="宋体" w:cs="宋体"/>
                <w:color w:val="auto"/>
                <w:szCs w:val="21"/>
              </w:rPr>
              <w:t>元</w:t>
            </w:r>
          </w:p>
        </w:tc>
        <w:tc>
          <w:tcPr>
            <w:tcW w:w="1659" w:type="dxa"/>
            <w:noWrap w:val="0"/>
            <w:vAlign w:val="top"/>
          </w:tcPr>
          <w:p w14:paraId="43952CC8">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0.5%                </w:t>
            </w:r>
          </w:p>
        </w:tc>
        <w:tc>
          <w:tcPr>
            <w:tcW w:w="1687" w:type="dxa"/>
            <w:noWrap w:val="0"/>
            <w:vAlign w:val="top"/>
          </w:tcPr>
          <w:p w14:paraId="2D13979F">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0.25%</w:t>
            </w:r>
          </w:p>
        </w:tc>
        <w:tc>
          <w:tcPr>
            <w:tcW w:w="1659" w:type="dxa"/>
            <w:noWrap w:val="0"/>
            <w:vAlign w:val="top"/>
          </w:tcPr>
          <w:p w14:paraId="1C30951A">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0.35% </w:t>
            </w:r>
          </w:p>
        </w:tc>
      </w:tr>
      <w:tr w14:paraId="2D9F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B40322D">
            <w:pPr>
              <w:spacing w:line="360" w:lineRule="auto"/>
              <w:rPr>
                <w:rFonts w:hint="eastAsia" w:ascii="宋体" w:hAnsi="宋体" w:eastAsia="宋体" w:cs="宋体"/>
                <w:color w:val="auto"/>
                <w:szCs w:val="21"/>
              </w:rPr>
            </w:pPr>
            <w:r>
              <w:rPr>
                <w:rFonts w:hint="eastAsia" w:ascii="宋体" w:hAnsi="宋体" w:eastAsia="宋体" w:cs="宋体"/>
                <w:color w:val="auto"/>
                <w:szCs w:val="21"/>
              </w:rPr>
              <w:t>5000万元～1亿元</w:t>
            </w:r>
          </w:p>
        </w:tc>
        <w:tc>
          <w:tcPr>
            <w:tcW w:w="1659" w:type="dxa"/>
            <w:noWrap w:val="0"/>
            <w:vAlign w:val="top"/>
          </w:tcPr>
          <w:p w14:paraId="34D77927">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0.25%                 </w:t>
            </w:r>
          </w:p>
        </w:tc>
        <w:tc>
          <w:tcPr>
            <w:tcW w:w="1687" w:type="dxa"/>
            <w:noWrap w:val="0"/>
            <w:vAlign w:val="top"/>
          </w:tcPr>
          <w:p w14:paraId="213CBACD">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0.1%</w:t>
            </w:r>
          </w:p>
        </w:tc>
        <w:tc>
          <w:tcPr>
            <w:tcW w:w="1659" w:type="dxa"/>
            <w:noWrap w:val="0"/>
            <w:vAlign w:val="top"/>
          </w:tcPr>
          <w:p w14:paraId="016FD721">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0.2%</w:t>
            </w:r>
          </w:p>
        </w:tc>
      </w:tr>
      <w:tr w14:paraId="066D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CDADD45">
            <w:pPr>
              <w:spacing w:line="360" w:lineRule="auto"/>
              <w:rPr>
                <w:rFonts w:hint="eastAsia" w:ascii="宋体" w:hAnsi="宋体" w:eastAsia="宋体" w:cs="宋体"/>
                <w:color w:val="auto"/>
                <w:szCs w:val="21"/>
              </w:rPr>
            </w:pPr>
            <w:r>
              <w:rPr>
                <w:rFonts w:hint="eastAsia" w:ascii="宋体" w:hAnsi="宋体" w:cs="宋体"/>
                <w:color w:val="auto"/>
                <w:szCs w:val="21"/>
                <w:lang w:eastAsia="zh-CN"/>
              </w:rPr>
              <w:t>1亿～5亿</w:t>
            </w:r>
            <w:r>
              <w:rPr>
                <w:rFonts w:hint="eastAsia" w:ascii="宋体" w:hAnsi="宋体" w:eastAsia="宋体" w:cs="宋体"/>
                <w:color w:val="auto"/>
                <w:szCs w:val="21"/>
              </w:rPr>
              <w:t>元</w:t>
            </w:r>
          </w:p>
        </w:tc>
        <w:tc>
          <w:tcPr>
            <w:tcW w:w="1659" w:type="dxa"/>
            <w:noWrap w:val="0"/>
            <w:vAlign w:val="top"/>
          </w:tcPr>
          <w:p w14:paraId="6105CC81">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szCs w:val="21"/>
              </w:rPr>
              <w:t>0.05%</w:t>
            </w:r>
          </w:p>
        </w:tc>
        <w:tc>
          <w:tcPr>
            <w:tcW w:w="1687" w:type="dxa"/>
            <w:noWrap w:val="0"/>
            <w:vAlign w:val="top"/>
          </w:tcPr>
          <w:p w14:paraId="22FADB1B">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0.05%</w:t>
            </w:r>
          </w:p>
        </w:tc>
        <w:tc>
          <w:tcPr>
            <w:tcW w:w="1659" w:type="dxa"/>
            <w:noWrap w:val="0"/>
            <w:vAlign w:val="top"/>
          </w:tcPr>
          <w:p w14:paraId="3A9AF4B4">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0.05%</w:t>
            </w:r>
          </w:p>
        </w:tc>
      </w:tr>
      <w:tr w14:paraId="13A9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5AC1E2B">
            <w:pPr>
              <w:spacing w:line="360" w:lineRule="auto"/>
              <w:rPr>
                <w:rFonts w:hint="eastAsia" w:ascii="宋体" w:hAnsi="宋体" w:eastAsia="宋体" w:cs="宋体"/>
                <w:color w:val="auto"/>
                <w:szCs w:val="21"/>
              </w:rPr>
            </w:pPr>
            <w:r>
              <w:rPr>
                <w:rFonts w:hint="eastAsia" w:ascii="宋体" w:hAnsi="宋体" w:cs="宋体"/>
                <w:color w:val="auto"/>
                <w:szCs w:val="21"/>
                <w:lang w:eastAsia="zh-CN"/>
              </w:rPr>
              <w:t>5亿～10亿</w:t>
            </w:r>
            <w:r>
              <w:rPr>
                <w:rFonts w:hint="eastAsia" w:ascii="宋体" w:hAnsi="宋体" w:eastAsia="宋体" w:cs="宋体"/>
                <w:color w:val="auto"/>
                <w:szCs w:val="21"/>
              </w:rPr>
              <w:t>元</w:t>
            </w:r>
          </w:p>
        </w:tc>
        <w:tc>
          <w:tcPr>
            <w:tcW w:w="1659" w:type="dxa"/>
            <w:noWrap w:val="0"/>
            <w:vAlign w:val="top"/>
          </w:tcPr>
          <w:p w14:paraId="0B083593">
            <w:pPr>
              <w:spacing w:line="36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0.035%</w:t>
            </w:r>
          </w:p>
        </w:tc>
        <w:tc>
          <w:tcPr>
            <w:tcW w:w="1687" w:type="dxa"/>
            <w:noWrap w:val="0"/>
            <w:vAlign w:val="top"/>
          </w:tcPr>
          <w:p w14:paraId="03A76D78">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0.035%</w:t>
            </w:r>
          </w:p>
        </w:tc>
        <w:tc>
          <w:tcPr>
            <w:tcW w:w="1659" w:type="dxa"/>
            <w:noWrap w:val="0"/>
            <w:vAlign w:val="top"/>
          </w:tcPr>
          <w:p w14:paraId="1529D1A3">
            <w:pPr>
              <w:spacing w:line="36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0.035%</w:t>
            </w:r>
          </w:p>
        </w:tc>
      </w:tr>
      <w:tr w14:paraId="206F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800E2B3">
            <w:pPr>
              <w:spacing w:line="360" w:lineRule="auto"/>
              <w:rPr>
                <w:rFonts w:hint="eastAsia" w:ascii="宋体" w:hAnsi="宋体" w:eastAsia="宋体" w:cs="宋体"/>
                <w:color w:val="auto"/>
                <w:szCs w:val="21"/>
              </w:rPr>
            </w:pPr>
            <w:r>
              <w:rPr>
                <w:rFonts w:hint="eastAsia" w:ascii="宋体" w:hAnsi="宋体" w:cs="宋体"/>
                <w:color w:val="auto"/>
                <w:szCs w:val="21"/>
                <w:lang w:eastAsia="zh-CN"/>
              </w:rPr>
              <w:t>10亿～50亿</w:t>
            </w:r>
            <w:r>
              <w:rPr>
                <w:rFonts w:hint="eastAsia" w:ascii="宋体" w:hAnsi="宋体" w:eastAsia="宋体" w:cs="宋体"/>
                <w:color w:val="auto"/>
                <w:szCs w:val="21"/>
              </w:rPr>
              <w:t>元</w:t>
            </w:r>
          </w:p>
        </w:tc>
        <w:tc>
          <w:tcPr>
            <w:tcW w:w="1659" w:type="dxa"/>
            <w:noWrap w:val="0"/>
            <w:vAlign w:val="top"/>
          </w:tcPr>
          <w:p w14:paraId="7D06D038">
            <w:pPr>
              <w:spacing w:line="36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0.008%</w:t>
            </w:r>
          </w:p>
        </w:tc>
        <w:tc>
          <w:tcPr>
            <w:tcW w:w="1687" w:type="dxa"/>
            <w:noWrap w:val="0"/>
            <w:vAlign w:val="top"/>
          </w:tcPr>
          <w:p w14:paraId="46042C90">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szCs w:val="21"/>
              </w:rPr>
              <w:t>0.008%</w:t>
            </w:r>
          </w:p>
        </w:tc>
        <w:tc>
          <w:tcPr>
            <w:tcW w:w="1659" w:type="dxa"/>
            <w:noWrap w:val="0"/>
            <w:vAlign w:val="top"/>
          </w:tcPr>
          <w:p w14:paraId="72DE74C5">
            <w:pPr>
              <w:spacing w:line="36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0.008%</w:t>
            </w:r>
          </w:p>
        </w:tc>
      </w:tr>
      <w:tr w14:paraId="5AEE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9BE4895">
            <w:pPr>
              <w:spacing w:line="360" w:lineRule="auto"/>
              <w:rPr>
                <w:rFonts w:hint="eastAsia" w:ascii="宋体" w:hAnsi="宋体" w:eastAsia="宋体" w:cs="宋体"/>
                <w:color w:val="auto"/>
                <w:szCs w:val="21"/>
              </w:rPr>
            </w:pPr>
            <w:r>
              <w:rPr>
                <w:rFonts w:hint="eastAsia" w:ascii="宋体" w:hAnsi="宋体" w:cs="宋体"/>
                <w:color w:val="auto"/>
                <w:szCs w:val="21"/>
                <w:lang w:eastAsia="zh-CN"/>
              </w:rPr>
              <w:t>50亿～100亿</w:t>
            </w:r>
            <w:r>
              <w:rPr>
                <w:rFonts w:hint="eastAsia" w:ascii="宋体" w:hAnsi="宋体" w:eastAsia="宋体" w:cs="宋体"/>
                <w:color w:val="auto"/>
                <w:szCs w:val="21"/>
              </w:rPr>
              <w:t>元</w:t>
            </w:r>
          </w:p>
        </w:tc>
        <w:tc>
          <w:tcPr>
            <w:tcW w:w="1659" w:type="dxa"/>
            <w:noWrap w:val="0"/>
            <w:vAlign w:val="top"/>
          </w:tcPr>
          <w:p w14:paraId="32B29460">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0.006%</w:t>
            </w:r>
          </w:p>
        </w:tc>
        <w:tc>
          <w:tcPr>
            <w:tcW w:w="1687" w:type="dxa"/>
            <w:noWrap w:val="0"/>
            <w:vAlign w:val="top"/>
          </w:tcPr>
          <w:p w14:paraId="18122B2B">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szCs w:val="21"/>
              </w:rPr>
              <w:t>0.006%</w:t>
            </w:r>
          </w:p>
        </w:tc>
        <w:tc>
          <w:tcPr>
            <w:tcW w:w="1659" w:type="dxa"/>
            <w:noWrap w:val="0"/>
            <w:vAlign w:val="top"/>
          </w:tcPr>
          <w:p w14:paraId="7A850374">
            <w:pPr>
              <w:spacing w:line="36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0.006%</w:t>
            </w:r>
          </w:p>
        </w:tc>
      </w:tr>
      <w:tr w14:paraId="1FA1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203E4AB">
            <w:pPr>
              <w:spacing w:line="360" w:lineRule="auto"/>
              <w:rPr>
                <w:rFonts w:hint="eastAsia" w:ascii="宋体" w:hAnsi="宋体" w:eastAsia="宋体" w:cs="宋体"/>
                <w:color w:val="auto"/>
                <w:szCs w:val="21"/>
              </w:rPr>
            </w:pPr>
            <w:r>
              <w:rPr>
                <w:rFonts w:hint="eastAsia" w:ascii="宋体" w:hAnsi="宋体" w:eastAsia="宋体" w:cs="宋体"/>
                <w:color w:val="auto"/>
                <w:szCs w:val="21"/>
              </w:rPr>
              <w:t>100亿</w:t>
            </w:r>
            <w:r>
              <w:rPr>
                <w:rFonts w:hint="eastAsia" w:ascii="宋体" w:hAnsi="宋体" w:cs="宋体"/>
                <w:color w:val="auto"/>
                <w:szCs w:val="21"/>
                <w:lang w:val="en-US" w:eastAsia="zh-CN"/>
              </w:rPr>
              <w:t>元</w:t>
            </w:r>
            <w:r>
              <w:rPr>
                <w:rFonts w:hint="eastAsia" w:ascii="宋体" w:hAnsi="宋体" w:eastAsia="宋体" w:cs="宋体"/>
                <w:color w:val="auto"/>
                <w:szCs w:val="21"/>
              </w:rPr>
              <w:t>以上</w:t>
            </w:r>
          </w:p>
        </w:tc>
        <w:tc>
          <w:tcPr>
            <w:tcW w:w="1659" w:type="dxa"/>
            <w:noWrap w:val="0"/>
            <w:vAlign w:val="top"/>
          </w:tcPr>
          <w:p w14:paraId="695E995A">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0.004%</w:t>
            </w:r>
          </w:p>
        </w:tc>
        <w:tc>
          <w:tcPr>
            <w:tcW w:w="1687" w:type="dxa"/>
            <w:noWrap w:val="0"/>
            <w:vAlign w:val="top"/>
          </w:tcPr>
          <w:p w14:paraId="2E44CFD8">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szCs w:val="21"/>
              </w:rPr>
              <w:t>0.004%</w:t>
            </w:r>
          </w:p>
        </w:tc>
        <w:tc>
          <w:tcPr>
            <w:tcW w:w="1659" w:type="dxa"/>
            <w:noWrap w:val="0"/>
            <w:vAlign w:val="top"/>
          </w:tcPr>
          <w:p w14:paraId="61C9197C">
            <w:pPr>
              <w:spacing w:line="36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0.004%</w:t>
            </w:r>
          </w:p>
        </w:tc>
      </w:tr>
    </w:tbl>
    <w:p w14:paraId="315749E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注: </w:t>
      </w:r>
    </w:p>
    <w:p w14:paraId="101ED81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（1）按本表费率计算的收费为采购代理的收费基准价格；</w:t>
      </w:r>
    </w:p>
    <w:p w14:paraId="6C44C19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（2）采购代理收费按差额定率累进法计算。</w:t>
      </w:r>
    </w:p>
    <w:p w14:paraId="7C8A201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例如：某服务采购代理业务中标金额或者暂定价为200万元，计算采购代理收费额如下：</w:t>
      </w:r>
    </w:p>
    <w:p w14:paraId="7E4A977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100 万元×l.5 ％＝ 1.5 万元</w:t>
      </w:r>
    </w:p>
    <w:p w14:paraId="4F9466F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200 － 100 ）万元 ×0.8％＝0.8万元</w:t>
      </w:r>
    </w:p>
    <w:p w14:paraId="28C59DE3">
      <w:pPr>
        <w:pStyle w:val="14"/>
        <w:snapToGrid w:val="0"/>
        <w:spacing w:before="120" w:after="120" w:line="360" w:lineRule="auto"/>
        <w:ind w:firstLine="420" w:firstLineChars="200"/>
        <w:rPr>
          <w:rFonts w:hint="eastAsia" w:hAnsi="宋体" w:eastAsia="宋体" w:cs="宋体"/>
          <w:color w:val="auto"/>
          <w:sz w:val="21"/>
        </w:rPr>
      </w:pPr>
      <w:r>
        <w:rPr>
          <w:rFonts w:hint="eastAsia" w:hAnsi="宋体" w:eastAsia="宋体" w:cs="宋体"/>
          <w:color w:val="auto"/>
          <w:sz w:val="21"/>
        </w:rPr>
        <w:t>合计收费＝ 1.5+0.8＝ 2.3（万元）</w:t>
      </w:r>
    </w:p>
    <w:p w14:paraId="4ECA875A">
      <w:pPr>
        <w:pStyle w:val="16"/>
        <w:rPr>
          <w:rFonts w:hint="eastAsia"/>
          <w:color w:val="auto"/>
        </w:rPr>
      </w:pPr>
    </w:p>
    <w:p w14:paraId="7335A68F">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41. 需要补充的其他内容</w:t>
      </w:r>
    </w:p>
    <w:p w14:paraId="5772EB5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5B9D35B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106DF92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14:paraId="7E17A40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11CF47E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2D433AE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2B4F4BA7">
      <w:pPr>
        <w:spacing w:line="580" w:lineRule="exact"/>
        <w:jc w:val="center"/>
        <w:rPr>
          <w:rFonts w:hint="eastAsia" w:ascii="宋体" w:hAnsi="宋体" w:eastAsia="宋体" w:cs="宋体"/>
          <w:color w:val="auto"/>
          <w:sz w:val="44"/>
          <w:szCs w:val="44"/>
        </w:rPr>
      </w:pPr>
    </w:p>
    <w:p w14:paraId="75FA0469">
      <w:pPr>
        <w:spacing w:line="58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w:t>广西线上“政采贷”政策告知函</w:t>
      </w:r>
    </w:p>
    <w:p w14:paraId="4815A119">
      <w:pPr>
        <w:spacing w:line="580" w:lineRule="exact"/>
        <w:ind w:firstLine="420" w:firstLineChars="200"/>
        <w:rPr>
          <w:rFonts w:hint="eastAsia" w:ascii="宋体" w:hAnsi="宋体" w:cs="宋体"/>
          <w:color w:val="auto"/>
          <w:szCs w:val="32"/>
        </w:rPr>
      </w:pPr>
    </w:p>
    <w:p w14:paraId="3AB736D1">
      <w:pPr>
        <w:spacing w:line="580" w:lineRule="exact"/>
        <w:rPr>
          <w:rFonts w:hint="eastAsia" w:ascii="宋体" w:hAnsi="宋体" w:cs="宋体"/>
          <w:color w:val="auto"/>
          <w:szCs w:val="21"/>
        </w:rPr>
      </w:pPr>
      <w:r>
        <w:rPr>
          <w:rFonts w:hint="eastAsia" w:ascii="宋体" w:hAnsi="宋体" w:cs="宋体"/>
          <w:color w:val="auto"/>
          <w:szCs w:val="21"/>
        </w:rPr>
        <w:t>各供应商：</w:t>
      </w:r>
    </w:p>
    <w:p w14:paraId="4E2E3645">
      <w:pPr>
        <w:spacing w:line="580" w:lineRule="exact"/>
        <w:ind w:firstLine="420" w:firstLineChars="200"/>
        <w:rPr>
          <w:rFonts w:hint="eastAsia" w:ascii="宋体" w:hAnsi="宋体" w:cs="宋体"/>
          <w:color w:val="auto"/>
          <w:szCs w:val="21"/>
        </w:rPr>
      </w:pPr>
      <w:r>
        <w:rPr>
          <w:rFonts w:hint="eastAsia" w:ascii="宋体" w:hAnsi="宋体" w:cs="宋体"/>
          <w:color w:val="auto"/>
          <w:szCs w:val="21"/>
        </w:rPr>
        <w:t>欢迎贵公司参与广西政府采购活动！</w:t>
      </w:r>
    </w:p>
    <w:p w14:paraId="7B5CA0C7">
      <w:pPr>
        <w:spacing w:line="580" w:lineRule="exact"/>
        <w:ind w:firstLine="420" w:firstLineChars="200"/>
        <w:rPr>
          <w:rFonts w:hint="eastAsia" w:ascii="宋体" w:hAnsi="宋体" w:cs="宋体"/>
          <w:color w:val="auto"/>
          <w:szCs w:val="21"/>
        </w:rPr>
      </w:pPr>
      <w:r>
        <w:rPr>
          <w:rFonts w:hint="eastAsia" w:ascii="宋体" w:hAnsi="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lang w:val="en-US" w:eastAsia="zh-CN" w:bidi="ar-SA"/>
        </w:rPr>
        <w:t>银行业金融机构</w:t>
      </w:r>
      <w:r>
        <w:rPr>
          <w:rFonts w:hint="eastAsia" w:ascii="宋体" w:hAnsi="宋体" w:cs="宋体"/>
          <w:color w:val="auto"/>
          <w:szCs w:val="21"/>
        </w:rPr>
        <w:t>申请贷款，融资机构将根据《中国人民银行南宁中心支行 广西壮族自治区财政厅关于推广线上“政采贷”融资模式的通知》（南宁银发〔2021〕</w:t>
      </w:r>
      <w:r>
        <w:rPr>
          <w:rFonts w:hint="eastAsia" w:ascii="宋体" w:hAnsi="宋体" w:cs="宋体"/>
          <w:color w:val="auto"/>
          <w:szCs w:val="21"/>
          <w:lang w:val="en-US" w:eastAsia="zh-CN"/>
        </w:rPr>
        <w:t>258</w:t>
      </w:r>
      <w:r>
        <w:rPr>
          <w:rFonts w:hint="eastAsia" w:ascii="宋体" w:hAnsi="宋体" w:cs="宋体"/>
          <w:color w:val="auto"/>
          <w:szCs w:val="21"/>
        </w:rPr>
        <w:t>号），按照双方自愿的原则提供便捷、优惠的贷款服务。</w:t>
      </w:r>
    </w:p>
    <w:p w14:paraId="76E6F44F">
      <w:pPr>
        <w:spacing w:line="580" w:lineRule="exact"/>
        <w:ind w:firstLine="420" w:firstLineChars="200"/>
        <w:rPr>
          <w:rFonts w:hint="eastAsia" w:ascii="宋体" w:hAnsi="宋体" w:cs="宋体"/>
          <w:color w:val="auto"/>
          <w:szCs w:val="21"/>
        </w:rPr>
      </w:pPr>
      <w:r>
        <w:rPr>
          <w:rFonts w:hint="eastAsia" w:ascii="宋体" w:hAnsi="宋体" w:cs="宋体"/>
          <w:color w:val="auto"/>
          <w:szCs w:val="21"/>
        </w:rPr>
        <w:t>相关金融产品和</w:t>
      </w:r>
      <w:r>
        <w:rPr>
          <w:rFonts w:hint="eastAsia" w:ascii="宋体" w:hAnsi="宋体" w:eastAsia="宋体" w:cs="宋体"/>
          <w:color w:val="auto"/>
          <w:kern w:val="2"/>
          <w:sz w:val="21"/>
          <w:szCs w:val="21"/>
          <w:lang w:val="en-US" w:eastAsia="zh-CN" w:bidi="ar-SA"/>
        </w:rPr>
        <w:t>银行业金融机构</w:t>
      </w:r>
      <w:r>
        <w:rPr>
          <w:rFonts w:hint="eastAsia" w:ascii="宋体" w:hAnsi="宋体" w:cs="宋体"/>
          <w:color w:val="auto"/>
          <w:szCs w:val="21"/>
        </w:rPr>
        <w:t>联系方式，可在中征应收账款融资服务平台查询</w:t>
      </w:r>
      <w:r>
        <w:rPr>
          <w:rFonts w:hint="eastAsia" w:ascii="宋体" w:hAnsi="宋体" w:cs="宋体"/>
          <w:color w:val="auto"/>
          <w:szCs w:val="21"/>
          <w:lang w:eastAsia="zh-CN"/>
        </w:rPr>
        <w:t>（网址：</w:t>
      </w:r>
      <w:r>
        <w:rPr>
          <w:rFonts w:hint="eastAsia" w:ascii="宋体" w:hAnsi="宋体" w:cs="宋体"/>
          <w:color w:val="auto"/>
          <w:szCs w:val="21"/>
          <w:lang w:eastAsia="zh-CN"/>
        </w:rPr>
        <w:fldChar w:fldCharType="begin"/>
      </w:r>
      <w:r>
        <w:rPr>
          <w:rFonts w:hint="eastAsia" w:ascii="宋体" w:hAnsi="宋体" w:cs="宋体"/>
          <w:color w:val="auto"/>
          <w:szCs w:val="21"/>
          <w:lang w:eastAsia="zh-CN"/>
        </w:rPr>
        <w:instrText xml:space="preserve"> HYPERLINK "https://www.crcrfsp.com/" </w:instrText>
      </w:r>
      <w:r>
        <w:rPr>
          <w:rFonts w:hint="eastAsia" w:ascii="宋体" w:hAnsi="宋体" w:cs="宋体"/>
          <w:color w:val="auto"/>
          <w:szCs w:val="21"/>
          <w:lang w:eastAsia="zh-CN"/>
        </w:rPr>
        <w:fldChar w:fldCharType="separate"/>
      </w:r>
      <w:r>
        <w:rPr>
          <w:rStyle w:val="26"/>
          <w:rFonts w:hint="eastAsia" w:ascii="宋体" w:hAnsi="宋体" w:eastAsia="宋体" w:cs="宋体"/>
          <w:color w:val="auto"/>
          <w:szCs w:val="21"/>
          <w:lang w:eastAsia="zh-CN"/>
        </w:rPr>
        <w:t>https://www.crcrfsp.com/</w:t>
      </w:r>
      <w:r>
        <w:rPr>
          <w:rFonts w:hint="eastAsia" w:ascii="宋体" w:hAnsi="宋体" w:cs="宋体"/>
          <w:color w:val="auto"/>
          <w:szCs w:val="21"/>
          <w:lang w:eastAsia="zh-CN"/>
        </w:rPr>
        <w:fldChar w:fldCharType="end"/>
      </w:r>
      <w:r>
        <w:rPr>
          <w:rFonts w:hint="eastAsia" w:ascii="宋体" w:hAnsi="宋体" w:cs="宋体"/>
          <w:color w:val="auto"/>
          <w:szCs w:val="21"/>
          <w:lang w:eastAsia="zh-CN"/>
        </w:rPr>
        <w:t>，客服电话：</w:t>
      </w:r>
      <w:r>
        <w:rPr>
          <w:rFonts w:hint="eastAsia" w:ascii="宋体" w:hAnsi="宋体" w:cs="宋体"/>
          <w:color w:val="auto"/>
          <w:szCs w:val="21"/>
          <w:lang w:val="en-US" w:eastAsia="zh-CN"/>
        </w:rPr>
        <w:t>400-009-0001</w:t>
      </w:r>
      <w:r>
        <w:rPr>
          <w:rFonts w:hint="eastAsia" w:ascii="宋体" w:hAnsi="宋体" w:cs="宋体"/>
          <w:color w:val="auto"/>
          <w:szCs w:val="21"/>
          <w:lang w:eastAsia="zh-CN"/>
        </w:rPr>
        <w:t>）。</w:t>
      </w:r>
    </w:p>
    <w:p w14:paraId="2810A931">
      <w:pPr>
        <w:numPr>
          <w:ilvl w:val="0"/>
          <w:numId w:val="2"/>
        </w:numPr>
        <w:spacing w:line="360" w:lineRule="auto"/>
        <w:ind w:firstLine="420" w:firstLineChars="200"/>
        <w:jc w:val="left"/>
        <w:rPr>
          <w:rFonts w:hint="eastAsia" w:ascii="Times New Roman" w:hAnsi="宋体" w:eastAsia="宋体" w:cs="Times New Roman"/>
          <w:color w:val="auto"/>
          <w:highlight w:val="none"/>
        </w:rPr>
      </w:pPr>
      <w:r>
        <w:rPr>
          <w:rFonts w:ascii="Times New Roman" w:hAnsi="宋体" w:eastAsia="宋体" w:cs="Times New Roman"/>
          <w:color w:val="auto"/>
          <w:highlight w:val="none"/>
        </w:rPr>
        <w:br w:type="page"/>
      </w:r>
      <w:bookmarkStart w:id="267" w:name="_Toc532545043"/>
    </w:p>
    <w:p w14:paraId="1F2BC350">
      <w:pPr>
        <w:pStyle w:val="14"/>
        <w:jc w:val="center"/>
        <w:outlineLvl w:val="0"/>
        <w:rPr>
          <w:rFonts w:hint="eastAsia" w:ascii="Times New Roman" w:hAnsi="Times New Roman" w:eastAsia="宋体" w:cs="Times New Roman"/>
          <w:b/>
          <w:color w:val="auto"/>
          <w:sz w:val="36"/>
          <w:highlight w:val="none"/>
          <w:lang w:eastAsia="zh-CN"/>
        </w:rPr>
      </w:pPr>
      <w:bookmarkStart w:id="268" w:name="_Toc12751"/>
      <w:bookmarkStart w:id="269" w:name="_Toc24569"/>
      <w:bookmarkStart w:id="270" w:name="_Toc26567"/>
      <w:bookmarkStart w:id="271" w:name="_Toc2789"/>
      <w:bookmarkStart w:id="272" w:name="_Toc18631"/>
      <w:bookmarkStart w:id="273" w:name="_Toc14666"/>
      <w:bookmarkStart w:id="274" w:name="_Toc31952"/>
      <w:bookmarkStart w:id="275" w:name="_Toc11694"/>
      <w:bookmarkStart w:id="276" w:name="_Toc28468"/>
      <w:bookmarkStart w:id="277" w:name="_Toc19117"/>
      <w:bookmarkStart w:id="278" w:name="_Toc10118"/>
      <w:bookmarkStart w:id="279" w:name="_Toc10034"/>
      <w:bookmarkStart w:id="280" w:name="_Toc3584"/>
      <w:r>
        <w:rPr>
          <w:rFonts w:hint="eastAsia" w:ascii="Times New Roman" w:hAnsi="Times New Roman" w:eastAsia="宋体" w:cs="Times New Roman"/>
          <w:b/>
          <w:color w:val="auto"/>
          <w:sz w:val="36"/>
          <w:highlight w:val="none"/>
        </w:rPr>
        <w:t>第四章</w:t>
      </w:r>
      <w:r>
        <w:rPr>
          <w:rFonts w:ascii="Times New Roman" w:hAnsi="Times New Roman" w:eastAsia="宋体" w:cs="Times New Roman"/>
          <w:b/>
          <w:color w:val="auto"/>
          <w:sz w:val="36"/>
          <w:highlight w:val="none"/>
        </w:rPr>
        <w:t xml:space="preserve">  </w:t>
      </w:r>
      <w:bookmarkEnd w:id="267"/>
      <w:bookmarkEnd w:id="268"/>
      <w:bookmarkEnd w:id="269"/>
      <w:bookmarkEnd w:id="270"/>
      <w:bookmarkEnd w:id="271"/>
      <w:bookmarkEnd w:id="272"/>
      <w:bookmarkEnd w:id="273"/>
      <w:bookmarkEnd w:id="274"/>
      <w:bookmarkEnd w:id="275"/>
      <w:r>
        <w:rPr>
          <w:rFonts w:hint="eastAsia" w:ascii="Times New Roman" w:hAnsi="Times New Roman" w:cs="Times New Roman"/>
          <w:b/>
          <w:color w:val="auto"/>
          <w:sz w:val="36"/>
          <w:highlight w:val="none"/>
          <w:lang w:eastAsia="zh-CN"/>
        </w:rPr>
        <w:t>评标方法和评标标准</w:t>
      </w:r>
      <w:bookmarkEnd w:id="276"/>
      <w:bookmarkEnd w:id="277"/>
      <w:bookmarkEnd w:id="278"/>
      <w:bookmarkEnd w:id="279"/>
      <w:bookmarkEnd w:id="280"/>
    </w:p>
    <w:p w14:paraId="42246CEB">
      <w:pPr>
        <w:pStyle w:val="14"/>
        <w:jc w:val="center"/>
        <w:outlineLvl w:val="1"/>
        <w:rPr>
          <w:rFonts w:ascii="Times New Roman" w:hAnsi="Times New Roman" w:eastAsia="宋体" w:cs="Times New Roman"/>
          <w:b/>
          <w:bCs/>
          <w:color w:val="auto"/>
          <w:sz w:val="32"/>
          <w:szCs w:val="32"/>
          <w:highlight w:val="none"/>
        </w:rPr>
      </w:pPr>
      <w:bookmarkStart w:id="281" w:name="_Toc12345"/>
      <w:bookmarkStart w:id="282" w:name="_Toc28945"/>
      <w:bookmarkStart w:id="283" w:name="_Toc5889"/>
      <w:bookmarkStart w:id="284" w:name="_Toc20519"/>
      <w:bookmarkStart w:id="285" w:name="_Toc29945"/>
      <w:bookmarkStart w:id="286" w:name="_Toc14342"/>
      <w:bookmarkStart w:id="287" w:name="_Toc6104"/>
      <w:bookmarkStart w:id="288" w:name="_Toc3574"/>
      <w:bookmarkStart w:id="289" w:name="_Toc9604"/>
      <w:bookmarkStart w:id="290" w:name="_Toc28074"/>
      <w:r>
        <w:rPr>
          <w:rFonts w:hint="eastAsia" w:ascii="Times New Roman" w:hAnsi="Times New Roman" w:eastAsia="宋体" w:cs="Times New Roman"/>
          <w:b/>
          <w:bCs/>
          <w:color w:val="auto"/>
          <w:sz w:val="32"/>
          <w:szCs w:val="32"/>
          <w:highlight w:val="none"/>
        </w:rPr>
        <w:t>第一节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评标方法</w:t>
      </w:r>
      <w:bookmarkEnd w:id="281"/>
      <w:bookmarkEnd w:id="282"/>
      <w:bookmarkEnd w:id="283"/>
      <w:bookmarkEnd w:id="284"/>
      <w:bookmarkEnd w:id="285"/>
      <w:bookmarkEnd w:id="286"/>
      <w:bookmarkEnd w:id="287"/>
      <w:bookmarkEnd w:id="288"/>
      <w:bookmarkEnd w:id="289"/>
      <w:bookmarkEnd w:id="290"/>
    </w:p>
    <w:p w14:paraId="61E98480">
      <w:pPr>
        <w:pStyle w:val="14"/>
        <w:tabs>
          <w:tab w:val="left" w:pos="2472"/>
        </w:tabs>
        <w:spacing w:line="460" w:lineRule="exact"/>
        <w:ind w:firstLine="420" w:firstLineChars="200"/>
        <w:rPr>
          <w:rFonts w:eastAsia="宋体" w:cs="Times New Roman"/>
          <w:color w:val="auto"/>
          <w:szCs w:val="21"/>
          <w:highlight w:val="none"/>
        </w:rPr>
      </w:pPr>
      <w:r>
        <w:rPr>
          <w:rFonts w:hint="eastAsia" w:hAnsi="宋体" w:eastAsia="宋体" w:cs="宋体"/>
          <w:color w:val="auto"/>
          <w:szCs w:val="21"/>
          <w:highlight w:val="none"/>
        </w:rPr>
        <w:t>本项目采用</w:t>
      </w:r>
      <w:r>
        <w:rPr>
          <w:rFonts w:hint="eastAsia" w:hAnsi="宋体" w:eastAsia="宋体" w:cs="宋体"/>
          <w:color w:val="auto"/>
          <w:szCs w:val="21"/>
          <w:highlight w:val="none"/>
          <w:u w:val="single"/>
        </w:rPr>
        <w:t xml:space="preserve"> 以下勾选的方式</w:t>
      </w:r>
      <w:r>
        <w:rPr>
          <w:rFonts w:hint="eastAsia" w:hAnsi="宋体" w:eastAsia="宋体" w:cs="宋体"/>
          <w:color w:val="auto"/>
          <w:szCs w:val="21"/>
          <w:highlight w:val="none"/>
        </w:rPr>
        <w:t>进行评审。</w:t>
      </w:r>
    </w:p>
    <w:p w14:paraId="4066619C">
      <w:pPr>
        <w:pStyle w:val="14"/>
        <w:spacing w:line="360" w:lineRule="auto"/>
        <w:ind w:firstLine="420"/>
        <w:rPr>
          <w:rFonts w:hint="eastAsia" w:hAnsi="宋体" w:eastAsia="宋体" w:cs="Times New Roman"/>
          <w:color w:val="auto"/>
          <w:highlight w:val="none"/>
        </w:rPr>
      </w:pPr>
      <w:r>
        <w:rPr>
          <w:rFonts w:hint="eastAsia" w:hAnsi="宋体" w:eastAsia="宋体" w:cs="Times New Roman"/>
          <w:color w:val="auto"/>
          <w:szCs w:val="21"/>
          <w:highlight w:val="none"/>
        </w:rPr>
        <w:t>□最低评标价法，是指投标文件满足招标文件</w:t>
      </w:r>
      <w:r>
        <w:rPr>
          <w:rFonts w:hint="eastAsia" w:hAnsi="宋体" w:eastAsia="宋体" w:cs="Times New Roman"/>
          <w:color w:val="auto"/>
          <w:highlight w:val="none"/>
        </w:rPr>
        <w:t>全部实质性要求，且投标报价最低的投标人为中标候选人的评标方法。</w:t>
      </w:r>
    </w:p>
    <w:p w14:paraId="572C790B">
      <w:pPr>
        <w:autoSpaceDE w:val="0"/>
        <w:autoSpaceDN w:val="0"/>
        <w:adjustRightInd w:val="0"/>
        <w:spacing w:line="440" w:lineRule="exact"/>
        <w:ind w:firstLine="420" w:firstLineChars="200"/>
        <w:rPr>
          <w:rFonts w:hint="eastAsia" w:ascii="宋体" w:hAnsi="宋体" w:eastAsia="宋体" w:cs="Times New Roman"/>
          <w:color w:val="auto"/>
          <w:sz w:val="24"/>
          <w:highlight w:val="none"/>
        </w:rPr>
      </w:pPr>
      <w:r>
        <w:rPr>
          <w:rFonts w:hint="eastAsia" w:hAnsi="宋体" w:cs="Times New Roman"/>
          <w:color w:val="auto"/>
          <w:highlight w:val="none"/>
          <w:lang w:eastAsia="zh-CN"/>
        </w:rPr>
        <w:t>☑</w:t>
      </w:r>
      <w:r>
        <w:rPr>
          <w:rFonts w:hint="eastAsia" w:ascii="Times New Roman" w:hAnsi="宋体" w:eastAsia="宋体" w:cs="Times New Roman"/>
          <w:color w:val="auto"/>
          <w:highlight w:val="none"/>
        </w:rPr>
        <w:t>综合评分法，</w:t>
      </w:r>
      <w:r>
        <w:rPr>
          <w:rFonts w:hint="eastAsia" w:ascii="宋体" w:hAnsi="宋体" w:eastAsia="宋体" w:cs="Times New Roman"/>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auto"/>
          <w:szCs w:val="20"/>
          <w:highlight w:val="none"/>
          <w:lang w:eastAsia="zh-CN"/>
        </w:rPr>
        <w:t>投标文件</w:t>
      </w:r>
      <w:r>
        <w:rPr>
          <w:rFonts w:hint="eastAsia" w:ascii="宋体" w:hAnsi="宋体" w:eastAsia="宋体" w:cs="Times New Roman"/>
          <w:color w:val="auto"/>
          <w:szCs w:val="20"/>
          <w:highlight w:val="none"/>
        </w:rPr>
        <w:t>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w:t>
      </w:r>
      <w:r>
        <w:rPr>
          <w:rFonts w:hint="eastAsia" w:ascii="宋体" w:hAnsi="宋体" w:cs="Times New Roman"/>
          <w:color w:val="auto"/>
          <w:szCs w:val="20"/>
          <w:highlight w:val="none"/>
          <w:lang w:eastAsia="zh-CN"/>
        </w:rPr>
        <w:t>“投标人须知前附表”规定的方式排列</w:t>
      </w:r>
      <w:r>
        <w:rPr>
          <w:rFonts w:hint="eastAsia" w:ascii="宋体" w:hAnsi="宋体" w:eastAsia="宋体" w:cs="Times New Roman"/>
          <w:color w:val="auto"/>
          <w:szCs w:val="20"/>
          <w:highlight w:val="none"/>
        </w:rPr>
        <w:t xml:space="preserve">。 </w:t>
      </w:r>
    </w:p>
    <w:p w14:paraId="23CF6444">
      <w:pPr>
        <w:pStyle w:val="14"/>
        <w:spacing w:line="360" w:lineRule="auto"/>
        <w:ind w:firstLine="420"/>
        <w:rPr>
          <w:rFonts w:hint="eastAsia" w:hAnsi="宋体" w:eastAsia="宋体" w:cs="Times New Roman"/>
          <w:color w:val="auto"/>
          <w:highlight w:val="none"/>
        </w:rPr>
      </w:pPr>
    </w:p>
    <w:p w14:paraId="7E266360">
      <w:pPr>
        <w:pStyle w:val="14"/>
        <w:tabs>
          <w:tab w:val="left" w:pos="2472"/>
        </w:tabs>
        <w:spacing w:line="460" w:lineRule="exact"/>
        <w:jc w:val="center"/>
        <w:outlineLvl w:val="1"/>
        <w:rPr>
          <w:rFonts w:hint="eastAsia" w:ascii="Times New Roman" w:hAnsi="Times New Roman" w:eastAsia="宋体" w:cs="Times New Roman"/>
          <w:b/>
          <w:bCs/>
          <w:color w:val="auto"/>
          <w:sz w:val="32"/>
          <w:szCs w:val="32"/>
          <w:highlight w:val="none"/>
        </w:rPr>
      </w:pPr>
      <w:bookmarkStart w:id="291" w:name="_Toc1643"/>
      <w:bookmarkStart w:id="292" w:name="_Toc23151"/>
      <w:bookmarkStart w:id="293" w:name="_Toc10545"/>
      <w:bookmarkStart w:id="294" w:name="_Toc24507"/>
      <w:bookmarkStart w:id="295" w:name="_Toc4190"/>
      <w:bookmarkStart w:id="296" w:name="_Toc30114"/>
      <w:bookmarkStart w:id="297" w:name="_Toc588"/>
      <w:bookmarkStart w:id="298" w:name="_Toc9259"/>
      <w:bookmarkStart w:id="299" w:name="_Toc18477"/>
      <w:bookmarkStart w:id="300" w:name="_Toc9023"/>
      <w:r>
        <w:rPr>
          <w:rFonts w:hint="eastAsia" w:ascii="Times New Roman" w:hAnsi="Times New Roman" w:eastAsia="宋体" w:cs="Times New Roman"/>
          <w:b/>
          <w:bCs/>
          <w:color w:val="auto"/>
          <w:sz w:val="32"/>
          <w:szCs w:val="32"/>
          <w:highlight w:val="none"/>
        </w:rPr>
        <w:t>第二节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评标程序</w:t>
      </w:r>
      <w:bookmarkEnd w:id="291"/>
      <w:bookmarkEnd w:id="292"/>
      <w:bookmarkEnd w:id="293"/>
      <w:bookmarkEnd w:id="294"/>
      <w:bookmarkEnd w:id="295"/>
      <w:bookmarkEnd w:id="296"/>
      <w:bookmarkEnd w:id="297"/>
      <w:bookmarkEnd w:id="298"/>
      <w:bookmarkEnd w:id="299"/>
      <w:bookmarkEnd w:id="300"/>
    </w:p>
    <w:p w14:paraId="5DC3E13E">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1.符合性审查</w:t>
      </w:r>
    </w:p>
    <w:p w14:paraId="6AB6A419">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评标委员会应当对符合资格的投标人的投标文件进行投标报价、商务、技术等实质性内容符合性审查，以确定其是否满足招标文件的实质性要求。</w:t>
      </w:r>
    </w:p>
    <w:p w14:paraId="41DF90E0">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2.符合性审查不通过而导致投标无效的情形</w:t>
      </w:r>
    </w:p>
    <w:p w14:paraId="120095B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投标人的投标文件中存在对招标文件的任何实质性要求和条件的负偏离，将被视为投标无效。</w:t>
      </w:r>
    </w:p>
    <w:p w14:paraId="4A77C12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2.1在报价评审时，如发现下列情形之一的，将被视为投标无效：</w:t>
      </w:r>
    </w:p>
    <w:p w14:paraId="38D288E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（1）投标文件未提供“投标人须知前附表”第13.1条规定中“必须提供”的文件资料的;</w:t>
      </w:r>
    </w:p>
    <w:p w14:paraId="38E51B2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（2）未采用人民币报价或者未按照招标文件标明的币种报价的；</w:t>
      </w:r>
    </w:p>
    <w:p w14:paraId="401BBC7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（3）报价超出招标文件规定最高限价，或者超出采购预算金额的；</w:t>
      </w:r>
    </w:p>
    <w:p w14:paraId="62BE019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进行报价或者存在漏项报价；投标人未就所投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的单项内容作唯一报价；投标人未就所投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的全部内容作唯一总价报价；存在有选择、有条件报价的（招标文件允许有备选方案或者其他约定的除外）；</w:t>
      </w:r>
    </w:p>
    <w:p w14:paraId="15189ED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（5）修正后的报价，投标人不确认的；</w:t>
      </w:r>
    </w:p>
    <w:p w14:paraId="1361661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（6）投标人属于本章第5条第（2）项情形的。</w:t>
      </w:r>
    </w:p>
    <w:p w14:paraId="14AD1E8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2.2在商务评审时，如发现下列情形之一的，将被视为投标无效：</w:t>
      </w:r>
    </w:p>
    <w:p w14:paraId="18BDF57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（1）投标文件未按招标文件要求签署、盖章的；</w:t>
      </w:r>
    </w:p>
    <w:p w14:paraId="5069308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（2）委托代理人未能出具有效身份证明或者出具的身份证明与授权委托书中的信息不符的；</w:t>
      </w:r>
    </w:p>
    <w:p w14:paraId="4DA45A3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（3）为无效投标保证金的或者未按照招标文件的规定提交投标保证金的； </w:t>
      </w:r>
    </w:p>
    <w:p w14:paraId="2ED8FB8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）投标文件未提供“投标人须知前附表”第13.1条规定中“必须提供”或者“委托时必须提供”的文件资料的;</w:t>
      </w:r>
    </w:p>
    <w:p w14:paraId="12A42ED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）投标有效期、项目完成时间（交货时间、服务完成时间或者服务期等）、质保期</w:t>
      </w:r>
      <w:r>
        <w:rPr>
          <w:rFonts w:hint="eastAsia" w:ascii="宋体" w:hAnsi="宋体" w:cs="Times New Roman"/>
          <w:color w:val="auto"/>
          <w:szCs w:val="21"/>
          <w:highlight w:val="none"/>
          <w:lang w:eastAsia="zh-CN"/>
        </w:rPr>
        <w:t>及</w:t>
      </w:r>
      <w:r>
        <w:rPr>
          <w:rFonts w:hint="eastAsia" w:ascii="宋体" w:hAnsi="宋体" w:eastAsia="宋体" w:cs="Times New Roman"/>
          <w:color w:val="auto"/>
          <w:szCs w:val="21"/>
          <w:highlight w:val="none"/>
        </w:rPr>
        <w:t>招标文件中标“▲”的商务条款发生负偏离的；</w:t>
      </w:r>
    </w:p>
    <w:p w14:paraId="288D92D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）商务条款评审允许负偏离的条款数超过“投标人须知前附表”规定项数的。</w:t>
      </w:r>
    </w:p>
    <w:p w14:paraId="3ED19D0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）投标文件的实质性内容未使用中文表述、使用计量单位不符合招标文件要求的；</w:t>
      </w:r>
    </w:p>
    <w:p w14:paraId="741CC97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）投标文件中的文件资料因填写不齐全或者内容虚假或者出现其他情形而导致被评标委员会认定无效的；</w:t>
      </w:r>
    </w:p>
    <w:p w14:paraId="4496DA1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）投标文件含有采购人不能接受的附加条件的；</w:t>
      </w:r>
    </w:p>
    <w:p w14:paraId="0753EC2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rPr>
        <w:t>）未响应招标文件实质性要求的；</w:t>
      </w:r>
    </w:p>
    <w:p w14:paraId="590BB6A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）属于投标人须知正文第9.2条情形的；</w:t>
      </w:r>
    </w:p>
    <w:p w14:paraId="2599FC6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eastAsia="zh-CN"/>
        </w:rPr>
        <w:t>法律法规</w:t>
      </w:r>
      <w:r>
        <w:rPr>
          <w:rFonts w:hint="eastAsia" w:ascii="宋体" w:hAnsi="宋体" w:eastAsia="宋体" w:cs="Times New Roman"/>
          <w:color w:val="auto"/>
          <w:szCs w:val="21"/>
          <w:highlight w:val="none"/>
        </w:rPr>
        <w:t>和招标文件规定的其他无效情形。</w:t>
      </w:r>
    </w:p>
    <w:p w14:paraId="0625989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2.3在技术评审时，如发现下列情形之一的，将被视为投标无效：</w:t>
      </w:r>
    </w:p>
    <w:p w14:paraId="09CCDF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1E651D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2AD25E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7E0A63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7DC403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5</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提供技术方案的，投标技术方案不明确，招标文件未允许但存在一个或者一个以上备选（替代）投标方案的。</w:t>
      </w:r>
    </w:p>
    <w:p w14:paraId="13012600">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3.澄清补正、说明或者补正</w:t>
      </w:r>
    </w:p>
    <w:p w14:paraId="5EC27510">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发布电子澄清函，要求投标人在规定时间内作出必要的澄清、说明或者补正。投标人在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接收到电子澄清函后根据澄清函内容上传PDF格式回函，电子澄清答复函使用CA证书加盖</w:t>
      </w:r>
      <w:r>
        <w:rPr>
          <w:rFonts w:hint="eastAsia" w:ascii="宋体" w:hAnsi="宋体" w:cs="Courier New"/>
          <w:color w:val="auto"/>
          <w:szCs w:val="21"/>
          <w:highlight w:val="none"/>
          <w:lang w:eastAsia="zh-CN"/>
        </w:rPr>
        <w:t>投标人</w:t>
      </w:r>
      <w:r>
        <w:rPr>
          <w:rFonts w:hint="eastAsia" w:ascii="宋体" w:hAnsi="宋体" w:eastAsia="宋体" w:cs="Courier New"/>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14:paraId="070500BB">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8DBB4CD">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4.投标文件修正</w:t>
      </w:r>
    </w:p>
    <w:p w14:paraId="5DF35E7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4.1投标文件报价出现前后不一致的，按照下列规定修正： </w:t>
      </w:r>
    </w:p>
    <w:p w14:paraId="4742D9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16D2DF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7EDB4A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3A18D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65656463">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同时出现两种以上不一致的，按照以上（</w:t>
      </w:r>
      <w:r>
        <w:rPr>
          <w:rFonts w:ascii="Times New Roman" w:hAnsi="宋体" w:eastAsia="宋体" w:cs="Times New Roman"/>
          <w:color w:val="auto"/>
          <w:highlight w:val="none"/>
        </w:rPr>
        <w:t>1</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4</w:t>
      </w:r>
      <w:r>
        <w:rPr>
          <w:rFonts w:hint="eastAsia" w:ascii="Times New Roman" w:hAnsi="宋体" w:eastAsia="宋体" w:cs="Times New Roman"/>
          <w:color w:val="auto"/>
          <w:highlight w:val="none"/>
        </w:rPr>
        <w:t>）规定的顺序修正。修正后的报价经投标人确认后产生约束力，投标人不确认的，其投标无效。</w:t>
      </w:r>
    </w:p>
    <w:p w14:paraId="7E4CBAC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4.2经投标人确认修正后的报价若超过采购预算金额或者最高限价，投标人的投标文件作无效投标处理。</w:t>
      </w:r>
    </w:p>
    <w:p w14:paraId="2FB1FAF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4.3经投标人确认修正后的报价作为签订合同的依据，并以此报价计算价格分。</w:t>
      </w:r>
    </w:p>
    <w:p w14:paraId="287E144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5.比较与评价</w:t>
      </w:r>
    </w:p>
    <w:p w14:paraId="61B6C9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237631E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w:t>
      </w:r>
      <w:r>
        <w:rPr>
          <w:rFonts w:hint="eastAsia" w:ascii="宋体" w:hAnsi="宋体" w:eastAsia="宋体" w:cs="宋体"/>
          <w:color w:val="auto"/>
          <w:highlight w:val="none"/>
          <w:lang w:eastAsia="zh-CN"/>
        </w:rPr>
        <w:t>各成员</w:t>
      </w:r>
      <w:r>
        <w:rPr>
          <w:rFonts w:hint="eastAsia" w:ascii="宋体" w:hAnsi="宋体" w:eastAsia="宋体" w:cs="宋体"/>
          <w:color w:val="auto"/>
          <w:highlight w:val="none"/>
        </w:rPr>
        <w:t>独立对每个投标人的投标文件进行评价，并汇总每个投标人的得分。</w:t>
      </w:r>
    </w:p>
    <w:p w14:paraId="65930CD8">
      <w:pPr>
        <w:widowControl/>
        <w:numPr>
          <w:ilvl w:val="0"/>
          <w:numId w:val="3"/>
        </w:numPr>
        <w:spacing w:after="15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评审委员会成员要根据政府采购法律法规和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文件所载明的评</w:t>
      </w:r>
      <w:r>
        <w:rPr>
          <w:rFonts w:hint="eastAsia" w:ascii="宋体" w:hAnsi="宋体" w:eastAsia="宋体" w:cs="宋体"/>
          <w:color w:val="auto"/>
          <w:highlight w:val="none"/>
          <w:lang w:eastAsia="zh-CN"/>
        </w:rPr>
        <w:t>标</w:t>
      </w:r>
      <w:r>
        <w:rPr>
          <w:rFonts w:hint="eastAsia" w:ascii="宋体" w:hAnsi="宋体" w:eastAsia="宋体" w:cs="宋体"/>
          <w:color w:val="auto"/>
          <w:highlight w:val="none"/>
        </w:rPr>
        <w:t>方法、标准进行评审。对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的价格分等客观评分项的评分应当一致，对其他需要借助专业知识评判的主观评分项，应当严格按照评分细则公正评分。</w:t>
      </w:r>
    </w:p>
    <w:p w14:paraId="0C17F81C">
      <w:pPr>
        <w:widowControl/>
        <w:numPr>
          <w:ilvl w:val="0"/>
          <w:numId w:val="3"/>
        </w:numPr>
        <w:spacing w:after="150" w:line="36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31B8CC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5.3评标委员会按照招标文件中规定的评标方法和标准计算各投标人的报价得分。在评标过程中，不得去掉报价中的最高报价和最低报价。</w:t>
      </w:r>
    </w:p>
    <w:p w14:paraId="73D4BF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5.4各投标人的得分为评标委员会各成员的有效评分的算术平均数。</w:t>
      </w:r>
    </w:p>
    <w:p w14:paraId="304A4F8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0DFEAE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w:t>
      </w:r>
      <w:r>
        <w:rPr>
          <w:rFonts w:hint="eastAsia" w:ascii="宋体" w:hAnsi="宋体" w:eastAsia="宋体" w:cs="宋体"/>
          <w:color w:val="auto"/>
          <w:highlight w:val="none"/>
          <w:lang w:eastAsia="zh-CN"/>
        </w:rPr>
        <w:t>各</w:t>
      </w:r>
      <w:r>
        <w:rPr>
          <w:rFonts w:hint="eastAsia" w:ascii="宋体" w:hAnsi="宋体" w:eastAsia="宋体" w:cs="宋体"/>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3D0CF898">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6.评审复核</w:t>
      </w:r>
    </w:p>
    <w:p w14:paraId="3019A2E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6.1评标报告签署前，评标委员会要对评审结果进行复核，复核意见要体现在评标报告中。</w:t>
      </w:r>
    </w:p>
    <w:p w14:paraId="3422013A">
      <w:pPr>
        <w:widowControl/>
        <w:spacing w:line="360" w:lineRule="auto"/>
        <w:ind w:firstLine="420" w:firstLineChars="200"/>
        <w:jc w:val="left"/>
        <w:textAlignment w:val="baseline"/>
        <w:rPr>
          <w:rFonts w:hint="eastAsia" w:ascii="Times New Roman" w:hAnsi="宋体" w:eastAsia="宋体" w:cs="Times New Roman"/>
          <w:color w:val="auto"/>
          <w:highlight w:val="none"/>
        </w:rPr>
      </w:pPr>
      <w:r>
        <w:rPr>
          <w:rFonts w:hint="eastAsia" w:ascii="宋体" w:hAnsi="宋体" w:eastAsia="宋体" w:cs="宋体"/>
          <w:color w:val="auto"/>
          <w:highlight w:val="none"/>
        </w:rPr>
        <w:t>6.2</w:t>
      </w:r>
      <w:r>
        <w:rPr>
          <w:rFonts w:hint="eastAsia" w:ascii="Times New Roman" w:hAnsi="宋体" w:eastAsia="宋体" w:cs="Times New Roman"/>
          <w:color w:val="auto"/>
          <w:highlight w:val="none"/>
        </w:rPr>
        <w:t>评标结果汇总完成后，除下列情形外，任何人不得修改评标结果：</w:t>
      </w:r>
    </w:p>
    <w:p w14:paraId="27836607">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（一）分值汇总计算错误的；</w:t>
      </w:r>
    </w:p>
    <w:p w14:paraId="78F49088">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（二）分项评分超出评分标准范围的；</w:t>
      </w:r>
    </w:p>
    <w:p w14:paraId="132A46FD">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（三）评标委员会成员对客观评审因素评分不一致的；</w:t>
      </w:r>
    </w:p>
    <w:p w14:paraId="53A13EB2">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（四）经评标委员会认定评分畸高、畸低的。</w:t>
      </w:r>
    </w:p>
    <w:p w14:paraId="0CA7B9AF">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5B9F001">
      <w:pPr>
        <w:rPr>
          <w:rFonts w:hint="eastAsia" w:cs="Times New Roman"/>
          <w:b w:val="0"/>
          <w:color w:val="auto"/>
          <w:sz w:val="30"/>
          <w:szCs w:val="30"/>
          <w:highlight w:val="none"/>
        </w:rPr>
      </w:pPr>
      <w:bookmarkStart w:id="301" w:name="_Toc17834"/>
      <w:bookmarkStart w:id="302" w:name="_Toc19942"/>
      <w:bookmarkStart w:id="303" w:name="_Toc5755"/>
      <w:bookmarkStart w:id="304" w:name="_Toc25728"/>
      <w:bookmarkStart w:id="305" w:name="_Toc27331"/>
      <w:bookmarkStart w:id="306" w:name="_Toc22963"/>
      <w:bookmarkStart w:id="307" w:name="_Toc28193"/>
      <w:bookmarkStart w:id="308" w:name="_Toc28829"/>
      <w:bookmarkStart w:id="309" w:name="_Toc13548"/>
      <w:bookmarkStart w:id="310" w:name="_Toc4866"/>
      <w:r>
        <w:rPr>
          <w:rFonts w:hint="eastAsia" w:cs="Times New Roman"/>
          <w:b w:val="0"/>
          <w:color w:val="auto"/>
          <w:sz w:val="30"/>
          <w:szCs w:val="30"/>
          <w:highlight w:val="none"/>
        </w:rPr>
        <w:br w:type="page"/>
      </w:r>
    </w:p>
    <w:p w14:paraId="35FBDF5D">
      <w:pPr>
        <w:pStyle w:val="5"/>
        <w:jc w:val="center"/>
        <w:rPr>
          <w:rFonts w:hint="eastAsia" w:ascii="Times New Roman" w:hAnsi="Times New Roman" w:eastAsia="宋体" w:cs="Times New Roman"/>
          <w:b/>
          <w:color w:val="auto"/>
          <w:sz w:val="30"/>
          <w:szCs w:val="30"/>
          <w:highlight w:val="none"/>
        </w:rPr>
      </w:pPr>
      <w:r>
        <w:rPr>
          <w:rFonts w:hint="eastAsia" w:cs="Times New Roman"/>
          <w:b w:val="0"/>
          <w:color w:val="auto"/>
          <w:sz w:val="30"/>
          <w:szCs w:val="30"/>
          <w:highlight w:val="none"/>
        </w:rPr>
        <w:t>第三节</w:t>
      </w:r>
      <w:r>
        <w:rPr>
          <w:rFonts w:cs="Times New Roman"/>
          <w:b w:val="0"/>
          <w:color w:val="auto"/>
          <w:sz w:val="30"/>
          <w:szCs w:val="30"/>
          <w:highlight w:val="none"/>
        </w:rPr>
        <w:t xml:space="preserve"> </w:t>
      </w:r>
      <w:r>
        <w:rPr>
          <w:rFonts w:hint="eastAsia" w:cs="Times New Roman"/>
          <w:b w:val="0"/>
          <w:color w:val="auto"/>
          <w:sz w:val="30"/>
          <w:szCs w:val="30"/>
          <w:highlight w:val="none"/>
        </w:rPr>
        <w:t>评分标准</w:t>
      </w:r>
      <w:bookmarkEnd w:id="301"/>
      <w:bookmarkEnd w:id="302"/>
      <w:bookmarkEnd w:id="303"/>
      <w:bookmarkEnd w:id="304"/>
      <w:bookmarkEnd w:id="305"/>
      <w:bookmarkEnd w:id="306"/>
      <w:bookmarkEnd w:id="307"/>
      <w:bookmarkEnd w:id="308"/>
      <w:bookmarkEnd w:id="309"/>
      <w:bookmarkEnd w:id="310"/>
    </w:p>
    <w:p w14:paraId="480B6BDB">
      <w:pPr>
        <w:pStyle w:val="14"/>
        <w:ind w:firstLine="602" w:firstLineChars="200"/>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综合评分法</w:t>
      </w:r>
    </w:p>
    <w:p w14:paraId="50DBBF80">
      <w:pPr>
        <w:spacing w:line="360" w:lineRule="auto"/>
        <w:ind w:firstLine="420"/>
        <w:rPr>
          <w:rFonts w:hint="eastAsia" w:ascii="宋体" w:hAnsi="宋体" w:eastAsia="宋体" w:cs="Times New Roman"/>
          <w:bCs/>
          <w:color w:val="auto"/>
          <w:szCs w:val="20"/>
        </w:rPr>
      </w:pPr>
    </w:p>
    <w:p w14:paraId="191D55BD">
      <w:pPr>
        <w:spacing w:line="360" w:lineRule="auto"/>
        <w:ind w:firstLine="420"/>
        <w:rPr>
          <w:rFonts w:hint="eastAsia" w:ascii="宋体" w:hAnsi="宋体" w:eastAsia="宋体" w:cs="Times New Roman"/>
          <w:bCs/>
          <w:color w:val="auto"/>
          <w:szCs w:val="20"/>
        </w:rPr>
      </w:pPr>
      <w:r>
        <w:rPr>
          <w:rFonts w:hint="eastAsia" w:ascii="宋体" w:hAnsi="宋体" w:cs="Times New Roman"/>
          <w:bCs/>
          <w:color w:val="auto"/>
          <w:szCs w:val="20"/>
          <w:lang w:eastAsia="zh-CN"/>
        </w:rPr>
        <w:t>注：</w:t>
      </w:r>
      <w:r>
        <w:rPr>
          <w:rFonts w:hint="eastAsia" w:ascii="宋体" w:hAnsi="宋体" w:eastAsia="宋体" w:cs="Times New Roman"/>
          <w:bCs/>
          <w:color w:val="auto"/>
          <w:szCs w:val="20"/>
        </w:rPr>
        <w:t>计分方法按四舍五入取至百分位。</w:t>
      </w:r>
    </w:p>
    <w:tbl>
      <w:tblPr>
        <w:tblStyle w:val="21"/>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460"/>
        <w:gridCol w:w="5901"/>
      </w:tblGrid>
      <w:tr w14:paraId="26EF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47" w:type="dxa"/>
            <w:gridSpan w:val="2"/>
            <w:noWrap w:val="0"/>
            <w:vAlign w:val="center"/>
          </w:tcPr>
          <w:p w14:paraId="1157D07B">
            <w:pPr>
              <w:adjustRightInd w:val="0"/>
              <w:spacing w:line="41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460" w:type="dxa"/>
            <w:noWrap w:val="0"/>
            <w:vAlign w:val="center"/>
          </w:tcPr>
          <w:p w14:paraId="387D9E19">
            <w:pPr>
              <w:adjustRightInd w:val="0"/>
              <w:spacing w:line="41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w:t>
            </w:r>
            <w:r>
              <w:rPr>
                <w:rFonts w:hint="eastAsia" w:ascii="宋体" w:hAnsi="宋体" w:cs="宋体"/>
                <w:b/>
                <w:color w:val="auto"/>
                <w:sz w:val="21"/>
                <w:szCs w:val="21"/>
                <w:lang w:eastAsia="zh-CN"/>
              </w:rPr>
              <w:t>审</w:t>
            </w:r>
            <w:r>
              <w:rPr>
                <w:rFonts w:hint="eastAsia" w:ascii="宋体" w:hAnsi="宋体" w:eastAsia="宋体" w:cs="宋体"/>
                <w:b/>
                <w:color w:val="auto"/>
                <w:sz w:val="21"/>
                <w:szCs w:val="21"/>
              </w:rPr>
              <w:t>因素</w:t>
            </w:r>
          </w:p>
        </w:tc>
        <w:tc>
          <w:tcPr>
            <w:tcW w:w="5901" w:type="dxa"/>
            <w:noWrap w:val="0"/>
            <w:vAlign w:val="center"/>
          </w:tcPr>
          <w:p w14:paraId="5D8E9211">
            <w:pPr>
              <w:adjustRightInd w:val="0"/>
              <w:spacing w:line="41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r>
      <w:tr w14:paraId="375E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3" w:hRule="atLeast"/>
          <w:jc w:val="center"/>
        </w:trPr>
        <w:tc>
          <w:tcPr>
            <w:tcW w:w="562" w:type="dxa"/>
            <w:noWrap w:val="0"/>
            <w:vAlign w:val="center"/>
          </w:tcPr>
          <w:p w14:paraId="404BB5F4">
            <w:pPr>
              <w:adjustRightIn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1</w:t>
            </w:r>
          </w:p>
        </w:tc>
        <w:tc>
          <w:tcPr>
            <w:tcW w:w="1585" w:type="dxa"/>
            <w:noWrap w:val="0"/>
            <w:vAlign w:val="center"/>
          </w:tcPr>
          <w:p w14:paraId="1D6C1D1F">
            <w:pPr>
              <w:widowControl/>
              <w:snapToGrid w:val="0"/>
              <w:spacing w:line="360" w:lineRule="atLeast"/>
              <w:jc w:val="center"/>
              <w:rPr>
                <w:rFonts w:hint="eastAsia" w:ascii="宋体" w:hAnsi="宋体" w:eastAsia="宋体" w:cs="宋体"/>
                <w:b/>
                <w:bCs w:val="0"/>
                <w:color w:val="auto"/>
                <w:kern w:val="0"/>
                <w:sz w:val="21"/>
                <w:szCs w:val="21"/>
                <w:lang w:val="en-US" w:eastAsia="zh-CN" w:bidi="ar-SA"/>
              </w:rPr>
            </w:pPr>
            <w:r>
              <w:rPr>
                <w:rFonts w:hint="eastAsia" w:ascii="宋体" w:hAnsi="宋体" w:eastAsia="宋体" w:cs="宋体"/>
                <w:b/>
                <w:bCs w:val="0"/>
                <w:color w:val="auto"/>
                <w:kern w:val="0"/>
                <w:sz w:val="21"/>
                <w:szCs w:val="21"/>
                <w:lang w:val="en-US" w:eastAsia="zh-CN" w:bidi="ar-SA"/>
              </w:rPr>
              <w:t>价格分</w:t>
            </w:r>
          </w:p>
          <w:p w14:paraId="08EA1E10">
            <w:pPr>
              <w:widowControl/>
              <w:snapToGrid w:val="0"/>
              <w:spacing w:line="360" w:lineRule="atLeast"/>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（满分</w:t>
            </w:r>
            <w:r>
              <w:rPr>
                <w:rFonts w:hint="eastAsia" w:ascii="宋体" w:hAnsi="宋体" w:cs="宋体"/>
                <w:bCs/>
                <w:color w:val="auto"/>
                <w:kern w:val="0"/>
                <w:sz w:val="21"/>
                <w:szCs w:val="21"/>
                <w:u w:val="single"/>
                <w:lang w:val="en-US" w:eastAsia="zh-CN" w:bidi="ar-SA"/>
              </w:rPr>
              <w:t>10</w:t>
            </w:r>
            <w:r>
              <w:rPr>
                <w:rFonts w:hint="eastAsia" w:ascii="宋体" w:hAnsi="宋体" w:eastAsia="宋体" w:cs="宋体"/>
                <w:bCs/>
                <w:color w:val="auto"/>
                <w:kern w:val="0"/>
                <w:sz w:val="21"/>
                <w:szCs w:val="21"/>
                <w:lang w:val="en-US" w:eastAsia="zh-CN" w:bidi="ar-SA"/>
              </w:rPr>
              <w:t>分）</w:t>
            </w:r>
          </w:p>
          <w:p w14:paraId="464B61C6">
            <w:pPr>
              <w:widowControl/>
              <w:snapToGrid w:val="0"/>
              <w:spacing w:line="360" w:lineRule="atLeast"/>
              <w:rPr>
                <w:rFonts w:hint="eastAsia" w:ascii="宋体" w:hAnsi="宋体" w:eastAsia="宋体" w:cs="宋体"/>
                <w:bCs/>
                <w:color w:val="auto"/>
                <w:kern w:val="0"/>
                <w:sz w:val="21"/>
                <w:szCs w:val="21"/>
                <w:lang w:val="en-US" w:eastAsia="zh-CN" w:bidi="ar-SA"/>
              </w:rPr>
            </w:pPr>
          </w:p>
        </w:tc>
        <w:tc>
          <w:tcPr>
            <w:tcW w:w="1460" w:type="dxa"/>
            <w:noWrap w:val="0"/>
            <w:vAlign w:val="center"/>
          </w:tcPr>
          <w:p w14:paraId="1114EAA0">
            <w:pPr>
              <w:widowControl/>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投标报价</w:t>
            </w:r>
          </w:p>
        </w:tc>
        <w:tc>
          <w:tcPr>
            <w:tcW w:w="5901" w:type="dxa"/>
            <w:noWrap w:val="0"/>
            <w:vAlign w:val="center"/>
          </w:tcPr>
          <w:p w14:paraId="2DBEB1C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本项目为专门面向</w:t>
            </w:r>
            <w:r>
              <w:rPr>
                <w:rFonts w:hint="eastAsia" w:ascii="宋体" w:hAnsi="宋体" w:cs="宋体"/>
                <w:color w:val="FF0000"/>
                <w:szCs w:val="21"/>
                <w:highlight w:val="none"/>
                <w:lang w:val="en-US" w:eastAsia="zh-CN"/>
              </w:rPr>
              <w:t>小微</w:t>
            </w:r>
            <w:r>
              <w:rPr>
                <w:rFonts w:hint="eastAsia" w:ascii="宋体" w:hAnsi="宋体" w:eastAsia="宋体" w:cs="宋体"/>
                <w:color w:val="auto"/>
                <w:szCs w:val="21"/>
                <w:highlight w:val="none"/>
                <w:lang w:eastAsia="zh-CN"/>
              </w:rPr>
              <w:t>企业采购的项目，按照《政府采购促进中小企业发展管理办法》（财库〔2020〕46号）的规定，对</w:t>
            </w:r>
            <w:r>
              <w:rPr>
                <w:rFonts w:hint="eastAsia" w:ascii="宋体" w:hAnsi="宋体" w:cs="宋体"/>
                <w:color w:val="auto"/>
                <w:szCs w:val="21"/>
                <w:highlight w:val="none"/>
                <w:lang w:eastAsia="zh-CN"/>
              </w:rPr>
              <w:t>投标人的投标</w:t>
            </w:r>
            <w:r>
              <w:rPr>
                <w:rFonts w:hint="eastAsia" w:ascii="宋体" w:hAnsi="宋体" w:eastAsia="宋体" w:cs="宋体"/>
                <w:color w:val="auto"/>
                <w:szCs w:val="21"/>
                <w:highlight w:val="none"/>
                <w:lang w:eastAsia="zh-CN"/>
              </w:rPr>
              <w:t>报价不再执行价格评审优惠的扶持政策。</w:t>
            </w:r>
          </w:p>
          <w:p w14:paraId="58EE8C4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评</w:t>
            </w:r>
            <w:r>
              <w:rPr>
                <w:rFonts w:hint="eastAsia" w:ascii="宋体" w:hAnsi="宋体" w:cs="宋体"/>
                <w:color w:val="auto"/>
                <w:szCs w:val="21"/>
                <w:highlight w:val="none"/>
                <w:lang w:eastAsia="zh-CN"/>
              </w:rPr>
              <w:t>标报</w:t>
            </w:r>
            <w:r>
              <w:rPr>
                <w:rFonts w:hint="eastAsia" w:ascii="宋体" w:hAnsi="宋体" w:eastAsia="宋体" w:cs="宋体"/>
                <w:color w:val="auto"/>
                <w:szCs w:val="21"/>
                <w:highlight w:val="none"/>
              </w:rPr>
              <w:t>价为</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w:t>
            </w:r>
            <w:r>
              <w:rPr>
                <w:rFonts w:hint="eastAsia" w:ascii="宋体" w:hAnsi="宋体" w:cs="宋体"/>
                <w:color w:val="auto"/>
                <w:szCs w:val="21"/>
                <w:highlight w:val="none"/>
                <w:lang w:eastAsia="zh-CN"/>
              </w:rPr>
              <w:t>标报</w:t>
            </w:r>
            <w:r>
              <w:rPr>
                <w:rFonts w:hint="eastAsia" w:ascii="宋体" w:hAnsi="宋体" w:eastAsia="宋体" w:cs="宋体"/>
                <w:color w:val="auto"/>
                <w:szCs w:val="21"/>
                <w:highlight w:val="none"/>
              </w:rPr>
              <w:t>价只是作为评审时使用。最终</w:t>
            </w:r>
            <w:r>
              <w:rPr>
                <w:rFonts w:hint="eastAsia" w:ascii="宋体" w:hAnsi="宋体" w:cs="宋体"/>
                <w:color w:val="auto"/>
                <w:szCs w:val="21"/>
                <w:highlight w:val="none"/>
                <w:lang w:eastAsia="zh-CN"/>
              </w:rPr>
              <w:t>中标人</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中标</w:t>
            </w:r>
            <w:r>
              <w:rPr>
                <w:rFonts w:hint="eastAsia" w:ascii="宋体" w:hAnsi="宋体" w:eastAsia="宋体" w:cs="宋体"/>
                <w:color w:val="auto"/>
                <w:szCs w:val="21"/>
                <w:highlight w:val="none"/>
              </w:rPr>
              <w:t>金额等于</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报价。</w:t>
            </w:r>
          </w:p>
          <w:p w14:paraId="74B7BBDC">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（3）满足招标文件要求且评标报价最低的评标报价为评标基准价，基准价得分为</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 xml:space="preserve"> </w:t>
            </w:r>
            <w:r>
              <w:rPr>
                <w:rFonts w:hint="eastAsia" w:ascii="宋体" w:hAnsi="宋体" w:cs="宋体"/>
                <w:color w:val="auto"/>
                <w:szCs w:val="21"/>
                <w:highlight w:val="none"/>
                <w:lang w:val="en-US" w:eastAsia="zh-CN"/>
              </w:rPr>
              <w:t>分。</w:t>
            </w:r>
          </w:p>
          <w:p w14:paraId="18F38850">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（4）价格分计算公式：        </w:t>
            </w:r>
          </w:p>
          <w:p w14:paraId="52734022">
            <w:pP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cs="宋体"/>
                <w:color w:val="auto"/>
                <w:szCs w:val="21"/>
                <w:highlight w:val="none"/>
                <w:lang w:val="en-US" w:eastAsia="zh-CN"/>
              </w:rPr>
              <w:t>价格分=(评标基准价／评标报价)×</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 xml:space="preserve"> </w:t>
            </w:r>
            <w:r>
              <w:rPr>
                <w:rFonts w:hint="eastAsia" w:ascii="宋体" w:hAnsi="宋体" w:cs="宋体"/>
                <w:color w:val="auto"/>
                <w:szCs w:val="21"/>
                <w:highlight w:val="none"/>
                <w:lang w:val="en-US" w:eastAsia="zh-CN"/>
              </w:rPr>
              <w:t>分</w:t>
            </w:r>
          </w:p>
        </w:tc>
      </w:tr>
      <w:tr w14:paraId="4320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restart"/>
            <w:noWrap w:val="0"/>
            <w:vAlign w:val="center"/>
          </w:tcPr>
          <w:p w14:paraId="539D8C2F">
            <w:pPr>
              <w:adjustRightInd w:val="0"/>
              <w:snapToGrid w:val="0"/>
              <w:spacing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2</w:t>
            </w:r>
          </w:p>
        </w:tc>
        <w:tc>
          <w:tcPr>
            <w:tcW w:w="1585" w:type="dxa"/>
            <w:vMerge w:val="restart"/>
            <w:noWrap w:val="0"/>
            <w:vAlign w:val="center"/>
          </w:tcPr>
          <w:p w14:paraId="72AE91EF">
            <w:pPr>
              <w:adjustRightInd w:val="0"/>
              <w:snapToGrid w:val="0"/>
              <w:spacing w:line="360" w:lineRule="atLeast"/>
              <w:ind w:left="-105" w:leftChars="-50" w:right="-105" w:rightChars="-50"/>
              <w:jc w:val="center"/>
              <w:textAlignment w:val="baseline"/>
              <w:rPr>
                <w:rFonts w:hint="eastAsia" w:ascii="宋体" w:hAnsi="宋体" w:eastAsia="宋体" w:cs="宋体"/>
                <w:b/>
                <w:bCs w:val="0"/>
                <w:color w:val="auto"/>
                <w:kern w:val="0"/>
                <w:sz w:val="21"/>
                <w:szCs w:val="21"/>
                <w:lang w:val="en-US" w:eastAsia="zh-CN" w:bidi="ar-SA"/>
              </w:rPr>
            </w:pPr>
            <w:r>
              <w:rPr>
                <w:rFonts w:hint="eastAsia" w:ascii="宋体" w:hAnsi="宋体" w:cs="宋体"/>
                <w:b/>
                <w:bCs w:val="0"/>
                <w:color w:val="auto"/>
                <w:kern w:val="0"/>
                <w:sz w:val="21"/>
                <w:szCs w:val="21"/>
                <w:lang w:val="en-US" w:eastAsia="zh-CN" w:bidi="ar-SA"/>
              </w:rPr>
              <w:t>技术服务方案分</w:t>
            </w:r>
          </w:p>
          <w:p w14:paraId="38B9D899">
            <w:pPr>
              <w:adjustRightInd w:val="0"/>
              <w:snapToGrid w:val="0"/>
              <w:spacing w:line="360" w:lineRule="atLeast"/>
              <w:ind w:left="-105" w:leftChars="-50" w:right="-105" w:rightChars="-50"/>
              <w:jc w:val="center"/>
              <w:textAlignment w:val="baseline"/>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（满分</w:t>
            </w:r>
            <w:r>
              <w:rPr>
                <w:rFonts w:hint="eastAsia" w:ascii="宋体" w:hAnsi="宋体" w:cs="宋体"/>
                <w:bCs/>
                <w:color w:val="auto"/>
                <w:kern w:val="0"/>
                <w:sz w:val="21"/>
                <w:szCs w:val="21"/>
                <w:u w:val="single"/>
                <w:lang w:val="en-US" w:eastAsia="zh-CN" w:bidi="ar-SA"/>
              </w:rPr>
              <w:t>85</w:t>
            </w:r>
            <w:r>
              <w:rPr>
                <w:rFonts w:hint="eastAsia" w:ascii="宋体" w:hAnsi="宋体" w:eastAsia="宋体" w:cs="宋体"/>
                <w:bCs/>
                <w:color w:val="auto"/>
                <w:kern w:val="0"/>
                <w:sz w:val="21"/>
                <w:szCs w:val="21"/>
                <w:lang w:val="en-US" w:eastAsia="zh-CN" w:bidi="ar-SA"/>
              </w:rPr>
              <w:t>分）</w:t>
            </w:r>
          </w:p>
        </w:tc>
        <w:tc>
          <w:tcPr>
            <w:tcW w:w="1460" w:type="dxa"/>
            <w:noWrap w:val="0"/>
            <w:vAlign w:val="center"/>
          </w:tcPr>
          <w:p w14:paraId="21569DE2">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 xml:space="preserve">服务管理措 </w:t>
            </w:r>
          </w:p>
          <w:p w14:paraId="7B18D75B">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施（满分</w:t>
            </w:r>
            <w:r>
              <w:rPr>
                <w:rFonts w:hint="eastAsia" w:ascii="宋体" w:hAnsi="宋体" w:cs="宋体"/>
                <w:bCs/>
                <w:color w:val="auto"/>
                <w:kern w:val="0"/>
                <w:sz w:val="21"/>
                <w:szCs w:val="21"/>
                <w:highlight w:val="none"/>
                <w:lang w:val="en-US" w:eastAsia="zh-CN" w:bidi="ar-SA"/>
              </w:rPr>
              <w:t>25</w:t>
            </w:r>
            <w:r>
              <w:rPr>
                <w:rFonts w:hint="eastAsia" w:ascii="宋体" w:hAnsi="宋体" w:eastAsia="宋体" w:cs="宋体"/>
                <w:bCs/>
                <w:color w:val="auto"/>
                <w:kern w:val="0"/>
                <w:sz w:val="21"/>
                <w:szCs w:val="21"/>
                <w:highlight w:val="none"/>
                <w:lang w:val="en-US" w:eastAsia="zh-CN" w:bidi="ar-SA"/>
              </w:rPr>
              <w:t xml:space="preserve"> </w:t>
            </w:r>
          </w:p>
          <w:p w14:paraId="73F24453">
            <w:pPr>
              <w:snapToGrid w:val="0"/>
              <w:spacing w:line="360" w:lineRule="atLeast"/>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14:paraId="2DEF757E">
            <w:pPr>
              <w:widowControl/>
              <w:snapToGrid w:val="0"/>
              <w:spacing w:line="360" w:lineRule="atLeast"/>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投标文件</w:t>
            </w:r>
            <w:r>
              <w:rPr>
                <w:rFonts w:hint="eastAsia" w:ascii="宋体" w:hAnsi="宋体" w:eastAsia="宋体" w:cs="宋体"/>
                <w:bCs/>
                <w:color w:val="auto"/>
                <w:kern w:val="0"/>
                <w:sz w:val="21"/>
                <w:szCs w:val="21"/>
                <w:highlight w:val="none"/>
                <w:lang w:val="en-US" w:eastAsia="zh-CN" w:bidi="ar-SA"/>
              </w:rPr>
              <w:t>中未提供服务管理措施或所提供的内容</w:t>
            </w:r>
            <w:r>
              <w:rPr>
                <w:rFonts w:hint="eastAsia" w:ascii="宋体" w:hAnsi="宋体" w:cs="宋体"/>
                <w:color w:val="auto"/>
                <w:szCs w:val="21"/>
                <w:highlight w:val="none"/>
              </w:rPr>
              <w:t>未达最低档的得0分</w:t>
            </w:r>
            <w:r>
              <w:rPr>
                <w:rFonts w:hint="eastAsia" w:ascii="宋体" w:hAnsi="宋体" w:eastAsia="宋体" w:cs="宋体"/>
                <w:bCs/>
                <w:color w:val="auto"/>
                <w:kern w:val="0"/>
                <w:sz w:val="21"/>
                <w:szCs w:val="21"/>
                <w:highlight w:val="none"/>
                <w:lang w:val="en-US" w:eastAsia="zh-CN" w:bidi="ar-SA"/>
              </w:rPr>
              <w:t>。</w:t>
            </w:r>
          </w:p>
          <w:p w14:paraId="74ADC8C9">
            <w:pPr>
              <w:widowControl/>
              <w:snapToGrid w:val="0"/>
              <w:spacing w:line="360" w:lineRule="atLeast"/>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 xml:space="preserve"> 一档（</w:t>
            </w:r>
            <w:r>
              <w:rPr>
                <w:rFonts w:hint="eastAsia" w:ascii="宋体" w:hAnsi="宋体" w:cs="宋体"/>
                <w:bCs/>
                <w:color w:val="auto"/>
                <w:kern w:val="0"/>
                <w:sz w:val="21"/>
                <w:szCs w:val="21"/>
                <w:highlight w:val="none"/>
                <w:lang w:val="en-US" w:eastAsia="zh-CN" w:bidi="ar-SA"/>
              </w:rPr>
              <w:t>5</w:t>
            </w:r>
            <w:r>
              <w:rPr>
                <w:rFonts w:hint="eastAsia" w:ascii="宋体" w:hAnsi="宋体" w:eastAsia="宋体" w:cs="宋体"/>
                <w:bCs/>
                <w:color w:val="auto"/>
                <w:kern w:val="0"/>
                <w:sz w:val="21"/>
                <w:szCs w:val="21"/>
                <w:highlight w:val="none"/>
                <w:lang w:val="en-US" w:eastAsia="zh-CN" w:bidi="ar-SA"/>
              </w:rPr>
              <w:t>分）：提供的服务管理措施</w:t>
            </w:r>
            <w:r>
              <w:rPr>
                <w:rFonts w:hint="eastAsia" w:ascii="宋体" w:hAnsi="宋体" w:cs="宋体"/>
                <w:bCs/>
                <w:color w:val="auto"/>
                <w:kern w:val="0"/>
                <w:sz w:val="21"/>
                <w:szCs w:val="21"/>
                <w:highlight w:val="none"/>
                <w:lang w:val="en-US" w:eastAsia="zh-CN" w:bidi="ar-SA"/>
              </w:rPr>
              <w:t>简单，内容不具体；</w:t>
            </w:r>
          </w:p>
          <w:p w14:paraId="4D5A6576">
            <w:pPr>
              <w:widowControl/>
              <w:snapToGrid w:val="0"/>
              <w:spacing w:line="360" w:lineRule="atLeast"/>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一档</w:t>
            </w:r>
            <w:r>
              <w:rPr>
                <w:rFonts w:hint="eastAsia" w:ascii="宋体" w:hAnsi="宋体" w:eastAsia="宋体" w:cs="宋体"/>
                <w:bCs/>
                <w:color w:val="auto"/>
                <w:kern w:val="0"/>
                <w:sz w:val="21"/>
                <w:szCs w:val="21"/>
                <w:highlight w:val="none"/>
                <w:lang w:val="en-US" w:eastAsia="zh-CN" w:bidi="ar-SA"/>
              </w:rPr>
              <w:t>（</w:t>
            </w:r>
            <w:r>
              <w:rPr>
                <w:rFonts w:hint="eastAsia" w:ascii="宋体" w:hAnsi="宋体" w:cs="宋体"/>
                <w:bCs/>
                <w:color w:val="auto"/>
                <w:kern w:val="0"/>
                <w:sz w:val="21"/>
                <w:szCs w:val="21"/>
                <w:highlight w:val="none"/>
                <w:lang w:val="en-US" w:eastAsia="zh-CN" w:bidi="ar-SA"/>
              </w:rPr>
              <w:t>10</w:t>
            </w:r>
            <w:r>
              <w:rPr>
                <w:rFonts w:hint="eastAsia" w:ascii="宋体" w:hAnsi="宋体" w:eastAsia="宋体" w:cs="宋体"/>
                <w:bCs/>
                <w:color w:val="auto"/>
                <w:kern w:val="0"/>
                <w:sz w:val="21"/>
                <w:szCs w:val="21"/>
                <w:highlight w:val="none"/>
                <w:lang w:val="en-US" w:eastAsia="zh-CN" w:bidi="ar-SA"/>
              </w:rPr>
              <w:t>分）：</w:t>
            </w:r>
            <w:r>
              <w:rPr>
                <w:rFonts w:hint="eastAsia"/>
                <w:color w:val="auto"/>
                <w:highlight w:val="none"/>
                <w:lang w:val="en-US" w:eastAsia="zh-CN"/>
              </w:rPr>
              <w:t>提供的</w:t>
            </w:r>
            <w:r>
              <w:rPr>
                <w:rFonts w:hint="eastAsia" w:ascii="宋体" w:hAnsi="宋体" w:eastAsia="宋体" w:cs="宋体"/>
                <w:bCs/>
                <w:color w:val="auto"/>
                <w:kern w:val="0"/>
                <w:sz w:val="21"/>
                <w:szCs w:val="21"/>
                <w:highlight w:val="none"/>
                <w:lang w:val="en-US" w:eastAsia="zh-CN" w:bidi="ar-SA"/>
              </w:rPr>
              <w:t xml:space="preserve">服务管理措施有各服务区域的管理措施。 </w:t>
            </w:r>
          </w:p>
          <w:p w14:paraId="620E3A8D">
            <w:pPr>
              <w:widowControl/>
              <w:snapToGrid w:val="0"/>
              <w:spacing w:line="360" w:lineRule="atLeast"/>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二档</w:t>
            </w:r>
            <w:r>
              <w:rPr>
                <w:rFonts w:hint="eastAsia" w:ascii="宋体" w:hAnsi="宋体" w:eastAsia="宋体" w:cs="宋体"/>
                <w:bCs/>
                <w:color w:val="auto"/>
                <w:kern w:val="0"/>
                <w:sz w:val="21"/>
                <w:szCs w:val="21"/>
                <w:highlight w:val="none"/>
                <w:lang w:val="en-US" w:eastAsia="zh-CN" w:bidi="ar-SA"/>
              </w:rPr>
              <w:t>（</w:t>
            </w:r>
            <w:r>
              <w:rPr>
                <w:rFonts w:hint="eastAsia" w:ascii="宋体" w:hAnsi="宋体" w:cs="宋体"/>
                <w:bCs/>
                <w:color w:val="auto"/>
                <w:kern w:val="0"/>
                <w:sz w:val="21"/>
                <w:szCs w:val="21"/>
                <w:highlight w:val="none"/>
                <w:lang w:val="en-US" w:eastAsia="zh-CN" w:bidi="ar-SA"/>
              </w:rPr>
              <w:t>15</w:t>
            </w:r>
            <w:r>
              <w:rPr>
                <w:rFonts w:hint="eastAsia" w:ascii="宋体" w:hAnsi="宋体" w:eastAsia="宋体" w:cs="宋体"/>
                <w:bCs/>
                <w:color w:val="auto"/>
                <w:kern w:val="0"/>
                <w:sz w:val="21"/>
                <w:szCs w:val="21"/>
                <w:highlight w:val="none"/>
                <w:lang w:val="en-US" w:eastAsia="zh-CN" w:bidi="ar-SA"/>
              </w:rPr>
              <w:t>分）：</w:t>
            </w:r>
            <w:r>
              <w:rPr>
                <w:rFonts w:hint="eastAsia"/>
                <w:color w:val="auto"/>
                <w:highlight w:val="none"/>
                <w:lang w:val="en-US" w:eastAsia="zh-CN"/>
              </w:rPr>
              <w:t>提供的</w:t>
            </w:r>
            <w:r>
              <w:rPr>
                <w:rFonts w:hint="eastAsia" w:ascii="宋体" w:hAnsi="宋体" w:eastAsia="宋体" w:cs="宋体"/>
                <w:bCs/>
                <w:color w:val="auto"/>
                <w:kern w:val="0"/>
                <w:sz w:val="21"/>
                <w:szCs w:val="21"/>
                <w:highlight w:val="none"/>
                <w:lang w:val="en-US" w:eastAsia="zh-CN" w:bidi="ar-SA"/>
              </w:rPr>
              <w:t>服务管理措施能针对项目需求制定保安服务总体要求与目标，有</w:t>
            </w:r>
            <w:r>
              <w:rPr>
                <w:rFonts w:hint="eastAsia" w:ascii="宋体" w:hAnsi="宋体" w:cs="宋体"/>
                <w:bCs/>
                <w:color w:val="auto"/>
                <w:kern w:val="0"/>
                <w:sz w:val="21"/>
                <w:szCs w:val="21"/>
                <w:highlight w:val="none"/>
                <w:lang w:val="en-US" w:eastAsia="zh-CN" w:bidi="ar-SA"/>
              </w:rPr>
              <w:t>详细的</w:t>
            </w:r>
            <w:r>
              <w:rPr>
                <w:rFonts w:hint="eastAsia" w:ascii="宋体" w:hAnsi="宋体" w:eastAsia="宋体" w:cs="宋体"/>
                <w:bCs/>
                <w:color w:val="auto"/>
                <w:kern w:val="0"/>
                <w:sz w:val="21"/>
                <w:szCs w:val="21"/>
                <w:highlight w:val="none"/>
                <w:lang w:val="en-US" w:eastAsia="zh-CN" w:bidi="ar-SA"/>
              </w:rPr>
              <w:t>各服务区域的管理措施</w:t>
            </w:r>
            <w:r>
              <w:rPr>
                <w:rFonts w:hint="eastAsia" w:ascii="宋体" w:hAnsi="宋体" w:cs="宋体"/>
                <w:bCs/>
                <w:color w:val="auto"/>
                <w:kern w:val="0"/>
                <w:sz w:val="21"/>
                <w:szCs w:val="21"/>
                <w:highlight w:val="none"/>
                <w:lang w:val="en-US" w:eastAsia="zh-CN" w:bidi="ar-SA"/>
              </w:rPr>
              <w:t>、</w:t>
            </w:r>
            <w:r>
              <w:rPr>
                <w:rFonts w:hint="eastAsia" w:ascii="宋体" w:hAnsi="宋体" w:eastAsia="宋体" w:cs="宋体"/>
                <w:bCs/>
                <w:color w:val="auto"/>
                <w:kern w:val="0"/>
                <w:sz w:val="21"/>
                <w:szCs w:val="21"/>
                <w:highlight w:val="none"/>
                <w:lang w:val="en-US" w:eastAsia="zh-CN" w:bidi="ar-SA"/>
              </w:rPr>
              <w:t xml:space="preserve">保安服务工作流程管理。 </w:t>
            </w:r>
          </w:p>
          <w:p w14:paraId="434874E1">
            <w:pPr>
              <w:widowControl/>
              <w:snapToGrid w:val="0"/>
              <w:spacing w:line="360" w:lineRule="atLeast"/>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三档</w:t>
            </w:r>
            <w:r>
              <w:rPr>
                <w:rFonts w:hint="eastAsia" w:ascii="宋体" w:hAnsi="宋体" w:eastAsia="宋体" w:cs="宋体"/>
                <w:bCs/>
                <w:color w:val="auto"/>
                <w:kern w:val="0"/>
                <w:sz w:val="21"/>
                <w:szCs w:val="21"/>
                <w:highlight w:val="none"/>
                <w:lang w:val="en-US" w:eastAsia="zh-CN" w:bidi="ar-SA"/>
              </w:rPr>
              <w:t>（</w:t>
            </w:r>
            <w:r>
              <w:rPr>
                <w:rFonts w:hint="eastAsia" w:ascii="宋体" w:hAnsi="宋体" w:cs="宋体"/>
                <w:bCs/>
                <w:color w:val="auto"/>
                <w:kern w:val="0"/>
                <w:sz w:val="21"/>
                <w:szCs w:val="21"/>
                <w:highlight w:val="none"/>
                <w:lang w:val="en-US" w:eastAsia="zh-CN" w:bidi="ar-SA"/>
              </w:rPr>
              <w:t>20</w:t>
            </w:r>
            <w:r>
              <w:rPr>
                <w:rFonts w:hint="eastAsia" w:ascii="宋体" w:hAnsi="宋体" w:eastAsia="宋体" w:cs="宋体"/>
                <w:bCs/>
                <w:color w:val="auto"/>
                <w:kern w:val="0"/>
                <w:sz w:val="21"/>
                <w:szCs w:val="21"/>
                <w:highlight w:val="none"/>
                <w:lang w:val="en-US" w:eastAsia="zh-CN" w:bidi="ar-SA"/>
              </w:rPr>
              <w:t>分）：</w:t>
            </w:r>
            <w:r>
              <w:rPr>
                <w:rFonts w:hint="eastAsia"/>
                <w:color w:val="auto"/>
                <w:highlight w:val="none"/>
                <w:lang w:val="en-US" w:eastAsia="zh-CN"/>
              </w:rPr>
              <w:t>提供的</w:t>
            </w:r>
            <w:r>
              <w:rPr>
                <w:rFonts w:hint="eastAsia" w:ascii="宋体" w:hAnsi="宋体" w:eastAsia="宋体" w:cs="宋体"/>
                <w:bCs/>
                <w:color w:val="auto"/>
                <w:kern w:val="0"/>
                <w:sz w:val="21"/>
                <w:szCs w:val="21"/>
                <w:highlight w:val="none"/>
                <w:lang w:val="en-US" w:eastAsia="zh-CN" w:bidi="ar-SA"/>
              </w:rPr>
              <w:t xml:space="preserve">服务管理措施能针对项目需求制定的保安服务总体要求与目标，有各服务区域的管理措施，能提供保安员工作管理计划、保安服务工作流程管理、轮岗管理制度、交接工作管理安排。 </w:t>
            </w:r>
          </w:p>
          <w:p w14:paraId="673345C8">
            <w:pPr>
              <w:widowControl/>
              <w:snapToGrid w:val="0"/>
              <w:spacing w:line="360" w:lineRule="atLeast"/>
              <w:rPr>
                <w:rFonts w:hint="eastAsia"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highlight w:val="none"/>
                <w:lang w:val="en-US" w:eastAsia="zh-CN" w:bidi="ar-SA"/>
              </w:rPr>
              <w:t>四档</w:t>
            </w:r>
            <w:r>
              <w:rPr>
                <w:rFonts w:hint="eastAsia" w:ascii="宋体" w:hAnsi="宋体" w:eastAsia="宋体" w:cs="宋体"/>
                <w:bCs/>
                <w:color w:val="auto"/>
                <w:kern w:val="0"/>
                <w:sz w:val="21"/>
                <w:szCs w:val="21"/>
                <w:highlight w:val="none"/>
                <w:lang w:val="en-US" w:eastAsia="zh-CN" w:bidi="ar-SA"/>
              </w:rPr>
              <w:t>（2</w:t>
            </w:r>
            <w:r>
              <w:rPr>
                <w:rFonts w:hint="eastAsia" w:ascii="宋体" w:hAnsi="宋体" w:cs="宋体"/>
                <w:bCs/>
                <w:color w:val="auto"/>
                <w:kern w:val="0"/>
                <w:sz w:val="21"/>
                <w:szCs w:val="21"/>
                <w:highlight w:val="none"/>
                <w:lang w:val="en-US" w:eastAsia="zh-CN" w:bidi="ar-SA"/>
              </w:rPr>
              <w:t>5</w:t>
            </w:r>
            <w:r>
              <w:rPr>
                <w:rFonts w:hint="eastAsia" w:ascii="宋体" w:hAnsi="宋体" w:eastAsia="宋体" w:cs="宋体"/>
                <w:bCs/>
                <w:color w:val="auto"/>
                <w:kern w:val="0"/>
                <w:sz w:val="21"/>
                <w:szCs w:val="21"/>
                <w:highlight w:val="none"/>
                <w:lang w:val="en-US" w:eastAsia="zh-CN" w:bidi="ar-SA"/>
              </w:rPr>
              <w:t>分）：</w:t>
            </w:r>
            <w:r>
              <w:rPr>
                <w:rFonts w:hint="eastAsia"/>
                <w:color w:val="auto"/>
                <w:highlight w:val="none"/>
                <w:lang w:val="en-US" w:eastAsia="zh-CN"/>
              </w:rPr>
              <w:t>提供的</w:t>
            </w:r>
            <w:r>
              <w:rPr>
                <w:rFonts w:hint="eastAsia" w:ascii="宋体" w:hAnsi="宋体" w:eastAsia="宋体" w:cs="宋体"/>
                <w:bCs/>
                <w:color w:val="auto"/>
                <w:kern w:val="0"/>
                <w:sz w:val="21"/>
                <w:szCs w:val="21"/>
                <w:highlight w:val="none"/>
                <w:lang w:val="en-US" w:eastAsia="zh-CN" w:bidi="ar-SA"/>
              </w:rPr>
              <w:t>服务管理措施能针对项目需求制定保安服务总体要求与目标，有各服务区域的管理措施，能提供保安员工作管理计划、保安服务工作流程管理、轮岗管理制度、交接工作管理安排，明确服务人员的职责和权限，配备接收投诉人员、协调处理人员，有健全的管理机制</w:t>
            </w:r>
            <w:r>
              <w:rPr>
                <w:rFonts w:hint="eastAsia" w:ascii="宋体" w:hAnsi="宋体" w:cs="宋体"/>
                <w:bCs/>
                <w:color w:val="auto"/>
                <w:kern w:val="0"/>
                <w:sz w:val="21"/>
                <w:szCs w:val="21"/>
                <w:highlight w:val="none"/>
                <w:lang w:val="en-US" w:eastAsia="zh-CN" w:bidi="ar-SA"/>
              </w:rPr>
              <w:t>。</w:t>
            </w:r>
          </w:p>
        </w:tc>
      </w:tr>
      <w:tr w14:paraId="3E6F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7FA67204">
            <w:pPr>
              <w:adjustRightInd w:val="0"/>
              <w:snapToGrid w:val="0"/>
              <w:spacing w:line="360" w:lineRule="atLeast"/>
              <w:jc w:val="center"/>
              <w:textAlignment w:val="baseline"/>
              <w:rPr>
                <w:rFonts w:hint="eastAsia" w:ascii="宋体" w:hAnsi="宋体" w:eastAsia="宋体" w:cs="宋体"/>
                <w:color w:val="auto"/>
                <w:sz w:val="24"/>
              </w:rPr>
            </w:pPr>
          </w:p>
        </w:tc>
        <w:tc>
          <w:tcPr>
            <w:tcW w:w="1585" w:type="dxa"/>
            <w:vMerge w:val="continue"/>
            <w:noWrap w:val="0"/>
            <w:vAlign w:val="center"/>
          </w:tcPr>
          <w:p w14:paraId="134819F6">
            <w:pPr>
              <w:adjustRightInd w:val="0"/>
              <w:snapToGrid w:val="0"/>
              <w:spacing w:line="360" w:lineRule="atLeast"/>
              <w:ind w:left="-105" w:leftChars="-50" w:right="-105" w:rightChars="-50"/>
              <w:jc w:val="center"/>
              <w:textAlignment w:val="baseline"/>
              <w:rPr>
                <w:rFonts w:hint="eastAsia" w:ascii="宋体" w:hAnsi="宋体" w:eastAsia="宋体" w:cs="宋体"/>
                <w:bCs/>
                <w:color w:val="auto"/>
                <w:kern w:val="0"/>
                <w:sz w:val="21"/>
                <w:szCs w:val="21"/>
                <w:lang w:val="en-US" w:eastAsia="zh-CN" w:bidi="ar-SA"/>
              </w:rPr>
            </w:pPr>
          </w:p>
        </w:tc>
        <w:tc>
          <w:tcPr>
            <w:tcW w:w="1460" w:type="dxa"/>
            <w:noWrap w:val="0"/>
            <w:vAlign w:val="center"/>
          </w:tcPr>
          <w:p w14:paraId="7776EBE5">
            <w:pPr>
              <w:snapToGrid w:val="0"/>
              <w:spacing w:line="360" w:lineRule="atLeast"/>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 xml:space="preserve">管理规章制 </w:t>
            </w:r>
          </w:p>
          <w:p w14:paraId="6C224932">
            <w:pPr>
              <w:snapToGrid w:val="0"/>
              <w:spacing w:line="360" w:lineRule="atLeast"/>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 xml:space="preserve">度及考核管 </w:t>
            </w:r>
          </w:p>
          <w:p w14:paraId="473B320E">
            <w:pPr>
              <w:snapToGrid w:val="0"/>
              <w:spacing w:line="360" w:lineRule="atLeast"/>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理办法（满分1</w:t>
            </w:r>
            <w:r>
              <w:rPr>
                <w:rFonts w:hint="eastAsia" w:ascii="宋体" w:hAnsi="宋体" w:cs="宋体"/>
                <w:bCs/>
                <w:color w:val="auto"/>
                <w:kern w:val="0"/>
                <w:sz w:val="21"/>
                <w:szCs w:val="21"/>
                <w:lang w:val="en-US" w:eastAsia="zh-CN" w:bidi="ar-SA"/>
              </w:rPr>
              <w:t>6</w:t>
            </w:r>
            <w:r>
              <w:rPr>
                <w:rFonts w:hint="eastAsia" w:ascii="宋体" w:hAnsi="宋体" w:eastAsia="宋体" w:cs="宋体"/>
                <w:bCs/>
                <w:color w:val="auto"/>
                <w:kern w:val="0"/>
                <w:sz w:val="21"/>
                <w:szCs w:val="21"/>
                <w:lang w:val="en-US" w:eastAsia="zh-CN" w:bidi="ar-SA"/>
              </w:rPr>
              <w:t>分）</w:t>
            </w:r>
          </w:p>
        </w:tc>
        <w:tc>
          <w:tcPr>
            <w:tcW w:w="5901" w:type="dxa"/>
            <w:noWrap w:val="0"/>
            <w:vAlign w:val="center"/>
          </w:tcPr>
          <w:p w14:paraId="32D7964D">
            <w:pPr>
              <w:widowControl/>
              <w:snapToGrid w:val="0"/>
              <w:spacing w:line="360" w:lineRule="atLeast"/>
              <w:rPr>
                <w:rFonts w:hint="eastAsia"/>
                <w:color w:val="auto"/>
                <w:lang w:val="en-US" w:eastAsia="zh-CN"/>
              </w:rPr>
            </w:pPr>
            <w:r>
              <w:rPr>
                <w:rFonts w:hint="eastAsia"/>
                <w:color w:val="auto"/>
                <w:lang w:val="en-US" w:eastAsia="zh-CN"/>
              </w:rPr>
              <w:t>投标文件中未提供管理规章制度及考核管理办法或所提供的内容</w:t>
            </w:r>
            <w:r>
              <w:rPr>
                <w:rFonts w:hint="eastAsia" w:ascii="宋体" w:hAnsi="宋体" w:cs="宋体"/>
                <w:color w:val="auto"/>
                <w:szCs w:val="21"/>
                <w:highlight w:val="none"/>
              </w:rPr>
              <w:t>未达最低档的得0分</w:t>
            </w:r>
            <w:r>
              <w:rPr>
                <w:rFonts w:hint="eastAsia"/>
                <w:color w:val="auto"/>
                <w:lang w:val="en-US" w:eastAsia="zh-CN"/>
              </w:rPr>
              <w:t xml:space="preserve">。 </w:t>
            </w:r>
          </w:p>
          <w:p w14:paraId="647DD831">
            <w:pPr>
              <w:widowControl/>
              <w:snapToGrid w:val="0"/>
              <w:spacing w:line="360" w:lineRule="atLeast"/>
              <w:rPr>
                <w:rFonts w:hint="eastAsia"/>
                <w:color w:val="auto"/>
                <w:lang w:val="en-US" w:eastAsia="zh-CN"/>
              </w:rPr>
            </w:pPr>
            <w:r>
              <w:rPr>
                <w:rFonts w:hint="eastAsia"/>
                <w:color w:val="auto"/>
                <w:lang w:val="en-US" w:eastAsia="zh-CN"/>
              </w:rPr>
              <w:t xml:space="preserve">一档（4分）：具有内部管理构架、管理运作制度及人员服务考核制度，实行3个月一次的考核管理。 </w:t>
            </w:r>
          </w:p>
          <w:p w14:paraId="1C15D649">
            <w:pPr>
              <w:widowControl/>
              <w:snapToGrid w:val="0"/>
              <w:spacing w:line="360" w:lineRule="atLeast"/>
              <w:rPr>
                <w:rFonts w:hint="eastAsia"/>
                <w:color w:val="auto"/>
                <w:lang w:val="en-US" w:eastAsia="zh-CN"/>
              </w:rPr>
            </w:pPr>
            <w:r>
              <w:rPr>
                <w:rFonts w:hint="eastAsia"/>
                <w:color w:val="auto"/>
                <w:lang w:val="en-US" w:eastAsia="zh-CN"/>
              </w:rPr>
              <w:t xml:space="preserve">二档（8分）：具有内部管理构架、管理运作制度、管理规章制度及人员服务考核制度，实行二个月一次的考核管理，对考核不合格的人员进行整顿及加强管理，有保安人员监督机制、奖惩制度。 </w:t>
            </w:r>
          </w:p>
          <w:p w14:paraId="5180F357">
            <w:pPr>
              <w:widowControl/>
              <w:snapToGrid w:val="0"/>
              <w:spacing w:line="360" w:lineRule="atLeast"/>
              <w:rPr>
                <w:rFonts w:hint="eastAsia"/>
                <w:color w:val="auto"/>
                <w:lang w:val="en-US" w:eastAsia="zh-CN"/>
              </w:rPr>
            </w:pPr>
            <w:r>
              <w:rPr>
                <w:rFonts w:hint="eastAsia"/>
                <w:color w:val="auto"/>
                <w:lang w:val="en-US" w:eastAsia="zh-CN"/>
              </w:rPr>
              <w:t>三档（12分）：具有内部管理构架、管理运作制度及标准、管理规章制度、考勤管理制度、人员服务考核制度，实行一个月一次的考核管理， 有简单的对考核不合格的人员进行整顿及加强管理措施，有保安人员监督机制、奖惩机制等。</w:t>
            </w:r>
          </w:p>
          <w:p w14:paraId="37C44511">
            <w:pPr>
              <w:pStyle w:val="2"/>
              <w:rPr>
                <w:rFonts w:hint="eastAsia"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四档</w:t>
            </w:r>
            <w:r>
              <w:rPr>
                <w:rFonts w:hint="eastAsia" w:ascii="宋体" w:hAnsi="宋体" w:eastAsia="宋体" w:cs="宋体"/>
                <w:bCs/>
                <w:color w:val="auto"/>
                <w:kern w:val="0"/>
                <w:sz w:val="21"/>
                <w:szCs w:val="21"/>
                <w:lang w:val="en-US" w:eastAsia="zh-CN" w:bidi="ar-SA"/>
              </w:rPr>
              <w:t>（1</w:t>
            </w:r>
            <w:r>
              <w:rPr>
                <w:rFonts w:hint="eastAsia" w:ascii="宋体" w:hAnsi="宋体" w:cs="宋体"/>
                <w:bCs/>
                <w:color w:val="auto"/>
                <w:kern w:val="0"/>
                <w:sz w:val="21"/>
                <w:szCs w:val="21"/>
                <w:lang w:val="en-US" w:eastAsia="zh-CN" w:bidi="ar-SA"/>
              </w:rPr>
              <w:t>6</w:t>
            </w:r>
            <w:r>
              <w:rPr>
                <w:rFonts w:hint="eastAsia" w:ascii="宋体" w:hAnsi="宋体" w:eastAsia="宋体" w:cs="宋体"/>
                <w:bCs/>
                <w:color w:val="auto"/>
                <w:kern w:val="0"/>
                <w:sz w:val="21"/>
                <w:szCs w:val="21"/>
                <w:lang w:val="en-US" w:eastAsia="zh-CN" w:bidi="ar-SA"/>
              </w:rPr>
              <w:t>分）：具有内部管理构架、管理运作制度及标准、管理规章制度、考勤管理制度、档案管理制度、人员服务考核制度，实行</w:t>
            </w:r>
            <w:r>
              <w:rPr>
                <w:rFonts w:hint="eastAsia" w:ascii="宋体" w:hAnsi="宋体" w:cs="宋体"/>
                <w:bCs/>
                <w:color w:val="auto"/>
                <w:kern w:val="0"/>
                <w:sz w:val="21"/>
                <w:szCs w:val="21"/>
                <w:lang w:val="en-US" w:eastAsia="zh-CN" w:bidi="ar-SA"/>
              </w:rPr>
              <w:t>半</w:t>
            </w:r>
            <w:r>
              <w:rPr>
                <w:rFonts w:hint="eastAsia" w:ascii="宋体" w:hAnsi="宋体" w:eastAsia="宋体" w:cs="宋体"/>
                <w:bCs/>
                <w:color w:val="auto"/>
                <w:kern w:val="0"/>
                <w:sz w:val="21"/>
                <w:szCs w:val="21"/>
                <w:lang w:val="en-US" w:eastAsia="zh-CN" w:bidi="ar-SA"/>
              </w:rPr>
              <w:t xml:space="preserve">个月一次的考核管理， </w:t>
            </w:r>
            <w:r>
              <w:rPr>
                <w:rFonts w:hint="eastAsia" w:ascii="宋体" w:hAnsi="宋体" w:cs="宋体"/>
                <w:bCs/>
                <w:color w:val="auto"/>
                <w:kern w:val="0"/>
                <w:sz w:val="21"/>
                <w:szCs w:val="21"/>
                <w:lang w:val="en-US" w:eastAsia="zh-CN" w:bidi="ar-SA"/>
              </w:rPr>
              <w:t>有</w:t>
            </w:r>
            <w:r>
              <w:rPr>
                <w:rFonts w:hint="eastAsia" w:ascii="宋体" w:hAnsi="宋体" w:eastAsia="宋体" w:cs="宋体"/>
                <w:bCs/>
                <w:color w:val="auto"/>
                <w:kern w:val="0"/>
                <w:sz w:val="21"/>
                <w:szCs w:val="21"/>
                <w:lang w:val="en-US" w:eastAsia="zh-CN" w:bidi="ar-SA"/>
              </w:rPr>
              <w:t>对考核不合格的人员进行整顿及加强管理</w:t>
            </w:r>
            <w:r>
              <w:rPr>
                <w:rFonts w:hint="eastAsia" w:ascii="宋体" w:hAnsi="宋体" w:cs="宋体"/>
                <w:bCs/>
                <w:color w:val="auto"/>
                <w:kern w:val="0"/>
                <w:sz w:val="21"/>
                <w:szCs w:val="21"/>
                <w:lang w:val="en-US" w:eastAsia="zh-CN" w:bidi="ar-SA"/>
              </w:rPr>
              <w:t>的详细措施</w:t>
            </w:r>
            <w:r>
              <w:rPr>
                <w:rFonts w:hint="eastAsia" w:ascii="宋体" w:hAnsi="宋体" w:eastAsia="宋体" w:cs="宋体"/>
                <w:bCs/>
                <w:color w:val="auto"/>
                <w:kern w:val="0"/>
                <w:sz w:val="21"/>
                <w:szCs w:val="21"/>
                <w:lang w:val="en-US" w:eastAsia="zh-CN" w:bidi="ar-SA"/>
              </w:rPr>
              <w:t>，有保安人员监督机制、奖惩机制、 安保人员自我约束机制等</w:t>
            </w:r>
            <w:r>
              <w:rPr>
                <w:rFonts w:hint="eastAsia" w:ascii="宋体" w:hAnsi="宋体" w:cs="宋体"/>
                <w:bCs/>
                <w:color w:val="auto"/>
                <w:kern w:val="0"/>
                <w:sz w:val="21"/>
                <w:szCs w:val="21"/>
                <w:lang w:val="en-US" w:eastAsia="zh-CN" w:bidi="ar-SA"/>
              </w:rPr>
              <w:t>。</w:t>
            </w:r>
          </w:p>
        </w:tc>
      </w:tr>
      <w:tr w14:paraId="048E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3F4EB3E5">
            <w:pPr>
              <w:adjustRightInd w:val="0"/>
              <w:snapToGrid w:val="0"/>
              <w:spacing w:line="360" w:lineRule="atLeast"/>
              <w:jc w:val="center"/>
              <w:textAlignment w:val="baseline"/>
              <w:rPr>
                <w:rFonts w:hint="eastAsia" w:ascii="宋体" w:hAnsi="宋体" w:eastAsia="宋体" w:cs="宋体"/>
                <w:color w:val="auto"/>
                <w:sz w:val="24"/>
              </w:rPr>
            </w:pPr>
          </w:p>
        </w:tc>
        <w:tc>
          <w:tcPr>
            <w:tcW w:w="1585" w:type="dxa"/>
            <w:vMerge w:val="continue"/>
            <w:noWrap w:val="0"/>
            <w:vAlign w:val="center"/>
          </w:tcPr>
          <w:p w14:paraId="4B97986F">
            <w:pPr>
              <w:adjustRightInd w:val="0"/>
              <w:snapToGrid w:val="0"/>
              <w:spacing w:line="360" w:lineRule="atLeast"/>
              <w:ind w:left="-105" w:leftChars="-50" w:right="-105" w:rightChars="-50"/>
              <w:jc w:val="center"/>
              <w:textAlignment w:val="baseline"/>
              <w:rPr>
                <w:rFonts w:hint="eastAsia" w:ascii="宋体" w:hAnsi="宋体" w:eastAsia="宋体" w:cs="宋体"/>
                <w:bCs/>
                <w:color w:val="auto"/>
                <w:kern w:val="0"/>
                <w:sz w:val="21"/>
                <w:szCs w:val="21"/>
                <w:lang w:val="en-US" w:eastAsia="zh-CN" w:bidi="ar-SA"/>
              </w:rPr>
            </w:pPr>
          </w:p>
        </w:tc>
        <w:tc>
          <w:tcPr>
            <w:tcW w:w="1460" w:type="dxa"/>
            <w:noWrap w:val="0"/>
            <w:vAlign w:val="center"/>
          </w:tcPr>
          <w:p w14:paraId="50A17257">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 xml:space="preserve">服务质量保 </w:t>
            </w:r>
          </w:p>
          <w:p w14:paraId="7C97BE70">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 xml:space="preserve">障方案（满分 </w:t>
            </w:r>
          </w:p>
          <w:p w14:paraId="4DF4CDC0">
            <w:pPr>
              <w:snapToGrid w:val="0"/>
              <w:spacing w:line="360" w:lineRule="atLeast"/>
              <w:jc w:val="center"/>
              <w:rPr>
                <w:rFonts w:hint="eastAsia"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highlight w:val="none"/>
                <w:lang w:val="en-US" w:eastAsia="zh-CN" w:bidi="ar-SA"/>
              </w:rPr>
              <w:t>16</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14:paraId="0A13C416">
            <w:pPr>
              <w:widowControl/>
              <w:snapToGrid w:val="0"/>
              <w:spacing w:line="360" w:lineRule="atLeast"/>
              <w:rPr>
                <w:rFonts w:hint="eastAsia"/>
                <w:color w:val="auto"/>
                <w:highlight w:val="none"/>
                <w:lang w:val="en-US" w:eastAsia="zh-CN"/>
              </w:rPr>
            </w:pPr>
            <w:r>
              <w:rPr>
                <w:rFonts w:hint="eastAsia"/>
                <w:color w:val="auto"/>
                <w:highlight w:val="none"/>
                <w:lang w:val="en-US" w:eastAsia="zh-CN"/>
              </w:rPr>
              <w:t>投标文件中未提供服务质量保障措施</w:t>
            </w:r>
            <w:r>
              <w:rPr>
                <w:rFonts w:hint="eastAsia"/>
                <w:color w:val="auto"/>
                <w:lang w:val="en-US" w:eastAsia="zh-CN"/>
              </w:rPr>
              <w:t>或所提供的内容</w:t>
            </w:r>
            <w:r>
              <w:rPr>
                <w:rFonts w:hint="eastAsia" w:ascii="宋体" w:hAnsi="宋体" w:cs="宋体"/>
                <w:color w:val="auto"/>
                <w:szCs w:val="21"/>
                <w:highlight w:val="none"/>
              </w:rPr>
              <w:t>未达最低档的得0分。</w:t>
            </w:r>
            <w:r>
              <w:rPr>
                <w:rFonts w:hint="eastAsia"/>
                <w:color w:val="auto"/>
                <w:highlight w:val="none"/>
                <w:lang w:val="en-US" w:eastAsia="zh-CN"/>
              </w:rPr>
              <w:t xml:space="preserve"> </w:t>
            </w:r>
          </w:p>
          <w:p w14:paraId="524D8940">
            <w:pPr>
              <w:widowControl/>
              <w:snapToGrid w:val="0"/>
              <w:spacing w:line="360" w:lineRule="atLeast"/>
              <w:rPr>
                <w:rFonts w:hint="eastAsia"/>
                <w:color w:val="auto"/>
                <w:highlight w:val="none"/>
                <w:lang w:val="en-US" w:eastAsia="zh-CN"/>
              </w:rPr>
            </w:pPr>
            <w:r>
              <w:rPr>
                <w:rFonts w:hint="eastAsia"/>
                <w:color w:val="auto"/>
                <w:highlight w:val="none"/>
                <w:lang w:val="en-US" w:eastAsia="zh-CN"/>
              </w:rPr>
              <w:t xml:space="preserve">一档（4分）：提供有基本的服务质量保障方案，提供有保安服务质量标准，方案基本符合项目需求。 </w:t>
            </w:r>
          </w:p>
          <w:p w14:paraId="3E7AA008">
            <w:pPr>
              <w:widowControl/>
              <w:snapToGrid w:val="0"/>
              <w:spacing w:line="360" w:lineRule="atLeast"/>
              <w:rPr>
                <w:rFonts w:hint="eastAsia"/>
                <w:color w:val="auto"/>
                <w:highlight w:val="none"/>
                <w:lang w:val="en-US" w:eastAsia="zh-CN"/>
              </w:rPr>
            </w:pPr>
            <w:r>
              <w:rPr>
                <w:rFonts w:hint="eastAsia"/>
                <w:color w:val="auto"/>
                <w:highlight w:val="none"/>
                <w:lang w:val="en-US" w:eastAsia="zh-CN"/>
              </w:rPr>
              <w:t>二档（8分）：提供有</w:t>
            </w:r>
            <w:r>
              <w:rPr>
                <w:rFonts w:hint="eastAsia"/>
                <w:color w:val="auto"/>
                <w:lang w:val="en-US" w:eastAsia="zh-CN"/>
              </w:rPr>
              <w:t>阐述</w:t>
            </w:r>
            <w:r>
              <w:rPr>
                <w:rFonts w:hint="eastAsia"/>
                <w:color w:val="auto"/>
                <w:highlight w:val="none"/>
                <w:lang w:val="en-US" w:eastAsia="zh-CN"/>
              </w:rPr>
              <w:t xml:space="preserve">清晰服务质量保障方案，提供有保安服务质量标准，方案中有针对本项目建立的检查及监督机制，方案符合项目需求。 </w:t>
            </w:r>
          </w:p>
          <w:p w14:paraId="560C3C00">
            <w:pPr>
              <w:widowControl/>
              <w:snapToGrid w:val="0"/>
              <w:spacing w:line="360" w:lineRule="atLeast"/>
              <w:rPr>
                <w:rFonts w:hint="eastAsia"/>
                <w:color w:val="auto"/>
                <w:highlight w:val="none"/>
                <w:lang w:val="en-US" w:eastAsia="zh-CN"/>
              </w:rPr>
            </w:pPr>
            <w:r>
              <w:rPr>
                <w:rFonts w:hint="eastAsia"/>
                <w:color w:val="auto"/>
                <w:highlight w:val="none"/>
                <w:lang w:val="en-US" w:eastAsia="zh-CN"/>
              </w:rPr>
              <w:t>三档（12分）：提供有</w:t>
            </w:r>
            <w:r>
              <w:rPr>
                <w:rFonts w:hint="eastAsia"/>
                <w:color w:val="auto"/>
                <w:lang w:val="en-US" w:eastAsia="zh-CN"/>
              </w:rPr>
              <w:t>阐述</w:t>
            </w:r>
            <w:r>
              <w:rPr>
                <w:rFonts w:hint="eastAsia"/>
                <w:color w:val="auto"/>
                <w:highlight w:val="none"/>
                <w:lang w:val="en-US" w:eastAsia="zh-CN"/>
              </w:rPr>
              <w:t>清晰的服务质量保障方案，提供有保安服务质量标准，方案中有针对本项目建立的检查及监督机制，能说明各级别检查及监督机制的主要职责及检查程序，方案完全满足项目需求。</w:t>
            </w:r>
          </w:p>
          <w:p w14:paraId="427BD0FD">
            <w:pPr>
              <w:pStyle w:val="2"/>
              <w:rPr>
                <w:rFonts w:hint="eastAsia"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highlight w:val="none"/>
                <w:lang w:val="en-US" w:eastAsia="zh-CN" w:bidi="ar-SA"/>
              </w:rPr>
              <w:t>四档</w:t>
            </w:r>
            <w:r>
              <w:rPr>
                <w:rFonts w:hint="eastAsia" w:ascii="宋体" w:hAnsi="宋体" w:eastAsia="宋体" w:cs="宋体"/>
                <w:bCs/>
                <w:color w:val="auto"/>
                <w:kern w:val="0"/>
                <w:sz w:val="21"/>
                <w:szCs w:val="21"/>
                <w:highlight w:val="none"/>
                <w:lang w:val="en-US" w:eastAsia="zh-CN" w:bidi="ar-SA"/>
              </w:rPr>
              <w:t>（1</w:t>
            </w:r>
            <w:r>
              <w:rPr>
                <w:rFonts w:hint="eastAsia" w:ascii="宋体" w:hAnsi="宋体" w:cs="宋体"/>
                <w:bCs/>
                <w:color w:val="auto"/>
                <w:kern w:val="0"/>
                <w:sz w:val="21"/>
                <w:szCs w:val="21"/>
                <w:highlight w:val="none"/>
                <w:lang w:val="en-US" w:eastAsia="zh-CN" w:bidi="ar-SA"/>
              </w:rPr>
              <w:t>6</w:t>
            </w:r>
            <w:r>
              <w:rPr>
                <w:rFonts w:hint="eastAsia" w:ascii="宋体" w:hAnsi="宋体" w:eastAsia="宋体" w:cs="宋体"/>
                <w:bCs/>
                <w:color w:val="auto"/>
                <w:kern w:val="0"/>
                <w:sz w:val="21"/>
                <w:szCs w:val="21"/>
                <w:highlight w:val="none"/>
                <w:lang w:val="en-US" w:eastAsia="zh-CN" w:bidi="ar-SA"/>
              </w:rPr>
              <w:t>分）：提供有合理、</w:t>
            </w:r>
            <w:r>
              <w:rPr>
                <w:rFonts w:hint="eastAsia" w:ascii="宋体" w:hAnsi="宋体" w:cs="宋体"/>
                <w:bCs/>
                <w:color w:val="auto"/>
                <w:kern w:val="0"/>
                <w:sz w:val="21"/>
                <w:szCs w:val="21"/>
                <w:highlight w:val="none"/>
                <w:lang w:val="en-US" w:eastAsia="zh-CN" w:bidi="ar-SA"/>
              </w:rPr>
              <w:t>有针对性</w:t>
            </w:r>
            <w:r>
              <w:rPr>
                <w:rFonts w:hint="eastAsia" w:ascii="宋体" w:hAnsi="宋体" w:eastAsia="宋体" w:cs="宋体"/>
                <w:bCs/>
                <w:color w:val="auto"/>
                <w:kern w:val="0"/>
                <w:sz w:val="21"/>
                <w:szCs w:val="21"/>
                <w:highlight w:val="none"/>
                <w:lang w:val="en-US" w:eastAsia="zh-CN" w:bidi="ar-SA"/>
              </w:rPr>
              <w:t>的服务质量保障方案，提供保安服务质量标准，方案中有针对本项目建立的检查及监督机制，能说明各级别检查及监督机制的主要职责及检查程序，并提供</w:t>
            </w:r>
            <w:r>
              <w:rPr>
                <w:rFonts w:hint="eastAsia" w:ascii="宋体" w:hAnsi="宋体" w:cs="宋体"/>
                <w:bCs/>
                <w:color w:val="auto"/>
                <w:kern w:val="0"/>
                <w:sz w:val="21"/>
                <w:szCs w:val="21"/>
                <w:highlight w:val="none"/>
                <w:lang w:val="en-US" w:eastAsia="zh-CN" w:bidi="ar-SA"/>
              </w:rPr>
              <w:t>有针对性、可行性</w:t>
            </w:r>
            <w:r>
              <w:rPr>
                <w:rFonts w:hint="eastAsia" w:ascii="宋体" w:hAnsi="宋体" w:eastAsia="宋体" w:cs="宋体"/>
                <w:bCs/>
                <w:color w:val="auto"/>
                <w:kern w:val="0"/>
                <w:sz w:val="21"/>
                <w:szCs w:val="21"/>
                <w:highlight w:val="none"/>
                <w:lang w:val="en-US" w:eastAsia="zh-CN" w:bidi="ar-SA"/>
              </w:rPr>
              <w:t>服务保障措施，保证安保人员的服务质量</w:t>
            </w:r>
            <w:r>
              <w:rPr>
                <w:rFonts w:hint="eastAsia" w:ascii="宋体" w:hAnsi="宋体" w:cs="宋体"/>
                <w:bCs/>
                <w:color w:val="auto"/>
                <w:kern w:val="0"/>
                <w:sz w:val="21"/>
                <w:szCs w:val="21"/>
                <w:highlight w:val="none"/>
                <w:lang w:val="en-US" w:eastAsia="zh-CN" w:bidi="ar-SA"/>
              </w:rPr>
              <w:t>，有利于项目实施。</w:t>
            </w:r>
          </w:p>
        </w:tc>
      </w:tr>
      <w:tr w14:paraId="0AA1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191349EF">
            <w:pPr>
              <w:adjustRightInd w:val="0"/>
              <w:snapToGrid w:val="0"/>
              <w:spacing w:line="360" w:lineRule="atLeast"/>
              <w:jc w:val="center"/>
              <w:textAlignment w:val="baseline"/>
              <w:rPr>
                <w:rFonts w:hint="eastAsia" w:ascii="宋体" w:hAnsi="宋体" w:eastAsia="宋体" w:cs="宋体"/>
                <w:color w:val="auto"/>
                <w:sz w:val="24"/>
              </w:rPr>
            </w:pPr>
          </w:p>
        </w:tc>
        <w:tc>
          <w:tcPr>
            <w:tcW w:w="1585" w:type="dxa"/>
            <w:vMerge w:val="continue"/>
            <w:noWrap w:val="0"/>
            <w:vAlign w:val="center"/>
          </w:tcPr>
          <w:p w14:paraId="1EFEB25F">
            <w:pPr>
              <w:adjustRightInd w:val="0"/>
              <w:snapToGrid w:val="0"/>
              <w:spacing w:line="360" w:lineRule="atLeast"/>
              <w:ind w:left="-105" w:leftChars="-50" w:right="-105" w:rightChars="-50"/>
              <w:jc w:val="center"/>
              <w:textAlignment w:val="baseline"/>
              <w:rPr>
                <w:rFonts w:hint="eastAsia" w:ascii="宋体" w:hAnsi="宋体" w:eastAsia="宋体" w:cs="宋体"/>
                <w:bCs/>
                <w:color w:val="auto"/>
                <w:kern w:val="0"/>
                <w:sz w:val="21"/>
                <w:szCs w:val="21"/>
                <w:lang w:val="en-US" w:eastAsia="zh-CN" w:bidi="ar-SA"/>
              </w:rPr>
            </w:pPr>
          </w:p>
        </w:tc>
        <w:tc>
          <w:tcPr>
            <w:tcW w:w="1460" w:type="dxa"/>
            <w:noWrap w:val="0"/>
            <w:vAlign w:val="center"/>
          </w:tcPr>
          <w:p w14:paraId="2786237A">
            <w:pPr>
              <w:snapToGrid w:val="0"/>
              <w:spacing w:line="360" w:lineRule="atLeast"/>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 xml:space="preserve">岗前培训方 </w:t>
            </w:r>
          </w:p>
          <w:p w14:paraId="28097ECB">
            <w:pPr>
              <w:snapToGrid w:val="0"/>
              <w:spacing w:line="360" w:lineRule="atLeast"/>
              <w:jc w:val="center"/>
              <w:rPr>
                <w:rFonts w:hint="default"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案（满分</w:t>
            </w:r>
            <w:r>
              <w:rPr>
                <w:rFonts w:hint="eastAsia" w:ascii="宋体" w:hAnsi="宋体" w:cs="宋体"/>
                <w:bCs/>
                <w:color w:val="auto"/>
                <w:kern w:val="0"/>
                <w:sz w:val="21"/>
                <w:szCs w:val="21"/>
                <w:lang w:val="en-US" w:eastAsia="zh-CN" w:bidi="ar-SA"/>
              </w:rPr>
              <w:t>16</w:t>
            </w:r>
          </w:p>
          <w:p w14:paraId="42973689">
            <w:pPr>
              <w:snapToGrid w:val="0"/>
              <w:spacing w:line="360" w:lineRule="atLeast"/>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分）</w:t>
            </w:r>
          </w:p>
        </w:tc>
        <w:tc>
          <w:tcPr>
            <w:tcW w:w="5901" w:type="dxa"/>
            <w:noWrap w:val="0"/>
            <w:vAlign w:val="center"/>
          </w:tcPr>
          <w:p w14:paraId="511C9AEE">
            <w:pPr>
              <w:widowControl/>
              <w:snapToGrid w:val="0"/>
              <w:spacing w:line="360" w:lineRule="atLeast"/>
              <w:rPr>
                <w:rFonts w:hint="eastAsia"/>
                <w:color w:val="auto"/>
                <w:lang w:val="en-US" w:eastAsia="zh-CN"/>
              </w:rPr>
            </w:pPr>
            <w:r>
              <w:rPr>
                <w:rFonts w:hint="eastAsia"/>
                <w:color w:val="auto"/>
                <w:lang w:val="en-US" w:eastAsia="zh-CN"/>
              </w:rPr>
              <w:t>投标文件中未提供岗前培训方案或所提供的内容</w:t>
            </w:r>
            <w:r>
              <w:rPr>
                <w:rFonts w:hint="eastAsia" w:ascii="宋体" w:hAnsi="宋体" w:cs="宋体"/>
                <w:color w:val="auto"/>
                <w:szCs w:val="21"/>
                <w:highlight w:val="none"/>
              </w:rPr>
              <w:t>未达最低档的得0分。</w:t>
            </w:r>
            <w:r>
              <w:rPr>
                <w:rFonts w:hint="eastAsia"/>
                <w:color w:val="auto"/>
                <w:lang w:val="en-US" w:eastAsia="zh-CN"/>
              </w:rPr>
              <w:t xml:space="preserve"> </w:t>
            </w:r>
          </w:p>
          <w:p w14:paraId="610E8140">
            <w:pPr>
              <w:widowControl/>
              <w:snapToGrid w:val="0"/>
              <w:spacing w:line="360" w:lineRule="atLeast"/>
              <w:rPr>
                <w:rFonts w:hint="eastAsia"/>
                <w:color w:val="auto"/>
                <w:lang w:val="en-US" w:eastAsia="zh-CN"/>
              </w:rPr>
            </w:pPr>
            <w:r>
              <w:rPr>
                <w:rFonts w:hint="eastAsia"/>
                <w:color w:val="auto"/>
                <w:lang w:val="en-US" w:eastAsia="zh-CN"/>
              </w:rPr>
              <w:t xml:space="preserve">一档（4分）：拟订有安保人员培训计划，每三个月实行一次培训活动，有培训目标、培训内容。 </w:t>
            </w:r>
          </w:p>
          <w:p w14:paraId="0073A009">
            <w:pPr>
              <w:widowControl/>
              <w:snapToGrid w:val="0"/>
              <w:spacing w:line="360" w:lineRule="atLeast"/>
              <w:rPr>
                <w:rFonts w:hint="eastAsia"/>
                <w:color w:val="auto"/>
                <w:lang w:val="en-US" w:eastAsia="zh-CN"/>
              </w:rPr>
            </w:pPr>
            <w:r>
              <w:rPr>
                <w:rFonts w:hint="eastAsia"/>
                <w:color w:val="auto"/>
                <w:lang w:val="en-US" w:eastAsia="zh-CN"/>
              </w:rPr>
              <w:t xml:space="preserve">二档（8分）：拟订有安保人员培训计划，每二个月实行一次培训活动，有培训目标、培训内容、培训方式，包含保安理论知识及专业技能培训，有不少于2种培训方式。 </w:t>
            </w:r>
          </w:p>
          <w:p w14:paraId="0F3D04C3">
            <w:pPr>
              <w:widowControl/>
              <w:snapToGrid w:val="0"/>
              <w:spacing w:line="360" w:lineRule="atLeast"/>
              <w:rPr>
                <w:rFonts w:hint="eastAsia"/>
                <w:color w:val="auto"/>
                <w:lang w:val="en-US" w:eastAsia="zh-CN"/>
              </w:rPr>
            </w:pPr>
            <w:r>
              <w:rPr>
                <w:rFonts w:hint="eastAsia"/>
                <w:color w:val="auto"/>
                <w:lang w:val="en-US" w:eastAsia="zh-CN"/>
              </w:rPr>
              <w:t>三档（12分）：拟订有安保人员培训计划，每一个月实行一次培训活动，有培训目标、培训内容、培训方式，包含保安理论知识及专业技能培训，有不少于3种培训方式，制定有培训考核办法及考核标准。</w:t>
            </w:r>
          </w:p>
          <w:p w14:paraId="1A051D8D">
            <w:pPr>
              <w:widowControl/>
              <w:snapToGrid w:val="0"/>
              <w:spacing w:line="360" w:lineRule="atLeast"/>
              <w:rPr>
                <w:rFonts w:hint="eastAsia" w:ascii="宋体" w:hAnsi="宋体" w:eastAsia="宋体" w:cs="宋体"/>
                <w:bCs/>
                <w:color w:val="auto"/>
                <w:kern w:val="0"/>
                <w:sz w:val="21"/>
                <w:szCs w:val="21"/>
                <w:lang w:val="en-US" w:eastAsia="zh-CN" w:bidi="ar-SA"/>
              </w:rPr>
            </w:pPr>
            <w:r>
              <w:rPr>
                <w:rFonts w:hint="eastAsia"/>
                <w:color w:val="auto"/>
                <w:lang w:val="en-US" w:eastAsia="zh-CN"/>
              </w:rPr>
              <w:t>四档（16分）：拟订有安保人员培训计划，每半个月实行一次培训活动，有培训目标、培训内容、培训方式，包含保安理论知识及专业技能培训，有不少于4种培训方式，制定有详细的培训考核办法及考核标准。</w:t>
            </w:r>
          </w:p>
        </w:tc>
      </w:tr>
      <w:tr w14:paraId="623E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14:paraId="02CB6623">
            <w:pPr>
              <w:adjustRightInd w:val="0"/>
              <w:snapToGrid w:val="0"/>
              <w:spacing w:line="360" w:lineRule="atLeast"/>
              <w:jc w:val="center"/>
              <w:textAlignment w:val="baseline"/>
              <w:rPr>
                <w:rFonts w:hint="eastAsia" w:ascii="宋体" w:hAnsi="宋体" w:eastAsia="宋体" w:cs="宋体"/>
                <w:color w:val="auto"/>
                <w:sz w:val="24"/>
              </w:rPr>
            </w:pPr>
          </w:p>
        </w:tc>
        <w:tc>
          <w:tcPr>
            <w:tcW w:w="1585" w:type="dxa"/>
            <w:vMerge w:val="continue"/>
            <w:noWrap w:val="0"/>
            <w:vAlign w:val="top"/>
          </w:tcPr>
          <w:p w14:paraId="69146E87">
            <w:pPr>
              <w:adjustRightInd w:val="0"/>
              <w:snapToGrid w:val="0"/>
              <w:spacing w:line="360" w:lineRule="atLeast"/>
              <w:jc w:val="center"/>
              <w:textAlignment w:val="baseline"/>
              <w:rPr>
                <w:rFonts w:hint="eastAsia" w:ascii="宋体" w:hAnsi="宋体" w:eastAsia="宋体" w:cs="宋体"/>
                <w:bCs/>
                <w:color w:val="auto"/>
                <w:kern w:val="0"/>
                <w:sz w:val="21"/>
                <w:szCs w:val="21"/>
                <w:lang w:val="en-US" w:eastAsia="zh-CN" w:bidi="ar-SA"/>
              </w:rPr>
            </w:pPr>
          </w:p>
        </w:tc>
        <w:tc>
          <w:tcPr>
            <w:tcW w:w="1460" w:type="dxa"/>
            <w:noWrap w:val="0"/>
            <w:tcMar>
              <w:left w:w="57" w:type="dxa"/>
              <w:right w:w="57" w:type="dxa"/>
            </w:tcMar>
            <w:vAlign w:val="center"/>
          </w:tcPr>
          <w:p w14:paraId="1F1ED40C">
            <w:pPr>
              <w:snapToGrid w:val="0"/>
              <w:spacing w:line="360" w:lineRule="atLeast"/>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 xml:space="preserve">应急预案（满 </w:t>
            </w:r>
          </w:p>
          <w:p w14:paraId="7A4CC8BD">
            <w:pPr>
              <w:snapToGrid w:val="0"/>
              <w:spacing w:line="360" w:lineRule="atLeast"/>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分</w:t>
            </w:r>
            <w:r>
              <w:rPr>
                <w:rFonts w:hint="eastAsia" w:ascii="宋体" w:hAnsi="宋体" w:cs="宋体"/>
                <w:bCs/>
                <w:color w:val="auto"/>
                <w:kern w:val="0"/>
                <w:sz w:val="21"/>
                <w:szCs w:val="21"/>
                <w:lang w:val="en-US" w:eastAsia="zh-CN" w:bidi="ar-SA"/>
              </w:rPr>
              <w:t>12</w:t>
            </w:r>
            <w:r>
              <w:rPr>
                <w:rFonts w:hint="eastAsia" w:ascii="宋体" w:hAnsi="宋体" w:eastAsia="宋体" w:cs="宋体"/>
                <w:bCs/>
                <w:color w:val="auto"/>
                <w:kern w:val="0"/>
                <w:sz w:val="21"/>
                <w:szCs w:val="21"/>
                <w:lang w:val="en-US" w:eastAsia="zh-CN" w:bidi="ar-SA"/>
              </w:rPr>
              <w:t>分）</w:t>
            </w:r>
          </w:p>
        </w:tc>
        <w:tc>
          <w:tcPr>
            <w:tcW w:w="5901" w:type="dxa"/>
            <w:noWrap w:val="0"/>
            <w:vAlign w:val="center"/>
          </w:tcPr>
          <w:p w14:paraId="3C042A29">
            <w:pPr>
              <w:widowControl/>
              <w:snapToGrid w:val="0"/>
              <w:spacing w:line="360" w:lineRule="atLeast"/>
              <w:rPr>
                <w:rFonts w:hint="eastAsia"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投标文件</w:t>
            </w:r>
            <w:r>
              <w:rPr>
                <w:rFonts w:hint="eastAsia" w:ascii="宋体" w:hAnsi="宋体" w:eastAsia="宋体" w:cs="宋体"/>
                <w:bCs/>
                <w:color w:val="auto"/>
                <w:kern w:val="0"/>
                <w:sz w:val="21"/>
                <w:szCs w:val="21"/>
                <w:lang w:val="en-US" w:eastAsia="zh-CN" w:bidi="ar-SA"/>
              </w:rPr>
              <w:t>中未提供应急预案</w:t>
            </w:r>
            <w:r>
              <w:rPr>
                <w:rFonts w:hint="eastAsia"/>
                <w:color w:val="auto"/>
                <w:lang w:val="en-US" w:eastAsia="zh-CN"/>
              </w:rPr>
              <w:t>或所提供的内容</w:t>
            </w:r>
            <w:r>
              <w:rPr>
                <w:rFonts w:hint="eastAsia" w:ascii="宋体" w:hAnsi="宋体" w:cs="宋体"/>
                <w:color w:val="auto"/>
                <w:szCs w:val="21"/>
                <w:highlight w:val="none"/>
              </w:rPr>
              <w:t>未达最低档的得0分。</w:t>
            </w:r>
            <w:r>
              <w:rPr>
                <w:rFonts w:hint="eastAsia" w:ascii="宋体" w:hAnsi="宋体" w:eastAsia="宋体" w:cs="宋体"/>
                <w:bCs/>
                <w:color w:val="auto"/>
                <w:kern w:val="0"/>
                <w:sz w:val="21"/>
                <w:szCs w:val="21"/>
                <w:lang w:val="en-US" w:eastAsia="zh-CN" w:bidi="ar-SA"/>
              </w:rPr>
              <w:t xml:space="preserve"> </w:t>
            </w:r>
          </w:p>
          <w:p w14:paraId="6C883D49">
            <w:pPr>
              <w:widowControl/>
              <w:snapToGrid w:val="0"/>
              <w:spacing w:line="360" w:lineRule="atLeast"/>
              <w:rPr>
                <w:rFonts w:hint="eastAsia"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一档</w:t>
            </w:r>
            <w:r>
              <w:rPr>
                <w:rFonts w:hint="eastAsia" w:ascii="宋体" w:hAnsi="宋体" w:eastAsia="宋体" w:cs="宋体"/>
                <w:bCs/>
                <w:color w:val="auto"/>
                <w:kern w:val="0"/>
                <w:sz w:val="21"/>
                <w:szCs w:val="21"/>
                <w:lang w:val="en-US" w:eastAsia="zh-CN" w:bidi="ar-SA"/>
              </w:rPr>
              <w:t>（</w:t>
            </w:r>
            <w:r>
              <w:rPr>
                <w:rFonts w:hint="eastAsia" w:ascii="宋体" w:hAnsi="宋体" w:cs="宋体"/>
                <w:bCs/>
                <w:color w:val="auto"/>
                <w:kern w:val="0"/>
                <w:sz w:val="21"/>
                <w:szCs w:val="21"/>
                <w:lang w:val="en-US" w:eastAsia="zh-CN" w:bidi="ar-SA"/>
              </w:rPr>
              <w:t>4</w:t>
            </w:r>
            <w:r>
              <w:rPr>
                <w:rFonts w:hint="eastAsia" w:ascii="宋体" w:hAnsi="宋体" w:eastAsia="宋体" w:cs="宋体"/>
                <w:bCs/>
                <w:color w:val="auto"/>
                <w:kern w:val="0"/>
                <w:sz w:val="21"/>
                <w:szCs w:val="21"/>
                <w:lang w:val="en-US" w:eastAsia="zh-CN" w:bidi="ar-SA"/>
              </w:rPr>
              <w:t>分）：具有基本的应急组织</w:t>
            </w:r>
            <w:r>
              <w:rPr>
                <w:rFonts w:hint="eastAsia"/>
                <w:color w:val="auto"/>
                <w:lang w:val="en-US" w:eastAsia="zh-CN"/>
              </w:rPr>
              <w:t>措施</w:t>
            </w:r>
            <w:r>
              <w:rPr>
                <w:rFonts w:hint="eastAsia" w:ascii="宋体" w:hAnsi="宋体" w:eastAsia="宋体" w:cs="宋体"/>
                <w:bCs/>
                <w:color w:val="auto"/>
                <w:kern w:val="0"/>
                <w:sz w:val="21"/>
                <w:szCs w:val="21"/>
                <w:lang w:val="en-US" w:eastAsia="zh-CN" w:bidi="ar-SA"/>
              </w:rPr>
              <w:t xml:space="preserve">，提供应急人员安排及应急人员岗位职责、应急人员调配计划及人员计划（安排）表。 </w:t>
            </w:r>
          </w:p>
          <w:p w14:paraId="2C85EC3D">
            <w:pPr>
              <w:widowControl/>
              <w:snapToGrid w:val="0"/>
              <w:spacing w:line="360" w:lineRule="atLeast"/>
              <w:rPr>
                <w:rFonts w:hint="eastAsia"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二档</w:t>
            </w:r>
            <w:r>
              <w:rPr>
                <w:rFonts w:hint="eastAsia" w:ascii="宋体" w:hAnsi="宋体" w:eastAsia="宋体" w:cs="宋体"/>
                <w:bCs/>
                <w:color w:val="auto"/>
                <w:kern w:val="0"/>
                <w:sz w:val="21"/>
                <w:szCs w:val="21"/>
                <w:lang w:val="en-US" w:eastAsia="zh-CN" w:bidi="ar-SA"/>
              </w:rPr>
              <w:t>（</w:t>
            </w:r>
            <w:r>
              <w:rPr>
                <w:rFonts w:hint="eastAsia" w:ascii="宋体" w:hAnsi="宋体" w:cs="宋体"/>
                <w:bCs/>
                <w:color w:val="auto"/>
                <w:kern w:val="0"/>
                <w:sz w:val="21"/>
                <w:szCs w:val="21"/>
                <w:lang w:val="en-US" w:eastAsia="zh-CN" w:bidi="ar-SA"/>
              </w:rPr>
              <w:t>8</w:t>
            </w:r>
            <w:r>
              <w:rPr>
                <w:rFonts w:hint="eastAsia" w:ascii="宋体" w:hAnsi="宋体" w:eastAsia="宋体" w:cs="宋体"/>
                <w:bCs/>
                <w:color w:val="auto"/>
                <w:kern w:val="0"/>
                <w:sz w:val="21"/>
                <w:szCs w:val="21"/>
                <w:lang w:val="en-US" w:eastAsia="zh-CN" w:bidi="ar-SA"/>
              </w:rPr>
              <w:t>分）：具有应急组织</w:t>
            </w:r>
            <w:r>
              <w:rPr>
                <w:rFonts w:hint="eastAsia" w:ascii="宋体" w:hAnsi="宋体" w:cs="宋体"/>
                <w:bCs/>
                <w:color w:val="auto"/>
                <w:kern w:val="0"/>
                <w:sz w:val="21"/>
                <w:szCs w:val="21"/>
                <w:lang w:val="en-US" w:eastAsia="zh-CN" w:bidi="ar-SA"/>
              </w:rPr>
              <w:t>措施</w:t>
            </w:r>
            <w:r>
              <w:rPr>
                <w:rFonts w:hint="eastAsia" w:ascii="宋体" w:hAnsi="宋体" w:eastAsia="宋体" w:cs="宋体"/>
                <w:bCs/>
                <w:color w:val="auto"/>
                <w:kern w:val="0"/>
                <w:sz w:val="21"/>
                <w:szCs w:val="21"/>
                <w:lang w:val="en-US" w:eastAsia="zh-CN" w:bidi="ar-SA"/>
              </w:rPr>
              <w:t xml:space="preserve">，提供应急人员安排及应急人员岗位职责、应急人员调配计划及人员计划（安排）表，能提出对消防管理、治安事件、卫生事件的解决措施，能对应急情况发生的问题立即响应，配备应急人员调配计划与应急事件处理方案。 </w:t>
            </w:r>
          </w:p>
          <w:p w14:paraId="4455D985">
            <w:pPr>
              <w:widowControl/>
              <w:snapToGrid w:val="0"/>
              <w:spacing w:line="360" w:lineRule="atLeast"/>
              <w:rPr>
                <w:rFonts w:hint="eastAsia"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三档</w:t>
            </w:r>
            <w:r>
              <w:rPr>
                <w:rFonts w:hint="eastAsia" w:ascii="宋体" w:hAnsi="宋体" w:eastAsia="宋体" w:cs="宋体"/>
                <w:bCs/>
                <w:color w:val="auto"/>
                <w:kern w:val="0"/>
                <w:sz w:val="21"/>
                <w:szCs w:val="21"/>
                <w:lang w:val="en-US" w:eastAsia="zh-CN" w:bidi="ar-SA"/>
              </w:rPr>
              <w:t>（1</w:t>
            </w:r>
            <w:r>
              <w:rPr>
                <w:rFonts w:hint="eastAsia" w:ascii="宋体" w:hAnsi="宋体" w:cs="宋体"/>
                <w:bCs/>
                <w:color w:val="auto"/>
                <w:kern w:val="0"/>
                <w:sz w:val="21"/>
                <w:szCs w:val="21"/>
                <w:lang w:val="en-US" w:eastAsia="zh-CN" w:bidi="ar-SA"/>
              </w:rPr>
              <w:t>2</w:t>
            </w:r>
            <w:r>
              <w:rPr>
                <w:rFonts w:hint="eastAsia" w:ascii="宋体" w:hAnsi="宋体" w:eastAsia="宋体" w:cs="宋体"/>
                <w:bCs/>
                <w:color w:val="auto"/>
                <w:kern w:val="0"/>
                <w:sz w:val="21"/>
                <w:szCs w:val="21"/>
                <w:lang w:val="en-US" w:eastAsia="zh-CN" w:bidi="ar-SA"/>
              </w:rPr>
              <w:t>分）：具有应急组织</w:t>
            </w:r>
            <w:r>
              <w:rPr>
                <w:rFonts w:hint="eastAsia" w:ascii="宋体" w:hAnsi="宋体" w:cs="宋体"/>
                <w:bCs/>
                <w:color w:val="auto"/>
                <w:kern w:val="0"/>
                <w:sz w:val="21"/>
                <w:szCs w:val="21"/>
                <w:lang w:val="en-US" w:eastAsia="zh-CN" w:bidi="ar-SA"/>
              </w:rPr>
              <w:t>措施</w:t>
            </w:r>
            <w:r>
              <w:rPr>
                <w:rFonts w:hint="eastAsia" w:ascii="宋体" w:hAnsi="宋体" w:eastAsia="宋体" w:cs="宋体"/>
                <w:bCs/>
                <w:color w:val="auto"/>
                <w:kern w:val="0"/>
                <w:sz w:val="21"/>
                <w:szCs w:val="21"/>
                <w:lang w:val="en-US" w:eastAsia="zh-CN" w:bidi="ar-SA"/>
              </w:rPr>
              <w:t xml:space="preserve">，提供应急人员安排及应急人员岗位职责、应急人员调配计划及人员计划（安排）表，能提出对消防管理、治安事件、卫生事件、自然灾害事件、意外事件等突发事件的解决措施，能对应急情况发生的问题立即响应，提供处理完成时间，配备应急人员调配计划及人员计划（安 </w:t>
            </w:r>
          </w:p>
          <w:p w14:paraId="7EB5E741">
            <w:pPr>
              <w:widowControl/>
              <w:snapToGrid w:val="0"/>
              <w:spacing w:line="360" w:lineRule="atLeast"/>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排）表及应急事件处理方案</w:t>
            </w:r>
            <w:r>
              <w:rPr>
                <w:rFonts w:hint="eastAsia" w:ascii="宋体" w:hAnsi="宋体" w:cs="宋体"/>
                <w:bCs/>
                <w:color w:val="auto"/>
                <w:kern w:val="0"/>
                <w:sz w:val="21"/>
                <w:szCs w:val="21"/>
                <w:lang w:val="en-US" w:eastAsia="zh-CN" w:bidi="ar-SA"/>
              </w:rPr>
              <w:t>。</w:t>
            </w:r>
          </w:p>
        </w:tc>
      </w:tr>
      <w:tr w14:paraId="6146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noWrap w:val="0"/>
            <w:vAlign w:val="center"/>
          </w:tcPr>
          <w:p w14:paraId="072486EA">
            <w:pPr>
              <w:snapToGrid w:val="0"/>
              <w:spacing w:line="360" w:lineRule="atLeast"/>
              <w:jc w:val="center"/>
              <w:rPr>
                <w:rFonts w:hint="eastAsia" w:ascii="宋体" w:hAnsi="宋体" w:eastAsia="宋体" w:cs="宋体"/>
                <w:color w:val="auto"/>
                <w:sz w:val="24"/>
              </w:rPr>
            </w:pPr>
            <w:r>
              <w:rPr>
                <w:rFonts w:hint="eastAsia" w:ascii="宋体" w:hAnsi="宋体" w:cs="宋体"/>
                <w:color w:val="auto"/>
                <w:sz w:val="24"/>
                <w:lang w:val="en-US" w:eastAsia="zh-CN"/>
              </w:rPr>
              <w:t>3</w:t>
            </w:r>
          </w:p>
        </w:tc>
        <w:tc>
          <w:tcPr>
            <w:tcW w:w="1585" w:type="dxa"/>
            <w:noWrap w:val="0"/>
            <w:vAlign w:val="center"/>
          </w:tcPr>
          <w:p w14:paraId="008A822F">
            <w:pPr>
              <w:adjustRightInd w:val="0"/>
              <w:snapToGrid w:val="0"/>
              <w:spacing w:line="360" w:lineRule="atLeast"/>
              <w:ind w:left="-105" w:leftChars="-50" w:right="-105" w:rightChars="-50"/>
              <w:jc w:val="center"/>
              <w:textAlignment w:val="baseline"/>
              <w:rPr>
                <w:rFonts w:hint="eastAsia" w:ascii="宋体" w:hAnsi="宋体" w:eastAsia="宋体" w:cs="宋体"/>
                <w:b/>
                <w:bCs w:val="0"/>
                <w:color w:val="auto"/>
                <w:kern w:val="0"/>
                <w:sz w:val="21"/>
                <w:szCs w:val="21"/>
                <w:lang w:val="en-US" w:eastAsia="zh-CN" w:bidi="ar-SA"/>
              </w:rPr>
            </w:pPr>
            <w:r>
              <w:rPr>
                <w:rFonts w:hint="eastAsia" w:ascii="宋体" w:hAnsi="宋体" w:cs="宋体"/>
                <w:b/>
                <w:bCs w:val="0"/>
                <w:color w:val="auto"/>
                <w:kern w:val="0"/>
                <w:sz w:val="21"/>
                <w:szCs w:val="21"/>
                <w:lang w:val="en-US" w:eastAsia="zh-CN" w:bidi="ar-SA"/>
              </w:rPr>
              <w:t>商务分</w:t>
            </w:r>
          </w:p>
          <w:p w14:paraId="3CA6AAFB">
            <w:pPr>
              <w:snapToGrid w:val="0"/>
              <w:spacing w:line="360" w:lineRule="atLeast"/>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（满分</w:t>
            </w:r>
            <w:r>
              <w:rPr>
                <w:rFonts w:hint="eastAsia" w:ascii="宋体" w:hAnsi="宋体" w:eastAsia="宋体" w:cs="宋体"/>
                <w:bCs/>
                <w:color w:val="auto"/>
                <w:kern w:val="0"/>
                <w:sz w:val="21"/>
                <w:szCs w:val="21"/>
                <w:u w:val="single"/>
                <w:lang w:val="en-US" w:eastAsia="zh-CN" w:bidi="ar-SA"/>
              </w:rPr>
              <w:t xml:space="preserve"> </w:t>
            </w:r>
            <w:r>
              <w:rPr>
                <w:rFonts w:hint="eastAsia" w:ascii="宋体" w:hAnsi="宋体" w:cs="宋体"/>
                <w:bCs/>
                <w:color w:val="auto"/>
                <w:kern w:val="0"/>
                <w:sz w:val="21"/>
                <w:szCs w:val="21"/>
                <w:u w:val="single"/>
                <w:lang w:val="en-US" w:eastAsia="zh-CN" w:bidi="ar-SA"/>
              </w:rPr>
              <w:t>5</w:t>
            </w:r>
            <w:r>
              <w:rPr>
                <w:rFonts w:hint="eastAsia" w:ascii="宋体" w:hAnsi="宋体" w:eastAsia="宋体" w:cs="宋体"/>
                <w:bCs/>
                <w:color w:val="auto"/>
                <w:kern w:val="0"/>
                <w:sz w:val="21"/>
                <w:szCs w:val="21"/>
                <w:u w:val="single"/>
                <w:lang w:val="en-US" w:eastAsia="zh-CN" w:bidi="ar-SA"/>
              </w:rPr>
              <w:t xml:space="preserve"> </w:t>
            </w:r>
            <w:r>
              <w:rPr>
                <w:rFonts w:hint="eastAsia" w:ascii="宋体" w:hAnsi="宋体" w:eastAsia="宋体" w:cs="宋体"/>
                <w:bCs/>
                <w:color w:val="auto"/>
                <w:kern w:val="0"/>
                <w:sz w:val="21"/>
                <w:szCs w:val="21"/>
                <w:lang w:val="en-US" w:eastAsia="zh-CN" w:bidi="ar-SA"/>
              </w:rPr>
              <w:t>分）</w:t>
            </w:r>
          </w:p>
        </w:tc>
        <w:tc>
          <w:tcPr>
            <w:tcW w:w="1460" w:type="dxa"/>
            <w:noWrap w:val="0"/>
            <w:tcMar>
              <w:left w:w="57" w:type="dxa"/>
              <w:right w:w="57" w:type="dxa"/>
            </w:tcMar>
            <w:vAlign w:val="center"/>
          </w:tcPr>
          <w:p w14:paraId="3EFD4B4A">
            <w:pPr>
              <w:snapToGrid w:val="0"/>
              <w:spacing w:line="360" w:lineRule="atLeast"/>
              <w:jc w:val="center"/>
              <w:rPr>
                <w:rFonts w:hint="eastAsia" w:ascii="宋体" w:hAnsi="宋体" w:eastAsia="宋体" w:cs="宋体"/>
                <w:b/>
                <w:bCs w:val="0"/>
                <w:color w:val="auto"/>
                <w:kern w:val="0"/>
                <w:sz w:val="21"/>
                <w:szCs w:val="21"/>
                <w:lang w:val="en-US" w:eastAsia="zh-CN" w:bidi="ar-SA"/>
              </w:rPr>
            </w:pPr>
            <w:r>
              <w:rPr>
                <w:rFonts w:hint="eastAsia" w:ascii="宋体" w:hAnsi="宋体" w:eastAsia="宋体" w:cs="宋体"/>
                <w:b/>
                <w:bCs w:val="0"/>
                <w:color w:val="auto"/>
                <w:kern w:val="0"/>
                <w:sz w:val="21"/>
                <w:szCs w:val="21"/>
                <w:lang w:val="en-US" w:eastAsia="zh-CN" w:bidi="ar-SA"/>
              </w:rPr>
              <w:t>业绩分</w:t>
            </w:r>
          </w:p>
          <w:p w14:paraId="176E9CF9">
            <w:pPr>
              <w:snapToGrid w:val="0"/>
              <w:spacing w:line="360" w:lineRule="atLeast"/>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（满分</w:t>
            </w:r>
            <w:r>
              <w:rPr>
                <w:rFonts w:hint="eastAsia" w:ascii="宋体" w:hAnsi="宋体" w:cs="宋体"/>
                <w:bCs/>
                <w:color w:val="auto"/>
                <w:kern w:val="0"/>
                <w:sz w:val="21"/>
                <w:szCs w:val="21"/>
                <w:u w:val="single"/>
                <w:lang w:val="en-US" w:eastAsia="zh-CN" w:bidi="ar-SA"/>
              </w:rPr>
              <w:t>5</w:t>
            </w:r>
            <w:r>
              <w:rPr>
                <w:rFonts w:hint="eastAsia" w:ascii="宋体" w:hAnsi="宋体" w:eastAsia="宋体" w:cs="宋体"/>
                <w:bCs/>
                <w:color w:val="auto"/>
                <w:kern w:val="0"/>
                <w:sz w:val="21"/>
                <w:szCs w:val="21"/>
                <w:lang w:val="en-US" w:eastAsia="zh-CN" w:bidi="ar-SA"/>
              </w:rPr>
              <w:t>分）</w:t>
            </w:r>
          </w:p>
        </w:tc>
        <w:tc>
          <w:tcPr>
            <w:tcW w:w="5901" w:type="dxa"/>
            <w:noWrap w:val="0"/>
            <w:vAlign w:val="top"/>
          </w:tcPr>
          <w:p w14:paraId="176891CD">
            <w:pPr>
              <w:snapToGrid w:val="0"/>
              <w:spacing w:line="360" w:lineRule="atLeast"/>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202</w:t>
            </w:r>
            <w:r>
              <w:rPr>
                <w:rFonts w:hint="eastAsia" w:ascii="宋体" w:hAnsi="宋体" w:cs="宋体"/>
                <w:bCs/>
                <w:color w:val="auto"/>
                <w:kern w:val="0"/>
                <w:sz w:val="21"/>
                <w:szCs w:val="21"/>
                <w:lang w:val="en-US" w:eastAsia="zh-CN" w:bidi="ar-SA"/>
              </w:rPr>
              <w:t>3</w:t>
            </w:r>
            <w:r>
              <w:rPr>
                <w:rFonts w:hint="eastAsia" w:ascii="宋体" w:hAnsi="宋体" w:eastAsia="宋体" w:cs="宋体"/>
                <w:bCs/>
                <w:color w:val="auto"/>
                <w:kern w:val="0"/>
                <w:sz w:val="21"/>
                <w:szCs w:val="21"/>
                <w:lang w:val="en-US" w:eastAsia="zh-CN" w:bidi="ar-SA"/>
              </w:rPr>
              <w:t>年1月1日至提交投标文件截止时间止，投标人具有与采购内容有关的类似项目业绩的，每提供一个得</w:t>
            </w:r>
            <w:r>
              <w:rPr>
                <w:rFonts w:hint="eastAsia" w:ascii="宋体" w:hAnsi="宋体" w:cs="宋体"/>
                <w:bCs/>
                <w:color w:val="auto"/>
                <w:kern w:val="0"/>
                <w:sz w:val="21"/>
                <w:szCs w:val="21"/>
                <w:lang w:val="en-US" w:eastAsia="zh-CN" w:bidi="ar-SA"/>
              </w:rPr>
              <w:t>2.5</w:t>
            </w:r>
            <w:r>
              <w:rPr>
                <w:rFonts w:hint="eastAsia" w:ascii="宋体" w:hAnsi="宋体" w:eastAsia="宋体" w:cs="宋体"/>
                <w:bCs/>
                <w:color w:val="auto"/>
                <w:kern w:val="0"/>
                <w:sz w:val="21"/>
                <w:szCs w:val="21"/>
                <w:lang w:val="en-US" w:eastAsia="zh-CN" w:bidi="ar-SA"/>
              </w:rPr>
              <w:t>分，满分</w:t>
            </w:r>
            <w:r>
              <w:rPr>
                <w:rFonts w:hint="eastAsia" w:ascii="宋体" w:hAnsi="宋体" w:cs="宋体"/>
                <w:bCs/>
                <w:color w:val="auto"/>
                <w:kern w:val="0"/>
                <w:sz w:val="21"/>
                <w:szCs w:val="21"/>
                <w:lang w:val="en-US" w:eastAsia="zh-CN" w:bidi="ar-SA"/>
              </w:rPr>
              <w:t>5</w:t>
            </w:r>
            <w:r>
              <w:rPr>
                <w:rFonts w:hint="eastAsia" w:ascii="宋体" w:hAnsi="宋体" w:eastAsia="宋体" w:cs="宋体"/>
                <w:bCs/>
                <w:color w:val="auto"/>
                <w:kern w:val="0"/>
                <w:sz w:val="21"/>
                <w:szCs w:val="21"/>
                <w:lang w:val="en-US" w:eastAsia="zh-CN" w:bidi="ar-SA"/>
              </w:rPr>
              <w:t xml:space="preserve"> 分。【需在投标文件中提供类似项目业绩的有效的合同或者中标（成交）通知书复印件并加盖投标人公章，未按要求提供的该项不得分</w:t>
            </w:r>
            <w:r>
              <w:rPr>
                <w:rFonts w:hint="eastAsia" w:ascii="宋体" w:hAnsi="宋体" w:cs="宋体"/>
                <w:bCs/>
                <w:color w:val="auto"/>
                <w:kern w:val="0"/>
                <w:sz w:val="21"/>
                <w:szCs w:val="21"/>
                <w:lang w:val="en-US" w:eastAsia="zh-CN" w:bidi="ar-SA"/>
              </w:rPr>
              <w:t>】</w:t>
            </w:r>
          </w:p>
        </w:tc>
      </w:tr>
      <w:tr w14:paraId="36C2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8" w:type="dxa"/>
            <w:gridSpan w:val="4"/>
            <w:noWrap w:val="0"/>
            <w:vAlign w:val="center"/>
          </w:tcPr>
          <w:p w14:paraId="62189BCF">
            <w:pPr>
              <w:pStyle w:val="14"/>
              <w:snapToGrid w:val="0"/>
              <w:spacing w:line="360" w:lineRule="atLeast"/>
              <w:rPr>
                <w:rFonts w:hint="eastAsia" w:ascii="宋体" w:hAnsi="宋体" w:eastAsia="宋体" w:cs="宋体"/>
                <w:b/>
                <w:bCs/>
                <w:color w:val="auto"/>
                <w:sz w:val="24"/>
                <w:szCs w:val="24"/>
              </w:rPr>
            </w:pPr>
            <w:r>
              <w:rPr>
                <w:rFonts w:hint="eastAsia" w:ascii="宋体" w:hAnsi="宋体" w:eastAsia="宋体" w:cs="宋体"/>
                <w:b/>
                <w:bCs/>
                <w:color w:val="auto"/>
                <w:sz w:val="24"/>
                <w:szCs w:val="24"/>
              </w:rPr>
              <w:t>总得分=1+2+3</w:t>
            </w:r>
          </w:p>
        </w:tc>
      </w:tr>
    </w:tbl>
    <w:p w14:paraId="06771065">
      <w:pPr>
        <w:rPr>
          <w:rFonts w:hint="eastAsia"/>
          <w:color w:val="auto"/>
          <w:lang w:eastAsia="zh-CN"/>
        </w:rPr>
      </w:pPr>
    </w:p>
    <w:p w14:paraId="5298948B">
      <w:pPr>
        <w:pStyle w:val="5"/>
        <w:jc w:val="center"/>
        <w:rPr>
          <w:rFonts w:hint="eastAsia" w:cs="Times New Roman"/>
          <w:b w:val="0"/>
          <w:color w:val="auto"/>
          <w:sz w:val="30"/>
          <w:szCs w:val="30"/>
          <w:highlight w:val="none"/>
        </w:rPr>
      </w:pPr>
      <w:bookmarkStart w:id="311" w:name="_Toc16466"/>
      <w:bookmarkStart w:id="312" w:name="_Toc20313"/>
      <w:bookmarkStart w:id="313" w:name="_Toc2202"/>
      <w:bookmarkStart w:id="314" w:name="_Toc18582"/>
      <w:bookmarkStart w:id="315" w:name="_Toc11083"/>
      <w:bookmarkStart w:id="316" w:name="_Toc10751"/>
      <w:bookmarkStart w:id="317" w:name="_Toc12855"/>
      <w:bookmarkStart w:id="318" w:name="_Toc23906"/>
      <w:bookmarkStart w:id="319" w:name="_Toc9480"/>
      <w:bookmarkStart w:id="320" w:name="_Toc15061"/>
      <w:r>
        <w:rPr>
          <w:rFonts w:hint="eastAsia" w:cs="Times New Roman"/>
          <w:b w:val="0"/>
          <w:color w:val="auto"/>
          <w:sz w:val="30"/>
          <w:szCs w:val="30"/>
          <w:highlight w:val="none"/>
        </w:rPr>
        <w:t>第四节</w:t>
      </w:r>
      <w:r>
        <w:rPr>
          <w:rFonts w:cs="Times New Roman"/>
          <w:b w:val="0"/>
          <w:color w:val="auto"/>
          <w:sz w:val="30"/>
          <w:szCs w:val="30"/>
          <w:highlight w:val="none"/>
        </w:rPr>
        <w:t xml:space="preserve"> </w:t>
      </w:r>
      <w:r>
        <w:rPr>
          <w:rFonts w:hint="eastAsia" w:cs="Times New Roman"/>
          <w:b w:val="0"/>
          <w:color w:val="auto"/>
          <w:sz w:val="30"/>
          <w:szCs w:val="30"/>
          <w:highlight w:val="none"/>
        </w:rPr>
        <w:t>中标候选人推荐原则</w:t>
      </w:r>
      <w:bookmarkEnd w:id="311"/>
      <w:bookmarkEnd w:id="312"/>
      <w:bookmarkEnd w:id="313"/>
      <w:bookmarkEnd w:id="314"/>
      <w:bookmarkEnd w:id="315"/>
      <w:bookmarkEnd w:id="316"/>
      <w:bookmarkEnd w:id="317"/>
      <w:bookmarkEnd w:id="318"/>
      <w:bookmarkEnd w:id="319"/>
      <w:bookmarkEnd w:id="320"/>
    </w:p>
    <w:p w14:paraId="5BA51943">
      <w:pPr>
        <w:pStyle w:val="14"/>
        <w:numPr>
          <w:ilvl w:val="0"/>
          <w:numId w:val="0"/>
        </w:numPr>
        <w:spacing w:line="360" w:lineRule="auto"/>
        <w:ind w:left="472" w:leftChars="0"/>
        <w:contextualSpacing/>
        <w:rPr>
          <w:rFonts w:hAnsi="宋体" w:eastAsia="宋体" w:cs="Times New Roman"/>
          <w:b/>
          <w:bCs/>
          <w:color w:val="auto"/>
          <w:sz w:val="24"/>
          <w:szCs w:val="24"/>
          <w:highlight w:val="none"/>
        </w:rPr>
      </w:pPr>
      <w:r>
        <w:rPr>
          <w:rFonts w:hint="eastAsia" w:hAnsi="宋体" w:eastAsia="宋体" w:cs="Times New Roman"/>
          <w:b/>
          <w:bCs/>
          <w:color w:val="auto"/>
          <w:sz w:val="24"/>
          <w:szCs w:val="24"/>
          <w:highlight w:val="none"/>
        </w:rPr>
        <w:t>（一）综合评分法</w:t>
      </w:r>
    </w:p>
    <w:p w14:paraId="795D92EF">
      <w:pPr>
        <w:pStyle w:val="14"/>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评标委员会将根据评审后总得分由高到低排列次序并推荐中标候选人。总得分相同的，以投标报价由低到高顺序排列</w:t>
      </w:r>
      <w:r>
        <w:rPr>
          <w:rFonts w:hint="eastAsia" w:hAnsi="宋体" w:cs="Times New Roman"/>
          <w:color w:val="auto"/>
          <w:highlight w:val="none"/>
          <w:lang w:eastAsia="zh-CN"/>
        </w:rPr>
        <w:t>，</w:t>
      </w:r>
      <w:r>
        <w:rPr>
          <w:rFonts w:hint="eastAsia" w:hAnsi="宋体" w:eastAsia="宋体" w:cs="Times New Roman"/>
          <w:color w:val="auto"/>
          <w:highlight w:val="none"/>
        </w:rPr>
        <w:t>得分相同且投标报价相同的并列</w:t>
      </w:r>
      <w:r>
        <w:rPr>
          <w:rFonts w:hint="eastAsia" w:hAnsi="宋体" w:cs="Times New Roman"/>
          <w:color w:val="auto"/>
          <w:highlight w:val="none"/>
          <w:lang w:eastAsia="zh-CN"/>
        </w:rPr>
        <w:t>。</w:t>
      </w:r>
      <w:r>
        <w:rPr>
          <w:rFonts w:hint="eastAsia" w:hAnsi="宋体" w:eastAsia="宋体" w:cs="Times New Roman"/>
          <w:color w:val="auto"/>
          <w:highlight w:val="none"/>
        </w:rPr>
        <w:t>投标文件满足招标文件全部实质性要求，且按照评审因素的量化指标评审得分最高的投标人为排名第一的中标候选人。</w:t>
      </w:r>
    </w:p>
    <w:p w14:paraId="102A3009">
      <w:pPr>
        <w:pStyle w:val="14"/>
        <w:spacing w:line="360" w:lineRule="auto"/>
        <w:ind w:firstLine="482" w:firstLineChars="200"/>
        <w:rPr>
          <w:rFonts w:hint="eastAsia" w:hAnsi="宋体" w:eastAsia="宋体" w:cs="Times New Roman"/>
          <w:color w:val="auto"/>
          <w:highlight w:val="none"/>
        </w:rPr>
      </w:pPr>
      <w:r>
        <w:rPr>
          <w:rFonts w:hint="eastAsia" w:hAnsi="宋体" w:eastAsia="宋体" w:cs="Times New Roman"/>
          <w:b/>
          <w:bCs/>
          <w:color w:val="auto"/>
          <w:sz w:val="24"/>
          <w:szCs w:val="24"/>
          <w:highlight w:val="none"/>
        </w:rPr>
        <w:t>（二）最低评标报价法</w:t>
      </w:r>
    </w:p>
    <w:p w14:paraId="07FB8690">
      <w:pPr>
        <w:pStyle w:val="14"/>
        <w:tabs>
          <w:tab w:val="left" w:pos="2472"/>
        </w:tabs>
        <w:spacing w:line="480" w:lineRule="exact"/>
        <w:ind w:firstLine="420" w:firstLineChars="200"/>
        <w:rPr>
          <w:rFonts w:hint="eastAsia" w:eastAsia="宋体" w:cs="Times New Roman"/>
          <w:color w:val="auto"/>
          <w:highlight w:val="none"/>
        </w:rPr>
      </w:pPr>
      <w:r>
        <w:rPr>
          <w:rFonts w:hint="eastAsia" w:hAnsi="宋体" w:eastAsia="宋体" w:cs="Times New Roman"/>
          <w:color w:val="auto"/>
          <w:highlight w:val="none"/>
        </w:rPr>
        <w:t>评标委员会将按照有效评标报价从低到高顺序排列，评标报价相同的并列。投标文件满足招标文件全部实质性要求且评标报价最低的投标人为排名第一的中标候选人。</w:t>
      </w:r>
    </w:p>
    <w:p w14:paraId="6C50AF52">
      <w:pPr>
        <w:pStyle w:val="5"/>
        <w:spacing w:before="0" w:after="0" w:line="360" w:lineRule="auto"/>
        <w:ind w:firstLine="600" w:firstLineChars="200"/>
        <w:jc w:val="center"/>
        <w:rPr>
          <w:rFonts w:hint="eastAsia" w:cs="Times New Roman"/>
          <w:b w:val="0"/>
          <w:color w:val="auto"/>
          <w:sz w:val="30"/>
          <w:szCs w:val="30"/>
          <w:highlight w:val="none"/>
        </w:rPr>
      </w:pPr>
      <w:bookmarkStart w:id="321" w:name="_Toc29218"/>
      <w:bookmarkStart w:id="322" w:name="_Toc11073"/>
      <w:bookmarkStart w:id="323" w:name="_Toc27419"/>
      <w:bookmarkStart w:id="324" w:name="_Toc11545"/>
      <w:bookmarkStart w:id="325" w:name="_Toc11695"/>
      <w:bookmarkStart w:id="326" w:name="_Toc7971"/>
      <w:bookmarkStart w:id="327" w:name="_Toc22384"/>
      <w:bookmarkStart w:id="328" w:name="_Toc13808"/>
      <w:bookmarkStart w:id="329" w:name="_Toc9602"/>
      <w:bookmarkStart w:id="330" w:name="_Toc13625"/>
      <w:r>
        <w:rPr>
          <w:rFonts w:hint="eastAsia" w:cs="Times New Roman"/>
          <w:b w:val="0"/>
          <w:color w:val="auto"/>
          <w:sz w:val="30"/>
          <w:szCs w:val="30"/>
          <w:highlight w:val="none"/>
        </w:rPr>
        <w:t>第五节</w:t>
      </w:r>
      <w:r>
        <w:rPr>
          <w:rFonts w:cs="Times New Roman"/>
          <w:b w:val="0"/>
          <w:color w:val="auto"/>
          <w:sz w:val="30"/>
          <w:szCs w:val="30"/>
          <w:highlight w:val="none"/>
        </w:rPr>
        <w:t xml:space="preserve"> </w:t>
      </w:r>
      <w:r>
        <w:rPr>
          <w:rFonts w:hint="eastAsia" w:cs="Times New Roman"/>
          <w:b w:val="0"/>
          <w:color w:val="auto"/>
          <w:sz w:val="30"/>
          <w:szCs w:val="30"/>
          <w:highlight w:val="none"/>
        </w:rPr>
        <w:t>评标报告</w:t>
      </w:r>
      <w:bookmarkEnd w:id="321"/>
      <w:bookmarkEnd w:id="322"/>
      <w:bookmarkEnd w:id="323"/>
      <w:bookmarkEnd w:id="324"/>
      <w:bookmarkEnd w:id="325"/>
      <w:bookmarkEnd w:id="326"/>
      <w:bookmarkEnd w:id="327"/>
      <w:bookmarkEnd w:id="328"/>
      <w:bookmarkEnd w:id="329"/>
      <w:bookmarkEnd w:id="330"/>
    </w:p>
    <w:p w14:paraId="6E3F1B1F">
      <w:pPr>
        <w:pStyle w:val="30"/>
        <w:spacing w:before="0"/>
        <w:ind w:firstLine="482"/>
        <w:rPr>
          <w:rFonts w:ascii="宋体" w:hAnsi="宋体" w:eastAsia="宋体" w:cs="Times New Roman"/>
          <w:b/>
          <w:bCs/>
          <w:color w:val="auto"/>
          <w:szCs w:val="24"/>
          <w:highlight w:val="none"/>
        </w:rPr>
      </w:pPr>
      <w:r>
        <w:rPr>
          <w:rFonts w:hint="eastAsia" w:ascii="宋体" w:hAnsi="宋体" w:eastAsia="宋体" w:cs="Times New Roman"/>
          <w:b/>
          <w:bCs/>
          <w:color w:val="auto"/>
          <w:szCs w:val="24"/>
          <w:highlight w:val="none"/>
        </w:rPr>
        <w:t>（一）评标报告与推荐中标候选人</w:t>
      </w:r>
    </w:p>
    <w:p w14:paraId="33029DAD">
      <w:pPr>
        <w:pStyle w:val="14"/>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评标委员会根据原始评标记录和评标结果编写评标报告，并通过电子交易平台向采购人、采购代理机构提交。</w:t>
      </w:r>
    </w:p>
    <w:p w14:paraId="3892192C">
      <w:pPr>
        <w:widowControl/>
        <w:spacing w:line="360" w:lineRule="auto"/>
        <w:ind w:firstLine="482" w:firstLineChars="200"/>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（二）评标争议事项处理</w:t>
      </w:r>
    </w:p>
    <w:p w14:paraId="15F322D1">
      <w:pPr>
        <w:pStyle w:val="14"/>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73A88141">
      <w:pPr>
        <w:widowControl/>
        <w:jc w:val="left"/>
        <w:rPr>
          <w:b/>
          <w:color w:val="auto"/>
          <w:sz w:val="36"/>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144F3A8A">
      <w:pPr>
        <w:pStyle w:val="14"/>
        <w:tabs>
          <w:tab w:val="left" w:pos="2472"/>
        </w:tabs>
        <w:spacing w:line="460" w:lineRule="exact"/>
        <w:jc w:val="center"/>
        <w:rPr>
          <w:rFonts w:hint="eastAsia" w:ascii="Times New Roman" w:hAnsi="Times New Roman" w:eastAsia="宋体" w:cs="Times New Roman"/>
          <w:b/>
          <w:color w:val="auto"/>
          <w:sz w:val="36"/>
          <w:highlight w:val="none"/>
        </w:rPr>
      </w:pPr>
    </w:p>
    <w:p w14:paraId="7B7A1FCE">
      <w:pPr>
        <w:pStyle w:val="14"/>
        <w:tabs>
          <w:tab w:val="left" w:pos="2472"/>
        </w:tabs>
        <w:spacing w:line="460" w:lineRule="exact"/>
        <w:jc w:val="center"/>
        <w:rPr>
          <w:rFonts w:ascii="Times New Roman" w:hAnsi="Times New Roman" w:eastAsia="宋体" w:cs="Times New Roman"/>
          <w:b/>
          <w:color w:val="auto"/>
          <w:sz w:val="36"/>
          <w:highlight w:val="none"/>
        </w:rPr>
      </w:pPr>
    </w:p>
    <w:p w14:paraId="16690BE4">
      <w:pPr>
        <w:pStyle w:val="14"/>
        <w:tabs>
          <w:tab w:val="left" w:pos="2472"/>
        </w:tabs>
        <w:spacing w:line="460" w:lineRule="exact"/>
        <w:jc w:val="center"/>
        <w:rPr>
          <w:rFonts w:ascii="Times New Roman" w:hAnsi="Times New Roman" w:eastAsia="宋体" w:cs="Times New Roman"/>
          <w:b/>
          <w:color w:val="auto"/>
          <w:sz w:val="36"/>
          <w:highlight w:val="none"/>
        </w:rPr>
      </w:pPr>
    </w:p>
    <w:p w14:paraId="2150F070">
      <w:pPr>
        <w:pStyle w:val="14"/>
        <w:tabs>
          <w:tab w:val="left" w:pos="2472"/>
        </w:tabs>
        <w:spacing w:line="460" w:lineRule="exact"/>
        <w:jc w:val="center"/>
        <w:rPr>
          <w:rFonts w:ascii="Times New Roman" w:hAnsi="Times New Roman" w:eastAsia="宋体" w:cs="Times New Roman"/>
          <w:b/>
          <w:color w:val="auto"/>
          <w:sz w:val="36"/>
          <w:highlight w:val="none"/>
        </w:rPr>
      </w:pPr>
    </w:p>
    <w:p w14:paraId="60D5A5FF">
      <w:pPr>
        <w:pStyle w:val="14"/>
        <w:tabs>
          <w:tab w:val="left" w:pos="2472"/>
        </w:tabs>
        <w:spacing w:line="460" w:lineRule="exact"/>
        <w:jc w:val="center"/>
        <w:rPr>
          <w:rFonts w:ascii="Times New Roman" w:hAnsi="Times New Roman" w:eastAsia="宋体" w:cs="Times New Roman"/>
          <w:b/>
          <w:color w:val="auto"/>
          <w:sz w:val="36"/>
          <w:highlight w:val="none"/>
        </w:rPr>
      </w:pPr>
    </w:p>
    <w:p w14:paraId="4CFE4EAC">
      <w:pPr>
        <w:pStyle w:val="14"/>
        <w:tabs>
          <w:tab w:val="left" w:pos="2472"/>
        </w:tabs>
        <w:spacing w:line="460" w:lineRule="exact"/>
        <w:jc w:val="center"/>
        <w:rPr>
          <w:rFonts w:ascii="Times New Roman" w:hAnsi="Times New Roman" w:eastAsia="宋体" w:cs="Times New Roman"/>
          <w:b/>
          <w:color w:val="auto"/>
          <w:sz w:val="36"/>
          <w:highlight w:val="none"/>
        </w:rPr>
      </w:pPr>
    </w:p>
    <w:p w14:paraId="2C286ED1">
      <w:pPr>
        <w:pStyle w:val="14"/>
        <w:tabs>
          <w:tab w:val="left" w:pos="2472"/>
        </w:tabs>
        <w:spacing w:line="460" w:lineRule="exact"/>
        <w:jc w:val="center"/>
        <w:rPr>
          <w:rFonts w:ascii="Times New Roman" w:hAnsi="Times New Roman" w:eastAsia="宋体" w:cs="Times New Roman"/>
          <w:b/>
          <w:color w:val="auto"/>
          <w:sz w:val="36"/>
          <w:highlight w:val="none"/>
        </w:rPr>
      </w:pPr>
    </w:p>
    <w:p w14:paraId="02FAD45C">
      <w:pPr>
        <w:pStyle w:val="14"/>
        <w:tabs>
          <w:tab w:val="left" w:pos="2472"/>
        </w:tabs>
        <w:spacing w:line="460" w:lineRule="exact"/>
        <w:jc w:val="center"/>
        <w:rPr>
          <w:rFonts w:ascii="Times New Roman" w:hAnsi="Times New Roman" w:eastAsia="宋体" w:cs="Times New Roman"/>
          <w:b/>
          <w:color w:val="auto"/>
          <w:sz w:val="36"/>
          <w:highlight w:val="none"/>
        </w:rPr>
      </w:pPr>
    </w:p>
    <w:p w14:paraId="2B554A7C">
      <w:pPr>
        <w:pStyle w:val="14"/>
        <w:tabs>
          <w:tab w:val="left" w:pos="2472"/>
        </w:tabs>
        <w:spacing w:line="460" w:lineRule="exact"/>
        <w:jc w:val="center"/>
        <w:outlineLvl w:val="0"/>
        <w:rPr>
          <w:rFonts w:ascii="Times New Roman" w:hAnsi="Times New Roman" w:eastAsia="宋体" w:cs="Times New Roman"/>
          <w:b/>
          <w:color w:val="auto"/>
          <w:sz w:val="36"/>
          <w:highlight w:val="none"/>
        </w:rPr>
      </w:pPr>
      <w:bookmarkStart w:id="331" w:name="_Toc29347"/>
      <w:bookmarkStart w:id="332" w:name="_Toc9012"/>
      <w:bookmarkStart w:id="333" w:name="_Toc31791"/>
      <w:bookmarkStart w:id="334" w:name="_Toc7167"/>
      <w:bookmarkStart w:id="335" w:name="_Toc25572"/>
      <w:bookmarkStart w:id="336" w:name="_Toc32021"/>
      <w:bookmarkStart w:id="337" w:name="_Toc27014"/>
      <w:bookmarkStart w:id="338" w:name="_Toc17049"/>
      <w:bookmarkStart w:id="339" w:name="_Toc9058"/>
      <w:bookmarkStart w:id="340" w:name="_Toc26262"/>
      <w:bookmarkStart w:id="341" w:name="_Toc3422"/>
      <w:bookmarkStart w:id="342" w:name="_Toc3838"/>
      <w:bookmarkStart w:id="343" w:name="_Toc20993"/>
      <w:r>
        <w:rPr>
          <w:rFonts w:hint="eastAsia" w:ascii="Times New Roman" w:hAnsi="Times New Roman" w:eastAsia="宋体" w:cs="Times New Roman"/>
          <w:b/>
          <w:color w:val="auto"/>
          <w:sz w:val="36"/>
          <w:highlight w:val="none"/>
        </w:rPr>
        <w:t>第五章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拟签订的合同文本</w:t>
      </w:r>
      <w:bookmarkEnd w:id="331"/>
      <w:bookmarkEnd w:id="332"/>
      <w:bookmarkEnd w:id="333"/>
      <w:bookmarkEnd w:id="334"/>
      <w:bookmarkEnd w:id="335"/>
      <w:bookmarkEnd w:id="336"/>
      <w:bookmarkEnd w:id="337"/>
      <w:bookmarkEnd w:id="338"/>
      <w:bookmarkEnd w:id="339"/>
      <w:bookmarkEnd w:id="340"/>
      <w:bookmarkEnd w:id="341"/>
      <w:bookmarkEnd w:id="342"/>
      <w:bookmarkEnd w:id="343"/>
    </w:p>
    <w:p w14:paraId="1807E102">
      <w:pPr>
        <w:widowControl/>
        <w:jc w:val="left"/>
        <w:rPr>
          <w:rFonts w:ascii="宋体" w:hAnsi="Courier New"/>
          <w:bCs/>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198B88FD">
      <w:pPr>
        <w:snapToGrid w:val="0"/>
        <w:spacing w:line="400" w:lineRule="exact"/>
        <w:jc w:val="center"/>
        <w:rPr>
          <w:rFonts w:hint="eastAsia" w:ascii="宋体" w:hAnsi="宋体" w:eastAsia="宋体" w:cs="宋体"/>
          <w:b/>
          <w:bCs/>
          <w:color w:val="auto"/>
          <w:sz w:val="32"/>
          <w:szCs w:val="32"/>
          <w:highlight w:val="none"/>
        </w:rPr>
      </w:pPr>
    </w:p>
    <w:p w14:paraId="3A0083F2">
      <w:pPr>
        <w:snapToGrid w:val="0"/>
        <w:spacing w:line="400" w:lineRule="exact"/>
        <w:jc w:val="center"/>
        <w:rPr>
          <w:rFonts w:hint="eastAsia" w:ascii="宋体" w:hAnsi="宋体" w:eastAsia="宋体" w:cs="宋体"/>
          <w:color w:val="auto"/>
          <w:lang w:eastAsia="zh-CN"/>
        </w:rPr>
      </w:pPr>
      <w:r>
        <w:rPr>
          <w:rFonts w:hint="eastAsia" w:ascii="宋体" w:hAnsi="宋体" w:eastAsia="宋体" w:cs="宋体"/>
          <w:b/>
          <w:bCs/>
          <w:color w:val="auto"/>
          <w:sz w:val="32"/>
          <w:szCs w:val="32"/>
          <w:highlight w:val="none"/>
        </w:rPr>
        <w:t>《广西壮族自治区政府采购合同》</w:t>
      </w:r>
      <w:r>
        <w:rPr>
          <w:rFonts w:hint="eastAsia" w:ascii="宋体" w:hAnsi="宋体" w:eastAsia="宋体" w:cs="宋体"/>
          <w:b/>
          <w:color w:val="auto"/>
          <w:sz w:val="32"/>
          <w:szCs w:val="32"/>
          <w:highlight w:val="none"/>
        </w:rPr>
        <w:t>文本</w:t>
      </w:r>
    </w:p>
    <w:p w14:paraId="37C8948E">
      <w:pPr>
        <w:spacing w:line="520" w:lineRule="exact"/>
        <w:rPr>
          <w:rFonts w:hint="eastAsia" w:ascii="宋体" w:hAnsi="宋体" w:eastAsia="宋体" w:cs="宋体"/>
          <w:b/>
          <w:color w:val="auto"/>
          <w:sz w:val="32"/>
          <w:szCs w:val="32"/>
        </w:rPr>
      </w:pPr>
    </w:p>
    <w:p w14:paraId="5BE28FCC">
      <w:pPr>
        <w:spacing w:line="360" w:lineRule="auto"/>
        <w:ind w:right="800" w:firstLine="6090" w:firstLineChars="2900"/>
        <w:rPr>
          <w:rFonts w:hint="eastAsia" w:ascii="宋体" w:hAnsi="宋体" w:eastAsia="宋体" w:cs="宋体"/>
          <w:color w:val="auto"/>
          <w:szCs w:val="21"/>
          <w:u w:val="single"/>
        </w:rPr>
      </w:pPr>
      <w:r>
        <w:rPr>
          <w:rFonts w:hint="eastAsia" w:ascii="宋体" w:hAnsi="宋体" w:eastAsia="宋体" w:cs="宋体"/>
          <w:bCs/>
          <w:color w:val="auto"/>
          <w:szCs w:val="21"/>
        </w:rPr>
        <w:t>合同编号：</w:t>
      </w:r>
      <w:r>
        <w:rPr>
          <w:rFonts w:hint="eastAsia" w:ascii="宋体" w:hAnsi="宋体" w:eastAsia="宋体" w:cs="宋体"/>
          <w:color w:val="auto"/>
          <w:szCs w:val="21"/>
          <w:u w:val="single"/>
        </w:rPr>
        <w:t xml:space="preserve">               </w:t>
      </w:r>
    </w:p>
    <w:p w14:paraId="65409199">
      <w:pPr>
        <w:spacing w:line="360" w:lineRule="auto"/>
        <w:ind w:right="800" w:firstLine="6090" w:firstLineChars="2900"/>
        <w:rPr>
          <w:rFonts w:hint="eastAsia" w:ascii="宋体" w:hAnsi="宋体" w:eastAsia="宋体" w:cs="宋体"/>
          <w:color w:val="auto"/>
          <w:szCs w:val="21"/>
        </w:rPr>
      </w:pPr>
      <w:r>
        <w:rPr>
          <w:rFonts w:hint="eastAsia" w:ascii="宋体" w:hAnsi="宋体" w:eastAsia="宋体" w:cs="宋体"/>
          <w:color w:val="auto"/>
          <w:szCs w:val="21"/>
        </w:rPr>
        <w:t>采购计划号：</w:t>
      </w:r>
      <w:r>
        <w:rPr>
          <w:rFonts w:hint="eastAsia" w:ascii="宋体" w:hAnsi="宋体" w:eastAsia="宋体" w:cs="宋体"/>
          <w:color w:val="auto"/>
          <w:szCs w:val="21"/>
          <w:u w:val="single"/>
        </w:rPr>
        <w:t xml:space="preserve">               </w:t>
      </w:r>
    </w:p>
    <w:p w14:paraId="03C142EA">
      <w:pPr>
        <w:spacing w:line="360" w:lineRule="auto"/>
        <w:rPr>
          <w:rFonts w:hint="eastAsia" w:ascii="宋体" w:hAnsi="宋体" w:eastAsia="宋体" w:cs="宋体"/>
          <w:color w:val="auto"/>
          <w:szCs w:val="21"/>
        </w:rPr>
      </w:pPr>
      <w:r>
        <w:rPr>
          <w:rFonts w:hint="eastAsia" w:ascii="宋体" w:hAnsi="宋体" w:eastAsia="宋体" w:cs="宋体"/>
          <w:color w:val="auto"/>
          <w:szCs w:val="21"/>
        </w:rPr>
        <w:t>采购人（甲方）：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0EB723A7">
      <w:pPr>
        <w:spacing w:line="360" w:lineRule="auto"/>
        <w:rPr>
          <w:rFonts w:hint="eastAsia" w:ascii="宋体" w:hAnsi="宋体" w:eastAsia="宋体" w:cs="宋体"/>
          <w:color w:val="auto"/>
          <w:szCs w:val="21"/>
          <w:u w:val="single"/>
        </w:rPr>
      </w:pPr>
      <w:r>
        <w:rPr>
          <w:rFonts w:hint="eastAsia" w:ascii="宋体" w:hAnsi="宋体" w:cs="宋体"/>
          <w:color w:val="auto"/>
          <w:szCs w:val="21"/>
          <w:lang w:eastAsia="zh-CN"/>
        </w:rPr>
        <w:t>中标</w:t>
      </w:r>
      <w:r>
        <w:rPr>
          <w:rFonts w:hint="eastAsia" w:ascii="宋体" w:hAnsi="宋体" w:cs="宋体"/>
          <w:color w:val="auto"/>
          <w:szCs w:val="21"/>
          <w:lang w:val="en-US" w:eastAsia="zh-CN"/>
        </w:rPr>
        <w:t>人</w:t>
      </w:r>
      <w:r>
        <w:rPr>
          <w:rFonts w:hint="eastAsia" w:ascii="宋体" w:hAnsi="宋体" w:eastAsia="宋体" w:cs="宋体"/>
          <w:color w:val="auto"/>
          <w:szCs w:val="21"/>
        </w:rPr>
        <w:t>（乙方）：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4F92C0F5">
      <w:pPr>
        <w:spacing w:line="360" w:lineRule="auto"/>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05C2881A">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项目编号：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6281E9AB">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签订地点：</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rPr>
        <w:t>签订时间：</w:t>
      </w:r>
      <w:r>
        <w:rPr>
          <w:rFonts w:hint="eastAsia" w:ascii="宋体" w:hAnsi="宋体" w:eastAsia="宋体" w:cs="宋体"/>
          <w:color w:val="auto"/>
          <w:szCs w:val="21"/>
          <w:u w:val="single"/>
        </w:rPr>
        <w:t xml:space="preserve">               </w:t>
      </w:r>
    </w:p>
    <w:p w14:paraId="45E59152">
      <w:pPr>
        <w:spacing w:line="360" w:lineRule="auto"/>
        <w:ind w:firstLine="420" w:firstLineChars="200"/>
        <w:rPr>
          <w:rFonts w:hint="eastAsia" w:ascii="宋体" w:hAnsi="宋体" w:eastAsia="宋体" w:cs="宋体"/>
          <w:color w:val="auto"/>
          <w:szCs w:val="21"/>
        </w:rPr>
      </w:pPr>
    </w:p>
    <w:p w14:paraId="5997379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根据《中华人民共和国政府采购法</w:t>
      </w:r>
      <w:r>
        <w:rPr>
          <w:rFonts w:hint="eastAsia" w:ascii="宋体" w:hAnsi="宋体" w:cs="宋体"/>
          <w:color w:val="auto"/>
          <w:szCs w:val="21"/>
          <w:lang w:eastAsia="zh-CN"/>
        </w:rPr>
        <w:t>》《</w:t>
      </w:r>
      <w:r>
        <w:rPr>
          <w:rFonts w:hint="eastAsia" w:ascii="宋体" w:hAnsi="宋体" w:eastAsia="宋体" w:cs="宋体"/>
          <w:color w:val="auto"/>
          <w:szCs w:val="21"/>
        </w:rPr>
        <w:t>中华人民共和国</w:t>
      </w:r>
      <w:r>
        <w:rPr>
          <w:rFonts w:hint="eastAsia" w:ascii="宋体" w:hAnsi="宋体" w:eastAsia="宋体" w:cs="宋体"/>
          <w:color w:val="auto"/>
          <w:szCs w:val="21"/>
          <w:lang w:eastAsia="zh-CN"/>
        </w:rPr>
        <w:t>民法典</w:t>
      </w:r>
      <w:r>
        <w:rPr>
          <w:rFonts w:hint="eastAsia" w:ascii="宋体" w:hAnsi="宋体" w:eastAsia="宋体" w:cs="宋体"/>
          <w:color w:val="auto"/>
          <w:szCs w:val="21"/>
        </w:rPr>
        <w:t>》等</w:t>
      </w:r>
      <w:r>
        <w:rPr>
          <w:rFonts w:hint="eastAsia" w:ascii="宋体" w:hAnsi="宋体" w:cs="宋体"/>
          <w:color w:val="auto"/>
          <w:szCs w:val="21"/>
          <w:lang w:eastAsia="zh-CN"/>
        </w:rPr>
        <w:t>法律法规</w:t>
      </w:r>
      <w:r>
        <w:rPr>
          <w:rFonts w:hint="eastAsia" w:ascii="宋体" w:hAnsi="宋体" w:eastAsia="宋体" w:cs="宋体"/>
          <w:color w:val="auto"/>
          <w:szCs w:val="21"/>
        </w:rPr>
        <w:t>规定，按照招标文件规定条款和乙方投标文件及其承诺，甲乙双方签订本合同。</w:t>
      </w:r>
    </w:p>
    <w:p w14:paraId="222A7006">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第一条　合同标的</w:t>
      </w:r>
    </w:p>
    <w:p w14:paraId="430376BA">
      <w:pPr>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u w:val="none"/>
          <w:lang w:val="en-US" w:eastAsia="zh-CN"/>
        </w:rPr>
        <w:t>1、合同总金额：</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人民币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u w:val="single"/>
          <w:lang w:val="en-US" w:eastAsia="zh-CN"/>
        </w:rPr>
        <w:t xml:space="preserve">          </w:t>
      </w:r>
    </w:p>
    <w:p w14:paraId="08311791">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w:t>
      </w:r>
      <w:r>
        <w:rPr>
          <w:rFonts w:hint="eastAsia" w:ascii="宋体" w:hAnsi="宋体" w:cs="宋体"/>
          <w:color w:val="auto"/>
          <w:szCs w:val="21"/>
          <w:lang w:val="en-US" w:eastAsia="zh-CN"/>
        </w:rPr>
        <w:t>服务范围：</w:t>
      </w:r>
      <w:r>
        <w:rPr>
          <w:rFonts w:hint="eastAsia" w:ascii="宋体" w:hAnsi="宋体" w:eastAsia="宋体" w:cs="宋体"/>
          <w:color w:val="auto"/>
          <w:szCs w:val="21"/>
        </w:rPr>
        <w:t>甲方校园及周边，以及学生宿舍的安全防范工作</w:t>
      </w:r>
      <w:r>
        <w:rPr>
          <w:rFonts w:hint="eastAsia" w:ascii="宋体" w:hAnsi="宋体" w:cs="宋体"/>
          <w:color w:val="auto"/>
          <w:szCs w:val="21"/>
          <w:lang w:eastAsia="zh-CN"/>
        </w:rPr>
        <w:t>，</w:t>
      </w:r>
      <w:r>
        <w:rPr>
          <w:rFonts w:hint="eastAsia" w:ascii="宋体" w:hAnsi="宋体" w:cs="宋体"/>
          <w:color w:val="auto"/>
          <w:szCs w:val="21"/>
          <w:lang w:val="en-US" w:eastAsia="zh-CN"/>
        </w:rPr>
        <w:t>具体</w:t>
      </w:r>
      <w:r>
        <w:rPr>
          <w:rFonts w:hint="eastAsia" w:ascii="宋体" w:hAnsi="宋体" w:eastAsia="宋体" w:cs="宋体"/>
          <w:color w:val="auto"/>
          <w:szCs w:val="21"/>
          <w:lang w:eastAsia="zh-CN"/>
        </w:rPr>
        <w:t>服务内容</w:t>
      </w:r>
      <w:r>
        <w:rPr>
          <w:rFonts w:hint="eastAsia" w:ascii="宋体" w:hAnsi="宋体" w:eastAsia="宋体" w:cs="宋体"/>
          <w:color w:val="auto"/>
          <w:szCs w:val="21"/>
        </w:rPr>
        <w:t>一览表</w:t>
      </w:r>
      <w:r>
        <w:rPr>
          <w:rFonts w:hint="eastAsia" w:ascii="宋体" w:hAnsi="宋体" w:eastAsia="宋体" w:cs="宋体"/>
          <w:color w:val="auto"/>
          <w:szCs w:val="21"/>
          <w:lang w:eastAsia="zh-CN"/>
        </w:rPr>
        <w:t>（详见附件中的开标一览表）</w:t>
      </w:r>
    </w:p>
    <w:p w14:paraId="2BF794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乙方必须按本项目招标文件需求条件组织招录保安员。保安员派遣前，乙方必须将拟派遣的保安员有关资料信息（含相片）提供给甲方审定。派遣的保安人员一经确定，甲、乙双方应签字确定具体人员清单，将保安员资料备份存档。</w:t>
      </w:r>
    </w:p>
    <w:p w14:paraId="358B62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szCs w:val="21"/>
          <w:lang w:val="en-US" w:eastAsia="zh-CN"/>
        </w:rPr>
        <w:t>4、</w:t>
      </w:r>
      <w:r>
        <w:rPr>
          <w:rFonts w:hint="eastAsia" w:ascii="宋体" w:hAnsi="宋体" w:eastAsia="宋体" w:cs="宋体"/>
          <w:color w:val="auto"/>
          <w:szCs w:val="21"/>
        </w:rPr>
        <w:t>合同</w:t>
      </w:r>
      <w:r>
        <w:rPr>
          <w:rFonts w:hint="eastAsia" w:ascii="宋体" w:hAnsi="宋体" w:eastAsia="宋体" w:cs="宋体"/>
          <w:color w:val="auto"/>
          <w:szCs w:val="21"/>
          <w:lang w:eastAsia="zh-CN"/>
        </w:rPr>
        <w:t>总</w:t>
      </w:r>
      <w:r>
        <w:rPr>
          <w:rFonts w:hint="eastAsia" w:ascii="宋体" w:hAnsi="宋体" w:eastAsia="宋体" w:cs="宋体"/>
          <w:color w:val="auto"/>
          <w:szCs w:val="21"/>
        </w:rPr>
        <w:t>金额</w:t>
      </w:r>
      <w:r>
        <w:rPr>
          <w:rFonts w:hint="eastAsia"/>
          <w:color w:val="auto"/>
        </w:rPr>
        <w:t>是</w:t>
      </w:r>
      <w:r>
        <w:rPr>
          <w:rFonts w:hint="eastAsia"/>
          <w:color w:val="auto"/>
          <w:highlight w:val="none"/>
        </w:rPr>
        <w:t>履行合同的最终价格，</w:t>
      </w:r>
      <w:r>
        <w:rPr>
          <w:rFonts w:hint="eastAsia" w:ascii="宋体" w:hAnsi="宋体" w:eastAsia="宋体" w:cs="宋体"/>
          <w:color w:val="auto"/>
          <w:highlight w:val="none"/>
        </w:rPr>
        <w:t>包括：</w:t>
      </w:r>
    </w:p>
    <w:p w14:paraId="62CFB0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（1）员工工资、社会保险费用（含养老保险、医疗保险、工伤保险、失业保险、生育保险及人身意外伤害保险）、福利费、奖金、安保人员加班费等； </w:t>
      </w:r>
    </w:p>
    <w:p w14:paraId="4D198A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（2）服务材料消耗品的补充、更换、维修维护、服装等费用； </w:t>
      </w:r>
    </w:p>
    <w:p w14:paraId="6AC4C4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（3）员工必要的保险费用和各项税金； </w:t>
      </w:r>
    </w:p>
    <w:p w14:paraId="435484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（4）企业合理利润</w:t>
      </w:r>
    </w:p>
    <w:p w14:paraId="0F5913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Cs w:val="21"/>
          <w:highlight w:val="cyan"/>
        </w:rPr>
      </w:pPr>
      <w:r>
        <w:rPr>
          <w:rFonts w:hint="eastAsia" w:ascii="宋体" w:hAnsi="宋体" w:eastAsia="宋体" w:cs="宋体"/>
          <w:color w:val="auto"/>
          <w:highlight w:val="none"/>
        </w:rPr>
        <w:t>（5）</w:t>
      </w:r>
      <w:r>
        <w:rPr>
          <w:rFonts w:hint="eastAsia" w:ascii="宋体" w:hAnsi="宋体" w:cs="宋体"/>
          <w:color w:val="auto"/>
          <w:highlight w:val="none"/>
          <w:lang w:eastAsia="zh-CN"/>
        </w:rPr>
        <w:t>项目</w:t>
      </w:r>
      <w:r>
        <w:rPr>
          <w:rFonts w:hint="eastAsia" w:ascii="宋体" w:hAnsi="宋体" w:eastAsia="宋体" w:cs="宋体"/>
          <w:color w:val="auto"/>
          <w:highlight w:val="none"/>
        </w:rPr>
        <w:t>验收的费用</w:t>
      </w:r>
      <w:r>
        <w:rPr>
          <w:rFonts w:hint="eastAsia" w:ascii="宋体" w:hAnsi="宋体" w:eastAsia="宋体" w:cs="宋体"/>
          <w:color w:val="auto"/>
          <w:highlight w:val="none"/>
          <w:lang w:eastAsia="zh-CN"/>
        </w:rPr>
        <w:t>。</w:t>
      </w:r>
    </w:p>
    <w:p w14:paraId="5661A1AC">
      <w:pPr>
        <w:autoSpaceDE w:val="0"/>
        <w:autoSpaceDN w:val="0"/>
        <w:spacing w:line="400" w:lineRule="exact"/>
        <w:ind w:firstLine="420"/>
        <w:rPr>
          <w:rFonts w:hint="eastAsia" w:ascii="宋体" w:hAnsi="宋体" w:eastAsia="宋体" w:cs="宋体"/>
          <w:b/>
          <w:bCs/>
          <w:color w:val="auto"/>
          <w:sz w:val="21"/>
          <w:szCs w:val="21"/>
          <w:highlight w:val="none"/>
        </w:rPr>
      </w:pPr>
      <w:r>
        <w:rPr>
          <w:rFonts w:hint="eastAsia" w:ascii="宋体" w:hAnsi="宋体" w:eastAsia="宋体" w:cs="宋体"/>
          <w:b/>
          <w:color w:val="auto"/>
          <w:szCs w:val="21"/>
        </w:rPr>
        <w:t>第二条　</w:t>
      </w:r>
      <w:r>
        <w:rPr>
          <w:rFonts w:hint="eastAsia"/>
          <w:b/>
          <w:bCs/>
          <w:color w:val="auto"/>
          <w:lang w:val="en-US" w:eastAsia="zh-CN"/>
        </w:rPr>
        <w:t>乙</w:t>
      </w:r>
      <w:r>
        <w:rPr>
          <w:rFonts w:hint="eastAsia" w:ascii="宋体" w:hAnsi="宋体" w:eastAsia="宋体" w:cs="宋体"/>
          <w:b/>
          <w:bCs/>
          <w:color w:val="auto"/>
          <w:sz w:val="21"/>
          <w:szCs w:val="21"/>
          <w:highlight w:val="none"/>
          <w:lang w:val="en-US" w:eastAsia="zh-CN"/>
        </w:rPr>
        <w:t>方的</w:t>
      </w:r>
      <w:r>
        <w:rPr>
          <w:rFonts w:hint="eastAsia" w:ascii="宋体" w:hAnsi="宋体" w:eastAsia="宋体" w:cs="宋体"/>
          <w:b/>
          <w:bCs/>
          <w:color w:val="auto"/>
          <w:sz w:val="21"/>
          <w:szCs w:val="21"/>
          <w:highlight w:val="none"/>
        </w:rPr>
        <w:t>工作内容及职责：</w:t>
      </w:r>
    </w:p>
    <w:p w14:paraId="0319BE95">
      <w:pPr>
        <w:pStyle w:val="2"/>
        <w:spacing w:line="360" w:lineRule="auto"/>
        <w:ind w:firstLine="420" w:firstLineChars="200"/>
        <w:rPr>
          <w:rFonts w:hint="eastAsia"/>
          <w:color w:val="auto"/>
        </w:rPr>
      </w:pPr>
      <w:r>
        <w:rPr>
          <w:rFonts w:hint="eastAsia"/>
          <w:color w:val="auto"/>
        </w:rPr>
        <w:t>1．负责落实学校的门卫制度，开展校园内治安巡逻守护；</w:t>
      </w:r>
    </w:p>
    <w:p w14:paraId="291CF410">
      <w:pPr>
        <w:pStyle w:val="2"/>
        <w:spacing w:line="360" w:lineRule="auto"/>
        <w:ind w:firstLine="420" w:firstLineChars="200"/>
        <w:rPr>
          <w:rFonts w:hint="eastAsia"/>
          <w:color w:val="auto"/>
        </w:rPr>
      </w:pPr>
      <w:r>
        <w:rPr>
          <w:rFonts w:hint="eastAsia"/>
          <w:color w:val="auto"/>
        </w:rPr>
        <w:t>2．维护学校周边200米以内的安全防范和公共秩序管理；</w:t>
      </w:r>
    </w:p>
    <w:p w14:paraId="6B31E80C">
      <w:pPr>
        <w:pStyle w:val="2"/>
        <w:spacing w:line="360" w:lineRule="auto"/>
        <w:ind w:firstLine="420" w:firstLineChars="200"/>
        <w:rPr>
          <w:rFonts w:hint="eastAsia"/>
          <w:color w:val="auto"/>
        </w:rPr>
      </w:pPr>
      <w:r>
        <w:rPr>
          <w:rFonts w:hint="eastAsia"/>
          <w:color w:val="auto"/>
        </w:rPr>
        <w:t>3. 校内校舍（教学楼、行政办公楼、综合楼、学生宿舍、学生饭堂、学生体育馆、教工宿舍楼等）、运动场及其他公共场所安全防范管理及治安维护工作；</w:t>
      </w:r>
    </w:p>
    <w:p w14:paraId="0B43BD2A">
      <w:pPr>
        <w:pStyle w:val="2"/>
        <w:spacing w:line="360" w:lineRule="auto"/>
        <w:ind w:firstLine="420" w:firstLineChars="200"/>
        <w:rPr>
          <w:rFonts w:hint="eastAsia"/>
          <w:color w:val="auto"/>
        </w:rPr>
      </w:pPr>
      <w:r>
        <w:rPr>
          <w:rFonts w:hint="eastAsia"/>
          <w:color w:val="auto"/>
        </w:rPr>
        <w:t>4. 校内道路交通秩序和车辆停泊管理；</w:t>
      </w:r>
    </w:p>
    <w:p w14:paraId="04A88AC8">
      <w:pPr>
        <w:pStyle w:val="2"/>
        <w:spacing w:line="360" w:lineRule="auto"/>
        <w:ind w:firstLine="420" w:firstLineChars="200"/>
        <w:rPr>
          <w:rFonts w:hint="eastAsia"/>
          <w:color w:val="auto"/>
        </w:rPr>
      </w:pPr>
      <w:r>
        <w:rPr>
          <w:rFonts w:hint="eastAsia"/>
          <w:color w:val="auto"/>
        </w:rPr>
        <w:t>5. 学校重大活动期间的公共安全防范与秩序维护；</w:t>
      </w:r>
    </w:p>
    <w:p w14:paraId="535F5AA8">
      <w:pPr>
        <w:pStyle w:val="2"/>
        <w:spacing w:line="360" w:lineRule="auto"/>
        <w:ind w:firstLine="420" w:firstLineChars="200"/>
        <w:rPr>
          <w:rFonts w:hint="eastAsia"/>
          <w:color w:val="auto"/>
        </w:rPr>
      </w:pPr>
      <w:r>
        <w:rPr>
          <w:rFonts w:hint="eastAsia"/>
          <w:color w:val="auto"/>
        </w:rPr>
        <w:t>6. 及时排查、发现校园内的安全隐患，登记造册，并及时向学校报告并协助落实安全整改措施；</w:t>
      </w:r>
    </w:p>
    <w:p w14:paraId="36A8F764">
      <w:pPr>
        <w:pStyle w:val="2"/>
        <w:spacing w:line="360" w:lineRule="auto"/>
        <w:ind w:firstLine="420" w:firstLineChars="200"/>
        <w:rPr>
          <w:rFonts w:hint="eastAsia"/>
          <w:color w:val="auto"/>
        </w:rPr>
      </w:pPr>
      <w:r>
        <w:rPr>
          <w:rFonts w:hint="eastAsia"/>
          <w:color w:val="auto"/>
        </w:rPr>
        <w:t>7. 协助公安机关调查、处置校内外发生的涉及师生安全的违法犯罪活动；</w:t>
      </w:r>
    </w:p>
    <w:p w14:paraId="30C2F8BA">
      <w:pPr>
        <w:pStyle w:val="2"/>
        <w:spacing w:line="360" w:lineRule="auto"/>
        <w:ind w:firstLine="420" w:firstLineChars="200"/>
        <w:rPr>
          <w:rFonts w:hint="eastAsia"/>
          <w:color w:val="auto"/>
        </w:rPr>
      </w:pPr>
      <w:r>
        <w:rPr>
          <w:rFonts w:hint="eastAsia"/>
          <w:color w:val="auto"/>
        </w:rPr>
        <w:t>8. 先期处置校内危害师生安全的紧急案件并及时报警;主动联系并协助公安部门开展学校周边200米以内环境治理；</w:t>
      </w:r>
    </w:p>
    <w:p w14:paraId="019D8A41">
      <w:pPr>
        <w:pStyle w:val="2"/>
        <w:spacing w:line="360" w:lineRule="auto"/>
        <w:ind w:firstLine="420" w:firstLineChars="200"/>
        <w:rPr>
          <w:rFonts w:hint="eastAsia"/>
          <w:color w:val="auto"/>
        </w:rPr>
      </w:pPr>
      <w:r>
        <w:rPr>
          <w:rFonts w:hint="eastAsia"/>
          <w:color w:val="auto"/>
        </w:rPr>
        <w:t>9. 结合学校安全工作实际，协助学校定期或不定期地组织开展安全教育和检查，确保学校安全和稳定；</w:t>
      </w:r>
    </w:p>
    <w:p w14:paraId="18A034D0">
      <w:pPr>
        <w:pStyle w:val="2"/>
        <w:spacing w:line="360" w:lineRule="auto"/>
        <w:ind w:firstLine="420" w:firstLineChars="200"/>
        <w:rPr>
          <w:rFonts w:hint="eastAsia" w:ascii="宋体" w:hAnsi="宋体" w:eastAsia="宋体" w:cs="宋体"/>
          <w:color w:val="auto"/>
          <w:szCs w:val="21"/>
          <w:highlight w:val="none"/>
        </w:rPr>
      </w:pPr>
      <w:r>
        <w:rPr>
          <w:rFonts w:hint="eastAsia"/>
          <w:color w:val="auto"/>
        </w:rPr>
        <w:t>10. 保安员接受学校与安保服务公司管理，</w:t>
      </w:r>
      <w:r>
        <w:rPr>
          <w:rFonts w:hint="eastAsia"/>
          <w:color w:val="auto"/>
          <w:lang w:val="en-US" w:eastAsia="zh-CN"/>
        </w:rPr>
        <w:t>上班时间</w:t>
      </w:r>
      <w:r>
        <w:rPr>
          <w:rFonts w:hint="eastAsia"/>
          <w:color w:val="auto"/>
        </w:rPr>
        <w:t>不得兼任服务单位外的其他工作。</w:t>
      </w:r>
    </w:p>
    <w:p w14:paraId="37CC1F39">
      <w:pPr>
        <w:spacing w:line="400" w:lineRule="exact"/>
        <w:ind w:firstLine="211" w:firstLineChars="100"/>
        <w:jc w:val="left"/>
        <w:rPr>
          <w:rFonts w:hint="eastAsia" w:ascii="宋体" w:hAnsi="宋体" w:eastAsia="宋体" w:cs="宋体"/>
          <w:b/>
          <w:bCs/>
          <w:color w:val="auto"/>
          <w:sz w:val="21"/>
          <w:szCs w:val="21"/>
          <w:highlight w:val="none"/>
        </w:rPr>
      </w:pPr>
      <w:r>
        <w:rPr>
          <w:rFonts w:hint="eastAsia" w:ascii="宋体" w:hAnsi="宋体" w:eastAsia="宋体" w:cs="宋体"/>
          <w:b/>
          <w:color w:val="auto"/>
          <w:szCs w:val="21"/>
          <w:highlight w:val="none"/>
        </w:rPr>
        <w:t>第三条　</w:t>
      </w:r>
      <w:r>
        <w:rPr>
          <w:rFonts w:hint="eastAsia"/>
          <w:b/>
          <w:bCs/>
          <w:color w:val="auto"/>
          <w:highlight w:val="none"/>
        </w:rPr>
        <w:t>派遣</w:t>
      </w:r>
      <w:r>
        <w:rPr>
          <w:rFonts w:hint="eastAsia"/>
          <w:b/>
          <w:bCs/>
          <w:color w:val="auto"/>
          <w:highlight w:val="none"/>
          <w:lang w:val="en-US" w:eastAsia="zh-CN"/>
        </w:rPr>
        <w:t>至甲方的</w:t>
      </w:r>
      <w:r>
        <w:rPr>
          <w:rFonts w:hint="eastAsia" w:ascii="宋体" w:hAnsi="宋体" w:eastAsia="宋体" w:cs="宋体"/>
          <w:b/>
          <w:bCs/>
          <w:color w:val="auto"/>
          <w:sz w:val="21"/>
          <w:szCs w:val="21"/>
          <w:highlight w:val="none"/>
        </w:rPr>
        <w:t xml:space="preserve">保安员履行下列职责： </w:t>
      </w:r>
    </w:p>
    <w:p w14:paraId="2368D2A7">
      <w:pPr>
        <w:spacing w:line="400" w:lineRule="exact"/>
        <w:ind w:firstLine="405"/>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门岗值班管理要求</w:t>
      </w:r>
    </w:p>
    <w:p w14:paraId="27D6C3E8">
      <w:pPr>
        <w:pStyle w:val="2"/>
        <w:spacing w:line="360" w:lineRule="auto"/>
        <w:ind w:firstLine="420" w:firstLineChars="200"/>
        <w:rPr>
          <w:rFonts w:hint="eastAsia"/>
          <w:color w:val="auto"/>
        </w:rPr>
      </w:pPr>
      <w:r>
        <w:rPr>
          <w:rFonts w:hint="eastAsia"/>
          <w:color w:val="auto"/>
        </w:rPr>
        <w:t>（1）严格执行学校相关规章制度，严禁体罚、打骂学生；</w:t>
      </w:r>
    </w:p>
    <w:p w14:paraId="2C745B64">
      <w:pPr>
        <w:pStyle w:val="2"/>
        <w:spacing w:line="360" w:lineRule="auto"/>
        <w:ind w:firstLine="420" w:firstLineChars="200"/>
        <w:rPr>
          <w:rFonts w:hint="eastAsia"/>
          <w:color w:val="auto"/>
        </w:rPr>
      </w:pPr>
      <w:r>
        <w:rPr>
          <w:rFonts w:hint="eastAsia"/>
          <w:color w:val="auto"/>
        </w:rPr>
        <w:t>（2）实施学校大门值班制度，上岗期间应保持良好的形象；</w:t>
      </w:r>
    </w:p>
    <w:p w14:paraId="0335CD9C">
      <w:pPr>
        <w:pStyle w:val="2"/>
        <w:spacing w:line="360" w:lineRule="auto"/>
        <w:ind w:firstLine="420" w:firstLineChars="200"/>
        <w:rPr>
          <w:rFonts w:hint="eastAsia"/>
          <w:color w:val="auto"/>
        </w:rPr>
      </w:pPr>
      <w:r>
        <w:rPr>
          <w:rFonts w:hint="eastAsia"/>
          <w:color w:val="auto"/>
        </w:rPr>
        <w:t>（3）熟悉学校基本情况，包括教师数量、相貌特征、学生数量、常规出入时间及周边200米以内环境的掌握了解；</w:t>
      </w:r>
    </w:p>
    <w:p w14:paraId="673D9B92">
      <w:pPr>
        <w:pStyle w:val="2"/>
        <w:spacing w:line="360" w:lineRule="auto"/>
        <w:ind w:firstLine="420" w:firstLineChars="200"/>
        <w:rPr>
          <w:rFonts w:hint="eastAsia"/>
          <w:color w:val="auto"/>
        </w:rPr>
      </w:pPr>
      <w:r>
        <w:rPr>
          <w:rFonts w:hint="eastAsia"/>
          <w:color w:val="auto"/>
        </w:rPr>
        <w:t>（4）根据学校学生管理的有关规定，上课期间关锁好学校大门，严禁非请假学生离校;学生出入一律进行核实请假条后才能放行，若有违规学生应与学校相关部门及时联系，防止学生强行出校；</w:t>
      </w:r>
    </w:p>
    <w:p w14:paraId="19649F89">
      <w:pPr>
        <w:pStyle w:val="2"/>
        <w:spacing w:line="360" w:lineRule="auto"/>
        <w:ind w:firstLine="420" w:firstLineChars="200"/>
        <w:rPr>
          <w:rFonts w:hint="eastAsia"/>
          <w:color w:val="auto"/>
        </w:rPr>
      </w:pPr>
      <w:r>
        <w:rPr>
          <w:rFonts w:hint="eastAsia"/>
          <w:color w:val="auto"/>
        </w:rPr>
        <w:t>（5）阻止闲杂人员进入学校，来访人员需持有有效证件进行登记，并与被访人员取得联系。遇上级领导或前来指导、参观的社会各界人士，应立即敬礼，并将人数、单位等情况做好记录备查；</w:t>
      </w:r>
    </w:p>
    <w:p w14:paraId="0C22F3F5">
      <w:pPr>
        <w:pStyle w:val="2"/>
        <w:spacing w:line="360" w:lineRule="auto"/>
        <w:ind w:firstLine="420" w:firstLineChars="200"/>
        <w:rPr>
          <w:rFonts w:hint="eastAsia"/>
          <w:color w:val="auto"/>
        </w:rPr>
      </w:pPr>
      <w:r>
        <w:rPr>
          <w:rFonts w:hint="eastAsia"/>
          <w:color w:val="auto"/>
        </w:rPr>
        <w:t>（6）外来车辆一般不允许驶进校园，如有必要驶进，则必须进行仔细检查、登记车牌号，并指挥有关人员将车辆有序停放。防止校园内车辆被盗，若有车辆被盗，值班保安人员将承担相应的赔偿责任；</w:t>
      </w:r>
    </w:p>
    <w:p w14:paraId="65F36AF0">
      <w:pPr>
        <w:pStyle w:val="2"/>
        <w:spacing w:line="360" w:lineRule="auto"/>
        <w:ind w:firstLine="420" w:firstLineChars="200"/>
        <w:rPr>
          <w:rFonts w:hint="eastAsia"/>
          <w:color w:val="auto"/>
        </w:rPr>
      </w:pPr>
      <w:r>
        <w:rPr>
          <w:rFonts w:hint="eastAsia"/>
          <w:color w:val="auto"/>
        </w:rPr>
        <w:t>（7）严格做好物品出门登记工作，发现可疑情况及时与学校相关部门联系；</w:t>
      </w:r>
    </w:p>
    <w:p w14:paraId="20A26A7C">
      <w:pPr>
        <w:pStyle w:val="2"/>
        <w:spacing w:line="360" w:lineRule="auto"/>
        <w:ind w:firstLine="420" w:firstLineChars="200"/>
        <w:rPr>
          <w:rFonts w:hint="eastAsia"/>
          <w:color w:val="auto"/>
        </w:rPr>
      </w:pPr>
      <w:r>
        <w:rPr>
          <w:rFonts w:hint="eastAsia"/>
          <w:color w:val="auto"/>
        </w:rPr>
        <w:t>（8）根据学校安排，服从调配，做好学校各项活动的安全保卫工作；</w:t>
      </w:r>
    </w:p>
    <w:p w14:paraId="50965DC4">
      <w:pPr>
        <w:pStyle w:val="2"/>
        <w:spacing w:line="360" w:lineRule="auto"/>
        <w:ind w:firstLine="420" w:firstLineChars="200"/>
        <w:rPr>
          <w:rFonts w:hint="eastAsia"/>
          <w:color w:val="auto"/>
        </w:rPr>
      </w:pPr>
      <w:r>
        <w:rPr>
          <w:rFonts w:hint="eastAsia"/>
          <w:color w:val="auto"/>
        </w:rPr>
        <w:t>（9）保证监控系统的正常运行并随时监控，在监控过程中发现异常治安问题及时向学校汇报并进行先期处置，监控系统出现故障及时向学校报修；</w:t>
      </w:r>
    </w:p>
    <w:p w14:paraId="5D5A7FAE">
      <w:pPr>
        <w:pStyle w:val="2"/>
        <w:spacing w:line="360" w:lineRule="auto"/>
        <w:ind w:firstLine="420" w:firstLineChars="200"/>
        <w:rPr>
          <w:rFonts w:hint="eastAsia"/>
          <w:color w:val="auto"/>
        </w:rPr>
      </w:pPr>
      <w:r>
        <w:rPr>
          <w:rFonts w:hint="eastAsia"/>
          <w:color w:val="auto"/>
        </w:rPr>
        <w:t>（10）非经</w:t>
      </w:r>
      <w:r>
        <w:rPr>
          <w:rFonts w:hint="eastAsia"/>
          <w:color w:val="auto"/>
          <w:lang w:val="en-US" w:eastAsia="zh-CN"/>
        </w:rPr>
        <w:t>学校</w:t>
      </w:r>
      <w:r>
        <w:rPr>
          <w:rFonts w:hint="eastAsia"/>
          <w:color w:val="auto"/>
        </w:rPr>
        <w:t>批准，严禁任何人将非教学用品、易燃易爆物品、有毒物品、动物和管制刀具等危险物品带入校园；</w:t>
      </w:r>
    </w:p>
    <w:p w14:paraId="3F0C7D8D">
      <w:pPr>
        <w:spacing w:line="400" w:lineRule="exact"/>
        <w:ind w:firstLine="405"/>
        <w:jc w:val="left"/>
        <w:rPr>
          <w:rFonts w:hint="eastAsia" w:ascii="宋体" w:hAnsi="宋体" w:eastAsia="宋体" w:cs="宋体"/>
          <w:color w:val="auto"/>
          <w:sz w:val="21"/>
          <w:szCs w:val="21"/>
          <w:highlight w:val="none"/>
        </w:rPr>
      </w:pPr>
      <w:r>
        <w:rPr>
          <w:rFonts w:hint="eastAsia"/>
          <w:color w:val="auto"/>
        </w:rPr>
        <w:t>（11）积极协助学校教育教学过程中的临时性工作，如管制刀具收缴、学生军训、交通指挥等</w:t>
      </w:r>
      <w:r>
        <w:rPr>
          <w:rFonts w:hint="eastAsia" w:ascii="宋体" w:hAnsi="宋体" w:eastAsia="宋体" w:cs="宋体"/>
          <w:color w:val="auto"/>
          <w:sz w:val="21"/>
          <w:szCs w:val="21"/>
          <w:highlight w:val="none"/>
        </w:rPr>
        <w:t>。</w:t>
      </w:r>
    </w:p>
    <w:p w14:paraId="6C92E849">
      <w:pPr>
        <w:spacing w:line="400" w:lineRule="exact"/>
        <w:ind w:firstLine="405"/>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巡逻管理要求</w:t>
      </w:r>
    </w:p>
    <w:p w14:paraId="394DD46A">
      <w:pPr>
        <w:spacing w:line="400" w:lineRule="exact"/>
        <w:ind w:firstLine="4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（1）对校园进行每两小时一次的安全巡查。重点</w:t>
      </w:r>
      <w:r>
        <w:rPr>
          <w:rFonts w:hint="eastAsia" w:ascii="宋体" w:hAnsi="宋体" w:eastAsia="宋体" w:cs="宋体"/>
          <w:color w:val="auto"/>
          <w:sz w:val="21"/>
          <w:szCs w:val="21"/>
          <w:highlight w:val="none"/>
          <w:lang w:val="en-US" w:eastAsia="zh-CN"/>
        </w:rPr>
        <w:t>位置（</w:t>
      </w:r>
      <w:r>
        <w:rPr>
          <w:rFonts w:hint="eastAsia" w:ascii="宋体" w:hAnsi="宋体" w:eastAsia="宋体" w:cs="宋体"/>
          <w:color w:val="auto"/>
          <w:sz w:val="21"/>
          <w:szCs w:val="21"/>
          <w:highlight w:val="none"/>
        </w:rPr>
        <w:t>如行政办公楼、教学楼、综合楼、饭堂、学生宿舍、围墙等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应加强巡查；</w:t>
      </w:r>
    </w:p>
    <w:p w14:paraId="5D6DB964">
      <w:pPr>
        <w:spacing w:line="400" w:lineRule="exact"/>
        <w:ind w:firstLine="4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巡查内容主要包括:消防设备的完好性，公共设施有无损坏，学生有无抽烟现象，有无人员翻越围墙现象，有无乱画、乱写等损坏校园景观现象，办公楼、教学楼等功能室内窗、灯关否，天花板及悬挂物有无安全隐患，校园内有无打架斗殴现象，有无可疑人员，并做好巡查记录，对值班、巡查中发现的问题及时处理，视情况向相关部门报告；</w:t>
      </w:r>
    </w:p>
    <w:p w14:paraId="6F0F45E4">
      <w:pPr>
        <w:spacing w:line="400" w:lineRule="exact"/>
        <w:ind w:firstLine="4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（3）阻止闲杂人员进入学生宿舍，安保人员无必要不得进入女生宿舍。</w:t>
      </w:r>
    </w:p>
    <w:p w14:paraId="1433F6B0">
      <w:pPr>
        <w:spacing w:line="400" w:lineRule="exact"/>
        <w:ind w:firstLine="405"/>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消防管理要求</w:t>
      </w:r>
    </w:p>
    <w:p w14:paraId="2AE3F700">
      <w:pPr>
        <w:spacing w:line="400" w:lineRule="exact"/>
        <w:ind w:firstLine="4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（1）配合学校举行消防演练，让师生员工熟悉消防程序;</w:t>
      </w:r>
    </w:p>
    <w:p w14:paraId="3A3858E5">
      <w:pPr>
        <w:spacing w:line="400" w:lineRule="exact"/>
        <w:ind w:firstLine="4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（2）每月进行消防设施检查，确保消防设施设备的完好性。</w:t>
      </w:r>
    </w:p>
    <w:p w14:paraId="02FF3EF1">
      <w:pPr>
        <w:spacing w:line="400" w:lineRule="exact"/>
        <w:ind w:firstLine="405"/>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 应急处理</w:t>
      </w:r>
    </w:p>
    <w:p w14:paraId="21532134">
      <w:pPr>
        <w:spacing w:line="400" w:lineRule="exact"/>
        <w:ind w:firstLine="4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建立突发事件应急预案并熟悉预案的各项要求，以便在突发事件发生，能第一时间赶到现场，并井然有序地处理突发事件，在最大限度内控制事态的发展。</w:t>
      </w:r>
    </w:p>
    <w:p w14:paraId="7B4C6A74">
      <w:pPr>
        <w:spacing w:line="400" w:lineRule="exact"/>
        <w:ind w:firstLine="405"/>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 校园财产安全要求</w:t>
      </w:r>
    </w:p>
    <w:p w14:paraId="0539C0CA">
      <w:pPr>
        <w:spacing w:line="400" w:lineRule="exact"/>
        <w:ind w:firstLine="4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（1）建立校园财产安全巡查机制，对学校重点区域、重要场所、重要设备进行重点监控；</w:t>
      </w:r>
    </w:p>
    <w:p w14:paraId="7E69B536">
      <w:pPr>
        <w:spacing w:line="400" w:lineRule="exact"/>
        <w:ind w:firstLine="4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（2）对出校门的贵重物品进行必要的询查机制，并与相关部门取得联系，做好核查登记工作；</w:t>
      </w:r>
    </w:p>
    <w:p w14:paraId="26F97BE1">
      <w:pPr>
        <w:spacing w:line="400" w:lineRule="exact"/>
        <w:ind w:firstLine="4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（3）由于工作不到位所造成的财产损害、被盗等，乙方需承担相应的赔偿责任。</w:t>
      </w:r>
    </w:p>
    <w:p w14:paraId="277268C0">
      <w:pPr>
        <w:spacing w:line="400" w:lineRule="exact"/>
        <w:ind w:firstLine="405"/>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 其他</w:t>
      </w:r>
    </w:p>
    <w:p w14:paraId="563773DF">
      <w:pPr>
        <w:spacing w:line="400" w:lineRule="exact"/>
        <w:ind w:firstLine="4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无条件配合学校教育教学工作。</w:t>
      </w:r>
    </w:p>
    <w:p w14:paraId="2EBD0F91">
      <w:pPr>
        <w:snapToGrid w:val="0"/>
        <w:spacing w:line="360" w:lineRule="auto"/>
        <w:ind w:firstLine="420" w:firstLineChars="200"/>
        <w:rPr>
          <w:rFonts w:hint="eastAsia" w:ascii="宋体" w:hAnsi="宋体" w:eastAsia="宋体" w:cs="宋体"/>
          <w:color w:val="auto"/>
          <w:szCs w:val="21"/>
          <w:highlight w:val="none"/>
        </w:rPr>
      </w:pPr>
    </w:p>
    <w:p w14:paraId="282C8463">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第四条　交付和验收</w:t>
      </w:r>
    </w:p>
    <w:p w14:paraId="14F89A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1、服务期限：</w:t>
      </w:r>
      <w:r>
        <w:rPr>
          <w:rFonts w:hint="eastAsia" w:ascii="宋体" w:hAnsi="宋体" w:eastAsia="宋体" w:cs="宋体"/>
          <w:color w:val="auto"/>
          <w:szCs w:val="21"/>
          <w:highlight w:val="none"/>
          <w:u w:val="single"/>
        </w:rPr>
        <w:t xml:space="preserve">           起至              </w:t>
      </w:r>
      <w:r>
        <w:rPr>
          <w:rFonts w:hint="eastAsia" w:ascii="宋体" w:hAnsi="宋体" w:eastAsia="宋体" w:cs="宋体"/>
          <w:color w:val="auto"/>
          <w:szCs w:val="21"/>
          <w:highlight w:val="none"/>
        </w:rPr>
        <w:t>，服务地点：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BFF6EE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2、乙方应按投标文件的承诺向甲方提供相应的服务，并提供所服务内容的相关技术资料。</w:t>
      </w:r>
    </w:p>
    <w:p w14:paraId="7F1C92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3、乙方提供不符合投标文件和本合同规定的服务成果，甲方有权拒绝接受。</w:t>
      </w:r>
    </w:p>
    <w:p w14:paraId="0531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4、乙方完成服务后应及时书面通知甲方进行验收，甲方应在收到通知后</w:t>
      </w:r>
      <w:r>
        <w:rPr>
          <w:rFonts w:hint="eastAsia" w:ascii="宋体" w:hAnsi="宋体" w:cs="宋体"/>
          <w:color w:val="auto"/>
          <w:szCs w:val="21"/>
          <w:highlight w:val="none"/>
          <w:lang w:val="en-US" w:eastAsia="zh-CN"/>
        </w:rPr>
        <w:t>七</w:t>
      </w:r>
      <w:r>
        <w:rPr>
          <w:rFonts w:hint="eastAsia" w:ascii="宋体" w:hAnsi="宋体" w:eastAsia="宋体" w:cs="宋体"/>
          <w:color w:val="auto"/>
          <w:szCs w:val="21"/>
          <w:highlight w:val="none"/>
        </w:rPr>
        <w:t>个工作日内进行验收。验收合格后由甲乙双方签署验收单并加盖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公章，甲乙双方各执一份。</w:t>
      </w:r>
    </w:p>
    <w:p w14:paraId="6B23C2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5、甲乙双方应按照《广西壮族自治区政府采购项目履约验收管理办法》、双方合同、投标文件验收。</w:t>
      </w:r>
    </w:p>
    <w:p w14:paraId="627C62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6、甲方在初步验收或者最终验收过程中如发现乙方提供的服务成果不满足投标文件及本合同规定的，可暂缓向乙方付款，直到乙方及时完善并提交相应的服务成果且经甲方验收合格后，方可办理付款。</w:t>
      </w:r>
    </w:p>
    <w:p w14:paraId="346636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7、甲方验收时以书面形式提出异议的，乙方应自收到甲方书面异议后五个工作日内及时予以解决，否则甲方有权不出具服务验收合格单。</w:t>
      </w:r>
    </w:p>
    <w:p w14:paraId="6D2F3A40">
      <w:pPr>
        <w:spacing w:line="400" w:lineRule="exact"/>
        <w:ind w:firstLine="211" w:firstLineChars="100"/>
        <w:jc w:val="left"/>
        <w:rPr>
          <w:rFonts w:hint="eastAsia" w:ascii="宋体" w:hAnsi="宋体" w:eastAsia="宋体" w:cs="宋体"/>
          <w:b/>
          <w:bCs/>
          <w:color w:val="auto"/>
          <w:sz w:val="21"/>
          <w:szCs w:val="21"/>
          <w:highlight w:val="none"/>
        </w:rPr>
      </w:pPr>
      <w:r>
        <w:rPr>
          <w:rFonts w:hint="eastAsia" w:ascii="宋体" w:hAnsi="宋体" w:eastAsia="宋体" w:cs="宋体"/>
          <w:b/>
          <w:color w:val="auto"/>
          <w:szCs w:val="21"/>
          <w:highlight w:val="none"/>
        </w:rPr>
        <w:t xml:space="preserve">第五条  </w:t>
      </w:r>
      <w:r>
        <w:rPr>
          <w:rFonts w:hint="eastAsia" w:ascii="宋体" w:hAnsi="宋体" w:eastAsia="宋体" w:cs="宋体"/>
          <w:b/>
          <w:color w:val="auto"/>
          <w:szCs w:val="21"/>
          <w:highlight w:val="none"/>
          <w:lang w:val="en-US" w:eastAsia="zh-CN"/>
        </w:rPr>
        <w:t>甲乙</w:t>
      </w:r>
      <w:r>
        <w:rPr>
          <w:rFonts w:hint="eastAsia" w:ascii="宋体" w:hAnsi="宋体" w:eastAsia="宋体" w:cs="宋体"/>
          <w:b/>
          <w:bCs/>
          <w:color w:val="auto"/>
          <w:sz w:val="21"/>
          <w:szCs w:val="21"/>
          <w:highlight w:val="none"/>
        </w:rPr>
        <w:t>双方的权利、责任和义务</w:t>
      </w:r>
    </w:p>
    <w:p w14:paraId="6BBB3652">
      <w:pPr>
        <w:spacing w:line="400" w:lineRule="exact"/>
        <w:ind w:firstLine="316" w:firstLineChars="15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（一）甲方的权利、责任和义务</w:t>
      </w:r>
    </w:p>
    <w:p w14:paraId="5062ADE8">
      <w:pPr>
        <w:widowControl/>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1.甲方按现有条件将其校园及周边保安服务工作承包给乙方。</w:t>
      </w:r>
    </w:p>
    <w:p w14:paraId="61DCC1FC">
      <w:pPr>
        <w:widowControl/>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2.甲方按</w:t>
      </w:r>
      <w:r>
        <w:rPr>
          <w:rFonts w:hint="eastAsia" w:ascii="宋体" w:hAnsi="宋体" w:cs="宋体"/>
          <w:color w:val="auto"/>
          <w:sz w:val="21"/>
          <w:szCs w:val="21"/>
          <w:highlight w:val="none"/>
          <w:lang w:val="en-US" w:eastAsia="zh-CN"/>
        </w:rPr>
        <w:t>季度</w:t>
      </w:r>
      <w:r>
        <w:rPr>
          <w:rFonts w:hint="eastAsia" w:ascii="宋体" w:hAnsi="宋体" w:eastAsia="宋体" w:cs="宋体"/>
          <w:color w:val="auto"/>
          <w:sz w:val="21"/>
          <w:szCs w:val="21"/>
          <w:highlight w:val="none"/>
        </w:rPr>
        <w:t>支付乙方保安费用。</w:t>
      </w:r>
    </w:p>
    <w:p w14:paraId="02BDE15F">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3.甲方在合同期间，对乙方工作进行监督、检查和指导，有权对保安员的工作进行考核、指导、监督、批评教育。</w:t>
      </w:r>
    </w:p>
    <w:p w14:paraId="4E334AB5">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甲方如发现乙方未严格履行协议规定，有权要求乙方限期整改；如乙方在整改限期内不能达到协议规定的要求和标准，甲方有权对乙方进行经济处罚（以壹仟元为基数扣罚），甲方再次要求整改，限期内仍不能达到协议规定的要求和标准，甲方有取消乙方合同的权利。</w:t>
      </w:r>
    </w:p>
    <w:p w14:paraId="36F27E7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5.甲方视其条件，为保安员提供适当的工作环境和工作生活条件。</w:t>
      </w:r>
    </w:p>
    <w:p w14:paraId="3760AEF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6.甲方有权对保安人员进行教育管理，并教育本单位教职工支持配合保安员工作。</w:t>
      </w:r>
    </w:p>
    <w:p w14:paraId="16DA8DA1">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7.合同期间，甲方校园如发生突发事件，甲方应派人协助乙方的工作，并配合乙方做好善后处理工作。</w:t>
      </w:r>
    </w:p>
    <w:p w14:paraId="6611F45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8.落实乙方责任赔偿时，甲方有权客观公正的维护乙方和当事人双方的合法权益。</w:t>
      </w:r>
    </w:p>
    <w:p w14:paraId="7D334C07">
      <w:pPr>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9.甲方有要求乙方更换不称职的工作人员的权利，有建议保留称职工作人员的权利。</w:t>
      </w:r>
    </w:p>
    <w:p w14:paraId="299678A9">
      <w:pPr>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10.甲方负责校园各类安全设施的配套建设及日常维修；对乙方提出的合理的安全管理整改意见，甲方应给予支持和解决。</w:t>
      </w:r>
    </w:p>
    <w:p w14:paraId="3014C549">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11.甲方应根据相关法律法规，结合实际情况，指导和督促甲方各部门及系部制定有关安全防范管理制度，做好内部安全、消防的防范管理工作。</w:t>
      </w:r>
    </w:p>
    <w:p w14:paraId="3F0904D5">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12.甲方要建立健全保安员值勤、管理和评价制度，对保安员工作情况每月进行一次考核，并将考核结果逐月通报乙方。</w:t>
      </w:r>
    </w:p>
    <w:p w14:paraId="3B82C2D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13.甲方要于每学期末，对乙方的工作进行综合评议，并提出整改意见。</w:t>
      </w:r>
    </w:p>
    <w:p w14:paraId="1C6D464C">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 xml:space="preserve">  （二）乙方的权利、责任和义务</w:t>
      </w:r>
    </w:p>
    <w:p w14:paraId="6078E1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1.在本合同签订之日起5日内，乙方应派遣保安员到甲方开展工作业务。乙方</w:t>
      </w:r>
      <w:r>
        <w:rPr>
          <w:rFonts w:hint="eastAsia" w:ascii="宋体" w:hAnsi="宋体" w:eastAsia="宋体" w:cs="宋体"/>
          <w:color w:val="auto"/>
          <w:sz w:val="21"/>
          <w:szCs w:val="21"/>
          <w:highlight w:val="none"/>
          <w:lang w:val="en-US" w:eastAsia="zh-CN"/>
        </w:rPr>
        <w:t>必须在中标后30天内在防城港市公安局</w:t>
      </w:r>
      <w:r>
        <w:rPr>
          <w:rFonts w:hint="eastAsia" w:ascii="宋体" w:hAnsi="宋体" w:cs="宋体"/>
          <w:color w:val="auto"/>
          <w:sz w:val="21"/>
          <w:szCs w:val="21"/>
          <w:highlight w:val="none"/>
          <w:lang w:val="en-US" w:eastAsia="zh-CN"/>
        </w:rPr>
        <w:t>港口分局治安大队</w:t>
      </w:r>
      <w:r>
        <w:rPr>
          <w:rFonts w:hint="eastAsia" w:ascii="宋体" w:hAnsi="宋体" w:eastAsia="宋体" w:cs="宋体"/>
          <w:color w:val="auto"/>
          <w:sz w:val="21"/>
          <w:szCs w:val="21"/>
          <w:highlight w:val="none"/>
          <w:lang w:val="en-US" w:eastAsia="zh-CN"/>
        </w:rPr>
        <w:t>进行备案，否则</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有权终止合同，并向</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追究由此造成的损失。</w:t>
      </w:r>
    </w:p>
    <w:p w14:paraId="638C425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2.乙方要严格执行服务标准，坚决维护甲方校园的安全稳定。</w:t>
      </w:r>
    </w:p>
    <w:p w14:paraId="6855F8E5">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3.乙方要教育督促保安员严格遵守国家的</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，自觉执行甲方各项规章制度并落实本岗位职责。</w:t>
      </w:r>
    </w:p>
    <w:p w14:paraId="2051BDA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4.乙方要确保保安员在甲方领导下工作，认真做好甲方校园及各类安全防范工作。</w:t>
      </w:r>
    </w:p>
    <w:p w14:paraId="4329C8C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5.乙方所聘保安员必须符合招标文件的《项目需求说明》和</w:t>
      </w:r>
      <w:r>
        <w:rPr>
          <w:rFonts w:hint="eastAsia"/>
          <w:color w:val="auto"/>
          <w:highlight w:val="none"/>
          <w:lang w:val="en-US" w:eastAsia="zh-CN"/>
        </w:rPr>
        <w:t>投标</w:t>
      </w:r>
      <w:r>
        <w:rPr>
          <w:rFonts w:hint="eastAsia" w:ascii="宋体" w:hAnsi="宋体" w:eastAsia="宋体" w:cs="宋体"/>
          <w:color w:val="auto"/>
          <w:sz w:val="21"/>
          <w:szCs w:val="21"/>
          <w:highlight w:val="none"/>
        </w:rPr>
        <w:t>文件《服务承诺》。保安员派遣前，必须对保安员政治及家庭背景进行核实，确保无违法犯罪前科，无心理及精神疾病；对保安员进行岗前专业培训，确保保安员持证上岗；保安员上岗后继续进行必要的教育训练和日常管理。</w:t>
      </w:r>
    </w:p>
    <w:p w14:paraId="68B5679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6.乙方要确保保安人员在工作中遇到甲方师生员工人身安全及财产受到不法侵害或交通事故、火灾事故时，能挺身而出，及时制止和处理，以减少损失，并向甲方和当地公安机关报告。</w:t>
      </w:r>
    </w:p>
    <w:p w14:paraId="775382C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7.经考核为不称职的保安，乙方应在3天内完成对其进行补训或调换；2次考核为不称职的，乙方则无条件立即调换。</w:t>
      </w:r>
    </w:p>
    <w:p w14:paraId="740FB97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8.乙方自主经营，自负盈亏。承担保安员的工资、福利及其他社会保险等，承担承包期间所发生的</w:t>
      </w:r>
      <w:r>
        <w:rPr>
          <w:rFonts w:hint="eastAsia" w:ascii="宋体" w:hAnsi="宋体" w:cs="宋体"/>
          <w:color w:val="auto"/>
          <w:sz w:val="21"/>
          <w:szCs w:val="21"/>
          <w:highlight w:val="none"/>
          <w:lang w:eastAsia="zh-CN"/>
        </w:rPr>
        <w:t>债权</w:t>
      </w:r>
      <w:r>
        <w:rPr>
          <w:rFonts w:hint="eastAsia" w:ascii="宋体" w:hAnsi="宋体" w:eastAsia="宋体" w:cs="宋体"/>
          <w:color w:val="auto"/>
          <w:sz w:val="21"/>
          <w:szCs w:val="21"/>
          <w:highlight w:val="none"/>
        </w:rPr>
        <w:t>、债务和安全责任事故、用工意外伤害等事故责任。</w:t>
      </w:r>
    </w:p>
    <w:p w14:paraId="61736EA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9.合同期间，由于乙方管理不善，或因保安员工作失职而造成甲方人身安全事故、财产损失和恶劣影响的，乙方要承担相应的责任，并负责相应的赔偿。</w:t>
      </w:r>
    </w:p>
    <w:p w14:paraId="3027FB1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10.乙方应制定突发事件处理预案，发生突发事件时应在第一时间赶到现场，采取应对措施处置，并及时向甲方及相关部门报告。</w:t>
      </w:r>
    </w:p>
    <w:p w14:paraId="381A2A7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11.乙方在接到甲方整改通知后，应及时组织人员进行整改，并在限期内整改好，同时书面报告甲方，以便甲方复查。</w:t>
      </w:r>
    </w:p>
    <w:p w14:paraId="098632C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12.乙方在合同期内，应每季度将承包情况书面向采购人和甲方汇报，便于采购人和甲方了解情况，及时掌握乙方和保安人员工作动态，以利共同合作。</w:t>
      </w:r>
    </w:p>
    <w:p w14:paraId="62E64F9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13.乙方要为保安员提供统一工作服装和必要的警械设备以及必要的交通工具等，费用由乙方负责。</w:t>
      </w:r>
    </w:p>
    <w:p w14:paraId="115CC24F">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14.乙方应每学期对甲方保安员集体轮换一次，轮换前需报甲方审定。</w:t>
      </w:r>
    </w:p>
    <w:p w14:paraId="2DBFBA45">
      <w:pPr>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15.乙方必须严格遵守</w:t>
      </w:r>
      <w:r>
        <w:rPr>
          <w:rFonts w:hint="eastAsia" w:ascii="宋体" w:hAnsi="宋体" w:eastAsia="宋体" w:cs="宋体"/>
          <w:color w:val="auto"/>
          <w:sz w:val="21"/>
          <w:szCs w:val="21"/>
          <w:highlight w:val="none"/>
          <w:lang w:val="en-US" w:eastAsia="zh-CN"/>
        </w:rPr>
        <w:t>相关法律法规</w:t>
      </w:r>
      <w:r>
        <w:rPr>
          <w:rFonts w:hint="eastAsia" w:ascii="宋体" w:hAnsi="宋体" w:eastAsia="宋体" w:cs="宋体"/>
          <w:color w:val="auto"/>
          <w:sz w:val="21"/>
          <w:szCs w:val="21"/>
          <w:highlight w:val="none"/>
        </w:rPr>
        <w:t>规定，保安员与乙方产生的劳动争议与甲方无关。</w:t>
      </w:r>
    </w:p>
    <w:p w14:paraId="31F797A9">
      <w:pPr>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16.合同期内，乙方必须保证自身具备项目书规定的经营资格，派遣的保安员需经专业培训，并取得上岗资格；保安人员的基本情况，需如实向甲方通报。</w:t>
      </w:r>
    </w:p>
    <w:p w14:paraId="6E6E5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17.</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、政策规定的其他权利和义务。</w:t>
      </w:r>
    </w:p>
    <w:p w14:paraId="558EEB13">
      <w:pPr>
        <w:snapToGrid w:val="0"/>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第六条　付款方式</w:t>
      </w:r>
    </w:p>
    <w:p w14:paraId="301F587A">
      <w:pPr>
        <w:pStyle w:val="2"/>
        <w:spacing w:line="360" w:lineRule="auto"/>
        <w:ind w:firstLine="420" w:firstLineChars="200"/>
        <w:rPr>
          <w:rFonts w:hint="eastAsia" w:ascii="宋体" w:hAnsi="宋体" w:eastAsia="宋体" w:cs="宋体"/>
          <w:color w:val="auto"/>
          <w:lang w:val="en-US"/>
        </w:rPr>
      </w:pPr>
      <w:r>
        <w:rPr>
          <w:rFonts w:hint="eastAsia" w:ascii="宋体" w:hAnsi="宋体" w:eastAsia="宋体" w:cs="宋体"/>
          <w:color w:val="auto"/>
          <w:szCs w:val="21"/>
          <w:highlight w:val="none"/>
          <w:lang w:eastAsia="zh-CN"/>
        </w:rPr>
        <w:t>付款方式：</w:t>
      </w:r>
      <w:r>
        <w:rPr>
          <w:rFonts w:hint="eastAsia" w:ascii="宋体" w:hAnsi="宋体" w:cs="宋体"/>
          <w:color w:val="auto"/>
          <w:highlight w:val="none"/>
          <w:lang w:val="en-US" w:eastAsia="zh-CN"/>
        </w:rPr>
        <w:t>签订合同后，甲方在财政部门资金下达后10个工作日内支付</w:t>
      </w:r>
      <w:r>
        <w:rPr>
          <w:rFonts w:hint="eastAsia" w:ascii="宋体" w:hAnsi="宋体" w:eastAsia="宋体" w:cs="宋体"/>
          <w:color w:val="auto"/>
          <w:highlight w:val="none"/>
          <w:lang w:val="en-US" w:eastAsia="zh-CN"/>
        </w:rPr>
        <w:t>预付合同总价款的10%，剩余的90%合同款按每个季度平均支付，每个季度的下一个月15个工作日前支付上个季度的费用，直至支付完毕为止，</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自收到</w:t>
      </w:r>
      <w:r>
        <w:rPr>
          <w:rFonts w:hint="eastAsia" w:ascii="宋体" w:hAnsi="宋体" w:cs="宋体"/>
          <w:color w:val="auto"/>
          <w:highlight w:val="none"/>
          <w:lang w:val="en-US" w:eastAsia="zh-CN"/>
        </w:rPr>
        <w:t>每次</w:t>
      </w:r>
      <w:r>
        <w:rPr>
          <w:rFonts w:hint="eastAsia" w:ascii="宋体" w:hAnsi="宋体" w:eastAsia="宋体" w:cs="宋体"/>
          <w:color w:val="auto"/>
          <w:highlight w:val="none"/>
          <w:lang w:val="en-US" w:eastAsia="zh-CN"/>
        </w:rPr>
        <w:t>付款后3个工作日内开具合法等额发票给</w:t>
      </w:r>
      <w:r>
        <w:rPr>
          <w:rFonts w:hint="eastAsia" w:ascii="宋体" w:hAnsi="宋体" w:cs="宋体"/>
          <w:color w:val="auto"/>
          <w:highlight w:val="none"/>
          <w:lang w:val="en-US" w:eastAsia="zh-CN"/>
        </w:rPr>
        <w:t>甲方</w:t>
      </w:r>
      <w:r>
        <w:rPr>
          <w:rFonts w:hint="eastAsia" w:ascii="宋体" w:hAnsi="宋体" w:eastAsia="宋体" w:cs="宋体"/>
          <w:color w:val="auto"/>
          <w:highlight w:val="none"/>
          <w:lang w:val="en-US" w:eastAsia="zh-CN"/>
        </w:rPr>
        <w:t>。</w:t>
      </w:r>
    </w:p>
    <w:p w14:paraId="75D1C9E7">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履约保证金</w:t>
      </w:r>
    </w:p>
    <w:p w14:paraId="36EC2B88">
      <w:pPr>
        <w:spacing w:line="360" w:lineRule="auto"/>
        <w:ind w:firstLine="422" w:firstLineChars="200"/>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p w14:paraId="21CEB31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税费</w:t>
      </w:r>
    </w:p>
    <w:p w14:paraId="1407A6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14:paraId="375AFF63">
      <w:pPr>
        <w:spacing w:line="40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color w:val="auto"/>
          <w:szCs w:val="21"/>
          <w:highlight w:val="none"/>
        </w:rPr>
        <w:t>第九条　</w:t>
      </w:r>
      <w:r>
        <w:rPr>
          <w:rFonts w:hint="eastAsia" w:ascii="宋体" w:hAnsi="宋体" w:eastAsia="宋体" w:cs="宋体"/>
          <w:b/>
          <w:bCs/>
          <w:color w:val="auto"/>
          <w:sz w:val="21"/>
          <w:szCs w:val="21"/>
          <w:highlight w:val="none"/>
        </w:rPr>
        <w:t>具有下列情况之一时，</w:t>
      </w:r>
      <w:r>
        <w:rPr>
          <w:rFonts w:hint="eastAsia" w:ascii="宋体" w:hAnsi="宋体" w:cs="宋体"/>
          <w:b/>
          <w:bCs/>
          <w:color w:val="auto"/>
          <w:sz w:val="21"/>
          <w:szCs w:val="21"/>
          <w:highlight w:val="none"/>
          <w:lang w:val="en-US" w:eastAsia="zh-CN"/>
        </w:rPr>
        <w:t>守约方</w:t>
      </w:r>
      <w:r>
        <w:rPr>
          <w:rFonts w:hint="eastAsia" w:ascii="宋体" w:hAnsi="宋体" w:eastAsia="宋体" w:cs="宋体"/>
          <w:b/>
          <w:bCs/>
          <w:color w:val="auto"/>
          <w:sz w:val="21"/>
          <w:szCs w:val="21"/>
          <w:highlight w:val="none"/>
        </w:rPr>
        <w:t>可解除合同</w:t>
      </w:r>
    </w:p>
    <w:p w14:paraId="0250412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（一）保安员无法胜任本岗位职责，经甲方提出更换要求后，乙方拒不更换的，甲方有权提前终止合同，并要求乙方承担由此引发的经济损失和其他相关责任。</w:t>
      </w:r>
    </w:p>
    <w:p w14:paraId="508195C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（二）因保安员工作失职、失误或违反职业道德给甲方造成人员伤亡、财产损失或恶劣影响的，甲方有权提前终止合同，并依法向乙方追究相应的经济赔偿。</w:t>
      </w:r>
    </w:p>
    <w:p w14:paraId="4444545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（三）保安员严重失职或乙方认为需要更换时，甲方不配合致使乙方无法以组织形式安排工作时，乙方不承担由此引发的相关责任，并有权提前终止合同。</w:t>
      </w:r>
    </w:p>
    <w:p w14:paraId="4094A1B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已将保安员工资或其他社会福利按时划拨，但乙方不按相关规定及时给保安员办理工资或其他福利待遇，造成保安员无法正常工作，影响学校安全稳定时，甲方有权提前终止合同；如造成损失的，甲方将依法向乙方追究赔偿经济损失。</w:t>
      </w:r>
    </w:p>
    <w:p w14:paraId="3AD8D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（五）甲方违反合同规定，不按合同要求向保安员提供必要的工作条件，经协商无效，乙方有权提前一个月通知甲方终止合同。</w:t>
      </w:r>
    </w:p>
    <w:p w14:paraId="41E61DB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（六）合同期内，如乙方不能保证其项目书规定的经营资格</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如保安服务许可证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，甲方有权中止合同，并依法追究乙方经济责任。</w:t>
      </w:r>
    </w:p>
    <w:p w14:paraId="57D772BD">
      <w:pPr>
        <w:spacing w:line="400" w:lineRule="exact"/>
        <w:ind w:firstLine="420" w:firstLineChars="200"/>
        <w:jc w:val="left"/>
        <w:rPr>
          <w:rFonts w:hint="eastAsia" w:ascii="宋体" w:hAnsi="宋体" w:eastAsia="宋体" w:cs="宋体"/>
          <w:b/>
          <w:color w:val="auto"/>
          <w:szCs w:val="21"/>
          <w:highlight w:val="none"/>
        </w:rPr>
      </w:pPr>
      <w:r>
        <w:rPr>
          <w:rFonts w:hint="eastAsia" w:ascii="宋体" w:hAnsi="宋体" w:cs="宋体"/>
          <w:color w:val="FF0000"/>
          <w:sz w:val="21"/>
          <w:szCs w:val="21"/>
          <w:highlight w:val="none"/>
          <w:lang w:eastAsia="zh-CN"/>
        </w:rPr>
        <w:t>（</w:t>
      </w:r>
      <w:r>
        <w:rPr>
          <w:rFonts w:hint="eastAsia" w:ascii="宋体" w:hAnsi="宋体" w:cs="宋体"/>
          <w:color w:val="FF0000"/>
          <w:sz w:val="21"/>
          <w:szCs w:val="21"/>
          <w:highlight w:val="none"/>
          <w:lang w:val="en-US" w:eastAsia="zh-CN"/>
        </w:rPr>
        <w:t>七</w:t>
      </w:r>
      <w:r>
        <w:rPr>
          <w:rFonts w:hint="eastAsia" w:ascii="宋体" w:hAnsi="宋体" w:cs="宋体"/>
          <w:color w:val="FF0000"/>
          <w:sz w:val="21"/>
          <w:szCs w:val="21"/>
          <w:highlight w:val="none"/>
          <w:lang w:eastAsia="zh-CN"/>
        </w:rPr>
        <w:t>）若</w:t>
      </w:r>
      <w:r>
        <w:rPr>
          <w:rFonts w:hint="eastAsia" w:ascii="宋体" w:hAnsi="宋体" w:eastAsia="宋体" w:cs="宋体"/>
          <w:color w:val="FF0000"/>
          <w:sz w:val="21"/>
          <w:szCs w:val="21"/>
          <w:highlight w:val="none"/>
        </w:rPr>
        <w:t>乙方</w:t>
      </w:r>
      <w:r>
        <w:rPr>
          <w:rFonts w:hint="eastAsia" w:ascii="宋体" w:hAnsi="宋体" w:cs="宋体"/>
          <w:color w:val="FF0000"/>
          <w:sz w:val="21"/>
          <w:szCs w:val="21"/>
          <w:highlight w:val="none"/>
          <w:lang w:eastAsia="zh-CN"/>
        </w:rPr>
        <w:t>保安员在岗期间受到治安管理处罚（含赌博、酒驾、盗窃、殴打他人等），学校有权视情节解除合同。</w:t>
      </w:r>
      <w:r>
        <w:rPr>
          <w:rFonts w:hint="eastAsia" w:ascii="宋体" w:hAnsi="宋体" w:eastAsia="宋体" w:cs="宋体"/>
          <w:color w:val="FF0000"/>
          <w:sz w:val="21"/>
          <w:szCs w:val="21"/>
          <w:highlight w:val="non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 xml:space="preserve"> </w:t>
      </w:r>
    </w:p>
    <w:p w14:paraId="669E2EB2">
      <w:pPr>
        <w:spacing w:line="360" w:lineRule="auto"/>
        <w:ind w:firstLine="422" w:firstLineChars="200"/>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 xml:space="preserve">第十条  </w:t>
      </w:r>
      <w:r>
        <w:rPr>
          <w:rFonts w:hint="eastAsia" w:ascii="宋体" w:hAnsi="宋体" w:eastAsia="宋体" w:cs="宋体"/>
          <w:b/>
          <w:color w:val="auto"/>
          <w:szCs w:val="21"/>
          <w:highlight w:val="none"/>
        </w:rPr>
        <w:t>违约责任</w:t>
      </w:r>
    </w:p>
    <w:p w14:paraId="64B1C0A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1、除不可抗力原因外，乙方没有按照合同规定的时间提供服务的，甲方可要求乙方支付违约金。每推迟一天按合同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金额的3‰支付违约金，该违约金累计不超过合同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 xml:space="preserve">金额的10%。                                  </w:t>
      </w:r>
    </w:p>
    <w:p w14:paraId="41B5E47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2、乙方提供的服务如侵犯了第三方合法权益而引发的任何纠纷或者诉讼，均由乙方负责交涉并承担全部责任。</w:t>
      </w:r>
    </w:p>
    <w:p w14:paraId="7F3340A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3、甲方延期付款的，每天向乙方偿付延期款额</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‰滞纳金，但滞纳金累计不得超过延期款额5%。</w:t>
      </w:r>
    </w:p>
    <w:p w14:paraId="29CDCF9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cs="宋体"/>
          <w:b/>
          <w:color w:val="auto"/>
          <w:szCs w:val="21"/>
          <w:highlight w:val="none"/>
          <w:lang w:val="en-US" w:eastAsia="zh-CN"/>
        </w:rPr>
        <w:t>一</w:t>
      </w:r>
      <w:r>
        <w:rPr>
          <w:rFonts w:hint="eastAsia" w:ascii="宋体" w:hAnsi="宋体" w:eastAsia="宋体" w:cs="宋体"/>
          <w:b/>
          <w:color w:val="auto"/>
          <w:szCs w:val="21"/>
          <w:highlight w:val="none"/>
        </w:rPr>
        <w:t>条  不可抗力事件处理</w:t>
      </w:r>
    </w:p>
    <w:p w14:paraId="23733E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1、在合同有效期内，任何一方因不可抗力事件导致不能履行合同，则合同履行期可延长，其延长期与不可抗力影响期相同。</w:t>
      </w:r>
    </w:p>
    <w:p w14:paraId="7AC5F2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w:t>
      </w:r>
    </w:p>
    <w:p w14:paraId="1E796A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5694F4C7">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cs="宋体"/>
          <w:b/>
          <w:color w:val="auto"/>
          <w:szCs w:val="21"/>
          <w:highlight w:val="none"/>
          <w:lang w:val="en-US" w:eastAsia="zh-CN"/>
        </w:rPr>
        <w:t>二</w:t>
      </w:r>
      <w:r>
        <w:rPr>
          <w:rFonts w:hint="eastAsia" w:ascii="宋体" w:hAnsi="宋体" w:eastAsia="宋体" w:cs="宋体"/>
          <w:b/>
          <w:color w:val="auto"/>
          <w:szCs w:val="21"/>
          <w:highlight w:val="none"/>
        </w:rPr>
        <w:t>条  合同争议解决</w:t>
      </w:r>
    </w:p>
    <w:p w14:paraId="5744A4E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1、因服务质量问题发生争议的，应邀请国家认可的质量检测机构进行鉴定。服务符合标准的，鉴定费由甲方承担；服务不符合标准的，鉴定费由乙方承担。</w:t>
      </w:r>
    </w:p>
    <w:p w14:paraId="0E9F34E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2、因履行本合同引起的或者与本合同有关的争议，甲乙双方应首先通过友好协商解决，如果协商不能解决，可向甲方所在地有管辖权</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人民法院提起诉讼。</w:t>
      </w:r>
    </w:p>
    <w:p w14:paraId="5943168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53B2BD95">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第十</w:t>
      </w:r>
      <w:r>
        <w:rPr>
          <w:rFonts w:hint="eastAsia" w:ascii="宋体" w:hAnsi="宋体" w:cs="宋体"/>
          <w:b/>
          <w:color w:val="auto"/>
          <w:szCs w:val="21"/>
          <w:highlight w:val="none"/>
          <w:lang w:val="en-US" w:eastAsia="zh-CN"/>
        </w:rPr>
        <w:t>三</w:t>
      </w:r>
      <w:r>
        <w:rPr>
          <w:rFonts w:hint="eastAsia" w:ascii="宋体" w:hAnsi="宋体" w:eastAsia="宋体" w:cs="宋体"/>
          <w:b/>
          <w:color w:val="auto"/>
          <w:szCs w:val="21"/>
          <w:highlight w:val="none"/>
        </w:rPr>
        <w:t>条  合同生效及</w:t>
      </w:r>
      <w:r>
        <w:rPr>
          <w:rFonts w:hint="eastAsia" w:ascii="宋体" w:hAnsi="宋体" w:eastAsia="宋体" w:cs="宋体"/>
          <w:b/>
          <w:color w:val="auto"/>
          <w:szCs w:val="21"/>
          <w:highlight w:val="none"/>
          <w:lang w:eastAsia="zh-CN"/>
        </w:rPr>
        <w:t>其他</w:t>
      </w:r>
    </w:p>
    <w:p w14:paraId="25C134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1、合同经双方法定代表人或者</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委托代理人签字并加盖单位公章后生效（委托代理人签字的需后附法定代表人授权委托书，格式自拟）。</w:t>
      </w:r>
    </w:p>
    <w:p w14:paraId="42F052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2、合同执行中涉及采购资金和采购内容修改或者补充的，须经财政部门审批，并</w:t>
      </w:r>
      <w:r>
        <w:rPr>
          <w:rFonts w:hint="eastAsia" w:ascii="宋体" w:hAnsi="宋体" w:cs="宋体"/>
          <w:color w:val="auto"/>
          <w:szCs w:val="21"/>
          <w:highlight w:val="none"/>
          <w:lang w:eastAsia="zh-CN"/>
        </w:rPr>
        <w:t>签订</w:t>
      </w:r>
      <w:r>
        <w:rPr>
          <w:rFonts w:hint="eastAsia" w:ascii="宋体" w:hAnsi="宋体" w:eastAsia="宋体" w:cs="宋体"/>
          <w:color w:val="auto"/>
          <w:szCs w:val="21"/>
          <w:highlight w:val="none"/>
        </w:rPr>
        <w:t>书面补充协议报财政部门备案，方可作为主合同不可分割的一部分。</w:t>
      </w:r>
    </w:p>
    <w:p w14:paraId="5B351E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14:paraId="0128EAD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cs="宋体"/>
          <w:b/>
          <w:color w:val="auto"/>
          <w:szCs w:val="21"/>
          <w:highlight w:val="none"/>
          <w:lang w:val="en-US" w:eastAsia="zh-CN"/>
        </w:rPr>
        <w:t>四</w:t>
      </w:r>
      <w:r>
        <w:rPr>
          <w:rFonts w:hint="eastAsia" w:ascii="宋体" w:hAnsi="宋体" w:eastAsia="宋体" w:cs="宋体"/>
          <w:b/>
          <w:color w:val="auto"/>
          <w:szCs w:val="21"/>
          <w:highlight w:val="none"/>
        </w:rPr>
        <w:t>条　合同的变更、终止与转让</w:t>
      </w:r>
    </w:p>
    <w:p w14:paraId="6B111C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1、除《中华人民共和国政府采购法》第五十条规定的情形外，本合同一经签订，甲乙双方不得擅自变更、中止或者终止。</w:t>
      </w:r>
    </w:p>
    <w:p w14:paraId="634E71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14:paraId="476D55F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cs="宋体"/>
          <w:b/>
          <w:color w:val="auto"/>
          <w:szCs w:val="21"/>
          <w:highlight w:val="none"/>
          <w:lang w:val="en-US" w:eastAsia="zh-CN"/>
        </w:rPr>
        <w:t>五</w:t>
      </w:r>
      <w:r>
        <w:rPr>
          <w:rFonts w:hint="eastAsia" w:ascii="宋体" w:hAnsi="宋体" w:eastAsia="宋体" w:cs="宋体"/>
          <w:b/>
          <w:color w:val="auto"/>
          <w:szCs w:val="21"/>
          <w:highlight w:val="none"/>
        </w:rPr>
        <w:t>条　本合同书与下列文件一起构成合同文件</w:t>
      </w:r>
    </w:p>
    <w:p w14:paraId="315AD5B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1、中标通知书；</w:t>
      </w:r>
    </w:p>
    <w:p w14:paraId="0E12C663">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2、投标函</w:t>
      </w:r>
    </w:p>
    <w:p w14:paraId="45551DBC">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、商务条款偏离表和服务要求偏离表；</w:t>
      </w:r>
    </w:p>
    <w:p w14:paraId="2A14935E">
      <w:pPr>
        <w:spacing w:line="360" w:lineRule="auto"/>
        <w:ind w:firstLine="420" w:firstLineChars="200"/>
        <w:rPr>
          <w:rFonts w:hint="eastAsia" w:ascii="宋体" w:hAnsi="宋体" w:eastAsia="宋体" w:cs="宋体"/>
          <w:color w:val="auto"/>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采购需求</w:t>
      </w:r>
      <w:r>
        <w:rPr>
          <w:rFonts w:hint="eastAsia" w:ascii="宋体" w:hAnsi="宋体" w:eastAsia="宋体" w:cs="宋体"/>
          <w:color w:val="auto"/>
          <w:szCs w:val="21"/>
        </w:rPr>
        <w:t>；</w:t>
      </w:r>
    </w:p>
    <w:p w14:paraId="360D32D0">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w:t>
      </w:r>
      <w:r>
        <w:rPr>
          <w:rFonts w:hint="eastAsia" w:ascii="宋体" w:hAnsi="宋体" w:eastAsia="宋体" w:cs="宋体"/>
          <w:color w:val="auto"/>
          <w:sz w:val="21"/>
          <w:szCs w:val="21"/>
          <w:lang w:eastAsia="zh-CN"/>
        </w:rPr>
        <w:t>开标一览表</w:t>
      </w:r>
      <w:r>
        <w:rPr>
          <w:rFonts w:hint="eastAsia" w:ascii="宋体" w:hAnsi="宋体" w:eastAsia="宋体" w:cs="宋体"/>
          <w:color w:val="auto"/>
          <w:szCs w:val="21"/>
        </w:rPr>
        <w:t>；</w:t>
      </w:r>
    </w:p>
    <w:p w14:paraId="6BE056C8">
      <w:pPr>
        <w:spacing w:line="360" w:lineRule="auto"/>
        <w:ind w:firstLine="420" w:firstLineChars="200"/>
        <w:rPr>
          <w:rFonts w:hint="eastAsia" w:ascii="宋体" w:hAnsi="宋体" w:eastAsia="宋体" w:cs="宋体"/>
          <w:color w:val="auto"/>
          <w:szCs w:val="21"/>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eastAsia="zh-CN"/>
        </w:rPr>
        <w:t>其他</w:t>
      </w:r>
      <w:r>
        <w:rPr>
          <w:rFonts w:hint="eastAsia" w:ascii="宋体" w:hAnsi="宋体" w:eastAsia="宋体" w:cs="宋体"/>
          <w:color w:val="auto"/>
          <w:sz w:val="21"/>
          <w:szCs w:val="21"/>
        </w:rPr>
        <w:t>合同文件</w:t>
      </w:r>
      <w:r>
        <w:rPr>
          <w:rFonts w:hint="eastAsia" w:ascii="宋体" w:hAnsi="宋体" w:eastAsia="宋体" w:cs="宋体"/>
          <w:color w:val="auto"/>
          <w:szCs w:val="21"/>
        </w:rPr>
        <w:t>。</w:t>
      </w:r>
    </w:p>
    <w:p w14:paraId="33264BDC">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7</w:t>
      </w:r>
      <w:r>
        <w:rPr>
          <w:rFonts w:hint="eastAsia" w:ascii="宋体" w:hAnsi="宋体" w:eastAsia="宋体" w:cs="宋体"/>
          <w:color w:val="auto"/>
          <w:szCs w:val="21"/>
        </w:rPr>
        <w:t>、上述合同文件互相补充和解释。如果合同文件之间存在矛盾或者不一致之处，以上述文件的排列顺序在先者为准。</w:t>
      </w:r>
    </w:p>
    <w:p w14:paraId="05F3440F">
      <w:pPr>
        <w:spacing w:line="360" w:lineRule="auto"/>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第十</w:t>
      </w:r>
      <w:r>
        <w:rPr>
          <w:rFonts w:hint="eastAsia" w:ascii="宋体" w:hAnsi="宋体" w:cs="宋体"/>
          <w:b/>
          <w:color w:val="auto"/>
          <w:szCs w:val="21"/>
          <w:lang w:val="en-US" w:eastAsia="zh-CN"/>
        </w:rPr>
        <w:t>六</w:t>
      </w:r>
      <w:r>
        <w:rPr>
          <w:rFonts w:hint="eastAsia" w:ascii="宋体" w:hAnsi="宋体" w:eastAsia="宋体" w:cs="宋体"/>
          <w:b/>
          <w:color w:val="auto"/>
          <w:szCs w:val="21"/>
        </w:rPr>
        <w:t>条　</w:t>
      </w:r>
      <w:r>
        <w:rPr>
          <w:rFonts w:hint="eastAsia" w:ascii="宋体" w:hAnsi="宋体" w:eastAsia="宋体" w:cs="宋体"/>
          <w:color w:val="auto"/>
          <w:szCs w:val="21"/>
        </w:rPr>
        <w:t>本合同一式四份，具有同等法律效力，财政部门（政府采购监管部门）、采购代理机构各一份，甲乙双方各一份（可根据需要另增加）。</w:t>
      </w:r>
    </w:p>
    <w:p w14:paraId="447EF5A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本合同甲乙双方签字盖章后生效，自签订之日起七个工作日内，甲方应当将合同副本报同级财政部门备案。</w:t>
      </w:r>
    </w:p>
    <w:p w14:paraId="03E399C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本合同自签订之日起2个工作日内，甲方应当将采购合同在广西壮族自治区财政厅指定的媒体上公告。</w:t>
      </w:r>
    </w:p>
    <w:tbl>
      <w:tblPr>
        <w:tblStyle w:val="21"/>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3B85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ED4EFFF">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甲方：（章）</w:t>
            </w:r>
          </w:p>
          <w:p w14:paraId="016B3B7D">
            <w:pPr>
              <w:snapToGrid w:val="0"/>
              <w:spacing w:line="360" w:lineRule="auto"/>
              <w:rPr>
                <w:rFonts w:hint="eastAsia" w:ascii="宋体" w:hAnsi="宋体" w:eastAsia="宋体" w:cs="宋体"/>
                <w:color w:val="auto"/>
                <w:szCs w:val="21"/>
              </w:rPr>
            </w:pPr>
          </w:p>
          <w:p w14:paraId="42DEB781">
            <w:pPr>
              <w:snapToGrid w:val="0"/>
              <w:spacing w:line="360" w:lineRule="auto"/>
              <w:rPr>
                <w:rFonts w:hint="eastAsia" w:ascii="宋体" w:hAnsi="宋体" w:eastAsia="宋体" w:cs="宋体"/>
                <w:color w:val="auto"/>
                <w:szCs w:val="21"/>
              </w:rPr>
            </w:pPr>
          </w:p>
          <w:p w14:paraId="5DB5EBDF">
            <w:pPr>
              <w:snapToGrid w:val="0"/>
              <w:spacing w:line="360" w:lineRule="auto"/>
              <w:ind w:firstLine="945" w:firstLineChars="450"/>
              <w:jc w:val="right"/>
              <w:rPr>
                <w:rFonts w:hint="eastAsia" w:ascii="宋体" w:hAnsi="宋体" w:eastAsia="宋体" w:cs="宋体"/>
                <w:color w:val="auto"/>
                <w:szCs w:val="21"/>
              </w:rPr>
            </w:pPr>
          </w:p>
          <w:p w14:paraId="1A27CAD7">
            <w:pPr>
              <w:snapToGrid w:val="0"/>
              <w:spacing w:line="360" w:lineRule="auto"/>
              <w:ind w:firstLine="945" w:firstLineChars="450"/>
              <w:jc w:val="right"/>
              <w:rPr>
                <w:rFonts w:hint="eastAsia" w:ascii="宋体" w:hAnsi="宋体" w:eastAsia="宋体" w:cs="宋体"/>
                <w:color w:val="auto"/>
                <w:szCs w:val="21"/>
              </w:rPr>
            </w:pPr>
            <w:r>
              <w:rPr>
                <w:rFonts w:hint="eastAsia" w:ascii="宋体" w:hAnsi="宋体" w:eastAsia="宋体" w:cs="宋体"/>
                <w:color w:val="auto"/>
                <w:szCs w:val="21"/>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49A7762">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乙方：（章）       </w:t>
            </w:r>
          </w:p>
          <w:p w14:paraId="69079B77">
            <w:pPr>
              <w:snapToGrid w:val="0"/>
              <w:spacing w:line="360" w:lineRule="auto"/>
              <w:rPr>
                <w:rFonts w:hint="eastAsia" w:ascii="宋体" w:hAnsi="宋体" w:eastAsia="宋体" w:cs="宋体"/>
                <w:color w:val="auto"/>
                <w:szCs w:val="21"/>
              </w:rPr>
            </w:pPr>
          </w:p>
          <w:p w14:paraId="0DC0A469">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w:t>
            </w:r>
          </w:p>
          <w:p w14:paraId="23DD523B">
            <w:pPr>
              <w:snapToGrid w:val="0"/>
              <w:spacing w:line="360" w:lineRule="auto"/>
              <w:jc w:val="right"/>
              <w:rPr>
                <w:rFonts w:hint="eastAsia" w:ascii="宋体" w:hAnsi="宋体" w:eastAsia="宋体" w:cs="宋体"/>
                <w:color w:val="auto"/>
                <w:szCs w:val="21"/>
              </w:rPr>
            </w:pPr>
          </w:p>
          <w:p w14:paraId="3581AE45">
            <w:pPr>
              <w:snapToGrid w:val="0"/>
              <w:spacing w:line="360" w:lineRule="auto"/>
              <w:jc w:val="right"/>
              <w:rPr>
                <w:rFonts w:hint="eastAsia" w:ascii="宋体" w:hAnsi="宋体" w:eastAsia="宋体" w:cs="宋体"/>
                <w:color w:val="auto"/>
                <w:szCs w:val="21"/>
              </w:rPr>
            </w:pPr>
            <w:r>
              <w:rPr>
                <w:rFonts w:hint="eastAsia" w:ascii="宋体" w:hAnsi="宋体" w:eastAsia="宋体" w:cs="宋体"/>
                <w:color w:val="auto"/>
                <w:szCs w:val="21"/>
              </w:rPr>
              <w:t xml:space="preserve"> 年   月   日</w:t>
            </w:r>
          </w:p>
        </w:tc>
      </w:tr>
      <w:tr w14:paraId="2377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2BF6BAD">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单位地址：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5FA88AB">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单位地址： </w:t>
            </w:r>
          </w:p>
        </w:tc>
      </w:tr>
      <w:tr w14:paraId="2FE7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903899E">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F7E4770">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w:t>
            </w:r>
          </w:p>
        </w:tc>
      </w:tr>
      <w:tr w14:paraId="71D8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17C778A">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22C42EA">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委托代理人：</w:t>
            </w:r>
          </w:p>
        </w:tc>
      </w:tr>
      <w:tr w14:paraId="32B0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1025E16">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78A1A16">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电话：</w:t>
            </w:r>
          </w:p>
        </w:tc>
      </w:tr>
      <w:tr w14:paraId="644E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0D3D01A">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CF65461">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开户银行： </w:t>
            </w:r>
          </w:p>
        </w:tc>
      </w:tr>
      <w:tr w14:paraId="752C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0A13252">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2D7831A">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账号：</w:t>
            </w:r>
          </w:p>
        </w:tc>
      </w:tr>
      <w:tr w14:paraId="6D10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F66C6CD">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6AAFC99">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邮政编码：</w:t>
            </w:r>
          </w:p>
        </w:tc>
      </w:tr>
    </w:tbl>
    <w:p w14:paraId="10963570">
      <w:pPr>
        <w:snapToGrid w:val="0"/>
        <w:jc w:val="center"/>
        <w:rPr>
          <w:rFonts w:hint="eastAsia" w:ascii="宋体" w:hAnsi="宋体" w:eastAsia="宋体" w:cs="宋体"/>
          <w:b/>
          <w:bCs/>
          <w:color w:val="auto"/>
          <w:sz w:val="32"/>
          <w:szCs w:val="32"/>
        </w:rPr>
      </w:pPr>
    </w:p>
    <w:p w14:paraId="3FC0738A">
      <w:pPr>
        <w:snapToGrid w:val="0"/>
        <w:spacing w:line="360" w:lineRule="auto"/>
        <w:ind w:left="420" w:hanging="420" w:hangingChars="200"/>
        <w:rPr>
          <w:rFonts w:hint="eastAsia" w:ascii="宋体" w:hAnsi="宋体" w:eastAsia="宋体" w:cs="宋体"/>
          <w:color w:val="auto"/>
          <w:szCs w:val="21"/>
        </w:rPr>
      </w:pPr>
    </w:p>
    <w:p w14:paraId="7E8BD16C">
      <w:pPr>
        <w:snapToGrid w:val="0"/>
        <w:spacing w:line="360" w:lineRule="auto"/>
        <w:jc w:val="left"/>
        <w:rPr>
          <w:rFonts w:hint="eastAsia" w:ascii="Times New Roman" w:hAnsi="Times New Roman" w:eastAsia="宋体" w:cs="Times New Roman"/>
          <w:b/>
          <w:color w:val="auto"/>
          <w:sz w:val="36"/>
          <w:highlight w:val="none"/>
        </w:rPr>
      </w:pPr>
      <w:r>
        <w:rPr>
          <w:rFonts w:hint="eastAsia" w:ascii="宋体" w:hAnsi="宋体" w:eastAsia="宋体" w:cs="宋体"/>
          <w:b/>
          <w:color w:val="auto"/>
          <w:sz w:val="32"/>
          <w:szCs w:val="32"/>
        </w:rPr>
        <w:br w:type="page"/>
      </w:r>
    </w:p>
    <w:p w14:paraId="1768B3DA">
      <w:pPr>
        <w:keepNext w:val="0"/>
        <w:keepLines w:val="0"/>
        <w:pageBreakBefore w:val="0"/>
        <w:widowControl w:val="0"/>
        <w:kinsoku/>
        <w:wordWrap/>
        <w:overflowPunct/>
        <w:topLinePunct w:val="0"/>
        <w:autoSpaceDE/>
        <w:autoSpaceDN/>
        <w:bidi w:val="0"/>
        <w:adjustRightInd/>
        <w:snapToGrid/>
        <w:spacing w:line="574" w:lineRule="exact"/>
        <w:jc w:val="both"/>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lang w:val="en-US" w:eastAsia="zh-CN"/>
        </w:rPr>
        <w:t>附件1：</w:t>
      </w:r>
      <w:r>
        <w:rPr>
          <w:rFonts w:hint="eastAsia" w:ascii="方正小标宋简体" w:hAnsi="方正小标宋简体" w:eastAsia="方正小标宋简体" w:cs="方正小标宋简体"/>
          <w:b w:val="0"/>
          <w:bCs w:val="0"/>
          <w:color w:val="auto"/>
          <w:sz w:val="32"/>
          <w:szCs w:val="32"/>
        </w:rPr>
        <w:t>保安服务工作质量考核办法</w:t>
      </w:r>
    </w:p>
    <w:p w14:paraId="069C1BC9">
      <w:pPr>
        <w:keepNext w:val="0"/>
        <w:keepLines w:val="0"/>
        <w:pageBreakBefore w:val="0"/>
        <w:kinsoku/>
        <w:wordWrap/>
        <w:overflowPunct/>
        <w:topLinePunct w:val="0"/>
        <w:autoSpaceDE/>
        <w:autoSpaceDN/>
        <w:bidi w:val="0"/>
        <w:adjustRightInd/>
        <w:snapToGrid/>
        <w:spacing w:line="360" w:lineRule="atLeast"/>
        <w:textAlignment w:val="auto"/>
        <w:rPr>
          <w:rFonts w:hint="eastAsia" w:ascii="宋体" w:hAnsi="宋体" w:cs="宋体"/>
          <w:color w:val="auto"/>
          <w:sz w:val="24"/>
          <w:szCs w:val="24"/>
        </w:rPr>
      </w:pPr>
    </w:p>
    <w:p w14:paraId="31A01D4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为创建安全文明和谐的校</w:t>
      </w:r>
      <w:r>
        <w:rPr>
          <w:rFonts w:hint="eastAsia" w:ascii="宋体" w:hAnsi="宋体" w:cs="宋体"/>
          <w:color w:val="auto"/>
          <w:sz w:val="24"/>
          <w:szCs w:val="24"/>
          <w:lang w:eastAsia="zh-CN"/>
        </w:rPr>
        <w:t>园</w:t>
      </w:r>
      <w:r>
        <w:rPr>
          <w:rFonts w:hint="eastAsia" w:ascii="宋体" w:hAnsi="宋体" w:cs="宋体"/>
          <w:color w:val="auto"/>
          <w:sz w:val="24"/>
          <w:szCs w:val="24"/>
        </w:rPr>
        <w:t>，提高校</w:t>
      </w:r>
      <w:r>
        <w:rPr>
          <w:rFonts w:hint="eastAsia" w:ascii="宋体" w:hAnsi="宋体" w:cs="宋体"/>
          <w:color w:val="auto"/>
          <w:sz w:val="24"/>
          <w:szCs w:val="24"/>
          <w:lang w:eastAsia="zh-CN"/>
        </w:rPr>
        <w:t>园</w:t>
      </w:r>
      <w:r>
        <w:rPr>
          <w:rFonts w:hint="eastAsia" w:ascii="宋体" w:hAnsi="宋体" w:cs="宋体"/>
          <w:color w:val="auto"/>
          <w:sz w:val="24"/>
          <w:szCs w:val="24"/>
        </w:rPr>
        <w:t>管理的服务质量和工作效率，使</w:t>
      </w:r>
      <w:r>
        <w:rPr>
          <w:rFonts w:hint="eastAsia" w:ascii="宋体" w:hAnsi="宋体" w:cs="宋体"/>
          <w:color w:val="auto"/>
          <w:sz w:val="24"/>
          <w:szCs w:val="24"/>
          <w:lang w:eastAsia="zh-CN"/>
        </w:rPr>
        <w:t>安保服务</w:t>
      </w:r>
      <w:r>
        <w:rPr>
          <w:rFonts w:hint="eastAsia" w:ascii="宋体" w:hAnsi="宋体" w:cs="宋体"/>
          <w:color w:val="auto"/>
          <w:sz w:val="24"/>
          <w:szCs w:val="24"/>
        </w:rPr>
        <w:t>的工作制度化、规范化、科学化，促使</w:t>
      </w:r>
      <w:r>
        <w:rPr>
          <w:rFonts w:hint="eastAsia" w:ascii="宋体" w:hAnsi="宋体" w:cs="宋体"/>
          <w:color w:val="auto"/>
          <w:sz w:val="24"/>
          <w:szCs w:val="24"/>
          <w:lang w:eastAsia="zh-CN"/>
        </w:rPr>
        <w:t>保安服务公司</w:t>
      </w:r>
      <w:r>
        <w:rPr>
          <w:rFonts w:hint="eastAsia" w:ascii="宋体" w:hAnsi="宋体" w:cs="宋体"/>
          <w:color w:val="auto"/>
          <w:sz w:val="24"/>
          <w:szCs w:val="24"/>
        </w:rPr>
        <w:t>按照要求切实履行合同和落实管理措施，为师生员工提供更优质和完善的服务，特制订保安服务工作质量考核办法。</w:t>
      </w:r>
    </w:p>
    <w:p w14:paraId="4FDDB0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一、考核内容：</w:t>
      </w:r>
    </w:p>
    <w:p w14:paraId="76F164D9">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cs="宋体"/>
          <w:b/>
          <w:color w:val="auto"/>
          <w:sz w:val="24"/>
          <w:szCs w:val="24"/>
        </w:rPr>
      </w:pPr>
      <w:r>
        <w:rPr>
          <w:rFonts w:hint="eastAsia" w:ascii="宋体" w:hAnsi="宋体" w:cs="宋体"/>
          <w:b/>
          <w:color w:val="auto"/>
          <w:sz w:val="24"/>
          <w:szCs w:val="24"/>
        </w:rPr>
        <w:t>（一）安全管理要求(40分)</w:t>
      </w:r>
    </w:p>
    <w:p w14:paraId="096C5A4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cs="宋体"/>
          <w:color w:val="auto"/>
          <w:sz w:val="24"/>
          <w:szCs w:val="24"/>
        </w:rPr>
        <w:t>保安人员遵纪守法，认真贯彻执行校</w:t>
      </w:r>
      <w:r>
        <w:rPr>
          <w:rFonts w:hint="eastAsia" w:ascii="宋体" w:hAnsi="宋体" w:cs="宋体"/>
          <w:color w:val="auto"/>
          <w:sz w:val="24"/>
          <w:szCs w:val="24"/>
          <w:lang w:eastAsia="zh-CN"/>
        </w:rPr>
        <w:t>园</w:t>
      </w:r>
      <w:r>
        <w:rPr>
          <w:rFonts w:hint="eastAsia" w:ascii="宋体" w:hAnsi="宋体" w:cs="宋体"/>
          <w:color w:val="auto"/>
          <w:sz w:val="24"/>
          <w:szCs w:val="24"/>
        </w:rPr>
        <w:t>的安全、消防</w:t>
      </w:r>
      <w:r>
        <w:rPr>
          <w:rFonts w:hint="eastAsia" w:ascii="宋体" w:hAnsi="宋体" w:cs="宋体"/>
          <w:color w:val="auto"/>
          <w:sz w:val="24"/>
          <w:szCs w:val="24"/>
          <w:lang w:eastAsia="zh-CN"/>
        </w:rPr>
        <w:t>等</w:t>
      </w:r>
      <w:r>
        <w:rPr>
          <w:rFonts w:hint="eastAsia" w:ascii="宋体" w:hAnsi="宋体" w:cs="宋体"/>
          <w:color w:val="auto"/>
          <w:sz w:val="24"/>
          <w:szCs w:val="24"/>
        </w:rPr>
        <w:t>各项规章制度，无其他违法犯罪行为。（5分）</w:t>
      </w:r>
    </w:p>
    <w:p w14:paraId="5763227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rPr>
        <w:t>对本月存在问题进行限时整改，作书面汇报，整改彻底，效果显著。（5分）</w:t>
      </w:r>
    </w:p>
    <w:p w14:paraId="09FF4BE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w:t>
      </w:r>
      <w:r>
        <w:rPr>
          <w:rFonts w:hint="eastAsia" w:ascii="宋体" w:hAnsi="宋体" w:cs="宋体"/>
          <w:color w:val="auto"/>
          <w:sz w:val="24"/>
          <w:szCs w:val="24"/>
        </w:rPr>
        <w:t>保安人员按合同要求配备齐全，岗位人员按照值班安排值班。（5分）</w:t>
      </w:r>
    </w:p>
    <w:p w14:paraId="5120428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val="en-US" w:eastAsia="zh-CN"/>
        </w:rPr>
        <w:t>.</w:t>
      </w:r>
      <w:r>
        <w:rPr>
          <w:rFonts w:hint="eastAsia" w:ascii="宋体" w:hAnsi="宋体" w:cs="宋体"/>
          <w:color w:val="auto"/>
          <w:sz w:val="24"/>
          <w:szCs w:val="24"/>
        </w:rPr>
        <w:t>严格执行人员值班登记制度，台账完善，档案合理归类。（5分）</w:t>
      </w:r>
    </w:p>
    <w:p w14:paraId="5399D97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w:t>
      </w:r>
      <w:r>
        <w:rPr>
          <w:rFonts w:hint="eastAsia" w:ascii="宋体" w:hAnsi="宋体" w:cs="宋体"/>
          <w:color w:val="auto"/>
          <w:sz w:val="24"/>
          <w:szCs w:val="24"/>
        </w:rPr>
        <w:t>保安工作人员熟悉并能使用各类安全、消防设施和各种灭火器材；经过保安专业技能培训，</w:t>
      </w:r>
      <w:r>
        <w:rPr>
          <w:rFonts w:hint="eastAsia" w:ascii="宋体" w:hAnsi="宋体" w:cs="宋体"/>
          <w:color w:val="auto"/>
          <w:sz w:val="24"/>
          <w:szCs w:val="24"/>
          <w:lang w:eastAsia="zh-CN"/>
        </w:rPr>
        <w:t>持证</w:t>
      </w:r>
      <w:r>
        <w:rPr>
          <w:rFonts w:hint="eastAsia" w:ascii="宋体" w:hAnsi="宋体" w:cs="宋体"/>
          <w:color w:val="auto"/>
          <w:sz w:val="24"/>
          <w:szCs w:val="24"/>
        </w:rPr>
        <w:t>上岗。（5分）</w:t>
      </w:r>
    </w:p>
    <w:p w14:paraId="33140B5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6</w:t>
      </w:r>
      <w:r>
        <w:rPr>
          <w:rFonts w:hint="eastAsia" w:ascii="宋体" w:hAnsi="宋体" w:cs="宋体"/>
          <w:color w:val="auto"/>
          <w:sz w:val="24"/>
          <w:szCs w:val="24"/>
          <w:lang w:val="en-US" w:eastAsia="zh-CN"/>
        </w:rPr>
        <w:t>.</w:t>
      </w:r>
      <w:r>
        <w:rPr>
          <w:rFonts w:hint="eastAsia" w:ascii="宋体" w:hAnsi="宋体" w:cs="宋体"/>
          <w:color w:val="auto"/>
          <w:sz w:val="24"/>
          <w:szCs w:val="24"/>
        </w:rPr>
        <w:t>管理区域秩序井然，有突发事件按预案及时处理，并迅速上报校</w:t>
      </w:r>
      <w:r>
        <w:rPr>
          <w:rFonts w:hint="eastAsia" w:ascii="宋体" w:hAnsi="宋体" w:cs="宋体"/>
          <w:color w:val="auto"/>
          <w:sz w:val="24"/>
          <w:szCs w:val="24"/>
          <w:lang w:eastAsia="zh-CN"/>
        </w:rPr>
        <w:t>园</w:t>
      </w:r>
      <w:r>
        <w:rPr>
          <w:rFonts w:hint="eastAsia" w:ascii="宋体" w:hAnsi="宋体" w:cs="宋体"/>
          <w:color w:val="auto"/>
          <w:sz w:val="24"/>
          <w:szCs w:val="24"/>
        </w:rPr>
        <w:t>有关部门。（5分）</w:t>
      </w:r>
    </w:p>
    <w:p w14:paraId="467DEAF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7</w:t>
      </w:r>
      <w:r>
        <w:rPr>
          <w:rFonts w:hint="eastAsia" w:ascii="宋体" w:hAnsi="宋体" w:cs="宋体"/>
          <w:color w:val="auto"/>
          <w:sz w:val="24"/>
          <w:szCs w:val="24"/>
          <w:lang w:val="en-US" w:eastAsia="zh-CN"/>
        </w:rPr>
        <w:t>.</w:t>
      </w:r>
      <w:r>
        <w:rPr>
          <w:rFonts w:hint="eastAsia" w:ascii="宋体" w:hAnsi="宋体" w:cs="宋体"/>
          <w:color w:val="auto"/>
          <w:sz w:val="24"/>
          <w:szCs w:val="24"/>
        </w:rPr>
        <w:t>管理区域内无火灾、无治安、刑事案件发生，保障安全无重大责任事故。（10分）</w:t>
      </w:r>
    </w:p>
    <w:p w14:paraId="0CCFD55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auto"/>
          <w:sz w:val="24"/>
          <w:szCs w:val="24"/>
        </w:rPr>
      </w:pPr>
      <w:r>
        <w:rPr>
          <w:rFonts w:hint="eastAsia" w:ascii="宋体" w:hAnsi="宋体" w:cs="宋体"/>
          <w:b/>
          <w:color w:val="auto"/>
          <w:sz w:val="24"/>
          <w:szCs w:val="24"/>
        </w:rPr>
        <w:t>（二）日常管理要求（60分）</w:t>
      </w:r>
    </w:p>
    <w:p w14:paraId="62DBEFD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auto"/>
          <w:sz w:val="24"/>
          <w:szCs w:val="24"/>
        </w:rPr>
      </w:pPr>
      <w:r>
        <w:rPr>
          <w:rFonts w:hint="eastAsia" w:ascii="宋体" w:hAnsi="宋体" w:cs="宋体"/>
          <w:b/>
          <w:color w:val="auto"/>
          <w:sz w:val="24"/>
          <w:szCs w:val="24"/>
        </w:rPr>
        <w:t>1</w:t>
      </w:r>
      <w:r>
        <w:rPr>
          <w:rFonts w:hint="eastAsia" w:ascii="宋体" w:hAnsi="宋体" w:cs="宋体"/>
          <w:b/>
          <w:color w:val="auto"/>
          <w:sz w:val="24"/>
          <w:szCs w:val="24"/>
          <w:lang w:val="en-US" w:eastAsia="zh-CN"/>
        </w:rPr>
        <w:t>.</w:t>
      </w:r>
      <w:r>
        <w:rPr>
          <w:rFonts w:hint="eastAsia" w:ascii="宋体" w:hAnsi="宋体" w:cs="宋体"/>
          <w:b/>
          <w:color w:val="auto"/>
          <w:sz w:val="24"/>
          <w:szCs w:val="24"/>
        </w:rPr>
        <w:t>制度管理要求（5分）</w:t>
      </w:r>
    </w:p>
    <w:p w14:paraId="0BE7A9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rPr>
      </w:pPr>
      <w:r>
        <w:rPr>
          <w:rFonts w:hint="eastAsia" w:ascii="宋体" w:hAnsi="宋体" w:cs="宋体"/>
          <w:color w:val="auto"/>
          <w:sz w:val="24"/>
          <w:szCs w:val="24"/>
        </w:rPr>
        <w:t xml:space="preserve">     规范服务管理制度，保安队长监督检查日常保安工作，每天有值班、巡查记录，有班前班后的准备和交接工作记录，有员工的考勤、检查记录，各项工作记录完备详细。</w:t>
      </w:r>
    </w:p>
    <w:p w14:paraId="1BBEFAA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auto"/>
          <w:sz w:val="24"/>
          <w:szCs w:val="24"/>
        </w:rPr>
      </w:pPr>
      <w:r>
        <w:rPr>
          <w:rFonts w:hint="eastAsia" w:ascii="宋体" w:hAnsi="宋体" w:cs="宋体"/>
          <w:b/>
          <w:color w:val="auto"/>
          <w:sz w:val="24"/>
          <w:szCs w:val="24"/>
        </w:rPr>
        <w:t>2.仪容仪表要求（10分）</w:t>
      </w:r>
    </w:p>
    <w:p w14:paraId="70DA1DB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（1）保安工作人员服装统一、整齐，佩戴工作牌；</w:t>
      </w:r>
    </w:p>
    <w:p w14:paraId="38668D4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（2）男保安不留长发、胡须，男女保安不染发；</w:t>
      </w:r>
    </w:p>
    <w:p w14:paraId="0FC1654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（3）坐姿端庄，与</w:t>
      </w:r>
      <w:r>
        <w:rPr>
          <w:rFonts w:hint="eastAsia" w:ascii="宋体" w:hAnsi="宋体" w:cs="宋体"/>
          <w:color w:val="auto"/>
          <w:sz w:val="24"/>
          <w:szCs w:val="24"/>
          <w:lang w:eastAsia="zh-CN"/>
        </w:rPr>
        <w:t>来访人员</w:t>
      </w:r>
      <w:r>
        <w:rPr>
          <w:rFonts w:hint="eastAsia" w:ascii="宋体" w:hAnsi="宋体" w:cs="宋体"/>
          <w:color w:val="auto"/>
          <w:sz w:val="24"/>
          <w:szCs w:val="24"/>
        </w:rPr>
        <w:t>交谈要起立；</w:t>
      </w:r>
    </w:p>
    <w:p w14:paraId="50A677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（4）非任务需要不得奔跑。</w:t>
      </w:r>
    </w:p>
    <w:p w14:paraId="72549BFA">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cs="宋体"/>
          <w:b/>
          <w:color w:val="auto"/>
          <w:sz w:val="24"/>
          <w:szCs w:val="24"/>
        </w:rPr>
      </w:pPr>
      <w:r>
        <w:rPr>
          <w:rFonts w:hint="eastAsia" w:ascii="宋体" w:hAnsi="宋体" w:cs="宋体"/>
          <w:b/>
          <w:color w:val="auto"/>
          <w:sz w:val="24"/>
          <w:szCs w:val="24"/>
        </w:rPr>
        <w:t>3.职责义务要求</w:t>
      </w:r>
      <w:r>
        <w:rPr>
          <w:rFonts w:hint="eastAsia" w:ascii="宋体" w:hAnsi="宋体" w:cs="宋体"/>
          <w:color w:val="auto"/>
          <w:sz w:val="24"/>
          <w:szCs w:val="24"/>
        </w:rPr>
        <w:t>（30分）</w:t>
      </w:r>
    </w:p>
    <w:p w14:paraId="7FCD589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（1）值班期间精神饱满，工作状态佳，遵从社会生活公德和职业道德，注重工作中的礼节礼貌，不能无故不接电话。</w:t>
      </w:r>
    </w:p>
    <w:p w14:paraId="4C11A9C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（2）不得无理顶撞</w:t>
      </w:r>
      <w:r>
        <w:rPr>
          <w:rFonts w:hint="eastAsia" w:ascii="宋体" w:hAnsi="宋体" w:cs="宋体"/>
          <w:color w:val="auto"/>
          <w:sz w:val="24"/>
          <w:szCs w:val="24"/>
          <w:lang w:eastAsia="zh-CN"/>
        </w:rPr>
        <w:t>师生员工及来访人员</w:t>
      </w:r>
      <w:r>
        <w:rPr>
          <w:rFonts w:hint="eastAsia" w:ascii="宋体" w:hAnsi="宋体" w:cs="宋体"/>
          <w:color w:val="auto"/>
          <w:sz w:val="24"/>
          <w:szCs w:val="24"/>
        </w:rPr>
        <w:t>，或对</w:t>
      </w:r>
      <w:r>
        <w:rPr>
          <w:rFonts w:hint="eastAsia" w:ascii="宋体" w:hAnsi="宋体" w:cs="宋体"/>
          <w:color w:val="auto"/>
          <w:sz w:val="24"/>
          <w:szCs w:val="24"/>
          <w:lang w:eastAsia="zh-CN"/>
        </w:rPr>
        <w:t>师生员工及来访人员</w:t>
      </w:r>
      <w:r>
        <w:rPr>
          <w:rFonts w:hint="eastAsia" w:ascii="宋体" w:hAnsi="宋体" w:cs="宋体"/>
          <w:color w:val="auto"/>
          <w:sz w:val="24"/>
          <w:szCs w:val="24"/>
        </w:rPr>
        <w:t>的合理请求不理不睬，无粗暴、蛮横行为</w:t>
      </w:r>
      <w:r>
        <w:rPr>
          <w:rFonts w:hint="eastAsia" w:ascii="宋体" w:hAnsi="宋体" w:cs="宋体"/>
          <w:color w:val="auto"/>
          <w:sz w:val="24"/>
          <w:szCs w:val="24"/>
          <w:lang w:eastAsia="zh-CN"/>
        </w:rPr>
        <w:t>。</w:t>
      </w:r>
    </w:p>
    <w:p w14:paraId="2A1EEE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（3）坚守岗位，不迟到早退、不缺岗离岗窜岗、不酒后上岗，人员更换情况有记录并及时报</w:t>
      </w:r>
      <w:r>
        <w:rPr>
          <w:rFonts w:hint="eastAsia" w:ascii="宋体" w:hAnsi="宋体" w:cs="宋体"/>
          <w:color w:val="auto"/>
          <w:sz w:val="24"/>
          <w:szCs w:val="24"/>
          <w:lang w:eastAsia="zh-CN"/>
        </w:rPr>
        <w:t>学校相关</w:t>
      </w:r>
      <w:r>
        <w:rPr>
          <w:rFonts w:hint="eastAsia" w:ascii="宋体" w:hAnsi="宋体" w:cs="宋体"/>
          <w:color w:val="auto"/>
          <w:sz w:val="24"/>
          <w:szCs w:val="24"/>
        </w:rPr>
        <w:t>部门备案。</w:t>
      </w:r>
    </w:p>
    <w:p w14:paraId="4F07D0B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（4）保护好各种值班记录，认真填写，记录内容完备详细。</w:t>
      </w:r>
    </w:p>
    <w:p w14:paraId="38F6FCB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（5）做好安全巡逻及隐患排查，发现异常情况，应及时进行检查处理，做好处理情况记录，遇重大安全隐患或事故及时汇报</w:t>
      </w:r>
      <w:r>
        <w:rPr>
          <w:rFonts w:hint="eastAsia" w:ascii="宋体" w:hAnsi="宋体" w:cs="宋体"/>
          <w:color w:val="auto"/>
          <w:sz w:val="24"/>
          <w:szCs w:val="24"/>
          <w:lang w:eastAsia="zh-CN"/>
        </w:rPr>
        <w:t>学校分管领导</w:t>
      </w:r>
      <w:r>
        <w:rPr>
          <w:rFonts w:hint="eastAsia" w:ascii="宋体" w:hAnsi="宋体" w:cs="宋体"/>
          <w:color w:val="auto"/>
          <w:sz w:val="24"/>
          <w:szCs w:val="24"/>
        </w:rPr>
        <w:t>。</w:t>
      </w:r>
    </w:p>
    <w:p w14:paraId="71C80A1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（6）高度重视和正确对待</w:t>
      </w:r>
      <w:r>
        <w:rPr>
          <w:rFonts w:hint="eastAsia" w:ascii="宋体" w:hAnsi="宋体" w:cs="宋体"/>
          <w:color w:val="auto"/>
          <w:sz w:val="24"/>
          <w:szCs w:val="24"/>
          <w:lang w:eastAsia="zh-CN"/>
        </w:rPr>
        <w:t>学校</w:t>
      </w:r>
      <w:r>
        <w:rPr>
          <w:rFonts w:hint="eastAsia" w:ascii="宋体" w:hAnsi="宋体" w:cs="宋体"/>
          <w:color w:val="auto"/>
          <w:sz w:val="24"/>
          <w:szCs w:val="24"/>
        </w:rPr>
        <w:t>师生员工的投诉，及时做好意见的反馈和跟踪。</w:t>
      </w:r>
    </w:p>
    <w:p w14:paraId="1B23F0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（7）保持值班岗亭卫生清洁，摆放物件整齐，杜绝脏乱差现象。</w:t>
      </w:r>
    </w:p>
    <w:p w14:paraId="0FD736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（8）配合做好学校重大活动的安保工作，完成</w:t>
      </w:r>
      <w:r>
        <w:rPr>
          <w:rFonts w:hint="eastAsia" w:ascii="宋体" w:hAnsi="宋体" w:cs="宋体"/>
          <w:color w:val="auto"/>
          <w:sz w:val="24"/>
          <w:szCs w:val="24"/>
          <w:lang w:eastAsia="zh-CN"/>
        </w:rPr>
        <w:t>学校</w:t>
      </w:r>
      <w:r>
        <w:rPr>
          <w:rFonts w:hint="eastAsia" w:ascii="宋体" w:hAnsi="宋体" w:cs="宋体"/>
          <w:color w:val="auto"/>
          <w:sz w:val="24"/>
          <w:szCs w:val="24"/>
        </w:rPr>
        <w:t>安排的</w:t>
      </w:r>
      <w:r>
        <w:rPr>
          <w:rFonts w:hint="eastAsia" w:ascii="宋体" w:hAnsi="宋体" w:cs="宋体"/>
          <w:color w:val="auto"/>
          <w:sz w:val="24"/>
          <w:szCs w:val="24"/>
          <w:lang w:eastAsia="zh-CN"/>
        </w:rPr>
        <w:t>其他</w:t>
      </w:r>
      <w:r>
        <w:rPr>
          <w:rFonts w:hint="eastAsia" w:ascii="宋体" w:hAnsi="宋体" w:cs="宋体"/>
          <w:color w:val="auto"/>
          <w:sz w:val="24"/>
          <w:szCs w:val="24"/>
        </w:rPr>
        <w:t>工作。</w:t>
      </w:r>
    </w:p>
    <w:p w14:paraId="77A9343B">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cs="宋体"/>
          <w:b/>
          <w:color w:val="auto"/>
          <w:sz w:val="24"/>
          <w:szCs w:val="24"/>
        </w:rPr>
      </w:pPr>
      <w:r>
        <w:rPr>
          <w:rFonts w:hint="eastAsia" w:ascii="宋体" w:hAnsi="宋体" w:cs="宋体"/>
          <w:b/>
          <w:color w:val="auto"/>
          <w:sz w:val="24"/>
          <w:szCs w:val="24"/>
        </w:rPr>
        <w:t>4.劳动纪律要求（15分）</w:t>
      </w:r>
    </w:p>
    <w:p w14:paraId="6029A9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（1）工作期间不留非相关人员闲聊或长时间电话闲聊。</w:t>
      </w:r>
    </w:p>
    <w:p w14:paraId="568F91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（2）工作期间不看报纸杂志、不玩电脑手机、不瞌睡打盹等。</w:t>
      </w:r>
    </w:p>
    <w:p w14:paraId="3BDB53C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（3）要注意维护</w:t>
      </w:r>
      <w:r>
        <w:rPr>
          <w:rFonts w:hint="eastAsia" w:ascii="宋体" w:hAnsi="宋体" w:cs="宋体"/>
          <w:color w:val="auto"/>
          <w:sz w:val="24"/>
          <w:szCs w:val="24"/>
          <w:lang w:eastAsia="zh-CN"/>
        </w:rPr>
        <w:t>学校</w:t>
      </w:r>
      <w:r>
        <w:rPr>
          <w:rFonts w:hint="eastAsia" w:ascii="宋体" w:hAnsi="宋体" w:cs="宋体"/>
          <w:color w:val="auto"/>
          <w:sz w:val="24"/>
          <w:szCs w:val="24"/>
        </w:rPr>
        <w:t>声誉，不能鼓吹或煽动其他人员做有损学校声誉的行为或言论。</w:t>
      </w:r>
    </w:p>
    <w:p w14:paraId="4613D06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（4）能按照</w:t>
      </w:r>
      <w:r>
        <w:rPr>
          <w:rFonts w:hint="eastAsia" w:ascii="宋体" w:hAnsi="宋体" w:cs="宋体"/>
          <w:color w:val="auto"/>
          <w:sz w:val="24"/>
          <w:szCs w:val="24"/>
          <w:lang w:eastAsia="zh-CN"/>
        </w:rPr>
        <w:t>学校</w:t>
      </w:r>
      <w:r>
        <w:rPr>
          <w:rFonts w:hint="eastAsia" w:ascii="宋体" w:hAnsi="宋体" w:cs="宋体"/>
          <w:color w:val="auto"/>
          <w:sz w:val="24"/>
          <w:szCs w:val="24"/>
        </w:rPr>
        <w:t>管理规定处理自身权限范围内的日常事宜，工作积极、主动，能随时接受</w:t>
      </w:r>
      <w:r>
        <w:rPr>
          <w:rFonts w:hint="eastAsia" w:ascii="宋体" w:hAnsi="宋体" w:cs="宋体"/>
          <w:color w:val="auto"/>
          <w:sz w:val="24"/>
          <w:szCs w:val="24"/>
          <w:lang w:eastAsia="zh-CN"/>
        </w:rPr>
        <w:t>学校相关</w:t>
      </w:r>
      <w:r>
        <w:rPr>
          <w:rFonts w:hint="eastAsia" w:ascii="宋体" w:hAnsi="宋体" w:cs="宋体"/>
          <w:color w:val="auto"/>
          <w:sz w:val="24"/>
          <w:szCs w:val="24"/>
        </w:rPr>
        <w:t>部门的工作检查、监督。</w:t>
      </w:r>
    </w:p>
    <w:p w14:paraId="5D08AB7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（5）遭到投诉，经查情况属实</w:t>
      </w:r>
      <w:r>
        <w:rPr>
          <w:rFonts w:hint="eastAsia" w:ascii="宋体" w:hAnsi="宋体" w:cs="宋体"/>
          <w:color w:val="auto"/>
          <w:sz w:val="24"/>
          <w:szCs w:val="24"/>
          <w:lang w:eastAsia="zh-CN"/>
        </w:rPr>
        <w:t>将依法依规处理</w:t>
      </w:r>
      <w:r>
        <w:rPr>
          <w:rFonts w:hint="eastAsia" w:ascii="宋体" w:hAnsi="宋体" w:cs="宋体"/>
          <w:color w:val="auto"/>
          <w:sz w:val="24"/>
          <w:szCs w:val="24"/>
        </w:rPr>
        <w:t>。</w:t>
      </w:r>
    </w:p>
    <w:p w14:paraId="1F04124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rPr>
      </w:pPr>
      <w:r>
        <w:rPr>
          <w:rFonts w:hint="eastAsia" w:ascii="宋体" w:hAnsi="宋体" w:cs="宋体"/>
          <w:color w:val="auto"/>
          <w:sz w:val="24"/>
          <w:szCs w:val="24"/>
          <w:lang w:val="en-US" w:eastAsia="zh-CN"/>
        </w:rPr>
        <w:t>以上分值酌情扣分。</w:t>
      </w:r>
    </w:p>
    <w:p w14:paraId="1545C4F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二、考核程序</w:t>
      </w:r>
    </w:p>
    <w:p w14:paraId="07D3E9E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cs="宋体"/>
          <w:color w:val="auto"/>
          <w:sz w:val="24"/>
          <w:szCs w:val="24"/>
        </w:rPr>
        <w:t>保安服务工作质量考核采用100分倒扣制，每月考核一次，考核得分计算方法：月终考核总得分=安全管理要求考核得分+日常管理要求考核得分</w:t>
      </w:r>
    </w:p>
    <w:p w14:paraId="1199DA6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rPr>
        <w:t>其中考核内容中的“安全管理要求”由</w:t>
      </w:r>
      <w:r>
        <w:rPr>
          <w:rFonts w:hint="eastAsia" w:ascii="宋体" w:hAnsi="宋体" w:cs="宋体"/>
          <w:color w:val="auto"/>
          <w:sz w:val="24"/>
          <w:szCs w:val="24"/>
          <w:lang w:eastAsia="zh-CN"/>
        </w:rPr>
        <w:t>学校</w:t>
      </w:r>
      <w:r>
        <w:rPr>
          <w:rFonts w:hint="eastAsia" w:ascii="宋体" w:hAnsi="宋体" w:cs="宋体"/>
          <w:color w:val="auto"/>
          <w:sz w:val="24"/>
          <w:szCs w:val="24"/>
        </w:rPr>
        <w:t>每月月终考核一次，得分视为本项本月最终考核得分；“日常管理要求”由</w:t>
      </w:r>
      <w:r>
        <w:rPr>
          <w:rFonts w:hint="eastAsia" w:ascii="宋体" w:hAnsi="宋体" w:cs="宋体"/>
          <w:color w:val="auto"/>
          <w:sz w:val="24"/>
          <w:szCs w:val="24"/>
          <w:lang w:eastAsia="zh-CN"/>
        </w:rPr>
        <w:t>学校</w:t>
      </w:r>
      <w:r>
        <w:rPr>
          <w:rFonts w:hint="eastAsia" w:ascii="宋体" w:hAnsi="宋体" w:cs="宋体"/>
          <w:color w:val="auto"/>
          <w:sz w:val="24"/>
          <w:szCs w:val="24"/>
        </w:rPr>
        <w:t>每天不定时对保安不定班次检查考核一次，以</w:t>
      </w:r>
      <w:r>
        <w:rPr>
          <w:rFonts w:hint="eastAsia" w:ascii="宋体" w:hAnsi="宋体" w:cs="宋体"/>
          <w:color w:val="auto"/>
          <w:sz w:val="24"/>
          <w:szCs w:val="24"/>
          <w:lang w:val="en-US" w:eastAsia="zh-CN"/>
        </w:rPr>
        <w:t>整</w:t>
      </w:r>
      <w:r>
        <w:rPr>
          <w:rFonts w:hint="eastAsia" w:ascii="宋体" w:hAnsi="宋体" w:cs="宋体"/>
          <w:color w:val="auto"/>
          <w:sz w:val="24"/>
          <w:szCs w:val="24"/>
        </w:rPr>
        <w:t>月内日平均分为本项本月最终日常管理要求考核得分。</w:t>
      </w:r>
    </w:p>
    <w:p w14:paraId="39EDAF4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三、考核结果处理</w:t>
      </w:r>
    </w:p>
    <w:p w14:paraId="2A137EB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cs="宋体"/>
          <w:color w:val="auto"/>
          <w:sz w:val="24"/>
          <w:szCs w:val="24"/>
        </w:rPr>
        <w:t>考核得分等次标准：综合得分90分以上（含90分）为</w:t>
      </w:r>
      <w:r>
        <w:rPr>
          <w:rFonts w:hint="eastAsia" w:ascii="宋体" w:hAnsi="宋体" w:cs="宋体"/>
          <w:color w:val="auto"/>
          <w:sz w:val="24"/>
          <w:szCs w:val="24"/>
          <w:lang w:eastAsia="zh-CN"/>
        </w:rPr>
        <w:t>一等</w:t>
      </w:r>
      <w:r>
        <w:rPr>
          <w:rFonts w:hint="eastAsia" w:ascii="宋体" w:hAnsi="宋体" w:cs="宋体"/>
          <w:color w:val="auto"/>
          <w:sz w:val="24"/>
          <w:szCs w:val="24"/>
        </w:rPr>
        <w:t>；80（含80分）至89分为</w:t>
      </w:r>
      <w:r>
        <w:rPr>
          <w:rFonts w:hint="eastAsia" w:ascii="宋体" w:hAnsi="宋体" w:cs="宋体"/>
          <w:color w:val="auto"/>
          <w:sz w:val="24"/>
          <w:szCs w:val="24"/>
          <w:lang w:eastAsia="zh-CN"/>
        </w:rPr>
        <w:t>二等</w:t>
      </w:r>
      <w:r>
        <w:rPr>
          <w:rFonts w:hint="eastAsia" w:ascii="宋体" w:hAnsi="宋体" w:cs="宋体"/>
          <w:color w:val="auto"/>
          <w:sz w:val="24"/>
          <w:szCs w:val="24"/>
        </w:rPr>
        <w:t>；70（含70分）至79分为</w:t>
      </w:r>
      <w:r>
        <w:rPr>
          <w:rFonts w:hint="eastAsia" w:ascii="宋体" w:hAnsi="宋体" w:cs="宋体"/>
          <w:color w:val="auto"/>
          <w:sz w:val="24"/>
          <w:szCs w:val="24"/>
          <w:lang w:eastAsia="zh-CN"/>
        </w:rPr>
        <w:t>三等</w:t>
      </w:r>
      <w:r>
        <w:rPr>
          <w:rFonts w:hint="eastAsia" w:ascii="宋体" w:hAnsi="宋体" w:cs="宋体"/>
          <w:color w:val="auto"/>
          <w:sz w:val="24"/>
          <w:szCs w:val="24"/>
        </w:rPr>
        <w:t>；70分以下为</w:t>
      </w:r>
      <w:r>
        <w:rPr>
          <w:rFonts w:hint="eastAsia" w:ascii="宋体" w:hAnsi="宋体" w:cs="宋体"/>
          <w:color w:val="auto"/>
          <w:sz w:val="24"/>
          <w:szCs w:val="24"/>
          <w:lang w:eastAsia="zh-CN"/>
        </w:rPr>
        <w:t>四等</w:t>
      </w:r>
      <w:r>
        <w:rPr>
          <w:rFonts w:hint="eastAsia" w:ascii="宋体" w:hAnsi="宋体" w:cs="宋体"/>
          <w:color w:val="auto"/>
          <w:sz w:val="24"/>
          <w:szCs w:val="24"/>
        </w:rPr>
        <w:t>。</w:t>
      </w:r>
    </w:p>
    <w:p w14:paraId="66102A9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rPr>
        <w:t>考核所得等次</w:t>
      </w:r>
      <w:r>
        <w:rPr>
          <w:rFonts w:hint="eastAsia" w:ascii="宋体" w:hAnsi="宋体" w:cs="宋体"/>
          <w:color w:val="auto"/>
          <w:kern w:val="0"/>
          <w:sz w:val="24"/>
          <w:szCs w:val="24"/>
        </w:rPr>
        <w:t>作为每月对</w:t>
      </w:r>
      <w:r>
        <w:rPr>
          <w:rFonts w:hint="eastAsia" w:ascii="宋体" w:hAnsi="宋体" w:cs="宋体"/>
          <w:color w:val="auto"/>
          <w:kern w:val="0"/>
          <w:sz w:val="24"/>
          <w:szCs w:val="24"/>
          <w:lang w:eastAsia="zh-CN"/>
        </w:rPr>
        <w:t>中标人</w:t>
      </w:r>
      <w:r>
        <w:rPr>
          <w:rFonts w:hint="eastAsia" w:ascii="宋体" w:hAnsi="宋体" w:cs="宋体"/>
          <w:color w:val="auto"/>
          <w:kern w:val="0"/>
          <w:sz w:val="24"/>
          <w:szCs w:val="24"/>
        </w:rPr>
        <w:t>经济</w:t>
      </w:r>
      <w:r>
        <w:rPr>
          <w:rFonts w:hint="eastAsia" w:ascii="宋体" w:hAnsi="宋体" w:cs="宋体"/>
          <w:color w:val="auto"/>
          <w:kern w:val="0"/>
          <w:sz w:val="24"/>
          <w:szCs w:val="24"/>
          <w:lang w:val="en-US" w:eastAsia="zh-CN"/>
        </w:rPr>
        <w:t>评价和服务费扣减</w:t>
      </w:r>
      <w:r>
        <w:rPr>
          <w:rFonts w:hint="eastAsia" w:ascii="宋体" w:hAnsi="宋体" w:cs="宋体"/>
          <w:color w:val="auto"/>
          <w:kern w:val="0"/>
          <w:sz w:val="24"/>
          <w:szCs w:val="24"/>
        </w:rPr>
        <w:t>的依据。二者对应关系如下：</w:t>
      </w:r>
    </w:p>
    <w:p w14:paraId="25A9112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lang w:eastAsia="zh-CN"/>
        </w:rPr>
        <w:t>一等</w:t>
      </w:r>
      <w:r>
        <w:rPr>
          <w:rFonts w:hint="eastAsia" w:ascii="宋体" w:hAnsi="宋体" w:cs="宋体"/>
          <w:color w:val="auto"/>
          <w:kern w:val="0"/>
          <w:sz w:val="24"/>
          <w:szCs w:val="24"/>
        </w:rPr>
        <w:t>：不</w:t>
      </w:r>
      <w:r>
        <w:rPr>
          <w:rFonts w:hint="eastAsia" w:ascii="宋体" w:hAnsi="宋体" w:cs="宋体"/>
          <w:color w:val="auto"/>
          <w:kern w:val="0"/>
          <w:sz w:val="24"/>
          <w:szCs w:val="24"/>
          <w:lang w:eastAsia="zh-CN"/>
        </w:rPr>
        <w:t>扣减</w:t>
      </w:r>
      <w:r>
        <w:rPr>
          <w:rFonts w:hint="eastAsia" w:ascii="宋体" w:hAnsi="宋体" w:cs="宋体"/>
          <w:color w:val="auto"/>
          <w:kern w:val="0"/>
          <w:sz w:val="24"/>
          <w:szCs w:val="24"/>
        </w:rPr>
        <w:t>；</w:t>
      </w:r>
    </w:p>
    <w:p w14:paraId="78E41E3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lang w:eastAsia="zh-CN"/>
        </w:rPr>
        <w:t>二等</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扣减</w:t>
      </w:r>
      <w:r>
        <w:rPr>
          <w:rFonts w:hint="eastAsia" w:ascii="宋体" w:hAnsi="宋体" w:cs="宋体"/>
          <w:color w:val="auto"/>
          <w:kern w:val="0"/>
          <w:sz w:val="24"/>
          <w:szCs w:val="24"/>
        </w:rPr>
        <w:t>当月</w:t>
      </w:r>
      <w:r>
        <w:rPr>
          <w:rFonts w:hint="eastAsia" w:ascii="宋体" w:hAnsi="宋体" w:cs="宋体"/>
          <w:color w:val="auto"/>
          <w:kern w:val="0"/>
          <w:sz w:val="24"/>
          <w:szCs w:val="24"/>
          <w:lang w:eastAsia="zh-CN"/>
        </w:rPr>
        <w:t>安保</w:t>
      </w:r>
      <w:r>
        <w:rPr>
          <w:rFonts w:hint="eastAsia" w:ascii="宋体" w:hAnsi="宋体" w:cs="宋体"/>
          <w:color w:val="auto"/>
          <w:kern w:val="0"/>
          <w:sz w:val="24"/>
          <w:szCs w:val="24"/>
        </w:rPr>
        <w:t>服务费的5%；</w:t>
      </w:r>
    </w:p>
    <w:p w14:paraId="46AE4EE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lang w:eastAsia="zh-CN"/>
        </w:rPr>
        <w:t>三等</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扣减</w:t>
      </w:r>
      <w:r>
        <w:rPr>
          <w:rFonts w:hint="eastAsia" w:ascii="宋体" w:hAnsi="宋体" w:cs="宋体"/>
          <w:color w:val="auto"/>
          <w:kern w:val="0"/>
          <w:sz w:val="24"/>
          <w:szCs w:val="24"/>
        </w:rPr>
        <w:t>当月</w:t>
      </w:r>
      <w:r>
        <w:rPr>
          <w:rFonts w:hint="eastAsia" w:ascii="宋体" w:hAnsi="宋体" w:cs="宋体"/>
          <w:color w:val="auto"/>
          <w:kern w:val="0"/>
          <w:sz w:val="24"/>
          <w:szCs w:val="24"/>
          <w:lang w:eastAsia="zh-CN"/>
        </w:rPr>
        <w:t>安保</w:t>
      </w:r>
      <w:r>
        <w:rPr>
          <w:rFonts w:hint="eastAsia" w:ascii="宋体" w:hAnsi="宋体" w:cs="宋体"/>
          <w:color w:val="auto"/>
          <w:kern w:val="0"/>
          <w:sz w:val="24"/>
          <w:szCs w:val="24"/>
        </w:rPr>
        <w:t>服务费的10%；</w:t>
      </w:r>
    </w:p>
    <w:p w14:paraId="36E9A3E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lang w:eastAsia="zh-CN"/>
        </w:rPr>
        <w:t>四等</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扣减</w:t>
      </w:r>
      <w:r>
        <w:rPr>
          <w:rFonts w:hint="eastAsia" w:ascii="宋体" w:hAnsi="宋体" w:cs="宋体"/>
          <w:color w:val="auto"/>
          <w:kern w:val="0"/>
          <w:sz w:val="24"/>
          <w:szCs w:val="24"/>
        </w:rPr>
        <w:t>当月</w:t>
      </w:r>
      <w:r>
        <w:rPr>
          <w:rFonts w:hint="eastAsia" w:ascii="宋体" w:hAnsi="宋体" w:cs="宋体"/>
          <w:color w:val="auto"/>
          <w:kern w:val="0"/>
          <w:sz w:val="24"/>
          <w:szCs w:val="24"/>
          <w:lang w:eastAsia="zh-CN"/>
        </w:rPr>
        <w:t>安保</w:t>
      </w:r>
      <w:r>
        <w:rPr>
          <w:rFonts w:hint="eastAsia" w:ascii="宋体" w:hAnsi="宋体" w:cs="宋体"/>
          <w:color w:val="auto"/>
          <w:kern w:val="0"/>
          <w:sz w:val="24"/>
          <w:szCs w:val="24"/>
        </w:rPr>
        <w:t>服务费的15%；</w:t>
      </w:r>
    </w:p>
    <w:p w14:paraId="4B6886F8">
      <w:pPr>
        <w:pStyle w:val="14"/>
        <w:tabs>
          <w:tab w:val="left" w:pos="2472"/>
        </w:tabs>
        <w:spacing w:line="460" w:lineRule="exact"/>
        <w:ind w:firstLine="480" w:firstLineChars="200"/>
        <w:jc w:val="both"/>
        <w:rPr>
          <w:rFonts w:ascii="Times New Roman" w:hAnsi="Times New Roman" w:eastAsia="宋体" w:cs="Times New Roman"/>
          <w:b/>
          <w:color w:val="auto"/>
          <w:sz w:val="36"/>
          <w:highlight w:val="none"/>
        </w:rPr>
      </w:pPr>
      <w:r>
        <w:rPr>
          <w:rFonts w:hint="eastAsia" w:ascii="宋体" w:hAnsi="宋体" w:cs="宋体"/>
          <w:color w:val="auto"/>
          <w:sz w:val="24"/>
          <w:szCs w:val="24"/>
          <w:lang w:eastAsia="zh-CN"/>
        </w:rPr>
        <w:t>防城港市港口区教育局安稳办</w:t>
      </w:r>
      <w:r>
        <w:rPr>
          <w:rFonts w:hint="eastAsia" w:ascii="宋体" w:hAnsi="宋体" w:cs="宋体"/>
          <w:color w:val="auto"/>
          <w:sz w:val="24"/>
          <w:szCs w:val="24"/>
        </w:rPr>
        <w:t>根据考核结果，对存在问题通过书面形式向</w:t>
      </w:r>
      <w:r>
        <w:rPr>
          <w:rFonts w:hint="eastAsia" w:hAnsi="宋体" w:cs="宋体"/>
          <w:color w:val="auto"/>
          <w:sz w:val="24"/>
          <w:szCs w:val="24"/>
          <w:lang w:val="en-US" w:eastAsia="zh-CN"/>
        </w:rPr>
        <w:t>中标人</w:t>
      </w:r>
      <w:r>
        <w:rPr>
          <w:rFonts w:hint="eastAsia" w:ascii="宋体" w:hAnsi="宋体" w:cs="宋体"/>
          <w:color w:val="auto"/>
          <w:sz w:val="24"/>
          <w:szCs w:val="24"/>
        </w:rPr>
        <w:t>提出限时整改意见，因整改不落实或落实不彻底，没有达到要求的，按照双方签订的合同或协议中的相关条款进行处理。</w:t>
      </w:r>
    </w:p>
    <w:p w14:paraId="6CE117D0">
      <w:pPr>
        <w:pStyle w:val="14"/>
        <w:tabs>
          <w:tab w:val="left" w:pos="2472"/>
        </w:tabs>
        <w:spacing w:line="460" w:lineRule="exact"/>
        <w:jc w:val="center"/>
        <w:rPr>
          <w:rFonts w:ascii="Times New Roman" w:hAnsi="Times New Roman" w:eastAsia="宋体" w:cs="Times New Roman"/>
          <w:b/>
          <w:color w:val="auto"/>
          <w:sz w:val="36"/>
          <w:highlight w:val="none"/>
        </w:rPr>
      </w:pPr>
    </w:p>
    <w:p w14:paraId="27D78969">
      <w:pPr>
        <w:pStyle w:val="14"/>
        <w:tabs>
          <w:tab w:val="left" w:pos="2472"/>
        </w:tabs>
        <w:spacing w:line="460" w:lineRule="exact"/>
        <w:jc w:val="center"/>
        <w:rPr>
          <w:rFonts w:ascii="Times New Roman" w:hAnsi="Times New Roman" w:eastAsia="宋体" w:cs="Times New Roman"/>
          <w:b/>
          <w:color w:val="auto"/>
          <w:sz w:val="36"/>
          <w:highlight w:val="none"/>
        </w:rPr>
      </w:pPr>
    </w:p>
    <w:p w14:paraId="6C1520A1">
      <w:pPr>
        <w:pStyle w:val="14"/>
        <w:tabs>
          <w:tab w:val="left" w:pos="2472"/>
        </w:tabs>
        <w:spacing w:line="460" w:lineRule="exact"/>
        <w:jc w:val="center"/>
        <w:rPr>
          <w:rFonts w:ascii="Times New Roman" w:hAnsi="Times New Roman" w:eastAsia="宋体" w:cs="Times New Roman"/>
          <w:b/>
          <w:color w:val="auto"/>
          <w:sz w:val="36"/>
          <w:highlight w:val="none"/>
        </w:rPr>
      </w:pPr>
    </w:p>
    <w:p w14:paraId="6311D206">
      <w:pPr>
        <w:pStyle w:val="14"/>
        <w:tabs>
          <w:tab w:val="left" w:pos="2472"/>
        </w:tabs>
        <w:spacing w:line="460" w:lineRule="exact"/>
        <w:jc w:val="center"/>
        <w:rPr>
          <w:rFonts w:ascii="Times New Roman" w:hAnsi="Times New Roman" w:eastAsia="宋体" w:cs="Times New Roman"/>
          <w:b/>
          <w:color w:val="auto"/>
          <w:sz w:val="36"/>
          <w:highlight w:val="none"/>
        </w:rPr>
      </w:pPr>
    </w:p>
    <w:p w14:paraId="2EA6B09C">
      <w:pPr>
        <w:pStyle w:val="14"/>
        <w:tabs>
          <w:tab w:val="left" w:pos="2472"/>
        </w:tabs>
        <w:spacing w:line="460" w:lineRule="exact"/>
        <w:jc w:val="center"/>
        <w:rPr>
          <w:rFonts w:ascii="Times New Roman" w:hAnsi="Times New Roman" w:eastAsia="宋体" w:cs="Times New Roman"/>
          <w:b/>
          <w:color w:val="auto"/>
          <w:sz w:val="36"/>
          <w:highlight w:val="none"/>
        </w:rPr>
      </w:pPr>
    </w:p>
    <w:p w14:paraId="300D294B">
      <w:pPr>
        <w:pStyle w:val="14"/>
        <w:tabs>
          <w:tab w:val="left" w:pos="2472"/>
        </w:tabs>
        <w:spacing w:line="460" w:lineRule="exact"/>
        <w:jc w:val="center"/>
        <w:rPr>
          <w:rFonts w:ascii="Times New Roman" w:hAnsi="Times New Roman" w:eastAsia="宋体" w:cs="Times New Roman"/>
          <w:b/>
          <w:color w:val="auto"/>
          <w:sz w:val="36"/>
          <w:highlight w:val="none"/>
        </w:rPr>
      </w:pPr>
    </w:p>
    <w:p w14:paraId="26775BB4">
      <w:pPr>
        <w:pStyle w:val="14"/>
        <w:tabs>
          <w:tab w:val="left" w:pos="2472"/>
        </w:tabs>
        <w:spacing w:line="460" w:lineRule="exact"/>
        <w:jc w:val="center"/>
        <w:rPr>
          <w:rFonts w:ascii="Times New Roman" w:hAnsi="Times New Roman" w:eastAsia="宋体" w:cs="Times New Roman"/>
          <w:b/>
          <w:color w:val="auto"/>
          <w:sz w:val="36"/>
          <w:highlight w:val="none"/>
        </w:rPr>
      </w:pPr>
    </w:p>
    <w:p w14:paraId="007382ED">
      <w:pPr>
        <w:rPr>
          <w:rFonts w:ascii="Times New Roman" w:hAnsi="Times New Roman" w:eastAsia="宋体" w:cs="Times New Roman"/>
          <w:b/>
          <w:color w:val="auto"/>
          <w:sz w:val="36"/>
          <w:highlight w:val="none"/>
        </w:rPr>
      </w:pPr>
      <w:r>
        <w:rPr>
          <w:rFonts w:ascii="Times New Roman" w:hAnsi="Times New Roman" w:eastAsia="宋体" w:cs="Times New Roman"/>
          <w:b/>
          <w:color w:val="auto"/>
          <w:sz w:val="36"/>
          <w:highlight w:val="none"/>
        </w:rPr>
        <w:br w:type="page"/>
      </w:r>
    </w:p>
    <w:p w14:paraId="58F03562">
      <w:pPr>
        <w:pStyle w:val="15"/>
        <w:rPr>
          <w:color w:val="auto"/>
        </w:rPr>
      </w:pPr>
    </w:p>
    <w:p w14:paraId="20C0D9DC">
      <w:pPr>
        <w:pStyle w:val="14"/>
        <w:tabs>
          <w:tab w:val="left" w:pos="2472"/>
        </w:tabs>
        <w:spacing w:line="460" w:lineRule="exact"/>
        <w:jc w:val="center"/>
        <w:rPr>
          <w:rFonts w:ascii="Times New Roman" w:hAnsi="Times New Roman" w:eastAsia="宋体" w:cs="Times New Roman"/>
          <w:b/>
          <w:color w:val="auto"/>
          <w:sz w:val="36"/>
          <w:highlight w:val="none"/>
        </w:rPr>
      </w:pPr>
    </w:p>
    <w:p w14:paraId="01F96EB9">
      <w:pPr>
        <w:pStyle w:val="14"/>
        <w:tabs>
          <w:tab w:val="left" w:pos="2472"/>
        </w:tabs>
        <w:spacing w:line="460" w:lineRule="exact"/>
        <w:jc w:val="center"/>
        <w:rPr>
          <w:rFonts w:ascii="Times New Roman" w:hAnsi="Times New Roman" w:eastAsia="宋体" w:cs="Times New Roman"/>
          <w:b/>
          <w:color w:val="auto"/>
          <w:sz w:val="36"/>
          <w:highlight w:val="none"/>
        </w:rPr>
      </w:pPr>
    </w:p>
    <w:p w14:paraId="112AF7C7">
      <w:pPr>
        <w:pStyle w:val="14"/>
        <w:tabs>
          <w:tab w:val="left" w:pos="2472"/>
        </w:tabs>
        <w:spacing w:line="460" w:lineRule="exact"/>
        <w:jc w:val="center"/>
        <w:outlineLvl w:val="0"/>
        <w:rPr>
          <w:rFonts w:ascii="Times New Roman" w:hAnsi="Times New Roman" w:eastAsia="宋体" w:cs="Times New Roman"/>
          <w:b/>
          <w:color w:val="auto"/>
          <w:sz w:val="36"/>
          <w:highlight w:val="none"/>
        </w:rPr>
      </w:pPr>
      <w:bookmarkStart w:id="344" w:name="_Toc32149"/>
      <w:bookmarkStart w:id="345" w:name="_Toc20296"/>
      <w:bookmarkStart w:id="346" w:name="_Toc2517"/>
      <w:bookmarkStart w:id="347" w:name="_Toc9123"/>
      <w:bookmarkStart w:id="348" w:name="_Toc26390"/>
      <w:bookmarkStart w:id="349" w:name="_Toc20832"/>
      <w:bookmarkStart w:id="350" w:name="_Toc5736"/>
      <w:bookmarkStart w:id="351" w:name="_Toc24704"/>
      <w:bookmarkStart w:id="352" w:name="_Toc19106"/>
      <w:bookmarkStart w:id="353" w:name="_Toc2377"/>
      <w:bookmarkStart w:id="354" w:name="_Toc19350"/>
      <w:bookmarkStart w:id="355" w:name="_Toc26884"/>
      <w:bookmarkStart w:id="356" w:name="_Toc11043"/>
      <w:r>
        <w:rPr>
          <w:rFonts w:hint="eastAsia" w:ascii="Times New Roman" w:hAnsi="Times New Roman" w:eastAsia="宋体" w:cs="Times New Roman"/>
          <w:b/>
          <w:color w:val="auto"/>
          <w:sz w:val="36"/>
          <w:highlight w:val="none"/>
        </w:rPr>
        <w:t>第六章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投标文件格式</w:t>
      </w:r>
      <w:bookmarkEnd w:id="344"/>
      <w:bookmarkEnd w:id="345"/>
      <w:bookmarkEnd w:id="346"/>
      <w:bookmarkEnd w:id="347"/>
      <w:bookmarkEnd w:id="348"/>
      <w:bookmarkEnd w:id="349"/>
      <w:bookmarkEnd w:id="350"/>
      <w:bookmarkEnd w:id="351"/>
      <w:bookmarkEnd w:id="352"/>
      <w:bookmarkEnd w:id="353"/>
      <w:bookmarkEnd w:id="354"/>
      <w:bookmarkEnd w:id="355"/>
      <w:bookmarkEnd w:id="356"/>
    </w:p>
    <w:p w14:paraId="2E6F3C06">
      <w:pPr>
        <w:widowControl/>
        <w:spacing w:beforeAutospacing="1" w:line="360" w:lineRule="auto"/>
        <w:jc w:val="left"/>
        <w:rPr>
          <w:rFonts w:ascii="宋体" w:hAnsi="宋体"/>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792DA2A4">
      <w:pPr>
        <w:pStyle w:val="14"/>
        <w:jc w:val="center"/>
        <w:outlineLvl w:val="1"/>
        <w:rPr>
          <w:rFonts w:hint="eastAsia" w:hAnsi="宋体" w:eastAsia="宋体" w:cs="Times New Roman"/>
          <w:b/>
          <w:bCs/>
          <w:color w:val="auto"/>
          <w:sz w:val="28"/>
          <w:szCs w:val="28"/>
          <w:highlight w:val="none"/>
        </w:rPr>
      </w:pPr>
      <w:bookmarkStart w:id="357" w:name="_Toc11854"/>
      <w:bookmarkStart w:id="358" w:name="_Toc32370"/>
      <w:bookmarkStart w:id="359" w:name="_Toc20281"/>
      <w:bookmarkStart w:id="360" w:name="_Toc24486"/>
      <w:bookmarkStart w:id="361" w:name="_Toc23486"/>
      <w:bookmarkStart w:id="362" w:name="_Toc16890"/>
      <w:bookmarkStart w:id="363" w:name="_Toc4270"/>
      <w:bookmarkStart w:id="364" w:name="_Toc21700"/>
      <w:bookmarkStart w:id="365" w:name="_Toc7817"/>
      <w:bookmarkStart w:id="366" w:name="_Toc32508"/>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一</w:t>
      </w:r>
      <w:r>
        <w:rPr>
          <w:rFonts w:hint="eastAsia" w:hAnsi="宋体" w:eastAsia="宋体" w:cs="Times New Roman"/>
          <w:b/>
          <w:bCs/>
          <w:color w:val="auto"/>
          <w:sz w:val="28"/>
          <w:szCs w:val="28"/>
          <w:highlight w:val="none"/>
        </w:rPr>
        <w:t>节 资格证明文件格式</w:t>
      </w:r>
      <w:bookmarkEnd w:id="357"/>
      <w:bookmarkEnd w:id="358"/>
      <w:bookmarkEnd w:id="359"/>
      <w:bookmarkEnd w:id="360"/>
      <w:bookmarkEnd w:id="361"/>
      <w:bookmarkEnd w:id="362"/>
      <w:bookmarkEnd w:id="363"/>
      <w:bookmarkEnd w:id="364"/>
      <w:bookmarkEnd w:id="365"/>
      <w:bookmarkEnd w:id="366"/>
    </w:p>
    <w:p w14:paraId="2AF5A523">
      <w:pPr>
        <w:pStyle w:val="14"/>
        <w:spacing w:line="360" w:lineRule="auto"/>
        <w:ind w:firstLine="420"/>
        <w:rPr>
          <w:rFonts w:hint="eastAsia" w:hAnsi="宋体" w:eastAsia="宋体" w:cs="Times New Roman"/>
          <w:color w:val="auto"/>
          <w:sz w:val="30"/>
          <w:highlight w:val="none"/>
        </w:rPr>
      </w:pPr>
    </w:p>
    <w:p w14:paraId="1C1E99A9">
      <w:pPr>
        <w:pStyle w:val="9"/>
        <w:ind w:left="0"/>
        <w:jc w:val="left"/>
        <w:rPr>
          <w:rFonts w:hint="eastAsia" w:hAnsi="宋体" w:eastAsia="宋体" w:cs="Times New Roman"/>
          <w:color w:val="auto"/>
          <w:sz w:val="30"/>
          <w:highlight w:val="none"/>
        </w:rPr>
      </w:pPr>
      <w:r>
        <w:rPr>
          <w:rFonts w:hint="eastAsia" w:hAnsi="宋体" w:cs="宋体"/>
          <w:b/>
          <w:bCs/>
          <w:color w:val="auto"/>
          <w:sz w:val="28"/>
          <w:szCs w:val="28"/>
          <w:lang w:val="en-US" w:eastAsia="zh-CN"/>
        </w:rPr>
        <w:t>1.资格证明文件封面的格式（参照此格式自拟）：</w:t>
      </w:r>
    </w:p>
    <w:p w14:paraId="6BFBF632">
      <w:pPr>
        <w:rPr>
          <w:rFonts w:hint="eastAsia"/>
          <w:color w:val="auto"/>
        </w:rPr>
      </w:pPr>
    </w:p>
    <w:p w14:paraId="0C091B2B">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01145E76">
      <w:pPr>
        <w:snapToGrid w:val="0"/>
        <w:spacing w:before="165" w:beforeLines="50" w:after="50"/>
        <w:rPr>
          <w:rFonts w:hint="eastAsia" w:ascii="宋体" w:hAnsi="宋体" w:eastAsia="宋体" w:cs="Times New Roman"/>
          <w:color w:val="auto"/>
          <w:sz w:val="24"/>
          <w:szCs w:val="20"/>
          <w:highlight w:val="none"/>
        </w:rPr>
      </w:pPr>
    </w:p>
    <w:p w14:paraId="20D73463">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资格证明文件</w:t>
      </w:r>
    </w:p>
    <w:p w14:paraId="66E26AB9">
      <w:pPr>
        <w:snapToGrid w:val="0"/>
        <w:spacing w:before="165" w:beforeLines="50" w:after="50"/>
        <w:rPr>
          <w:rFonts w:hint="eastAsia" w:ascii="宋体" w:hAnsi="宋体" w:eastAsia="宋体" w:cs="Times New Roman"/>
          <w:bCs/>
          <w:color w:val="auto"/>
          <w:sz w:val="24"/>
          <w:szCs w:val="20"/>
          <w:highlight w:val="none"/>
        </w:rPr>
      </w:pPr>
    </w:p>
    <w:p w14:paraId="6763BCEF">
      <w:pPr>
        <w:snapToGrid w:val="0"/>
        <w:spacing w:before="165" w:beforeLines="50" w:after="50"/>
        <w:rPr>
          <w:rFonts w:hint="eastAsia" w:ascii="宋体" w:hAnsi="宋体" w:eastAsia="宋体" w:cs="Times New Roman"/>
          <w:bCs/>
          <w:color w:val="auto"/>
          <w:sz w:val="24"/>
          <w:szCs w:val="20"/>
          <w:highlight w:val="none"/>
        </w:rPr>
      </w:pPr>
    </w:p>
    <w:p w14:paraId="61A894EA">
      <w:pPr>
        <w:snapToGrid w:val="0"/>
        <w:spacing w:before="165" w:beforeLines="50" w:after="50"/>
        <w:rPr>
          <w:rFonts w:hint="eastAsia" w:ascii="宋体" w:hAnsi="宋体" w:eastAsia="宋体" w:cs="Times New Roman"/>
          <w:bCs/>
          <w:color w:val="auto"/>
          <w:sz w:val="24"/>
          <w:szCs w:val="20"/>
          <w:highlight w:val="none"/>
        </w:rPr>
      </w:pPr>
    </w:p>
    <w:p w14:paraId="75B16475">
      <w:pPr>
        <w:snapToGrid w:val="0"/>
        <w:spacing w:before="165" w:beforeLines="50" w:after="50"/>
        <w:rPr>
          <w:rFonts w:hint="eastAsia" w:ascii="宋体" w:hAnsi="宋体" w:eastAsia="宋体" w:cs="Times New Roman"/>
          <w:bCs/>
          <w:color w:val="auto"/>
          <w:sz w:val="24"/>
          <w:szCs w:val="20"/>
          <w:highlight w:val="none"/>
        </w:rPr>
      </w:pPr>
    </w:p>
    <w:p w14:paraId="43B6567D">
      <w:pPr>
        <w:snapToGrid w:val="0"/>
        <w:spacing w:before="165" w:beforeLines="50" w:after="50"/>
        <w:rPr>
          <w:rFonts w:hint="eastAsia" w:ascii="宋体" w:hAnsi="宋体" w:eastAsia="宋体" w:cs="Times New Roman"/>
          <w:bCs/>
          <w:color w:val="auto"/>
          <w:sz w:val="24"/>
          <w:szCs w:val="20"/>
          <w:highlight w:val="none"/>
        </w:rPr>
      </w:pPr>
    </w:p>
    <w:p w14:paraId="563993E9">
      <w:pPr>
        <w:snapToGrid w:val="0"/>
        <w:spacing w:before="165" w:beforeLines="50" w:after="50"/>
        <w:rPr>
          <w:rFonts w:hint="eastAsia" w:ascii="宋体" w:hAnsi="宋体" w:eastAsia="宋体" w:cs="Times New Roman"/>
          <w:bCs/>
          <w:color w:val="auto"/>
          <w:sz w:val="24"/>
          <w:szCs w:val="20"/>
          <w:highlight w:val="none"/>
        </w:rPr>
      </w:pPr>
    </w:p>
    <w:p w14:paraId="13D4A5B4">
      <w:pPr>
        <w:snapToGrid w:val="0"/>
        <w:spacing w:before="165" w:beforeLines="50" w:after="50"/>
        <w:rPr>
          <w:rFonts w:hint="eastAsia" w:ascii="宋体" w:hAnsi="宋体" w:eastAsia="宋体" w:cs="Times New Roman"/>
          <w:bCs/>
          <w:color w:val="auto"/>
          <w:sz w:val="24"/>
          <w:szCs w:val="20"/>
          <w:highlight w:val="none"/>
        </w:rPr>
      </w:pPr>
    </w:p>
    <w:p w14:paraId="3980D565">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571EE086">
      <w:pPr>
        <w:snapToGrid w:val="0"/>
        <w:spacing w:before="165" w:beforeLines="50" w:after="50"/>
        <w:ind w:firstLine="540" w:firstLineChars="225"/>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项目编号：</w:t>
      </w:r>
    </w:p>
    <w:p w14:paraId="34970604">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 </w:t>
      </w:r>
    </w:p>
    <w:p w14:paraId="48FCE1A9">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w:t>
      </w:r>
      <w:r>
        <w:rPr>
          <w:rFonts w:hint="eastAsia" w:ascii="宋体" w:hAnsi="宋体" w:cs="宋体"/>
          <w:bCs/>
          <w:color w:val="auto"/>
          <w:sz w:val="24"/>
        </w:rPr>
        <w:t>（如有则填写，无分标时填写“无”或者留空）</w:t>
      </w:r>
      <w:r>
        <w:rPr>
          <w:rFonts w:hint="eastAsia" w:ascii="宋体" w:hAnsi="宋体" w:eastAsia="宋体" w:cs="Times New Roman"/>
          <w:bCs/>
          <w:color w:val="auto"/>
          <w:sz w:val="24"/>
          <w:highlight w:val="none"/>
        </w:rPr>
        <w:t>：</w:t>
      </w:r>
    </w:p>
    <w:p w14:paraId="6925A8E9">
      <w:pPr>
        <w:pStyle w:val="8"/>
        <w:snapToGrid w:val="0"/>
        <w:spacing w:before="50" w:after="50"/>
        <w:ind w:firstLine="540" w:firstLineChars="225"/>
        <w:rPr>
          <w:rFonts w:hint="eastAsia" w:ascii="宋体" w:hAnsi="宋体" w:eastAsia="宋体" w:cs="Times New Roman"/>
          <w:bCs/>
          <w:color w:val="auto"/>
          <w:sz w:val="24"/>
          <w:szCs w:val="24"/>
          <w:highlight w:val="none"/>
        </w:rPr>
      </w:pPr>
    </w:p>
    <w:p w14:paraId="24A3205E">
      <w:pPr>
        <w:pStyle w:val="8"/>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06EE8023">
      <w:pPr>
        <w:pStyle w:val="8"/>
        <w:snapToGrid w:val="0"/>
        <w:spacing w:before="50" w:after="50"/>
        <w:ind w:firstLine="540" w:firstLineChars="225"/>
        <w:rPr>
          <w:rFonts w:hint="eastAsia" w:ascii="宋体" w:hAnsi="宋体" w:eastAsia="宋体" w:cs="Times New Roman"/>
          <w:bCs/>
          <w:color w:val="auto"/>
          <w:sz w:val="24"/>
          <w:szCs w:val="24"/>
          <w:highlight w:val="none"/>
        </w:rPr>
      </w:pPr>
    </w:p>
    <w:p w14:paraId="143B8290">
      <w:pPr>
        <w:pStyle w:val="8"/>
        <w:snapToGrid w:val="0"/>
        <w:spacing w:before="50" w:after="50"/>
        <w:ind w:firstLine="960" w:firstLineChars="400"/>
        <w:rPr>
          <w:rFonts w:hint="eastAsia" w:ascii="宋体" w:hAnsi="宋体" w:eastAsia="宋体" w:cs="Times New Roman"/>
          <w:bCs/>
          <w:color w:val="auto"/>
          <w:sz w:val="24"/>
          <w:szCs w:val="24"/>
          <w:highlight w:val="none"/>
        </w:rPr>
      </w:pPr>
    </w:p>
    <w:p w14:paraId="55BC421B">
      <w:pPr>
        <w:snapToGrid w:val="0"/>
        <w:spacing w:before="165" w:beforeLines="50" w:after="50"/>
        <w:ind w:firstLine="645"/>
        <w:jc w:val="center"/>
        <w:rPr>
          <w:rFonts w:hint="eastAsia" w:ascii="宋体" w:hAnsi="宋体" w:eastAsia="宋体" w:cs="Times New Roman"/>
          <w:color w:val="auto"/>
          <w:sz w:val="24"/>
          <w:highlight w:val="none"/>
        </w:rPr>
      </w:pPr>
    </w:p>
    <w:p w14:paraId="46755805">
      <w:pPr>
        <w:snapToGrid w:val="0"/>
        <w:spacing w:before="165" w:beforeLines="50" w:after="50"/>
        <w:ind w:firstLine="645"/>
        <w:jc w:val="center"/>
        <w:rPr>
          <w:rFonts w:hint="eastAsia" w:ascii="宋体" w:hAnsi="宋体" w:eastAsia="宋体" w:cs="Times New Roman"/>
          <w:color w:val="auto"/>
          <w:sz w:val="24"/>
          <w:highlight w:val="none"/>
        </w:rPr>
      </w:pPr>
    </w:p>
    <w:p w14:paraId="09F9EA33">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14:paraId="776DB67E">
      <w:pPr>
        <w:widowControl/>
        <w:spacing w:line="360" w:lineRule="auto"/>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69C2D4CD">
      <w:pPr>
        <w:jc w:val="both"/>
        <w:rPr>
          <w:rFonts w:hint="eastAsia" w:ascii="宋体" w:hAnsi="宋体" w:eastAsia="宋体" w:cs="宋体"/>
          <w:b/>
          <w:color w:val="auto"/>
          <w:kern w:val="0"/>
          <w:sz w:val="28"/>
          <w:szCs w:val="28"/>
        </w:rPr>
      </w:pPr>
      <w:r>
        <w:rPr>
          <w:rFonts w:hint="eastAsia" w:ascii="宋体" w:hAnsi="宋体" w:cs="宋体"/>
          <w:b/>
          <w:color w:val="auto"/>
          <w:kern w:val="0"/>
          <w:sz w:val="28"/>
          <w:szCs w:val="28"/>
          <w:lang w:val="en-US" w:eastAsia="zh-CN"/>
        </w:rPr>
        <w:t>2.</w:t>
      </w:r>
      <w:r>
        <w:rPr>
          <w:rFonts w:hint="eastAsia" w:ascii="宋体" w:hAnsi="宋体" w:eastAsia="宋体" w:cs="宋体"/>
          <w:b/>
          <w:color w:val="auto"/>
          <w:kern w:val="0"/>
          <w:sz w:val="28"/>
          <w:szCs w:val="28"/>
        </w:rPr>
        <w:t>资格证明文件目录</w:t>
      </w:r>
    </w:p>
    <w:p w14:paraId="293B1192">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根据招标文件规定及投标人提供的材料自行编写目录（部分格式后附）。</w:t>
      </w:r>
    </w:p>
    <w:p w14:paraId="6D243E1E">
      <w:pPr>
        <w:spacing w:line="360" w:lineRule="auto"/>
        <w:rPr>
          <w:rFonts w:hint="eastAsia" w:ascii="仿宋_GB2312" w:hAnsi="仿宋" w:eastAsia="仿宋_GB2312" w:cs="仿宋_GB2312"/>
          <w:b/>
          <w:bCs/>
          <w:color w:val="auto"/>
          <w:sz w:val="24"/>
          <w:highlight w:val="none"/>
        </w:rPr>
      </w:pPr>
    </w:p>
    <w:p w14:paraId="1A44A301">
      <w:pPr>
        <w:snapToGrid w:val="0"/>
        <w:spacing w:line="360" w:lineRule="auto"/>
        <w:rPr>
          <w:rFonts w:hint="eastAsia" w:ascii="仿宋_GB2312" w:hAnsi="仿宋" w:eastAsia="仿宋_GB2312" w:cs="仿宋_GB2312"/>
          <w:b/>
          <w:color w:val="auto"/>
          <w:kern w:val="0"/>
          <w:sz w:val="32"/>
          <w:szCs w:val="32"/>
          <w:highlight w:val="none"/>
          <w:lang w:val="zh-CN"/>
        </w:rPr>
      </w:pPr>
    </w:p>
    <w:p w14:paraId="60F2998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3EA4297F">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718D8F95">
      <w:pPr>
        <w:snapToGrid w:val="0"/>
        <w:spacing w:line="360" w:lineRule="auto"/>
        <w:ind w:right="480"/>
        <w:jc w:val="center"/>
        <w:rPr>
          <w:rFonts w:hint="eastAsia" w:ascii="宋体" w:hAnsi="宋体" w:eastAsia="宋体" w:cs="Times New Roman"/>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34D371FA">
      <w:pPr>
        <w:spacing w:line="520" w:lineRule="exact"/>
        <w:rPr>
          <w:rFonts w:ascii="宋体" w:eastAsia="宋体" w:cs="宋体"/>
          <w:b/>
          <w:color w:val="auto"/>
          <w:kern w:val="0"/>
          <w:sz w:val="28"/>
          <w:szCs w:val="28"/>
          <w:highlight w:val="none"/>
        </w:rPr>
      </w:pPr>
      <w:r>
        <w:rPr>
          <w:rFonts w:hint="eastAsia" w:ascii="宋体" w:hAnsi="宋体" w:cs="宋体"/>
          <w:b/>
          <w:color w:val="auto"/>
          <w:kern w:val="0"/>
          <w:sz w:val="32"/>
          <w:szCs w:val="32"/>
          <w:lang w:val="en-US" w:eastAsia="zh-CN"/>
        </w:rPr>
        <w:t>3.</w:t>
      </w:r>
      <w:r>
        <w:rPr>
          <w:rFonts w:hint="eastAsia" w:ascii="宋体" w:eastAsia="宋体" w:cs="宋体"/>
          <w:b/>
          <w:color w:val="auto"/>
          <w:kern w:val="0"/>
          <w:sz w:val="28"/>
          <w:szCs w:val="28"/>
          <w:highlight w:val="none"/>
        </w:rPr>
        <w:t>防城港市政府采购供应商信用承诺函（格式）</w:t>
      </w:r>
    </w:p>
    <w:p w14:paraId="5E27C5BD">
      <w:pPr>
        <w:spacing w:line="520" w:lineRule="exact"/>
        <w:jc w:val="center"/>
        <w:rPr>
          <w:rFonts w:ascii="宋体" w:eastAsia="宋体" w:cs="宋体"/>
          <w:b/>
          <w:color w:val="auto"/>
          <w:kern w:val="0"/>
          <w:sz w:val="28"/>
          <w:szCs w:val="28"/>
          <w:highlight w:val="none"/>
        </w:rPr>
      </w:pPr>
    </w:p>
    <w:p w14:paraId="585F2158">
      <w:pPr>
        <w:spacing w:line="520" w:lineRule="exact"/>
        <w:jc w:val="center"/>
        <w:rPr>
          <w:rFonts w:ascii="方正小标宋简体" w:eastAsia="方正小标宋简体"/>
          <w:color w:val="auto"/>
          <w:sz w:val="36"/>
          <w:szCs w:val="36"/>
          <w:highlight w:val="none"/>
        </w:rPr>
      </w:pPr>
    </w:p>
    <w:p w14:paraId="4F516D25">
      <w:pPr>
        <w:spacing w:line="520" w:lineRule="exact"/>
        <w:jc w:val="center"/>
        <w:rPr>
          <w:rFonts w:ascii="方正小标宋简体" w:eastAsia="方正小标宋简体"/>
          <w:color w:val="auto"/>
          <w:sz w:val="36"/>
          <w:szCs w:val="36"/>
          <w:highlight w:val="none"/>
        </w:rPr>
      </w:pPr>
      <w:r>
        <w:rPr>
          <w:rFonts w:hint="eastAsia" w:ascii="方正小标宋简体" w:eastAsia="方正小标宋简体"/>
          <w:color w:val="auto"/>
          <w:sz w:val="36"/>
          <w:szCs w:val="36"/>
          <w:highlight w:val="none"/>
        </w:rPr>
        <w:t>防城港市政府采购供应商信用承诺函（格式</w:t>
      </w:r>
      <w:r>
        <w:rPr>
          <w:rFonts w:ascii="方正小标宋简体" w:eastAsia="方正小标宋简体"/>
          <w:color w:val="auto"/>
          <w:sz w:val="36"/>
          <w:szCs w:val="36"/>
          <w:highlight w:val="none"/>
        </w:rPr>
        <w:t>）</w:t>
      </w:r>
    </w:p>
    <w:p w14:paraId="298F6492">
      <w:pPr>
        <w:spacing w:line="520" w:lineRule="exact"/>
        <w:ind w:firstLine="640" w:firstLineChars="200"/>
        <w:rPr>
          <w:rFonts w:ascii="仿宋_GB2312" w:eastAsia="仿宋_GB2312"/>
          <w:color w:val="auto"/>
          <w:sz w:val="32"/>
          <w:szCs w:val="32"/>
          <w:highlight w:val="none"/>
        </w:rPr>
      </w:pPr>
    </w:p>
    <w:p w14:paraId="2F33DDD2">
      <w:pPr>
        <w:spacing w:line="52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致（采购人或采购代理机构）</w:t>
      </w:r>
      <w:r>
        <w:rPr>
          <w:rFonts w:ascii="仿宋_GB2312" w:eastAsia="仿宋_GB2312"/>
          <w:color w:val="auto"/>
          <w:sz w:val="28"/>
          <w:szCs w:val="28"/>
          <w:highlight w:val="none"/>
        </w:rPr>
        <w:t xml:space="preserve"> ：</w:t>
      </w:r>
    </w:p>
    <w:p w14:paraId="783A7689">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我方自愿参加</w:t>
      </w:r>
      <w:r>
        <w:rPr>
          <w:rFonts w:hint="eastAsia" w:ascii="仿宋_GB2312" w:eastAsia="仿宋_GB2312"/>
          <w:color w:val="auto"/>
          <w:sz w:val="28"/>
          <w:szCs w:val="28"/>
          <w:highlight w:val="none"/>
          <w:u w:val="single"/>
        </w:rPr>
        <w:t xml:space="preserve"> （项目名称） </w:t>
      </w:r>
      <w:r>
        <w:rPr>
          <w:rFonts w:hint="eastAsia" w:ascii="仿宋_GB2312" w:eastAsia="仿宋_GB2312"/>
          <w:color w:val="auto"/>
          <w:sz w:val="28"/>
          <w:szCs w:val="28"/>
          <w:highlight w:val="none"/>
        </w:rPr>
        <w:t>项目（</w:t>
      </w:r>
      <w:r>
        <w:rPr>
          <w:rFonts w:hint="eastAsia" w:ascii="仿宋_GB2312" w:eastAsia="仿宋_GB2312"/>
          <w:color w:val="auto"/>
          <w:sz w:val="28"/>
          <w:szCs w:val="28"/>
          <w:highlight w:val="none"/>
          <w:u w:val="single"/>
        </w:rPr>
        <w:t xml:space="preserve">项目编号：         </w:t>
      </w:r>
      <w:r>
        <w:rPr>
          <w:rFonts w:hint="eastAsia" w:ascii="仿宋_GB2312" w:eastAsia="仿宋_GB2312"/>
          <w:color w:val="auto"/>
          <w:sz w:val="28"/>
          <w:szCs w:val="28"/>
          <w:highlight w:val="none"/>
        </w:rPr>
        <w:t xml:space="preserve">）的政府采购活动，严格遵守《中华人民共和国政府采购法》及相关法律法规，依法诚信经营，无条件遵守本次政府采购活动的各项规定，并郑重承诺： </w:t>
      </w:r>
    </w:p>
    <w:p w14:paraId="24BB93DD">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1.我方具有符合采购文件资格要求的财务状况报告。 </w:t>
      </w:r>
    </w:p>
    <w:p w14:paraId="32FAD764">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2.我方具有符合采购文件资格要求的依法缴纳税收和社会保障资金的良好记录。 </w:t>
      </w:r>
    </w:p>
    <w:p w14:paraId="22DCEDF4">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3.我方参加政府采购活动前三年内在经营活动中没有重大违法记录。 </w:t>
      </w:r>
    </w:p>
    <w:p w14:paraId="53C6B1AD">
      <w:pPr>
        <w:spacing w:line="520" w:lineRule="exact"/>
        <w:ind w:firstLine="560" w:firstLineChars="200"/>
        <w:rPr>
          <w:color w:val="auto"/>
          <w:sz w:val="20"/>
          <w:szCs w:val="21"/>
          <w:highlight w:val="none"/>
        </w:rPr>
      </w:pPr>
      <w:r>
        <w:rPr>
          <w:rFonts w:hint="eastAsia" w:ascii="仿宋_GB2312" w:eastAsia="仿宋_GB2312"/>
          <w:color w:val="auto"/>
          <w:sz w:val="28"/>
          <w:szCs w:val="28"/>
          <w:highlight w:val="none"/>
        </w:rPr>
        <w:t>我方对以上承诺内容的真实性负责。如有虚假，将依法承担相应责任。</w:t>
      </w:r>
    </w:p>
    <w:p w14:paraId="48183978">
      <w:pPr>
        <w:spacing w:line="520" w:lineRule="exact"/>
        <w:ind w:firstLine="3220" w:firstLineChars="1150"/>
        <w:rPr>
          <w:rFonts w:ascii="仿宋_GB2312" w:eastAsia="仿宋_GB2312"/>
          <w:color w:val="auto"/>
          <w:sz w:val="28"/>
          <w:szCs w:val="28"/>
          <w:highlight w:val="none"/>
        </w:rPr>
      </w:pPr>
    </w:p>
    <w:p w14:paraId="03EA6535">
      <w:pPr>
        <w:spacing w:line="520" w:lineRule="exact"/>
        <w:ind w:firstLine="3220" w:firstLineChars="1150"/>
        <w:rPr>
          <w:rFonts w:ascii="仿宋_GB2312" w:eastAsia="仿宋_GB2312"/>
          <w:color w:val="auto"/>
          <w:sz w:val="28"/>
          <w:szCs w:val="28"/>
          <w:highlight w:val="none"/>
        </w:rPr>
      </w:pPr>
    </w:p>
    <w:p w14:paraId="7DD2D5A2">
      <w:pPr>
        <w:spacing w:line="520" w:lineRule="exact"/>
        <w:ind w:firstLine="3220" w:firstLineChars="1150"/>
        <w:rPr>
          <w:rFonts w:ascii="仿宋_GB2312" w:eastAsia="仿宋_GB2312"/>
          <w:color w:val="auto"/>
          <w:sz w:val="28"/>
          <w:szCs w:val="28"/>
          <w:highlight w:val="none"/>
        </w:rPr>
      </w:pPr>
      <w:r>
        <w:rPr>
          <w:rFonts w:hint="eastAsia" w:ascii="仿宋_GB2312" w:eastAsia="仿宋_GB2312"/>
          <w:color w:val="auto"/>
          <w:sz w:val="28"/>
          <w:szCs w:val="28"/>
          <w:highlight w:val="none"/>
        </w:rPr>
        <w:t>供应商名称（公章）：</w:t>
      </w:r>
    </w:p>
    <w:p w14:paraId="62808353">
      <w:pPr>
        <w:spacing w:line="600" w:lineRule="exact"/>
        <w:ind w:firstLine="3080" w:firstLineChars="1100"/>
        <w:rPr>
          <w:rFonts w:ascii="仿宋_GB2312" w:eastAsia="仿宋_GB2312"/>
          <w:color w:val="auto"/>
          <w:sz w:val="28"/>
          <w:szCs w:val="28"/>
          <w:highlight w:val="none"/>
        </w:rPr>
      </w:pPr>
      <w:r>
        <w:rPr>
          <w:rFonts w:hint="eastAsia" w:ascii="仿宋_GB2312" w:eastAsia="仿宋_GB2312"/>
          <w:color w:val="auto"/>
          <w:sz w:val="28"/>
          <w:szCs w:val="28"/>
          <w:highlight w:val="none"/>
        </w:rPr>
        <w:t>统一社会信用代码：</w:t>
      </w:r>
    </w:p>
    <w:p w14:paraId="5D09C596">
      <w:pPr>
        <w:spacing w:line="520" w:lineRule="exact"/>
        <w:ind w:firstLine="1960" w:firstLineChars="700"/>
        <w:rPr>
          <w:rFonts w:ascii="仿宋_GB2312" w:eastAsia="仿宋_GB2312"/>
          <w:color w:val="auto"/>
          <w:sz w:val="28"/>
          <w:szCs w:val="28"/>
          <w:highlight w:val="none"/>
        </w:rPr>
      </w:pPr>
      <w:r>
        <w:rPr>
          <w:rFonts w:hint="eastAsia" w:ascii="仿宋_GB2312" w:eastAsia="仿宋_GB2312"/>
          <w:color w:val="auto"/>
          <w:sz w:val="28"/>
          <w:szCs w:val="28"/>
          <w:highlight w:val="none"/>
        </w:rPr>
        <w:t>法定代表人或授权代表</w:t>
      </w:r>
      <w:r>
        <w:rPr>
          <w:rFonts w:ascii="仿宋_GB2312" w:eastAsia="仿宋_GB2312"/>
          <w:color w:val="auto"/>
          <w:sz w:val="28"/>
          <w:szCs w:val="28"/>
          <w:highlight w:val="none"/>
        </w:rPr>
        <w:t>(签</w:t>
      </w:r>
      <w:r>
        <w:rPr>
          <w:rFonts w:hint="eastAsia" w:ascii="仿宋_GB2312" w:eastAsia="仿宋_GB2312"/>
          <w:color w:val="auto"/>
          <w:sz w:val="28"/>
          <w:szCs w:val="28"/>
          <w:highlight w:val="none"/>
        </w:rPr>
        <w:t>名)</w:t>
      </w:r>
      <w:r>
        <w:rPr>
          <w:rFonts w:ascii="仿宋_GB2312" w:eastAsia="仿宋_GB2312"/>
          <w:color w:val="auto"/>
          <w:sz w:val="28"/>
          <w:szCs w:val="28"/>
          <w:highlight w:val="none"/>
        </w:rPr>
        <w:t>：</w:t>
      </w:r>
    </w:p>
    <w:p w14:paraId="202074A8">
      <w:pPr>
        <w:spacing w:line="520" w:lineRule="exact"/>
        <w:ind w:firstLine="3640" w:firstLineChars="1300"/>
        <w:rPr>
          <w:rFonts w:ascii="仿宋_GB2312" w:eastAsia="仿宋_GB2312"/>
          <w:color w:val="auto"/>
          <w:sz w:val="28"/>
          <w:szCs w:val="28"/>
          <w:highlight w:val="none"/>
        </w:rPr>
      </w:pPr>
      <w:r>
        <w:rPr>
          <w:rFonts w:hint="eastAsia" w:ascii="仿宋_GB2312" w:eastAsia="仿宋_GB2312"/>
          <w:color w:val="auto"/>
          <w:sz w:val="28"/>
          <w:szCs w:val="28"/>
          <w:highlight w:val="none"/>
        </w:rPr>
        <w:t>日期：</w:t>
      </w:r>
      <w:r>
        <w:rPr>
          <w:rFonts w:ascii="仿宋_GB2312" w:eastAsia="仿宋_GB2312"/>
          <w:color w:val="auto"/>
          <w:sz w:val="28"/>
          <w:szCs w:val="28"/>
          <w:highlight w:val="none"/>
        </w:rPr>
        <w:t xml:space="preserve"> 年 月 日</w:t>
      </w:r>
    </w:p>
    <w:p w14:paraId="09570110">
      <w:pPr>
        <w:spacing w:line="600" w:lineRule="exact"/>
        <w:ind w:firstLine="560" w:firstLineChars="200"/>
        <w:rPr>
          <w:rFonts w:ascii="仿宋_GB2312" w:eastAsia="仿宋_GB2312"/>
          <w:color w:val="auto"/>
          <w:sz w:val="28"/>
          <w:szCs w:val="28"/>
          <w:highlight w:val="none"/>
        </w:rPr>
      </w:pPr>
    </w:p>
    <w:p w14:paraId="576A0284">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注：</w:t>
      </w:r>
      <w:r>
        <w:rPr>
          <w:rFonts w:ascii="仿宋_GB2312" w:eastAsia="仿宋_GB2312"/>
          <w:color w:val="auto"/>
          <w:sz w:val="28"/>
          <w:szCs w:val="28"/>
          <w:highlight w:val="none"/>
        </w:rPr>
        <w:t>1.供应商须在投标</w:t>
      </w:r>
      <w:r>
        <w:rPr>
          <w:rFonts w:hint="eastAsia" w:ascii="仿宋_GB2312" w:eastAsia="仿宋_GB2312"/>
          <w:color w:val="auto"/>
          <w:sz w:val="28"/>
          <w:szCs w:val="28"/>
          <w:highlight w:val="none"/>
        </w:rPr>
        <w:t>（响应）</w:t>
      </w:r>
      <w:r>
        <w:rPr>
          <w:rFonts w:ascii="仿宋_GB2312" w:eastAsia="仿宋_GB2312"/>
          <w:color w:val="auto"/>
          <w:sz w:val="28"/>
          <w:szCs w:val="28"/>
          <w:highlight w:val="none"/>
        </w:rPr>
        <w:t>文件中按此模板提供承诺函，未提供</w:t>
      </w:r>
      <w:r>
        <w:rPr>
          <w:rFonts w:hint="eastAsia" w:ascii="仿宋_GB2312" w:eastAsia="仿宋_GB2312"/>
          <w:color w:val="auto"/>
          <w:sz w:val="28"/>
          <w:szCs w:val="28"/>
          <w:highlight w:val="none"/>
        </w:rPr>
        <w:t>视为未实质性响应招标（采购）文件要求，按无效投标（响应）处理。</w:t>
      </w:r>
    </w:p>
    <w:p w14:paraId="75CC4A6F">
      <w:pPr>
        <w:pStyle w:val="3"/>
        <w:numPr>
          <w:ilvl w:val="0"/>
          <w:numId w:val="4"/>
        </w:numPr>
        <w:rPr>
          <w:rFonts w:hint="eastAsia" w:ascii="仿宋_GB2312" w:eastAsia="仿宋_GB2312"/>
          <w:color w:val="auto"/>
          <w:sz w:val="28"/>
          <w:szCs w:val="28"/>
          <w:highlight w:val="none"/>
        </w:rPr>
      </w:pPr>
      <w:r>
        <w:rPr>
          <w:rFonts w:ascii="仿宋_GB2312" w:eastAsia="仿宋_GB2312"/>
          <w:color w:val="auto"/>
          <w:sz w:val="28"/>
          <w:szCs w:val="28"/>
          <w:highlight w:val="none"/>
        </w:rPr>
        <w:t>供应商的法定代表人（其他组织的为负责人）或者授</w:t>
      </w:r>
      <w:r>
        <w:rPr>
          <w:rFonts w:hint="eastAsia" w:ascii="仿宋_GB2312" w:eastAsia="仿宋_GB2312"/>
          <w:color w:val="auto"/>
          <w:sz w:val="28"/>
          <w:szCs w:val="28"/>
          <w:highlight w:val="none"/>
        </w:rPr>
        <w:t>权代表的签名或盖章应真实、有效，如由授权代表签名或盖章的，应提供“法定代表人授权书”。</w:t>
      </w:r>
    </w:p>
    <w:p w14:paraId="3F301C83">
      <w:pPr>
        <w:widowControl w:val="0"/>
        <w:numPr>
          <w:ilvl w:val="0"/>
          <w:numId w:val="0"/>
        </w:numPr>
        <w:jc w:val="both"/>
        <w:rPr>
          <w:rFonts w:hint="eastAsia"/>
          <w:color w:val="auto"/>
          <w:lang w:val="en-US" w:eastAsia="zh-CN"/>
        </w:rPr>
      </w:pPr>
    </w:p>
    <w:p w14:paraId="644DC78A">
      <w:pPr>
        <w:pStyle w:val="3"/>
        <w:rPr>
          <w:rFonts w:hint="eastAsia"/>
          <w:color w:val="auto"/>
          <w:lang w:val="en-US" w:eastAsia="zh-CN"/>
        </w:rPr>
      </w:pPr>
    </w:p>
    <w:p w14:paraId="5C08B6C8">
      <w:pPr>
        <w:rPr>
          <w:rFonts w:hint="eastAsia"/>
          <w:color w:val="auto"/>
          <w:lang w:val="en-US" w:eastAsia="zh-CN"/>
        </w:rPr>
      </w:pPr>
    </w:p>
    <w:p w14:paraId="0D6A9718">
      <w:pPr>
        <w:pStyle w:val="3"/>
        <w:rPr>
          <w:rFonts w:hint="eastAsia"/>
          <w:color w:val="auto"/>
          <w:lang w:val="en-US" w:eastAsia="zh-CN"/>
        </w:rPr>
      </w:pPr>
    </w:p>
    <w:p w14:paraId="47D2227B">
      <w:pPr>
        <w:pStyle w:val="3"/>
        <w:rPr>
          <w:rFonts w:hint="eastAsia"/>
          <w:color w:val="auto"/>
        </w:rPr>
      </w:pPr>
      <w:r>
        <w:rPr>
          <w:rFonts w:hint="eastAsia" w:ascii="宋体" w:hAnsi="宋体" w:cs="宋体"/>
          <w:b/>
          <w:color w:val="auto"/>
          <w:kern w:val="0"/>
          <w:sz w:val="32"/>
          <w:szCs w:val="32"/>
          <w:lang w:val="en-US" w:eastAsia="zh-CN"/>
        </w:rPr>
        <w:t>4.</w:t>
      </w:r>
      <w:r>
        <w:rPr>
          <w:rFonts w:hint="eastAsia" w:ascii="宋体" w:hAnsi="宋体" w:cs="宋体"/>
          <w:b/>
          <w:color w:val="auto"/>
          <w:sz w:val="28"/>
          <w:szCs w:val="28"/>
        </w:rPr>
        <w:t>声明函</w:t>
      </w:r>
      <w:r>
        <w:rPr>
          <w:rFonts w:hint="eastAsia" w:ascii="宋体" w:hAnsi="宋体" w:cs="宋体"/>
          <w:b/>
          <w:color w:val="auto"/>
          <w:sz w:val="28"/>
          <w:szCs w:val="28"/>
          <w:lang w:eastAsia="zh-CN"/>
        </w:rPr>
        <w:t>的格式</w:t>
      </w:r>
      <w:r>
        <w:rPr>
          <w:rFonts w:hint="eastAsia"/>
          <w:color w:val="auto"/>
          <w:sz w:val="28"/>
          <w:szCs w:val="28"/>
          <w:lang w:eastAsia="zh-CN"/>
        </w:rPr>
        <w:t>：</w:t>
      </w:r>
    </w:p>
    <w:p w14:paraId="04573A36">
      <w:pPr>
        <w:snapToGrid w:val="0"/>
        <w:spacing w:before="50" w:after="165" w:afterLines="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14:paraId="2D7CE86E">
      <w:pPr>
        <w:tabs>
          <w:tab w:val="left" w:pos="7200"/>
        </w:tabs>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致：</w:t>
      </w:r>
      <w:r>
        <w:rPr>
          <w:rFonts w:hint="eastAsia" w:ascii="宋体" w:hAnsi="宋体" w:cs="Times New Roman"/>
          <w:color w:val="auto"/>
          <w:szCs w:val="21"/>
          <w:highlight w:val="none"/>
          <w:u w:val="single"/>
          <w:lang w:eastAsia="zh-CN"/>
        </w:rPr>
        <w:t>广西冠宁工程咨询有限公司</w:t>
      </w:r>
      <w:r>
        <w:rPr>
          <w:rFonts w:hint="eastAsia" w:ascii="宋体" w:hAnsi="宋体" w:eastAsia="宋体" w:cs="Times New Roman"/>
          <w:color w:val="auto"/>
          <w:szCs w:val="21"/>
          <w:highlight w:val="none"/>
          <w:u w:val="single"/>
        </w:rPr>
        <w:t xml:space="preserve"> </w:t>
      </w:r>
    </w:p>
    <w:p w14:paraId="5A29DF68">
      <w:pPr>
        <w:pStyle w:val="16"/>
        <w:ind w:firstLine="420" w:firstLineChars="200"/>
        <w:rPr>
          <w:rFonts w:hint="eastAsia"/>
          <w:color w:val="auto"/>
          <w:sz w:val="21"/>
          <w:szCs w:val="21"/>
        </w:rPr>
      </w:pPr>
      <w:r>
        <w:rPr>
          <w:rFonts w:hint="eastAsia" w:ascii="宋体" w:hAnsi="宋体" w:eastAsia="宋体" w:cs="宋体"/>
          <w:i/>
          <w:iCs/>
          <w:color w:val="auto"/>
          <w:sz w:val="21"/>
          <w:szCs w:val="21"/>
          <w:u w:val="single"/>
        </w:rPr>
        <w:t>（</w:t>
      </w:r>
      <w:r>
        <w:rPr>
          <w:rFonts w:hint="eastAsia" w:ascii="宋体" w:hAnsi="宋体" w:cs="宋体"/>
          <w:i/>
          <w:iCs/>
          <w:color w:val="auto"/>
          <w:sz w:val="21"/>
          <w:szCs w:val="21"/>
          <w:u w:val="single"/>
          <w:lang w:val="en-US" w:eastAsia="zh-CN"/>
        </w:rPr>
        <w:t>投标人</w:t>
      </w:r>
      <w:r>
        <w:rPr>
          <w:rFonts w:hint="eastAsia" w:ascii="宋体" w:hAnsi="宋体" w:eastAsia="宋体" w:cs="宋体"/>
          <w:i/>
          <w:iCs/>
          <w:color w:val="auto"/>
          <w:sz w:val="21"/>
          <w:szCs w:val="21"/>
          <w:u w:val="single"/>
        </w:rPr>
        <w:t>名称）</w:t>
      </w:r>
      <w:r>
        <w:rPr>
          <w:rFonts w:hint="eastAsia" w:ascii="宋体" w:hAnsi="宋体" w:eastAsia="宋体" w:cs="宋体"/>
          <w:color w:val="auto"/>
          <w:sz w:val="21"/>
          <w:szCs w:val="21"/>
        </w:rPr>
        <w:t>系中华人民共和国合法供应商，经营地址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C2FC3AC">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我方愿意参加贵方组织的</w:t>
      </w:r>
      <w:r>
        <w:rPr>
          <w:rFonts w:hint="eastAsia" w:ascii="宋体" w:hAnsi="宋体" w:cs="Times New Roman"/>
          <w:i/>
          <w:iCs/>
          <w:color w:val="auto"/>
          <w:szCs w:val="21"/>
          <w:highlight w:val="none"/>
          <w:u w:val="single"/>
          <w:lang w:eastAsia="zh-CN"/>
        </w:rPr>
        <w:t>（项目名称）</w:t>
      </w:r>
      <w:r>
        <w:rPr>
          <w:rFonts w:hint="eastAsia" w:ascii="宋体" w:hAnsi="宋体" w:cs="Times New Roman"/>
          <w:i/>
          <w:iCs/>
          <w:color w:val="auto"/>
          <w:szCs w:val="21"/>
          <w:highlight w:val="none"/>
          <w:u w:val="single"/>
          <w:lang w:val="en-US" w:eastAsia="zh-CN"/>
        </w:rPr>
        <w:t xml:space="preserve"> </w:t>
      </w:r>
      <w:r>
        <w:rPr>
          <w:rFonts w:hint="eastAsia" w:ascii="宋体" w:hAnsi="宋体" w:eastAsia="宋体" w:cs="Times New Roman"/>
          <w:color w:val="auto"/>
          <w:szCs w:val="21"/>
          <w:highlight w:val="none"/>
        </w:rPr>
        <w:t>（项目编号：</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）项目的投标，为便于贵方公正、择优地确定中标人，我方就本次投标有关事项郑重声明如下：</w:t>
      </w:r>
    </w:p>
    <w:p w14:paraId="5AC46647">
      <w:pPr>
        <w:pStyle w:val="16"/>
        <w:ind w:firstLine="420" w:firstLineChars="200"/>
        <w:rPr>
          <w:rFonts w:hint="eastAsia" w:eastAsia="宋体"/>
          <w:color w:val="auto"/>
          <w:sz w:val="21"/>
          <w:szCs w:val="21"/>
          <w:lang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我方向贵方提交的所有</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rPr>
        <w:t>文件、资料都是准确的和真实的</w:t>
      </w:r>
      <w:r>
        <w:rPr>
          <w:rFonts w:hint="eastAsia" w:ascii="宋体" w:hAnsi="宋体" w:cs="宋体"/>
          <w:color w:val="auto"/>
          <w:sz w:val="21"/>
          <w:szCs w:val="21"/>
          <w:lang w:eastAsia="zh-CN"/>
        </w:rPr>
        <w:t>。</w:t>
      </w:r>
    </w:p>
    <w:p w14:paraId="6A64E28D">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E3D19CC">
      <w:pPr>
        <w:spacing w:line="360" w:lineRule="exact"/>
        <w:ind w:firstLine="420" w:firstLineChars="200"/>
        <w:contextualSpacing/>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在此，我方宣布同意如下：</w:t>
      </w:r>
    </w:p>
    <w:p w14:paraId="0EE07BDE">
      <w:pPr>
        <w:spacing w:line="360" w:lineRule="exact"/>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（1）将按</w:t>
      </w:r>
      <w:r>
        <w:rPr>
          <w:rFonts w:hint="eastAsia" w:ascii="宋体" w:hAnsi="宋体" w:cs="宋体"/>
          <w:color w:val="auto"/>
          <w:sz w:val="21"/>
          <w:szCs w:val="21"/>
          <w:lang w:val="en-US" w:eastAsia="zh-CN"/>
        </w:rPr>
        <w:t>招标</w:t>
      </w:r>
      <w:r>
        <w:rPr>
          <w:rFonts w:hint="eastAsia" w:ascii="宋体" w:hAnsi="宋体" w:eastAsia="宋体" w:cs="宋体"/>
          <w:color w:val="auto"/>
          <w:sz w:val="21"/>
          <w:szCs w:val="21"/>
        </w:rPr>
        <w:t>文件的约定履行合同责任和义务；</w:t>
      </w:r>
    </w:p>
    <w:p w14:paraId="6BB109DE">
      <w:pPr>
        <w:spacing w:line="360" w:lineRule="exact"/>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（2）已详细审查</w:t>
      </w:r>
      <w:r>
        <w:rPr>
          <w:rFonts w:hint="eastAsia" w:ascii="宋体" w:hAnsi="宋体" w:cs="宋体"/>
          <w:color w:val="auto"/>
          <w:sz w:val="21"/>
          <w:szCs w:val="21"/>
          <w:lang w:val="en-US" w:eastAsia="zh-CN"/>
        </w:rPr>
        <w:t>招标</w:t>
      </w:r>
      <w:r>
        <w:rPr>
          <w:rFonts w:hint="eastAsia" w:ascii="宋体" w:hAnsi="宋体" w:eastAsia="宋体" w:cs="宋体"/>
          <w:color w:val="auto"/>
          <w:sz w:val="21"/>
          <w:szCs w:val="21"/>
        </w:rPr>
        <w:t>文件</w:t>
      </w:r>
      <w:r>
        <w:rPr>
          <w:rFonts w:hint="eastAsia" w:ascii="宋体" w:hAnsi="宋体" w:cs="宋体"/>
          <w:color w:val="auto"/>
          <w:sz w:val="21"/>
          <w:szCs w:val="21"/>
          <w:lang w:val="en-US" w:eastAsia="zh-CN"/>
        </w:rPr>
        <w:t>的</w:t>
      </w:r>
      <w:r>
        <w:rPr>
          <w:rFonts w:hint="eastAsia" w:ascii="宋体" w:hAnsi="宋体" w:eastAsia="宋体" w:cs="宋体"/>
          <w:color w:val="auto"/>
          <w:sz w:val="21"/>
          <w:szCs w:val="21"/>
        </w:rPr>
        <w:t>全部</w:t>
      </w:r>
      <w:r>
        <w:rPr>
          <w:rFonts w:hint="eastAsia" w:ascii="宋体" w:hAnsi="宋体" w:cs="宋体"/>
          <w:color w:val="auto"/>
          <w:kern w:val="0"/>
          <w:sz w:val="21"/>
          <w:szCs w:val="21"/>
          <w:lang w:val="en-US" w:eastAsia="zh-CN"/>
        </w:rPr>
        <w:t>内容</w:t>
      </w:r>
      <w:r>
        <w:rPr>
          <w:rFonts w:hint="eastAsia" w:ascii="宋体" w:hAnsi="宋体" w:eastAsia="宋体" w:cs="宋体"/>
          <w:color w:val="auto"/>
          <w:sz w:val="21"/>
          <w:szCs w:val="21"/>
        </w:rPr>
        <w:t>，包括澄清或者更正公告（如有）；</w:t>
      </w:r>
    </w:p>
    <w:p w14:paraId="2BB0B72E">
      <w:pPr>
        <w:spacing w:line="360" w:lineRule="exact"/>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（3）同意提供按照贵方可能要求的与</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rPr>
        <w:t>有关的一切数据或者资料。</w:t>
      </w:r>
    </w:p>
    <w:p w14:paraId="4D5F7246">
      <w:pPr>
        <w:pStyle w:val="16"/>
        <w:rPr>
          <w:rFonts w:hint="eastAsia"/>
          <w:color w:val="auto"/>
        </w:rPr>
      </w:pPr>
    </w:p>
    <w:p w14:paraId="30849E1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b w:val="0"/>
          <w:bCs w:val="0"/>
          <w:color w:val="auto"/>
          <w:kern w:val="2"/>
          <w:sz w:val="21"/>
          <w:szCs w:val="21"/>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未被列入失信被执行人、</w:t>
      </w:r>
      <w:r>
        <w:rPr>
          <w:rFonts w:hint="eastAsia" w:ascii="宋体" w:hAnsi="宋体" w:cs="Times New Roman"/>
          <w:color w:val="auto"/>
          <w:szCs w:val="21"/>
          <w:highlight w:val="none"/>
          <w:lang w:eastAsia="zh-CN"/>
        </w:rPr>
        <w:t>重大税收违法失信主体</w:t>
      </w:r>
      <w:r>
        <w:rPr>
          <w:rFonts w:hint="eastAsia" w:ascii="宋体" w:hAnsi="宋体" w:eastAsia="宋体" w:cs="Times New Roman"/>
          <w:color w:val="auto"/>
          <w:szCs w:val="21"/>
          <w:highlight w:val="none"/>
        </w:rPr>
        <w:t>、政府采购严重违法失信行为记录名单。</w:t>
      </w:r>
    </w:p>
    <w:p w14:paraId="568515D5">
      <w:pPr>
        <w:spacing w:line="360" w:lineRule="exact"/>
        <w:ind w:firstLine="420" w:firstLineChars="200"/>
        <w:contextualSpacing/>
        <w:rPr>
          <w:rFonts w:hint="eastAsia" w:ascii="宋体" w:hAnsi="宋体" w:eastAsia="宋体" w:cs="宋体"/>
          <w:i/>
          <w:iCs/>
          <w:color w:val="auto"/>
          <w:sz w:val="21"/>
          <w:szCs w:val="21"/>
        </w:rPr>
      </w:pPr>
      <w:r>
        <w:rPr>
          <w:rFonts w:hint="eastAsia" w:ascii="宋体" w:hAnsi="宋体" w:cs="Times New Roman"/>
          <w:color w:val="auto"/>
          <w:szCs w:val="21"/>
          <w:highlight w:val="none"/>
          <w:lang w:val="en-US" w:eastAsia="zh-CN"/>
        </w:rPr>
        <w:t>5、</w:t>
      </w:r>
      <w:r>
        <w:rPr>
          <w:rFonts w:hint="eastAsia" w:ascii="宋体" w:hAnsi="宋体" w:eastAsia="宋体" w:cs="宋体"/>
          <w:color w:val="auto"/>
          <w:sz w:val="21"/>
          <w:szCs w:val="21"/>
          <w:highlight w:val="none"/>
        </w:rPr>
        <w:t>根据《中华人民共和国政府采购法实施条例》第五十条要求对政府采购</w:t>
      </w:r>
      <w:r>
        <w:rPr>
          <w:rFonts w:hint="eastAsia" w:ascii="宋体" w:hAnsi="宋体" w:eastAsia="宋体" w:cs="宋体"/>
          <w:color w:val="auto"/>
          <w:sz w:val="21"/>
          <w:szCs w:val="21"/>
        </w:rPr>
        <w:t>合同进行公告，但政府采购合同中涉及国家秘密、商业秘密的内容除外。我方就对本次</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rPr>
        <w:t>文件进行注明如下：</w:t>
      </w:r>
      <w:r>
        <w:rPr>
          <w:rFonts w:hint="eastAsia" w:ascii="宋体" w:hAnsi="宋体" w:eastAsia="宋体" w:cs="宋体"/>
          <w:i/>
          <w:iCs/>
          <w:color w:val="auto"/>
          <w:sz w:val="21"/>
          <w:szCs w:val="21"/>
        </w:rPr>
        <w:t>（两项内容中必须选择一项）</w:t>
      </w:r>
    </w:p>
    <w:p w14:paraId="19C26076">
      <w:pPr>
        <w:spacing w:line="360" w:lineRule="exact"/>
        <w:ind w:firstLine="420" w:firstLineChars="200"/>
        <w:contextualSpacing/>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□我方本次</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rPr>
        <w:t>文件</w:t>
      </w:r>
      <w:r>
        <w:rPr>
          <w:rFonts w:hint="eastAsia" w:ascii="宋体" w:hAnsi="宋体" w:eastAsia="宋体" w:cs="宋体"/>
          <w:color w:val="auto"/>
          <w:kern w:val="0"/>
          <w:sz w:val="21"/>
          <w:szCs w:val="21"/>
        </w:rPr>
        <w:t>内容中</w:t>
      </w:r>
      <w:r>
        <w:rPr>
          <w:rFonts w:hint="eastAsia" w:ascii="宋体" w:hAnsi="宋体" w:eastAsia="宋体" w:cs="宋体"/>
          <w:color w:val="auto"/>
          <w:sz w:val="21"/>
          <w:szCs w:val="21"/>
        </w:rPr>
        <w:t>未</w:t>
      </w:r>
      <w:r>
        <w:rPr>
          <w:rFonts w:hint="eastAsia" w:ascii="宋体" w:hAnsi="宋体" w:eastAsia="宋体" w:cs="宋体"/>
          <w:color w:val="auto"/>
          <w:kern w:val="0"/>
          <w:sz w:val="21"/>
          <w:szCs w:val="21"/>
        </w:rPr>
        <w:t>涉及商业秘密</w:t>
      </w:r>
      <w:r>
        <w:rPr>
          <w:rFonts w:hint="eastAsia" w:ascii="宋体" w:hAnsi="宋体" w:cs="宋体"/>
          <w:color w:val="auto"/>
          <w:kern w:val="0"/>
          <w:sz w:val="21"/>
          <w:szCs w:val="21"/>
          <w:lang w:eastAsia="zh-CN"/>
        </w:rPr>
        <w:t>。</w:t>
      </w:r>
    </w:p>
    <w:p w14:paraId="0FB63329">
      <w:pPr>
        <w:spacing w:line="360" w:lineRule="exact"/>
        <w:ind w:firstLine="420" w:firstLineChars="200"/>
        <w:contextualSpacing/>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□我方本次</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rPr>
        <w:t>文件</w:t>
      </w:r>
      <w:r>
        <w:rPr>
          <w:rFonts w:hint="eastAsia" w:ascii="宋体" w:hAnsi="宋体" w:eastAsia="宋体" w:cs="宋体"/>
          <w:color w:val="auto"/>
          <w:kern w:val="0"/>
          <w:sz w:val="21"/>
          <w:szCs w:val="21"/>
        </w:rPr>
        <w:t>涉及商业秘密的内容有：</w:t>
      </w:r>
      <w:r>
        <w:rPr>
          <w:rFonts w:hint="eastAsia" w:ascii="宋体" w:hAnsi="宋体" w:eastAsia="宋体" w:cs="宋体"/>
          <w:color w:val="auto"/>
          <w:kern w:val="0"/>
          <w:sz w:val="21"/>
          <w:szCs w:val="21"/>
          <w:u w:val="single"/>
        </w:rPr>
        <w:t xml:space="preserve">                         </w:t>
      </w:r>
      <w:r>
        <w:rPr>
          <w:rFonts w:hint="eastAsia" w:ascii="宋体" w:hAnsi="宋体" w:cs="宋体"/>
          <w:color w:val="auto"/>
          <w:kern w:val="0"/>
          <w:sz w:val="21"/>
          <w:szCs w:val="21"/>
          <w:lang w:eastAsia="zh-CN"/>
        </w:rPr>
        <w:t>。</w:t>
      </w:r>
    </w:p>
    <w:p w14:paraId="0DD4DFF9">
      <w:pPr>
        <w:pStyle w:val="16"/>
        <w:rPr>
          <w:rFonts w:hint="default" w:eastAsia="宋体"/>
          <w:color w:val="auto"/>
          <w:lang w:val="en-US" w:eastAsia="zh-CN"/>
        </w:rPr>
      </w:pPr>
    </w:p>
    <w:p w14:paraId="2EF3A97C">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以上事项如有虚假或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隐瞒，我方愿意承担一切后果，并不再寻求任何旨在减轻或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 xml:space="preserve">免除法律责任的辩解。 </w:t>
      </w:r>
    </w:p>
    <w:p w14:paraId="210B34E6">
      <w:pPr>
        <w:tabs>
          <w:tab w:val="left" w:pos="939"/>
        </w:tabs>
        <w:spacing w:line="360" w:lineRule="exact"/>
        <w:ind w:left="141" w:leftChars="67" w:firstLine="315" w:firstLineChars="150"/>
        <w:contextualSpacing/>
        <w:rPr>
          <w:rFonts w:hint="eastAsia" w:ascii="宋体" w:hAnsi="宋体" w:eastAsia="宋体" w:cs="宋体"/>
          <w:color w:val="auto"/>
          <w:sz w:val="21"/>
          <w:szCs w:val="21"/>
        </w:rPr>
      </w:pPr>
      <w:r>
        <w:rPr>
          <w:rFonts w:hint="eastAsia" w:ascii="宋体" w:hAnsi="宋体" w:eastAsia="宋体" w:cs="宋体"/>
          <w:color w:val="auto"/>
          <w:sz w:val="21"/>
          <w:szCs w:val="21"/>
        </w:rPr>
        <w:t>特此承诺。</w:t>
      </w:r>
    </w:p>
    <w:p w14:paraId="285067E7">
      <w:pPr>
        <w:snapToGrid w:val="0"/>
        <w:spacing w:before="50" w:after="331" w:afterLines="100" w:line="360" w:lineRule="auto"/>
        <w:jc w:val="left"/>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 xml:space="preserve">                                     </w:t>
      </w:r>
    </w:p>
    <w:p w14:paraId="220A087E">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投标人名称(盖公章)：</w:t>
      </w:r>
      <w:r>
        <w:rPr>
          <w:rFonts w:hint="eastAsia" w:ascii="宋体" w:hAnsi="宋体" w:eastAsia="宋体" w:cs="Times New Roman"/>
          <w:color w:val="auto"/>
          <w:szCs w:val="21"/>
          <w:highlight w:val="none"/>
        </w:rPr>
        <w:t xml:space="preserve">                                     年    月    日</w:t>
      </w:r>
    </w:p>
    <w:p w14:paraId="483CBA48">
      <w:pP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3BFDFFC0">
      <w:pPr>
        <w:pStyle w:val="14"/>
        <w:jc w:val="center"/>
        <w:outlineLvl w:val="1"/>
        <w:rPr>
          <w:rFonts w:hint="eastAsia" w:hAnsi="宋体" w:eastAsia="宋体" w:cs="Times New Roman"/>
          <w:b/>
          <w:bCs/>
          <w:color w:val="auto"/>
          <w:sz w:val="28"/>
          <w:szCs w:val="28"/>
          <w:highlight w:val="none"/>
        </w:rPr>
      </w:pPr>
      <w:bookmarkStart w:id="367" w:name="_Toc24133"/>
      <w:bookmarkStart w:id="368" w:name="_Toc31528"/>
      <w:bookmarkStart w:id="369" w:name="_Toc20777"/>
      <w:bookmarkStart w:id="370" w:name="_Toc2566"/>
      <w:bookmarkStart w:id="371" w:name="_Toc6839"/>
      <w:bookmarkStart w:id="372" w:name="_Toc12624"/>
      <w:bookmarkStart w:id="373" w:name="_Toc3944"/>
      <w:bookmarkStart w:id="374" w:name="_Toc19686838"/>
      <w:bookmarkStart w:id="375" w:name="_Toc13159"/>
      <w:bookmarkStart w:id="376" w:name="_Toc16062"/>
      <w:bookmarkStart w:id="377" w:name="_Toc8189"/>
    </w:p>
    <w:p w14:paraId="63C0962F">
      <w:pPr>
        <w:pStyle w:val="14"/>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二</w:t>
      </w:r>
      <w:r>
        <w:rPr>
          <w:rFonts w:hint="eastAsia" w:hAnsi="宋体" w:eastAsia="宋体" w:cs="Times New Roman"/>
          <w:b/>
          <w:bCs/>
          <w:color w:val="auto"/>
          <w:sz w:val="28"/>
          <w:szCs w:val="28"/>
          <w:highlight w:val="none"/>
        </w:rPr>
        <w:t>节 商务文件格式</w:t>
      </w:r>
      <w:bookmarkEnd w:id="367"/>
      <w:bookmarkEnd w:id="368"/>
      <w:bookmarkEnd w:id="369"/>
      <w:bookmarkEnd w:id="370"/>
      <w:bookmarkEnd w:id="371"/>
      <w:bookmarkEnd w:id="372"/>
      <w:bookmarkEnd w:id="373"/>
      <w:bookmarkEnd w:id="374"/>
      <w:bookmarkEnd w:id="375"/>
      <w:bookmarkEnd w:id="376"/>
      <w:bookmarkEnd w:id="377"/>
    </w:p>
    <w:p w14:paraId="056D0741">
      <w:pPr>
        <w:snapToGrid w:val="0"/>
        <w:spacing w:before="165" w:beforeLines="50" w:after="50"/>
        <w:rPr>
          <w:rFonts w:hint="eastAsia" w:ascii="宋体" w:hAnsi="宋体" w:eastAsia="宋体" w:cs="Times New Roman"/>
          <w:color w:val="auto"/>
          <w:sz w:val="30"/>
          <w:szCs w:val="20"/>
          <w:highlight w:val="none"/>
        </w:rPr>
      </w:pPr>
    </w:p>
    <w:p w14:paraId="2112A028">
      <w:pPr>
        <w:pStyle w:val="16"/>
        <w:rPr>
          <w:rFonts w:hint="eastAsia"/>
          <w:color w:val="auto"/>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bCs/>
          <w:color w:val="auto"/>
          <w:sz w:val="28"/>
          <w:szCs w:val="28"/>
          <w:lang w:val="en-US" w:eastAsia="zh-CN"/>
        </w:rPr>
        <w:t>（参照此格式自拟）</w:t>
      </w:r>
      <w:r>
        <w:rPr>
          <w:rFonts w:hint="eastAsia" w:ascii="宋体" w:hAnsi="宋体" w:eastAsia="宋体" w:cs="宋体"/>
          <w:b/>
          <w:color w:val="auto"/>
          <w:sz w:val="28"/>
          <w:szCs w:val="28"/>
          <w:highlight w:val="none"/>
        </w:rPr>
        <w:t>：</w:t>
      </w:r>
    </w:p>
    <w:p w14:paraId="69605499">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 xml:space="preserve">             电子投标文件</w:t>
      </w:r>
    </w:p>
    <w:p w14:paraId="552FFF62">
      <w:pPr>
        <w:snapToGrid w:val="0"/>
        <w:spacing w:before="165" w:beforeLines="50" w:after="50"/>
        <w:rPr>
          <w:rFonts w:hint="eastAsia" w:ascii="宋体" w:hAnsi="宋体" w:eastAsia="宋体" w:cs="Times New Roman"/>
          <w:color w:val="auto"/>
          <w:sz w:val="24"/>
          <w:szCs w:val="20"/>
          <w:highlight w:val="none"/>
        </w:rPr>
      </w:pPr>
    </w:p>
    <w:p w14:paraId="4EC28BBE">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商务文件</w:t>
      </w:r>
    </w:p>
    <w:p w14:paraId="746299A7">
      <w:pPr>
        <w:snapToGrid w:val="0"/>
        <w:spacing w:before="165" w:beforeLines="50" w:after="50"/>
        <w:rPr>
          <w:rFonts w:hint="eastAsia" w:ascii="宋体" w:hAnsi="宋体" w:eastAsia="宋体" w:cs="Times New Roman"/>
          <w:bCs/>
          <w:color w:val="auto"/>
          <w:sz w:val="24"/>
          <w:szCs w:val="20"/>
          <w:highlight w:val="none"/>
        </w:rPr>
      </w:pPr>
    </w:p>
    <w:p w14:paraId="7BDE5334">
      <w:pPr>
        <w:snapToGrid w:val="0"/>
        <w:spacing w:before="165" w:beforeLines="50" w:after="50"/>
        <w:ind w:firstLine="540" w:firstLineChars="225"/>
        <w:rPr>
          <w:rFonts w:hint="eastAsia" w:ascii="宋体" w:hAnsi="宋体" w:eastAsia="宋体" w:cs="Times New Roman"/>
          <w:bCs/>
          <w:color w:val="auto"/>
          <w:sz w:val="24"/>
          <w:highlight w:val="none"/>
        </w:rPr>
      </w:pPr>
    </w:p>
    <w:p w14:paraId="27E84767">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20D24943">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项目编号： </w:t>
      </w:r>
    </w:p>
    <w:p w14:paraId="65CA5B10">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5E504A90">
      <w:pPr>
        <w:snapToGrid w:val="0"/>
        <w:spacing w:before="165" w:beforeLines="50" w:after="50"/>
        <w:ind w:firstLine="540" w:firstLineChars="225"/>
        <w:rPr>
          <w:rFonts w:hint="eastAsia" w:ascii="宋体" w:hAnsi="宋体" w:eastAsia="宋体" w:cs="Times New Roman"/>
          <w:bCs/>
          <w:color w:val="auto"/>
          <w:sz w:val="24"/>
          <w:szCs w:val="20"/>
          <w:highlight w:val="none"/>
        </w:rPr>
      </w:pPr>
    </w:p>
    <w:p w14:paraId="42364E71">
      <w:pPr>
        <w:pStyle w:val="8"/>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2D708045">
      <w:pPr>
        <w:pStyle w:val="8"/>
        <w:snapToGrid w:val="0"/>
        <w:spacing w:before="50" w:after="50"/>
        <w:ind w:firstLine="540" w:firstLineChars="225"/>
        <w:rPr>
          <w:rFonts w:hint="eastAsia" w:ascii="宋体" w:hAnsi="宋体" w:eastAsia="宋体" w:cs="Times New Roman"/>
          <w:bCs/>
          <w:color w:val="auto"/>
          <w:sz w:val="24"/>
          <w:szCs w:val="24"/>
          <w:highlight w:val="none"/>
        </w:rPr>
      </w:pPr>
    </w:p>
    <w:p w14:paraId="11681D3D">
      <w:pPr>
        <w:pStyle w:val="8"/>
        <w:snapToGrid w:val="0"/>
        <w:spacing w:before="50" w:after="50"/>
        <w:ind w:firstLine="960" w:firstLineChars="400"/>
        <w:rPr>
          <w:rFonts w:hint="eastAsia" w:ascii="宋体" w:hAnsi="宋体" w:eastAsia="宋体" w:cs="Times New Roman"/>
          <w:bCs/>
          <w:color w:val="auto"/>
          <w:sz w:val="24"/>
          <w:szCs w:val="24"/>
          <w:highlight w:val="none"/>
        </w:rPr>
      </w:pPr>
    </w:p>
    <w:p w14:paraId="24FDA281">
      <w:pPr>
        <w:snapToGrid w:val="0"/>
        <w:spacing w:before="165" w:beforeLines="50" w:after="50"/>
        <w:ind w:firstLine="645"/>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p>
    <w:p w14:paraId="29B7A59E">
      <w:pPr>
        <w:snapToGrid w:val="0"/>
        <w:spacing w:before="165" w:beforeLines="50" w:after="50"/>
        <w:ind w:firstLine="645"/>
        <w:rPr>
          <w:rFonts w:hint="eastAsia" w:ascii="宋体" w:hAnsi="宋体" w:cs="Times New Roman"/>
          <w:color w:val="auto"/>
          <w:sz w:val="24"/>
          <w:highlight w:val="none"/>
          <w:lang w:val="en-US" w:eastAsia="zh-CN"/>
        </w:rPr>
      </w:pPr>
    </w:p>
    <w:p w14:paraId="0A063423">
      <w:pPr>
        <w:snapToGrid w:val="0"/>
        <w:spacing w:before="165" w:beforeLines="50" w:after="50"/>
        <w:ind w:firstLine="645"/>
        <w:rPr>
          <w:rFonts w:hint="eastAsia" w:ascii="宋体" w:hAnsi="宋体" w:cs="Times New Roman"/>
          <w:color w:val="auto"/>
          <w:sz w:val="24"/>
          <w:highlight w:val="none"/>
          <w:lang w:val="en-US" w:eastAsia="zh-CN"/>
        </w:rPr>
      </w:pPr>
    </w:p>
    <w:p w14:paraId="3BF94F0A">
      <w:pPr>
        <w:snapToGrid w:val="0"/>
        <w:spacing w:before="165" w:beforeLines="50" w:after="50"/>
        <w:ind w:firstLine="645"/>
        <w:rPr>
          <w:rFonts w:hint="eastAsia" w:ascii="宋体" w:hAnsi="宋体" w:cs="Times New Roman"/>
          <w:color w:val="auto"/>
          <w:sz w:val="24"/>
          <w:highlight w:val="none"/>
          <w:lang w:val="en-US" w:eastAsia="zh-CN"/>
        </w:rPr>
      </w:pPr>
    </w:p>
    <w:p w14:paraId="06605DFF">
      <w:pPr>
        <w:snapToGrid w:val="0"/>
        <w:spacing w:before="165" w:beforeLines="50" w:after="50"/>
        <w:ind w:firstLine="645"/>
        <w:rPr>
          <w:rFonts w:hint="eastAsia" w:ascii="宋体" w:hAnsi="宋体" w:cs="Times New Roman"/>
          <w:color w:val="auto"/>
          <w:sz w:val="24"/>
          <w:highlight w:val="none"/>
          <w:lang w:val="en-US" w:eastAsia="zh-CN"/>
        </w:rPr>
      </w:pPr>
    </w:p>
    <w:p w14:paraId="449DDA0B">
      <w:pPr>
        <w:snapToGrid w:val="0"/>
        <w:spacing w:before="165" w:beforeLines="50" w:after="50"/>
        <w:ind w:firstLine="4329" w:firstLineChars="180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1D23E745">
      <w:pPr>
        <w:spacing w:line="360" w:lineRule="auto"/>
        <w:ind w:right="420"/>
        <w:rPr>
          <w:rFonts w:hint="eastAsia" w:ascii="仿宋_GB2312" w:hAnsi="仿宋" w:eastAsia="仿宋_GB2312" w:cs="仿宋_GB2312"/>
          <w:b/>
          <w:color w:val="auto"/>
          <w:kern w:val="0"/>
          <w:sz w:val="36"/>
          <w:szCs w:val="36"/>
          <w:highlight w:val="none"/>
        </w:rPr>
      </w:pPr>
      <w:r>
        <w:rPr>
          <w:rFonts w:hint="eastAsia" w:ascii="宋体" w:hAnsi="宋体" w:eastAsia="宋体" w:cs="Times New Roman"/>
          <w:color w:val="auto"/>
          <w:sz w:val="24"/>
          <w:szCs w:val="20"/>
          <w:highlight w:val="none"/>
        </w:rPr>
        <w:t xml:space="preserve"> </w:t>
      </w:r>
    </w:p>
    <w:p w14:paraId="058D4003">
      <w:pPr>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14:paraId="6A90810E">
      <w:pPr>
        <w:spacing w:line="360" w:lineRule="auto"/>
        <w:ind w:right="420"/>
        <w:rPr>
          <w:rFonts w:hint="eastAsia" w:ascii="宋体" w:hAnsi="宋体" w:cs="宋体"/>
          <w:color w:val="auto"/>
          <w:sz w:val="24"/>
          <w:szCs w:val="20"/>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.商务文件目录</w:t>
      </w:r>
    </w:p>
    <w:p w14:paraId="5058E448">
      <w:pPr>
        <w:snapToGrid/>
        <w:spacing w:before="0" w:beforeLines="-2147483648" w:after="0"/>
        <w:ind w:left="0"/>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color w:val="auto"/>
          <w:kern w:val="0"/>
          <w:sz w:val="24"/>
        </w:rPr>
        <w:t>根据招标文件规定及投标人提供的材料自行编写目录（部分格式后附）。</w:t>
      </w:r>
      <w:r>
        <w:rPr>
          <w:rFonts w:hint="eastAsia" w:ascii="Times New Roman" w:hAnsi="Times New Roman" w:eastAsia="宋体" w:cs="Times New Roman"/>
          <w:b/>
          <w:bCs/>
          <w:color w:val="auto"/>
          <w:sz w:val="30"/>
          <w:szCs w:val="30"/>
          <w:highlight w:val="none"/>
        </w:rPr>
        <w:br w:type="page"/>
      </w:r>
    </w:p>
    <w:p w14:paraId="7792E39B">
      <w:pPr>
        <w:snapToGrid w:val="0"/>
        <w:spacing w:before="120" w:beforeLines="50" w:after="50"/>
        <w:ind w:left="0"/>
        <w:jc w:val="both"/>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无串通投标行为的承诺函的格式：</w:t>
      </w:r>
    </w:p>
    <w:p w14:paraId="5A229531">
      <w:pPr>
        <w:snapToGrid w:val="0"/>
        <w:spacing w:before="120" w:beforeLines="50" w:after="50"/>
        <w:ind w:left="420"/>
        <w:jc w:val="center"/>
        <w:rPr>
          <w:rFonts w:hint="eastAsia" w:ascii="宋体" w:hAnsi="宋体" w:eastAsia="宋体" w:cs="Times New Roman"/>
          <w:b/>
          <w:color w:val="auto"/>
          <w:sz w:val="32"/>
          <w:szCs w:val="32"/>
          <w:highlight w:val="none"/>
        </w:rPr>
      </w:pPr>
    </w:p>
    <w:p w14:paraId="516BB680">
      <w:pPr>
        <w:snapToGrid w:val="0"/>
        <w:spacing w:before="120" w:beforeLines="50" w:after="50"/>
        <w:ind w:left="42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参加本项目无</w:t>
      </w:r>
      <w:r>
        <w:rPr>
          <w:rFonts w:hint="eastAsia" w:ascii="Times New Roman" w:hAnsi="Times New Roman" w:eastAsia="宋体" w:cs="Times New Roman"/>
          <w:b/>
          <w:bCs/>
          <w:color w:val="auto"/>
          <w:sz w:val="32"/>
          <w:szCs w:val="32"/>
          <w:highlight w:val="none"/>
          <w:lang w:eastAsia="zh-CN"/>
        </w:rPr>
        <w:t>串通投</w:t>
      </w:r>
      <w:r>
        <w:rPr>
          <w:rFonts w:hint="eastAsia" w:ascii="宋体" w:hAnsi="宋体" w:eastAsia="宋体" w:cs="Times New Roman"/>
          <w:b/>
          <w:color w:val="auto"/>
          <w:sz w:val="32"/>
          <w:szCs w:val="32"/>
          <w:highlight w:val="none"/>
        </w:rPr>
        <w:t>标行为的承诺函</w:t>
      </w:r>
    </w:p>
    <w:p w14:paraId="5FA66373">
      <w:pPr>
        <w:snapToGrid w:val="0"/>
        <w:spacing w:before="120" w:beforeLines="50" w:after="50"/>
        <w:rPr>
          <w:rFonts w:hint="eastAsia" w:ascii="宋体" w:hAnsi="宋体" w:eastAsia="宋体" w:cs="Times New Roman"/>
          <w:b/>
          <w:color w:val="auto"/>
          <w:szCs w:val="21"/>
          <w:highlight w:val="none"/>
        </w:rPr>
      </w:pPr>
    </w:p>
    <w:p w14:paraId="7266C398">
      <w:pPr>
        <w:snapToGrid w:val="0"/>
        <w:spacing w:before="120" w:beforeLines="50" w:after="50" w:line="360" w:lineRule="auto"/>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一、我方承诺无下列相互串通投标的情形：</w:t>
      </w:r>
    </w:p>
    <w:p w14:paraId="504DF806">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1.不同投标人的投标文件由同一单位或者个人编制；</w:t>
      </w:r>
      <w:r>
        <w:rPr>
          <w:rFonts w:hint="eastAsia" w:ascii="宋体" w:hAnsi="宋体" w:cs="Times New Roman"/>
          <w:b w:val="0"/>
          <w:color w:val="auto"/>
          <w:szCs w:val="21"/>
          <w:highlight w:val="none"/>
        </w:rPr>
        <w:t>或者不同投标人报名的IP地址一致的；</w:t>
      </w:r>
    </w:p>
    <w:p w14:paraId="7256B947">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2.不同投标人委托同一单位或者个人办理投标事宜；</w:t>
      </w:r>
    </w:p>
    <w:p w14:paraId="69C6CAC7">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3.不同的投标人的投标文件载明的项目管理员为同一个人；</w:t>
      </w:r>
    </w:p>
    <w:p w14:paraId="5DA44E2B">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4.不同投标人的投标文件异常一致或者投标报价呈规律性差异；</w:t>
      </w:r>
    </w:p>
    <w:p w14:paraId="09A3461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5.不同投标人的投标文件相互混装；</w:t>
      </w:r>
    </w:p>
    <w:p w14:paraId="09F82AB5">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lang w:val="en-US"/>
        </w:rPr>
        <w:t>6</w:t>
      </w:r>
      <w:r>
        <w:rPr>
          <w:rFonts w:hint="eastAsia" w:ascii="宋体" w:hAnsi="宋体" w:eastAsia="宋体" w:cs="Times New Roman"/>
          <w:color w:val="auto"/>
          <w:szCs w:val="21"/>
          <w:highlight w:val="none"/>
        </w:rPr>
        <w:t>.不同投标人的投标保证金从同一单位或者个人账户转出。</w:t>
      </w:r>
    </w:p>
    <w:p w14:paraId="47B98ADB">
      <w:pPr>
        <w:snapToGrid w:val="0"/>
        <w:spacing w:before="120" w:beforeLines="50" w:after="50" w:line="360" w:lineRule="auto"/>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二、我方承诺无下列恶意串通的情形：</w:t>
      </w:r>
    </w:p>
    <w:p w14:paraId="7C4EA370">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1.投标人直接或者间接从采购人或者采购代理机构处获得其他投标人的相关信息并修改其投标文件；</w:t>
      </w:r>
    </w:p>
    <w:p w14:paraId="45008715">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2.投标人按照采购人或者采购代理机构的授意撤换、修改投标文件；</w:t>
      </w:r>
    </w:p>
    <w:p w14:paraId="69FC013F">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3.投标人之间协商报价、技术方案等投标文件的实质性内容；</w:t>
      </w:r>
    </w:p>
    <w:p w14:paraId="7270CC0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4.属于同一集团、协会、商会等组织成员的投标人按照该组织要求协同参加政府采购活动；</w:t>
      </w:r>
    </w:p>
    <w:p w14:paraId="01AF1B54">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AE11624">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6.投标人之间商定部分投标人放弃参加政府采购活动或者放弃中标；</w:t>
      </w:r>
    </w:p>
    <w:p w14:paraId="30DD1046">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7.投标人与采购人或者采购代理机构之间、投标人相互之间，为谋求特定投标人中标或者排斥其他投标人的其他串通行为。</w:t>
      </w:r>
    </w:p>
    <w:p w14:paraId="4BE4611F">
      <w:pPr>
        <w:snapToGrid w:val="0"/>
        <w:spacing w:before="120" w:beforeLines="50" w:after="50" w:line="360" w:lineRule="auto"/>
        <w:ind w:firstLine="413" w:firstLineChars="196"/>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以上情形一经核查属实，接受政府采购监管部门对我方认定存在围标串标行为，我方愿意承担一切后果，并不再寻求任何旨在减轻或者免除法律责任的辩解。</w:t>
      </w:r>
    </w:p>
    <w:p w14:paraId="274C2312">
      <w:pPr>
        <w:pStyle w:val="3"/>
        <w:rPr>
          <w:rFonts w:hint="eastAsia"/>
          <w:color w:val="auto"/>
          <w:lang w:eastAsia="zh-CN"/>
        </w:rPr>
      </w:pPr>
    </w:p>
    <w:p w14:paraId="61EF161A">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7B1D3444">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49823E2">
      <w:pPr>
        <w:pStyle w:val="14"/>
        <w:snapToGrid w:val="0"/>
        <w:spacing w:before="295" w:after="295" w:line="360" w:lineRule="auto"/>
        <w:jc w:val="both"/>
        <w:rPr>
          <w:rFonts w:hint="eastAsia" w:hAnsi="宋体" w:eastAsia="宋体" w:cs="Times New Roman"/>
          <w:b/>
          <w:color w:val="auto"/>
          <w:sz w:val="24"/>
          <w:highlight w:val="none"/>
        </w:rPr>
      </w:pPr>
      <w:r>
        <w:rPr>
          <w:rFonts w:hint="eastAsia" w:hAnsi="宋体" w:eastAsia="宋体" w:cs="Times New Roman"/>
          <w:b/>
          <w:color w:val="auto"/>
          <w:sz w:val="24"/>
          <w:highlight w:val="none"/>
        </w:rPr>
        <w:br w:type="page"/>
      </w:r>
      <w:r>
        <w:rPr>
          <w:rFonts w:hint="eastAsia" w:hAnsi="宋体" w:cs="宋体"/>
          <w:b/>
          <w:bCs/>
          <w:color w:val="auto"/>
          <w:sz w:val="28"/>
          <w:szCs w:val="28"/>
          <w:lang w:val="en-US" w:eastAsia="zh-CN"/>
        </w:rPr>
        <w:t>4.</w:t>
      </w:r>
      <w:r>
        <w:rPr>
          <w:rFonts w:hint="eastAsia" w:ascii="宋体" w:hAnsi="宋体" w:cs="宋体"/>
          <w:b/>
          <w:bCs/>
          <w:color w:val="auto"/>
          <w:sz w:val="28"/>
          <w:szCs w:val="28"/>
        </w:rPr>
        <w:t>法定代表人身份证明</w:t>
      </w:r>
      <w:r>
        <w:rPr>
          <w:rFonts w:hint="eastAsia" w:hAnsi="宋体" w:cs="宋体"/>
          <w:b/>
          <w:bCs/>
          <w:color w:val="auto"/>
          <w:sz w:val="28"/>
          <w:szCs w:val="28"/>
          <w:lang w:eastAsia="zh-CN"/>
        </w:rPr>
        <w:t>的格式：</w:t>
      </w:r>
    </w:p>
    <w:p w14:paraId="4579DA86">
      <w:pPr>
        <w:spacing w:before="240" w:beforeLines="100" w:after="120" w:afterLines="50"/>
        <w:ind w:left="540"/>
        <w:jc w:val="center"/>
        <w:rPr>
          <w:rFonts w:hint="eastAsia" w:ascii="宋体" w:hAnsi="Courier New" w:eastAsia="宋体" w:cs="Times New Roman"/>
          <w:b/>
          <w:color w:val="auto"/>
          <w:sz w:val="32"/>
          <w:szCs w:val="32"/>
          <w:highlight w:val="none"/>
        </w:rPr>
      </w:pPr>
    </w:p>
    <w:p w14:paraId="7F57C5A7">
      <w:pPr>
        <w:spacing w:before="240" w:beforeLines="100" w:after="120" w:afterLines="50"/>
        <w:ind w:left="540"/>
        <w:jc w:val="center"/>
        <w:rPr>
          <w:rFonts w:hint="eastAsia" w:ascii="黑体" w:hAnsi="宋体" w:eastAsia="黑体" w:cs="Times New Roman"/>
          <w:color w:val="auto"/>
          <w:sz w:val="32"/>
          <w:szCs w:val="32"/>
          <w:highlight w:val="none"/>
        </w:rPr>
      </w:pPr>
      <w:r>
        <w:rPr>
          <w:rFonts w:hint="eastAsia" w:ascii="宋体" w:hAnsi="Courier New" w:eastAsia="宋体" w:cs="Times New Roman"/>
          <w:b/>
          <w:color w:val="auto"/>
          <w:sz w:val="32"/>
          <w:szCs w:val="32"/>
          <w:highlight w:val="none"/>
        </w:rPr>
        <w:t>法定代表人身份证明</w:t>
      </w:r>
    </w:p>
    <w:p w14:paraId="5F87D4BB">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 标 人：</w:t>
      </w:r>
      <w:r>
        <w:rPr>
          <w:rFonts w:hint="eastAsia" w:ascii="宋体" w:hAnsi="宋体" w:eastAsia="宋体" w:cs="Times New Roman"/>
          <w:color w:val="auto"/>
          <w:sz w:val="24"/>
          <w:highlight w:val="none"/>
          <w:u w:val="single"/>
        </w:rPr>
        <w:t xml:space="preserve">                                                        </w:t>
      </w:r>
    </w:p>
    <w:p w14:paraId="68B4F969">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地    址：</w:t>
      </w:r>
      <w:r>
        <w:rPr>
          <w:rFonts w:hint="eastAsia" w:ascii="宋体" w:hAnsi="宋体" w:eastAsia="宋体" w:cs="Times New Roman"/>
          <w:color w:val="auto"/>
          <w:sz w:val="24"/>
          <w:highlight w:val="none"/>
          <w:u w:val="single"/>
        </w:rPr>
        <w:t xml:space="preserve">                                                        </w:t>
      </w:r>
    </w:p>
    <w:p w14:paraId="3003F73E">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姓    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性      别：</w:t>
      </w:r>
      <w:r>
        <w:rPr>
          <w:rFonts w:hint="eastAsia" w:ascii="宋体" w:hAnsi="宋体" w:eastAsia="宋体" w:cs="Times New Roman"/>
          <w:color w:val="auto"/>
          <w:sz w:val="24"/>
          <w:highlight w:val="none"/>
          <w:u w:val="single"/>
        </w:rPr>
        <w:t xml:space="preserve">                </w:t>
      </w:r>
    </w:p>
    <w:p w14:paraId="47E9266D">
      <w:pPr>
        <w:spacing w:line="500" w:lineRule="exact"/>
        <w:ind w:left="54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年    龄：</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职      务：</w:t>
      </w:r>
      <w:r>
        <w:rPr>
          <w:rFonts w:hint="eastAsia" w:ascii="宋体" w:hAnsi="宋体" w:eastAsia="宋体" w:cs="Times New Roman"/>
          <w:color w:val="auto"/>
          <w:sz w:val="24"/>
          <w:highlight w:val="none"/>
          <w:u w:val="single"/>
        </w:rPr>
        <w:t xml:space="preserve">                </w:t>
      </w:r>
    </w:p>
    <w:p w14:paraId="15E0060B">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身份证</w:t>
      </w:r>
      <w:r>
        <w:rPr>
          <w:rFonts w:hint="eastAsia" w:ascii="Times New Roman" w:hAnsi="Times New Roman" w:eastAsia="宋体" w:cs="Times New Roman"/>
          <w:color w:val="auto"/>
          <w:sz w:val="24"/>
          <w:highlight w:val="none"/>
        </w:rPr>
        <w:t>号码：</w:t>
      </w:r>
      <w:r>
        <w:rPr>
          <w:rFonts w:ascii="Times New Roman" w:hAnsi="Times New Roman" w:eastAsia="宋体" w:cs="Times New Roman"/>
          <w:color w:val="auto"/>
          <w:sz w:val="24"/>
          <w:highlight w:val="none"/>
          <w:u w:val="single"/>
        </w:rPr>
        <w:t xml:space="preserve">                                 </w:t>
      </w:r>
    </w:p>
    <w:p w14:paraId="4C97C7F0">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系</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i/>
          <w:iCs/>
          <w:color w:val="auto"/>
          <w:sz w:val="24"/>
          <w:highlight w:val="none"/>
          <w:u w:val="single"/>
        </w:rPr>
        <w:t>（投标人名称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的法定代表人。</w:t>
      </w:r>
    </w:p>
    <w:p w14:paraId="4428095C">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特此证明。</w:t>
      </w:r>
    </w:p>
    <w:p w14:paraId="51C907C9">
      <w:pPr>
        <w:spacing w:line="500" w:lineRule="exact"/>
        <w:ind w:left="540"/>
        <w:rPr>
          <w:rFonts w:hint="eastAsia" w:ascii="宋体" w:hAnsi="宋体" w:eastAsia="宋体" w:cs="Times New Roman"/>
          <w:color w:val="auto"/>
          <w:sz w:val="24"/>
          <w:highlight w:val="none"/>
        </w:rPr>
      </w:pPr>
    </w:p>
    <w:p w14:paraId="35321B2A">
      <w:pPr>
        <w:spacing w:line="500" w:lineRule="exact"/>
        <w:ind w:left="540"/>
        <w:rPr>
          <w:rFonts w:hint="eastAsia" w:ascii="宋体" w:hAnsi="宋体" w:eastAsia="宋体" w:cs="Times New Roman"/>
          <w:color w:val="auto"/>
          <w:sz w:val="24"/>
          <w:highlight w:val="none"/>
        </w:rPr>
      </w:pPr>
    </w:p>
    <w:p w14:paraId="1CBD9C18">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附件：法定代表人有效身份证正反面复印件</w:t>
      </w:r>
    </w:p>
    <w:p w14:paraId="110202B1">
      <w:pPr>
        <w:spacing w:line="500" w:lineRule="exact"/>
        <w:ind w:left="540"/>
        <w:rPr>
          <w:rFonts w:hint="eastAsia" w:ascii="宋体" w:hAnsi="宋体" w:eastAsia="宋体" w:cs="Times New Roman"/>
          <w:color w:val="auto"/>
          <w:sz w:val="24"/>
          <w:highlight w:val="none"/>
        </w:rPr>
      </w:pPr>
    </w:p>
    <w:p w14:paraId="7AACDDF6">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2FB6D45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BB1BEE2">
      <w:pPr>
        <w:snapToGrid w:val="0"/>
        <w:spacing w:before="120" w:beforeLines="50" w:after="50"/>
        <w:jc w:val="center"/>
        <w:rPr>
          <w:rFonts w:hint="eastAsia" w:ascii="宋体" w:hAnsi="宋体" w:eastAsia="宋体" w:cs="Times New Roman"/>
          <w:b/>
          <w:color w:val="auto"/>
          <w:sz w:val="24"/>
          <w:highlight w:val="none"/>
        </w:rPr>
      </w:pPr>
    </w:p>
    <w:p w14:paraId="2849FB0F">
      <w:pPr>
        <w:snapToGrid w:val="0"/>
        <w:spacing w:before="120" w:beforeLines="50" w:after="50"/>
        <w:ind w:firstLine="600" w:firstLineChars="25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注：自然人投标的无需提供</w:t>
      </w:r>
    </w:p>
    <w:p w14:paraId="4131705C">
      <w:pPr>
        <w:snapToGrid w:val="0"/>
        <w:spacing w:before="120" w:beforeLines="50" w:after="50"/>
        <w:ind w:firstLine="600" w:firstLineChars="250"/>
        <w:jc w:val="left"/>
        <w:rPr>
          <w:rFonts w:hint="eastAsia" w:ascii="宋体" w:hAnsi="宋体" w:eastAsia="宋体" w:cs="Times New Roman"/>
          <w:color w:val="auto"/>
          <w:sz w:val="24"/>
          <w:highlight w:val="none"/>
        </w:rPr>
      </w:pPr>
    </w:p>
    <w:p w14:paraId="3935A8DE">
      <w:pPr>
        <w:snapToGrid w:val="0"/>
        <w:spacing w:before="120" w:beforeLines="50" w:after="50"/>
        <w:ind w:firstLine="602" w:firstLineChars="250"/>
        <w:jc w:val="left"/>
        <w:rPr>
          <w:rFonts w:hint="eastAsia" w:ascii="宋体" w:hAnsi="宋体" w:eastAsia="宋体" w:cs="Times New Roman"/>
          <w:b/>
          <w:color w:val="auto"/>
          <w:sz w:val="24"/>
          <w:szCs w:val="20"/>
          <w:highlight w:val="none"/>
        </w:rPr>
      </w:pPr>
    </w:p>
    <w:tbl>
      <w:tblPr>
        <w:tblStyle w:val="21"/>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203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035DED17">
            <w:pPr>
              <w:spacing w:line="360" w:lineRule="auto"/>
              <w:rPr>
                <w:rFonts w:hint="eastAsia" w:ascii="宋体" w:hAnsi="Times New Roman" w:eastAsia="宋体" w:cs="Times New Roman"/>
                <w:b/>
                <w:color w:val="auto"/>
                <w:sz w:val="24"/>
                <w:highlight w:val="none"/>
              </w:rPr>
            </w:pPr>
          </w:p>
          <w:p w14:paraId="15A4504E">
            <w:pPr>
              <w:spacing w:line="360" w:lineRule="auto"/>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t>法定代表人有效身份证复印件粘</w:t>
            </w:r>
            <w:r>
              <w:rPr>
                <w:rFonts w:hint="eastAsia" w:ascii="宋体" w:cs="Times New Roman"/>
                <w:b/>
                <w:color w:val="auto"/>
                <w:sz w:val="24"/>
                <w:highlight w:val="none"/>
                <w:lang w:val="en-US" w:eastAsia="zh-CN"/>
              </w:rPr>
              <w:t>贴</w:t>
            </w:r>
            <w:r>
              <w:rPr>
                <w:rFonts w:hint="eastAsia" w:ascii="宋体" w:hAnsi="Times New Roman" w:eastAsia="宋体" w:cs="Times New Roman"/>
                <w:b/>
                <w:color w:val="auto"/>
                <w:sz w:val="24"/>
                <w:highlight w:val="none"/>
              </w:rPr>
              <w:t>处（正、反面）</w:t>
            </w:r>
          </w:p>
        </w:tc>
      </w:tr>
    </w:tbl>
    <w:p w14:paraId="18A2D8D5">
      <w:pPr>
        <w:pStyle w:val="14"/>
        <w:snapToGrid w:val="0"/>
        <w:spacing w:before="295" w:after="295" w:line="360" w:lineRule="auto"/>
        <w:jc w:val="left"/>
        <w:rPr>
          <w:rFonts w:hint="eastAsia" w:hAnsi="宋体" w:eastAsia="宋体" w:cs="Times New Roman"/>
          <w:b/>
          <w:color w:val="auto"/>
          <w:sz w:val="24"/>
          <w:highlight w:val="none"/>
        </w:rPr>
      </w:pPr>
      <w:r>
        <w:rPr>
          <w:rFonts w:hint="eastAsia" w:hAnsi="宋体" w:eastAsia="宋体" w:cs="Times New Roman"/>
          <w:b/>
          <w:color w:val="auto"/>
          <w:sz w:val="24"/>
          <w:highlight w:val="none"/>
        </w:rPr>
        <w:t>附件：</w:t>
      </w:r>
      <w:r>
        <w:rPr>
          <w:rFonts w:hint="eastAsia" w:hAnsi="宋体" w:eastAsia="宋体" w:cs="Times New Roman"/>
          <w:b/>
          <w:color w:val="auto"/>
          <w:sz w:val="24"/>
          <w:highlight w:val="none"/>
        </w:rPr>
        <w:br w:type="page"/>
      </w:r>
      <w:r>
        <w:rPr>
          <w:rFonts w:hint="eastAsia" w:hAnsi="宋体" w:cs="宋体"/>
          <w:b/>
          <w:bCs/>
          <w:color w:val="auto"/>
          <w:sz w:val="30"/>
          <w:szCs w:val="30"/>
          <w:lang w:val="en-US" w:eastAsia="zh-CN"/>
        </w:rPr>
        <w:t>5.</w:t>
      </w:r>
      <w:r>
        <w:rPr>
          <w:rFonts w:hint="eastAsia" w:ascii="宋体" w:hAnsi="宋体" w:cs="宋体"/>
          <w:b/>
          <w:bCs/>
          <w:color w:val="auto"/>
          <w:sz w:val="30"/>
          <w:szCs w:val="30"/>
        </w:rPr>
        <w:t>法定代表人授权委托书</w:t>
      </w:r>
      <w:r>
        <w:rPr>
          <w:rFonts w:hint="eastAsia" w:hAnsi="宋体" w:cs="宋体"/>
          <w:b/>
          <w:bCs/>
          <w:color w:val="auto"/>
          <w:sz w:val="30"/>
          <w:szCs w:val="30"/>
          <w:lang w:eastAsia="zh-CN"/>
        </w:rPr>
        <w:t>的格式：</w:t>
      </w:r>
    </w:p>
    <w:p w14:paraId="7680DE36">
      <w:pPr>
        <w:snapToGrid w:val="0"/>
        <w:spacing w:before="120" w:beforeLines="50" w:after="50"/>
        <w:jc w:val="center"/>
        <w:rPr>
          <w:rFonts w:hint="eastAsia" w:ascii="宋体" w:hAnsi="宋体" w:eastAsia="宋体" w:cs="Times New Roman"/>
          <w:b/>
          <w:color w:val="auto"/>
          <w:sz w:val="32"/>
          <w:szCs w:val="32"/>
          <w:highlight w:val="none"/>
        </w:rPr>
      </w:pPr>
    </w:p>
    <w:p w14:paraId="17BF49FB">
      <w:pPr>
        <w:snapToGrid w:val="0"/>
        <w:spacing w:before="120" w:beforeLines="50" w:after="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法定代表人授权委托书（如有委托时）</w:t>
      </w:r>
    </w:p>
    <w:p w14:paraId="6404BBEF">
      <w:pPr>
        <w:snapToGrid w:val="0"/>
        <w:spacing w:before="120" w:beforeLines="50" w:after="50"/>
        <w:jc w:val="center"/>
        <w:rPr>
          <w:rFonts w:hint="eastAsia" w:ascii="宋体" w:hAnsi="宋体" w:eastAsia="宋体" w:cs="Times New Roman"/>
          <w:b/>
          <w:color w:val="auto"/>
          <w:sz w:val="24"/>
          <w:highlight w:val="none"/>
        </w:rPr>
      </w:pPr>
    </w:p>
    <w:p w14:paraId="132CB71C">
      <w:pPr>
        <w:pStyle w:val="14"/>
        <w:spacing w:line="36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致：</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eastAsia="zh-CN"/>
        </w:rPr>
        <w:t>广西冠宁工程咨询有限公司</w:t>
      </w:r>
      <w:r>
        <w:rPr>
          <w:rFonts w:ascii="Times New Roman" w:hAnsi="Times New Roman" w:eastAsia="宋体" w:cs="Times New Roman"/>
          <w:color w:val="auto"/>
          <w:highlight w:val="none"/>
          <w:u w:val="single"/>
        </w:rPr>
        <w:t xml:space="preserve"> </w:t>
      </w:r>
    </w:p>
    <w:p w14:paraId="13A82681">
      <w:pPr>
        <w:pStyle w:val="14"/>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本人</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（姓名）系</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（投标人名称）的法定代表人，现授权我单位在职正式员工</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（姓名和职务）为我方代理人。代理人根据授权，以我方名义签署、澄清、说明、补正、递交、撤回、修改贵方组织的</w:t>
      </w:r>
      <w:r>
        <w:rPr>
          <w:rFonts w:hint="eastAsia" w:eastAsia="宋体" w:cs="Times New Roman"/>
          <w:color w:val="auto"/>
          <w:highlight w:val="none"/>
          <w:u w:val="single"/>
        </w:rPr>
        <w:t xml:space="preserve"> </w:t>
      </w:r>
      <w:r>
        <w:rPr>
          <w:rFonts w:hint="eastAsia" w:cs="Times New Roman"/>
          <w:i/>
          <w:iCs/>
          <w:color w:val="auto"/>
          <w:highlight w:val="none"/>
          <w:u w:val="single"/>
          <w:lang w:eastAsia="zh-CN"/>
        </w:rPr>
        <w:t>（项目名称）</w:t>
      </w:r>
      <w:r>
        <w:rPr>
          <w:rFonts w:hint="eastAsia"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hAnsi="宋体" w:cs="Times New Roman"/>
          <w:color w:val="auto"/>
          <w:highlight w:val="none"/>
          <w:u w:val="single"/>
          <w:lang w:val="en-US" w:eastAsia="zh-CN"/>
        </w:rPr>
        <w:t xml:space="preserve">            </w:t>
      </w:r>
      <w:r>
        <w:rPr>
          <w:rFonts w:hint="eastAsia" w:eastAsia="宋体" w:cs="Times New Roman"/>
          <w:color w:val="auto"/>
          <w:highlight w:val="none"/>
        </w:rPr>
        <w:t>）</w:t>
      </w:r>
      <w:r>
        <w:rPr>
          <w:rFonts w:hint="eastAsia" w:ascii="Times New Roman" w:hAnsi="Times New Roman" w:eastAsia="宋体" w:cs="Times New Roman"/>
          <w:color w:val="auto"/>
          <w:highlight w:val="none"/>
        </w:rPr>
        <w:t>的投标文件、签订合同和处理一切有关事宜，其法律后果由我方承担。</w:t>
      </w:r>
    </w:p>
    <w:p w14:paraId="5F4C9E10">
      <w:pPr>
        <w:pStyle w:val="14"/>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本授权书于</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年</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月</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日签字生效，委托期限：</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w:t>
      </w:r>
    </w:p>
    <w:p w14:paraId="6F570A56">
      <w:pPr>
        <w:pStyle w:val="14"/>
        <w:spacing w:line="36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代理人无转委托权。</w:t>
      </w:r>
    </w:p>
    <w:p w14:paraId="2BDD953A">
      <w:pPr>
        <w:pStyle w:val="14"/>
        <w:spacing w:line="360" w:lineRule="exact"/>
        <w:ind w:firstLine="420"/>
        <w:rPr>
          <w:rFonts w:ascii="Times New Roman" w:hAnsi="Times New Roman" w:eastAsia="宋体" w:cs="Times New Roman"/>
          <w:color w:val="auto"/>
          <w:highlight w:val="none"/>
        </w:rPr>
      </w:pPr>
    </w:p>
    <w:p w14:paraId="6A0CC8AC">
      <w:pPr>
        <w:pStyle w:val="14"/>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投标人</w:t>
      </w:r>
      <w:r>
        <w:rPr>
          <w:rFonts w:hint="eastAsia" w:ascii="Times New Roman" w:hAnsi="Times New Roman" w:cs="Times New Roman"/>
          <w:color w:val="auto"/>
          <w:highlight w:val="none"/>
          <w:lang w:eastAsia="zh-CN"/>
        </w:rPr>
        <w:t>名称</w:t>
      </w:r>
      <w:r>
        <w:rPr>
          <w:rFonts w:hint="eastAsia" w:ascii="Times New Roman" w:hAnsi="Times New Roman" w:eastAsia="宋体" w:cs="Times New Roman"/>
          <w:color w:val="auto"/>
          <w:highlight w:val="none"/>
        </w:rPr>
        <w:t>（盖公章）：</w:t>
      </w:r>
      <w:r>
        <w:rPr>
          <w:rFonts w:ascii="Times New Roman" w:hAnsi="Times New Roman" w:eastAsia="宋体" w:cs="Times New Roman"/>
          <w:color w:val="auto"/>
          <w:highlight w:val="none"/>
          <w:u w:val="single"/>
        </w:rPr>
        <w:t xml:space="preserve">                                    </w:t>
      </w:r>
    </w:p>
    <w:p w14:paraId="20BC473E">
      <w:pPr>
        <w:pStyle w:val="14"/>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14:paraId="2F695AA3">
      <w:pPr>
        <w:pStyle w:val="14"/>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法定代表人身份证号码：</w:t>
      </w:r>
      <w:r>
        <w:rPr>
          <w:rFonts w:ascii="Times New Roman" w:hAnsi="Times New Roman" w:eastAsia="宋体" w:cs="Times New Roman"/>
          <w:color w:val="auto"/>
          <w:highlight w:val="none"/>
          <w:u w:val="single"/>
        </w:rPr>
        <w:t xml:space="preserve">                                   </w:t>
      </w:r>
    </w:p>
    <w:p w14:paraId="5EADD2E6">
      <w:pPr>
        <w:pStyle w:val="14"/>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委托代理人（签字）：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14:paraId="3315FE06">
      <w:pPr>
        <w:pStyle w:val="14"/>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委托代理人身份证号码：</w:t>
      </w:r>
      <w:r>
        <w:rPr>
          <w:rFonts w:ascii="Times New Roman" w:hAnsi="Times New Roman" w:eastAsia="宋体" w:cs="Times New Roman"/>
          <w:color w:val="auto"/>
          <w:highlight w:val="none"/>
          <w:u w:val="single"/>
        </w:rPr>
        <w:t xml:space="preserve">                                   </w:t>
      </w:r>
    </w:p>
    <w:p w14:paraId="38B4E582">
      <w:pPr>
        <w:pStyle w:val="14"/>
        <w:spacing w:line="360" w:lineRule="exact"/>
        <w:ind w:firstLine="420"/>
        <w:rPr>
          <w:rFonts w:ascii="Times New Roman" w:hAnsi="Times New Roman" w:eastAsia="宋体" w:cs="Times New Roman"/>
          <w:color w:val="auto"/>
          <w:highlight w:val="none"/>
          <w:u w:val="single"/>
        </w:rPr>
      </w:pPr>
    </w:p>
    <w:p w14:paraId="5EE9BCE8">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5E99C348">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1.法定代表人和委托代理人必须在授权委托书上</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否则作无效投标处理</w:t>
      </w:r>
      <w:r>
        <w:rPr>
          <w:rFonts w:hint="eastAsia" w:ascii="宋体" w:hAnsi="宋体" w:eastAsia="宋体" w:cs="宋体"/>
          <w:b/>
          <w:bCs/>
          <w:color w:val="auto"/>
          <w:szCs w:val="21"/>
          <w:highlight w:val="none"/>
          <w:lang w:eastAsia="zh-CN"/>
        </w:rPr>
        <w:t>；</w:t>
      </w:r>
    </w:p>
    <w:p w14:paraId="4A04F6EC">
      <w:pPr>
        <w:snapToGrid w:val="0"/>
        <w:spacing w:before="50" w:after="120" w:afterLines="50" w:line="360" w:lineRule="exact"/>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0CAFD9D2">
      <w:pPr>
        <w:spacing w:line="360" w:lineRule="auto"/>
        <w:rPr>
          <w:rFonts w:hint="eastAsia" w:ascii="宋体" w:hAnsi="Times New Roman" w:eastAsia="宋体" w:cs="Times New Roman"/>
          <w:b/>
          <w:color w:val="auto"/>
          <w:sz w:val="24"/>
          <w:highlight w:val="none"/>
        </w:rPr>
      </w:pPr>
    </w:p>
    <w:p w14:paraId="1BCB4C58">
      <w:pPr>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br w:type="page"/>
      </w:r>
    </w:p>
    <w:p w14:paraId="2F8B4CB9">
      <w:pPr>
        <w:spacing w:line="360" w:lineRule="auto"/>
        <w:rPr>
          <w:rFonts w:hint="eastAsia" w:ascii="Times New Roman" w:hAnsi="Times New Roman" w:eastAsia="宋体" w:cs="Times New Roman"/>
          <w:b/>
          <w:color w:val="auto"/>
          <w:sz w:val="24"/>
          <w:highlight w:val="none"/>
        </w:rPr>
      </w:pPr>
      <w:r>
        <w:rPr>
          <w:rFonts w:hint="eastAsia" w:ascii="宋体" w:hAnsi="Times New Roman" w:eastAsia="宋体" w:cs="Times New Roman"/>
          <w:b/>
          <w:color w:val="auto"/>
          <w:sz w:val="24"/>
          <w:highlight w:val="none"/>
        </w:rPr>
        <w:t>附件：</w:t>
      </w:r>
    </w:p>
    <w:tbl>
      <w:tblPr>
        <w:tblStyle w:val="21"/>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6F7D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5A1901CF">
            <w:pPr>
              <w:spacing w:line="360" w:lineRule="auto"/>
              <w:rPr>
                <w:rFonts w:ascii="宋体" w:hAnsi="Times New Roman" w:eastAsia="宋体" w:cs="Times New Roman"/>
                <w:b/>
                <w:color w:val="auto"/>
                <w:sz w:val="24"/>
                <w:highlight w:val="none"/>
              </w:rPr>
            </w:pPr>
          </w:p>
          <w:p w14:paraId="70A5C9C2">
            <w:pPr>
              <w:spacing w:line="360" w:lineRule="auto"/>
              <w:rPr>
                <w:rFonts w:hint="eastAsia" w:ascii="宋体" w:hAnsi="Times New Roman" w:eastAsia="宋体" w:cs="Times New Roman"/>
                <w:b/>
                <w:color w:val="auto"/>
                <w:sz w:val="24"/>
                <w:highlight w:val="none"/>
              </w:rPr>
            </w:pPr>
            <w:r>
              <w:rPr>
                <w:rFonts w:hint="eastAsia" w:ascii="Times New Roman" w:hAnsi="Times New Roman" w:eastAsia="宋体" w:cs="Times New Roman"/>
                <w:b/>
                <w:bCs/>
                <w:color w:val="auto"/>
                <w:sz w:val="24"/>
                <w:szCs w:val="24"/>
                <w:highlight w:val="none"/>
              </w:rPr>
              <w:t>委托代理人</w:t>
            </w:r>
            <w:r>
              <w:rPr>
                <w:rFonts w:hint="eastAsia" w:ascii="Times New Roman" w:hAnsi="Times New Roman" w:cs="Times New Roman"/>
                <w:b/>
                <w:bCs/>
                <w:color w:val="auto"/>
                <w:sz w:val="24"/>
                <w:szCs w:val="24"/>
                <w:highlight w:val="none"/>
                <w:lang w:eastAsia="zh-CN"/>
              </w:rPr>
              <w:t>有效</w:t>
            </w:r>
            <w:r>
              <w:rPr>
                <w:rFonts w:hint="eastAsia" w:ascii="宋体" w:hAnsi="Times New Roman" w:eastAsia="宋体" w:cs="Times New Roman"/>
                <w:b/>
                <w:color w:val="auto"/>
                <w:sz w:val="24"/>
                <w:highlight w:val="none"/>
              </w:rPr>
              <w:t>身份证复印件粘</w:t>
            </w:r>
            <w:r>
              <w:rPr>
                <w:rFonts w:hint="eastAsia" w:ascii="宋体" w:cs="Times New Roman"/>
                <w:b/>
                <w:color w:val="auto"/>
                <w:sz w:val="24"/>
                <w:highlight w:val="none"/>
                <w:lang w:val="en-US" w:eastAsia="zh-CN"/>
              </w:rPr>
              <w:t>贴</w:t>
            </w:r>
            <w:r>
              <w:rPr>
                <w:rFonts w:hint="eastAsia" w:ascii="宋体" w:hAnsi="Times New Roman" w:eastAsia="宋体" w:cs="Times New Roman"/>
                <w:b/>
                <w:color w:val="auto"/>
                <w:sz w:val="24"/>
                <w:highlight w:val="none"/>
              </w:rPr>
              <w:t>处（正、反面）</w:t>
            </w:r>
          </w:p>
        </w:tc>
      </w:tr>
    </w:tbl>
    <w:p w14:paraId="787B32FB">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3D65EB31">
      <w:pPr>
        <w:snapToGrid w:val="0"/>
        <w:spacing w:before="120" w:beforeLines="50" w:after="50"/>
        <w:ind w:firstLine="566" w:firstLineChars="236"/>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720D20E2">
      <w:pPr>
        <w:snapToGrid w:val="0"/>
        <w:spacing w:before="120" w:beforeLines="50" w:after="50"/>
        <w:ind w:firstLine="660" w:firstLineChars="236"/>
        <w:jc w:val="both"/>
        <w:rPr>
          <w:rFonts w:hint="eastAsia" w:ascii="宋体" w:hAnsi="宋体" w:cs="Times New Roman"/>
          <w:color w:val="auto"/>
          <w:sz w:val="28"/>
          <w:szCs w:val="28"/>
          <w:highlight w:val="yellow"/>
          <w:lang w:eastAsia="zh-CN"/>
        </w:rPr>
      </w:pPr>
    </w:p>
    <w:p w14:paraId="06D36F30">
      <w:pPr>
        <w:snapToGrid w:val="0"/>
        <w:spacing w:before="120" w:beforeLines="50" w:after="50"/>
        <w:ind w:firstLine="660" w:firstLineChars="236"/>
        <w:jc w:val="both"/>
        <w:rPr>
          <w:rFonts w:hint="eastAsia" w:ascii="宋体" w:hAnsi="宋体" w:cs="Times New Roman"/>
          <w:color w:val="auto"/>
          <w:sz w:val="28"/>
          <w:szCs w:val="28"/>
          <w:highlight w:val="yellow"/>
          <w:lang w:eastAsia="zh-CN"/>
        </w:rPr>
      </w:pPr>
    </w:p>
    <w:p w14:paraId="1D12F11D">
      <w:pPr>
        <w:snapToGrid w:val="0"/>
        <w:spacing w:before="120" w:beforeLines="50" w:after="50"/>
        <w:ind w:firstLine="660" w:firstLineChars="236"/>
        <w:jc w:val="both"/>
        <w:rPr>
          <w:rFonts w:hint="eastAsia" w:ascii="宋体" w:hAnsi="宋体" w:cs="Times New Roman"/>
          <w:color w:val="auto"/>
          <w:sz w:val="28"/>
          <w:szCs w:val="28"/>
          <w:highlight w:val="yellow"/>
          <w:lang w:eastAsia="zh-CN"/>
        </w:rPr>
      </w:pPr>
    </w:p>
    <w:p w14:paraId="5CB88AE4">
      <w:pPr>
        <w:snapToGrid w:val="0"/>
        <w:spacing w:before="120" w:beforeLines="50" w:after="50"/>
        <w:ind w:firstLine="660" w:firstLineChars="236"/>
        <w:jc w:val="both"/>
        <w:rPr>
          <w:rFonts w:hint="eastAsia" w:ascii="宋体" w:hAnsi="宋体" w:cs="Times New Roman"/>
          <w:color w:val="auto"/>
          <w:sz w:val="28"/>
          <w:szCs w:val="28"/>
          <w:highlight w:val="yellow"/>
          <w:lang w:eastAsia="zh-CN"/>
        </w:rPr>
      </w:pPr>
    </w:p>
    <w:p w14:paraId="7608901F">
      <w:pPr>
        <w:snapToGrid w:val="0"/>
        <w:spacing w:before="120" w:beforeLines="50" w:after="50"/>
        <w:ind w:firstLine="660" w:firstLineChars="236"/>
        <w:jc w:val="both"/>
        <w:rPr>
          <w:rFonts w:hint="eastAsia" w:ascii="宋体" w:hAnsi="宋体" w:cs="Times New Roman"/>
          <w:color w:val="auto"/>
          <w:sz w:val="28"/>
          <w:szCs w:val="28"/>
          <w:highlight w:val="yellow"/>
          <w:lang w:eastAsia="zh-CN"/>
        </w:rPr>
      </w:pPr>
    </w:p>
    <w:p w14:paraId="08958F4D">
      <w:pPr>
        <w:snapToGrid w:val="0"/>
        <w:spacing w:before="120" w:beforeLines="50" w:after="50"/>
        <w:ind w:firstLine="660" w:firstLineChars="236"/>
        <w:jc w:val="both"/>
        <w:rPr>
          <w:rFonts w:hint="eastAsia" w:ascii="宋体" w:hAnsi="宋体" w:cs="Times New Roman"/>
          <w:color w:val="auto"/>
          <w:sz w:val="28"/>
          <w:szCs w:val="28"/>
          <w:highlight w:val="yellow"/>
          <w:lang w:eastAsia="zh-CN"/>
        </w:rPr>
      </w:pPr>
    </w:p>
    <w:p w14:paraId="6ECEA376">
      <w:pPr>
        <w:snapToGrid w:val="0"/>
        <w:spacing w:before="120" w:beforeLines="50" w:after="50"/>
        <w:ind w:firstLine="566" w:firstLineChars="236"/>
        <w:jc w:val="both"/>
        <w:rPr>
          <w:rFonts w:hint="eastAsia" w:ascii="宋体" w:hAnsi="宋体" w:eastAsia="宋体" w:cs="Times New Roman"/>
          <w:color w:val="auto"/>
          <w:highlight w:val="none"/>
        </w:rPr>
      </w:pPr>
      <w:r>
        <w:rPr>
          <w:rFonts w:hint="eastAsia" w:ascii="宋体" w:hAnsi="宋体" w:eastAsia="宋体" w:cs="Times New Roman"/>
          <w:color w:val="auto"/>
          <w:sz w:val="24"/>
          <w:highlight w:val="none"/>
        </w:rPr>
        <w:br w:type="page"/>
      </w:r>
    </w:p>
    <w:p w14:paraId="0AB4D95E">
      <w:pPr>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eastAsia="zh-CN"/>
        </w:rPr>
        <w:t>：</w:t>
      </w:r>
    </w:p>
    <w:p w14:paraId="3F4D321F">
      <w:pPr>
        <w:jc w:val="center"/>
        <w:rPr>
          <w:rFonts w:hint="eastAsia" w:ascii="Times New Roman" w:hAnsi="Times New Roman" w:eastAsia="宋体" w:cs="Times New Roman"/>
          <w:b/>
          <w:bCs/>
          <w:color w:val="auto"/>
          <w:sz w:val="30"/>
          <w:szCs w:val="30"/>
          <w:highlight w:val="none"/>
        </w:rPr>
      </w:pPr>
    </w:p>
    <w:p w14:paraId="74F22EF9">
      <w:pPr>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商务条款偏离表</w:t>
      </w:r>
    </w:p>
    <w:p w14:paraId="78B52022">
      <w:pPr>
        <w:spacing w:line="360" w:lineRule="auto"/>
        <w:ind w:firstLine="0" w:firstLineChars="0"/>
        <w:contextualSpacing/>
        <w:rPr>
          <w:rFonts w:hint="eastAsia" w:ascii="宋体" w:hAnsi="宋体" w:cs="宋体"/>
          <w:color w:val="auto"/>
          <w:sz w:val="24"/>
          <w:highlight w:val="none"/>
        </w:rPr>
      </w:pPr>
    </w:p>
    <w:p w14:paraId="67C6698B">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15F61BC">
      <w:pPr>
        <w:snapToGrid/>
        <w:spacing w:before="0" w:line="360" w:lineRule="auto"/>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5CC8DE51">
      <w:pPr>
        <w:pStyle w:val="14"/>
        <w:spacing w:line="480" w:lineRule="auto"/>
        <w:ind w:left="-422" w:leftChars="-201" w:firstLine="424"/>
        <w:rPr>
          <w:rFonts w:hint="eastAsia"/>
          <w:color w:val="auto"/>
        </w:rPr>
      </w:pPr>
      <w:r>
        <w:rPr>
          <w:rFonts w:hint="eastAsia" w:hAnsi="宋体" w:cs="宋体"/>
          <w:color w:val="auto"/>
          <w:sz w:val="24"/>
          <w:szCs w:val="24"/>
          <w:lang w:eastAsia="zh-CN"/>
        </w:rPr>
        <w:t>所投</w:t>
      </w:r>
      <w:r>
        <w:rPr>
          <w:rFonts w:hint="eastAsia" w:ascii="宋体" w:hAnsi="宋体" w:cs="宋体"/>
          <w:color w:val="auto"/>
          <w:sz w:val="24"/>
          <w:szCs w:val="24"/>
        </w:rPr>
        <w:t>分标</w:t>
      </w:r>
      <w:r>
        <w:rPr>
          <w:rFonts w:hint="eastAsia" w:ascii="宋体" w:hAnsi="宋体" w:cs="宋体"/>
          <w:color w:val="auto"/>
          <w:sz w:val="21"/>
          <w:szCs w:val="21"/>
        </w:rPr>
        <w:t>（此处有分标时填写具体分标号，无分标时填写“无”）</w:t>
      </w:r>
      <w:r>
        <w:rPr>
          <w:rFonts w:hint="eastAsia" w:ascii="宋体" w:hAnsi="宋体" w:cs="宋体"/>
          <w:color w:val="auto"/>
          <w:sz w:val="24"/>
          <w:szCs w:val="24"/>
          <w:lang w:eastAsia="zh-CN"/>
        </w:rPr>
        <w:t>：</w:t>
      </w:r>
      <w:r>
        <w:rPr>
          <w:rFonts w:hint="eastAsia" w:ascii="宋体" w:hAnsi="宋体" w:cs="宋体"/>
          <w:color w:val="auto"/>
          <w:sz w:val="24"/>
          <w:highlight w:val="none"/>
          <w:u w:val="single"/>
        </w:rPr>
        <w:t xml:space="preserve">           </w:t>
      </w:r>
    </w:p>
    <w:tbl>
      <w:tblPr>
        <w:tblStyle w:val="21"/>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5C49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6016079B">
            <w:pPr>
              <w:spacing w:line="340" w:lineRule="exact"/>
              <w:jc w:val="center"/>
              <w:rPr>
                <w:rFonts w:hint="eastAsia" w:ascii="宋体" w:hAnsi="宋体" w:cs="宋体"/>
                <w:color w:val="auto"/>
                <w:szCs w:val="21"/>
              </w:rPr>
            </w:pPr>
            <w:r>
              <w:rPr>
                <w:rFonts w:hint="eastAsia" w:ascii="宋体" w:hAnsi="宋体" w:cs="宋体"/>
                <w:color w:val="auto"/>
                <w:szCs w:val="21"/>
              </w:rPr>
              <w:t>项号</w:t>
            </w:r>
          </w:p>
        </w:tc>
        <w:tc>
          <w:tcPr>
            <w:tcW w:w="3379" w:type="dxa"/>
            <w:tcBorders>
              <w:top w:val="single" w:color="auto" w:sz="4" w:space="0"/>
              <w:left w:val="single" w:color="auto" w:sz="4" w:space="0"/>
              <w:bottom w:val="single" w:color="auto" w:sz="4" w:space="0"/>
              <w:right w:val="single" w:color="auto" w:sz="4" w:space="0"/>
            </w:tcBorders>
            <w:noWrap w:val="0"/>
            <w:vAlign w:val="center"/>
          </w:tcPr>
          <w:p w14:paraId="108A421D">
            <w:pPr>
              <w:spacing w:line="340" w:lineRule="exact"/>
              <w:jc w:val="center"/>
              <w:rPr>
                <w:rFonts w:hint="default" w:ascii="宋体" w:hAnsi="宋体" w:eastAsia="宋体" w:cs="宋体"/>
                <w:color w:val="auto"/>
                <w:szCs w:val="21"/>
                <w:lang w:val="en-US" w:eastAsia="zh-CN"/>
              </w:rPr>
            </w:pPr>
            <w:r>
              <w:rPr>
                <w:rFonts w:hint="eastAsia" w:ascii="宋体" w:hAnsi="宋体" w:cs="宋体"/>
                <w:color w:val="auto"/>
                <w:szCs w:val="21"/>
              </w:rPr>
              <w:t>招标文件的商务</w:t>
            </w:r>
            <w:r>
              <w:rPr>
                <w:rFonts w:hint="eastAsia" w:ascii="宋体" w:hAnsi="宋体" w:cs="宋体"/>
                <w:color w:val="auto"/>
                <w:szCs w:val="21"/>
                <w:lang w:val="en-US" w:eastAsia="zh-CN"/>
              </w:rPr>
              <w:t>条款</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2527E85B">
            <w:pPr>
              <w:spacing w:line="340" w:lineRule="exact"/>
              <w:jc w:val="center"/>
              <w:rPr>
                <w:rFonts w:hint="eastAsia" w:ascii="宋体" w:hAnsi="宋体" w:cs="宋体"/>
                <w:color w:val="auto"/>
                <w:szCs w:val="21"/>
              </w:rPr>
            </w:pPr>
            <w:r>
              <w:rPr>
                <w:rFonts w:hint="eastAsia" w:ascii="宋体" w:hAnsi="宋体" w:cs="宋体"/>
                <w:color w:val="auto"/>
                <w:szCs w:val="21"/>
              </w:rPr>
              <w:t>投标文件</w:t>
            </w:r>
            <w:r>
              <w:rPr>
                <w:rFonts w:hint="eastAsia" w:ascii="宋体" w:hAnsi="宋体" w:cs="宋体"/>
                <w:color w:val="auto"/>
                <w:szCs w:val="21"/>
                <w:lang w:val="en-US" w:eastAsia="zh-CN"/>
              </w:rPr>
              <w:t>响应</w:t>
            </w:r>
            <w:r>
              <w:rPr>
                <w:rFonts w:hint="eastAsia" w:ascii="宋体" w:hAnsi="宋体" w:cs="宋体"/>
                <w:color w:val="auto"/>
                <w:szCs w:val="21"/>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52A2EE13">
            <w:pPr>
              <w:spacing w:line="340" w:lineRule="exact"/>
              <w:jc w:val="center"/>
              <w:rPr>
                <w:rFonts w:hint="eastAsia" w:ascii="宋体" w:hAnsi="宋体" w:cs="宋体"/>
                <w:color w:val="auto"/>
                <w:szCs w:val="21"/>
              </w:rPr>
            </w:pPr>
            <w:r>
              <w:rPr>
                <w:rFonts w:hint="eastAsia" w:ascii="宋体" w:hAnsi="宋体" w:cs="宋体"/>
                <w:color w:val="auto"/>
                <w:szCs w:val="21"/>
              </w:rPr>
              <w:t>偏离说明</w:t>
            </w:r>
          </w:p>
        </w:tc>
      </w:tr>
      <w:tr w14:paraId="70FA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0A7E30C7">
            <w:pPr>
              <w:spacing w:line="340" w:lineRule="exact"/>
              <w:rPr>
                <w:rFonts w:hint="eastAsia" w:ascii="宋体" w:hAnsi="宋体" w:cs="宋体"/>
                <w:color w:val="auto"/>
                <w:szCs w:val="21"/>
              </w:rPr>
            </w:pPr>
            <w:r>
              <w:rPr>
                <w:rFonts w:hint="eastAsia" w:ascii="宋体" w:hAnsi="宋体" w:cs="宋体"/>
                <w:color w:val="auto"/>
                <w:szCs w:val="21"/>
              </w:rPr>
              <w:t>一</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0378CE22">
            <w:pPr>
              <w:spacing w:line="340" w:lineRule="exact"/>
              <w:rPr>
                <w:rFonts w:hint="eastAsia" w:ascii="宋体" w:hAnsi="宋体" w:cs="宋体"/>
                <w:color w:val="auto"/>
                <w:szCs w:val="21"/>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4B229744">
            <w:pPr>
              <w:spacing w:line="340" w:lineRule="exact"/>
              <w:rPr>
                <w:rFonts w:hint="eastAsia" w:ascii="宋体" w:hAnsi="宋体" w:cs="宋体"/>
                <w:color w:val="auto"/>
                <w:szCs w:val="21"/>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08CF8CF9">
            <w:pPr>
              <w:spacing w:line="300" w:lineRule="exact"/>
              <w:rPr>
                <w:rFonts w:hint="eastAsia" w:ascii="宋体" w:hAnsi="宋体" w:cs="宋体"/>
                <w:color w:val="auto"/>
                <w:szCs w:val="21"/>
              </w:rPr>
            </w:pPr>
          </w:p>
        </w:tc>
      </w:tr>
      <w:tr w14:paraId="20B0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424C8E84">
            <w:pPr>
              <w:spacing w:line="340" w:lineRule="exact"/>
              <w:rPr>
                <w:rFonts w:hint="eastAsia" w:ascii="宋体" w:hAnsi="宋体" w:cs="宋体"/>
                <w:color w:val="auto"/>
                <w:szCs w:val="21"/>
              </w:rPr>
            </w:pPr>
            <w:r>
              <w:rPr>
                <w:rFonts w:hint="eastAsia" w:ascii="宋体" w:hAnsi="宋体" w:cs="宋体"/>
                <w:color w:val="auto"/>
                <w:szCs w:val="21"/>
              </w:rPr>
              <w:t>二</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3E6FBCA7">
            <w:pPr>
              <w:spacing w:line="340" w:lineRule="exact"/>
              <w:rPr>
                <w:rFonts w:hint="eastAsia" w:ascii="宋体" w:hAnsi="宋体" w:cs="宋体"/>
                <w:color w:val="auto"/>
                <w:szCs w:val="21"/>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3461E441">
            <w:pPr>
              <w:spacing w:line="340" w:lineRule="exact"/>
              <w:rPr>
                <w:rFonts w:hint="eastAsia" w:ascii="宋体" w:hAnsi="宋体" w:cs="宋体"/>
                <w:color w:val="auto"/>
                <w:szCs w:val="21"/>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35D96DDA">
            <w:pPr>
              <w:spacing w:line="300" w:lineRule="exact"/>
              <w:rPr>
                <w:rFonts w:hint="eastAsia" w:ascii="宋体" w:hAnsi="宋体" w:cs="宋体"/>
                <w:color w:val="auto"/>
                <w:szCs w:val="21"/>
              </w:rPr>
            </w:pPr>
          </w:p>
        </w:tc>
      </w:tr>
      <w:tr w14:paraId="0506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26B1ACFE">
            <w:pPr>
              <w:spacing w:line="340" w:lineRule="exact"/>
              <w:rPr>
                <w:rFonts w:hint="eastAsia" w:ascii="宋体" w:hAnsi="宋体" w:cs="宋体"/>
                <w:color w:val="auto"/>
                <w:szCs w:val="21"/>
              </w:rPr>
            </w:pPr>
            <w:r>
              <w:rPr>
                <w:rFonts w:hint="eastAsia" w:ascii="宋体" w:hAnsi="宋体" w:cs="宋体"/>
                <w:color w:val="auto"/>
                <w:szCs w:val="21"/>
              </w:rPr>
              <w:t>...</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4801775A">
            <w:pPr>
              <w:spacing w:line="340" w:lineRule="exact"/>
              <w:rPr>
                <w:rFonts w:hint="eastAsia" w:ascii="宋体" w:hAnsi="宋体" w:cs="宋体"/>
                <w:color w:val="auto"/>
                <w:szCs w:val="21"/>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0F91946C">
            <w:pPr>
              <w:spacing w:line="340" w:lineRule="exact"/>
              <w:rPr>
                <w:rFonts w:hint="eastAsia" w:ascii="宋体" w:hAnsi="宋体" w:cs="宋体"/>
                <w:color w:val="auto"/>
                <w:szCs w:val="21"/>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0FB82E07">
            <w:pPr>
              <w:spacing w:line="300" w:lineRule="exact"/>
              <w:rPr>
                <w:rFonts w:hint="eastAsia" w:ascii="宋体" w:hAnsi="宋体" w:cs="宋体"/>
                <w:color w:val="auto"/>
                <w:szCs w:val="21"/>
              </w:rPr>
            </w:pPr>
          </w:p>
        </w:tc>
      </w:tr>
    </w:tbl>
    <w:p w14:paraId="274CF54C">
      <w:pPr>
        <w:pStyle w:val="14"/>
        <w:spacing w:line="360" w:lineRule="auto"/>
        <w:ind w:left="-708" w:leftChars="-337"/>
        <w:rPr>
          <w:rFonts w:hint="eastAsia" w:ascii="Times New Roman" w:hAnsi="Times New Roman" w:eastAsia="宋体" w:cs="Times New Roman"/>
          <w:color w:val="auto"/>
          <w:highlight w:val="none"/>
        </w:rPr>
      </w:pPr>
    </w:p>
    <w:p w14:paraId="2F5D4131">
      <w:pPr>
        <w:pStyle w:val="14"/>
        <w:spacing w:line="360" w:lineRule="auto"/>
        <w:ind w:left="0" w:leftChars="0"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p>
    <w:p w14:paraId="18AFF571">
      <w:pPr>
        <w:pStyle w:val="14"/>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1.表格内容均需按要求填写并加盖投标人公章。</w:t>
      </w:r>
    </w:p>
    <w:p w14:paraId="687FFF1A">
      <w:pPr>
        <w:pStyle w:val="14"/>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2.请逐条对应本项目招标文件</w:t>
      </w:r>
      <w:r>
        <w:rPr>
          <w:rFonts w:hint="eastAsia" w:ascii="宋体" w:hAnsi="宋体" w:cs="宋体"/>
          <w:color w:val="auto"/>
        </w:rPr>
        <w:t>“第二章</w:t>
      </w:r>
      <w:r>
        <w:rPr>
          <w:rFonts w:hint="eastAsia" w:ascii="宋体" w:hAnsi="宋体" w:cs="宋体"/>
          <w:color w:val="auto"/>
          <w:lang w:val="en-US" w:eastAsia="zh-CN"/>
        </w:rPr>
        <w:t xml:space="preserve">  </w:t>
      </w:r>
      <w:r>
        <w:rPr>
          <w:rFonts w:hint="eastAsia" w:ascii="宋体" w:hAnsi="宋体" w:cs="宋体"/>
          <w:b/>
          <w:color w:val="auto"/>
          <w:sz w:val="21"/>
          <w:szCs w:val="21"/>
        </w:rPr>
        <w:t>采购需求</w:t>
      </w:r>
      <w:r>
        <w:rPr>
          <w:rFonts w:hint="eastAsia" w:ascii="宋体" w:hAnsi="宋体" w:cs="宋体"/>
          <w:color w:val="auto"/>
        </w:rPr>
        <w:t>”</w:t>
      </w:r>
      <w:r>
        <w:rPr>
          <w:rFonts w:hint="eastAsia" w:ascii="宋体" w:hAnsi="宋体" w:eastAsia="宋体" w:cs="宋体"/>
          <w:color w:val="auto"/>
          <w:highlight w:val="none"/>
        </w:rPr>
        <w:t>中“商务条款”的要求，详细填写相应的具体内容。“偏离说明”一栏应当选择“正偏离”</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“负偏离”或“无偏离”进行填写。</w:t>
      </w:r>
    </w:p>
    <w:p w14:paraId="2830B038">
      <w:pPr>
        <w:pStyle w:val="14"/>
        <w:spacing w:line="360" w:lineRule="auto"/>
        <w:ind w:left="-603" w:leftChars="-287"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w:t>
      </w:r>
    </w:p>
    <w:p w14:paraId="75A52A61">
      <w:pPr>
        <w:pStyle w:val="14"/>
        <w:spacing w:line="360" w:lineRule="auto"/>
        <w:ind w:left="-708" w:leftChars="-337" w:firstLine="1050" w:firstLineChars="500"/>
        <w:rPr>
          <w:rFonts w:hint="eastAsia" w:ascii="宋体" w:hAnsi="宋体" w:eastAsia="宋体" w:cs="宋体"/>
          <w:color w:val="auto"/>
          <w:szCs w:val="21"/>
          <w:highlight w:val="none"/>
        </w:rPr>
      </w:pPr>
    </w:p>
    <w:p w14:paraId="3D9BF6C4">
      <w:pPr>
        <w:snapToGrid w:val="0"/>
        <w:spacing w:before="50" w:after="50"/>
        <w:rPr>
          <w:rFonts w:ascii="宋体" w:hAnsi="宋体" w:eastAsia="宋体" w:cs="Times New Roman"/>
          <w:color w:val="auto"/>
          <w:sz w:val="24"/>
          <w:highlight w:val="none"/>
        </w:rPr>
      </w:pPr>
    </w:p>
    <w:p w14:paraId="01473A0A">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77D3D08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EAD0118">
      <w:pPr>
        <w:rPr>
          <w:rFonts w:hint="eastAsia"/>
          <w:color w:val="auto"/>
        </w:rPr>
      </w:pPr>
    </w:p>
    <w:p w14:paraId="489B3311">
      <w:pPr>
        <w:widowControl/>
        <w:jc w:val="left"/>
        <w:rPr>
          <w:b/>
          <w:bCs/>
          <w:color w:val="auto"/>
          <w:sz w:val="30"/>
          <w:szCs w:val="30"/>
          <w:highlight w:val="none"/>
        </w:rPr>
        <w:sectPr>
          <w:pgSz w:w="11905" w:h="16838"/>
          <w:pgMar w:top="1134" w:right="1134" w:bottom="1134" w:left="1134" w:header="850" w:footer="850" w:gutter="0"/>
          <w:pgNumType w:fmt="decimal"/>
          <w:cols w:space="0" w:num="1"/>
          <w:titlePg/>
          <w:rtlGutter w:val="0"/>
          <w:docGrid w:linePitch="331" w:charSpace="0"/>
        </w:sectPr>
      </w:pPr>
    </w:p>
    <w:p w14:paraId="7350A4E1">
      <w:pPr>
        <w:pStyle w:val="14"/>
        <w:jc w:val="center"/>
        <w:outlineLvl w:val="1"/>
        <w:rPr>
          <w:rFonts w:hint="eastAsia" w:hAnsi="宋体" w:eastAsia="宋体" w:cs="Times New Roman"/>
          <w:b/>
          <w:bCs/>
          <w:color w:val="auto"/>
          <w:sz w:val="28"/>
          <w:szCs w:val="28"/>
          <w:highlight w:val="none"/>
        </w:rPr>
      </w:pPr>
      <w:bookmarkStart w:id="378" w:name="_Toc10197"/>
      <w:bookmarkStart w:id="379" w:name="_Toc1161"/>
      <w:bookmarkStart w:id="380" w:name="_Toc24098"/>
      <w:bookmarkStart w:id="381" w:name="_Toc27757"/>
      <w:bookmarkStart w:id="382" w:name="_Toc10435"/>
      <w:bookmarkStart w:id="383" w:name="_Toc23685"/>
      <w:bookmarkStart w:id="384" w:name="_Toc8889"/>
      <w:bookmarkStart w:id="385" w:name="_Toc585"/>
      <w:bookmarkStart w:id="386" w:name="_Toc17437"/>
      <w:bookmarkStart w:id="387" w:name="_Toc19686839"/>
      <w:bookmarkStart w:id="388" w:name="_Toc24407"/>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三</w:t>
      </w:r>
      <w:r>
        <w:rPr>
          <w:rFonts w:hint="eastAsia" w:hAnsi="宋体" w:eastAsia="宋体" w:cs="Times New Roman"/>
          <w:b/>
          <w:bCs/>
          <w:color w:val="auto"/>
          <w:sz w:val="28"/>
          <w:szCs w:val="28"/>
          <w:highlight w:val="none"/>
        </w:rPr>
        <w:t>节 技术文件格式</w:t>
      </w:r>
      <w:bookmarkEnd w:id="378"/>
      <w:bookmarkEnd w:id="379"/>
      <w:bookmarkEnd w:id="380"/>
      <w:bookmarkEnd w:id="381"/>
      <w:bookmarkEnd w:id="382"/>
      <w:bookmarkEnd w:id="383"/>
      <w:bookmarkEnd w:id="384"/>
      <w:bookmarkEnd w:id="385"/>
      <w:bookmarkEnd w:id="386"/>
      <w:bookmarkEnd w:id="387"/>
      <w:bookmarkEnd w:id="388"/>
    </w:p>
    <w:p w14:paraId="7895E055">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303937C8">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宋体"/>
          <w:b/>
          <w:color w:val="auto"/>
          <w:sz w:val="28"/>
          <w:szCs w:val="28"/>
          <w:highlight w:val="none"/>
        </w:rPr>
        <w:t>1. 技术文件封面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格式（参照此格式自拟）：</w:t>
      </w:r>
    </w:p>
    <w:p w14:paraId="54A4F7D0">
      <w:pPr>
        <w:snapToGrid w:val="0"/>
        <w:spacing w:before="165" w:beforeLines="50" w:after="50"/>
        <w:ind w:firstLine="1200" w:firstLineChars="5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413DA22A">
      <w:pPr>
        <w:snapToGrid w:val="0"/>
        <w:spacing w:before="165" w:beforeLines="50" w:after="50"/>
        <w:rPr>
          <w:rFonts w:hint="eastAsia" w:ascii="宋体" w:hAnsi="宋体" w:eastAsia="宋体" w:cs="Times New Roman"/>
          <w:color w:val="auto"/>
          <w:sz w:val="24"/>
          <w:szCs w:val="20"/>
          <w:highlight w:val="none"/>
        </w:rPr>
      </w:pPr>
    </w:p>
    <w:p w14:paraId="4C911636">
      <w:pPr>
        <w:snapToGrid w:val="0"/>
        <w:spacing w:before="165" w:beforeLines="50" w:after="50"/>
        <w:jc w:val="center"/>
        <w:rPr>
          <w:rFonts w:hint="eastAsia" w:ascii="宋体" w:hAnsi="宋体" w:eastAsia="宋体" w:cs="Times New Roman"/>
          <w:b/>
          <w:bCs/>
          <w:color w:val="auto"/>
          <w:sz w:val="32"/>
          <w:szCs w:val="32"/>
          <w:highlight w:val="none"/>
        </w:rPr>
      </w:pPr>
    </w:p>
    <w:p w14:paraId="2BF54193">
      <w:pPr>
        <w:snapToGrid w:val="0"/>
        <w:spacing w:before="165" w:beforeLines="50" w:after="50"/>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技术文件</w:t>
      </w:r>
    </w:p>
    <w:p w14:paraId="4D325590">
      <w:pPr>
        <w:snapToGrid w:val="0"/>
        <w:spacing w:before="165" w:beforeLines="50" w:after="50"/>
        <w:rPr>
          <w:rFonts w:hint="eastAsia" w:ascii="宋体" w:hAnsi="宋体" w:eastAsia="宋体" w:cs="Times New Roman"/>
          <w:bCs/>
          <w:color w:val="auto"/>
          <w:sz w:val="24"/>
          <w:szCs w:val="20"/>
          <w:highlight w:val="none"/>
        </w:rPr>
      </w:pPr>
    </w:p>
    <w:p w14:paraId="61EF9DF1">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项目名称： </w:t>
      </w:r>
    </w:p>
    <w:p w14:paraId="761C3CAE">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项目编号： </w:t>
      </w:r>
    </w:p>
    <w:p w14:paraId="238DBF34">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21A9C39F">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1F7F038A">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1511AA44">
      <w:pPr>
        <w:snapToGrid w:val="0"/>
        <w:spacing w:before="165" w:beforeLines="50" w:after="50"/>
        <w:ind w:firstLine="645"/>
        <w:jc w:val="center"/>
        <w:rPr>
          <w:rFonts w:hint="eastAsia" w:ascii="宋体" w:hAnsi="宋体" w:eastAsia="宋体" w:cs="Times New Roman"/>
          <w:color w:val="auto"/>
          <w:sz w:val="24"/>
          <w:highlight w:val="none"/>
        </w:rPr>
      </w:pPr>
    </w:p>
    <w:p w14:paraId="05E60545">
      <w:pPr>
        <w:snapToGrid w:val="0"/>
        <w:spacing w:before="165" w:beforeLines="50" w:after="50"/>
        <w:ind w:firstLine="645"/>
        <w:jc w:val="center"/>
        <w:rPr>
          <w:rFonts w:hint="eastAsia" w:ascii="宋体" w:hAnsi="宋体" w:eastAsia="宋体" w:cs="Times New Roman"/>
          <w:color w:val="auto"/>
          <w:sz w:val="24"/>
          <w:highlight w:val="none"/>
        </w:rPr>
      </w:pPr>
    </w:p>
    <w:p w14:paraId="0F656BC7">
      <w:pPr>
        <w:snapToGrid w:val="0"/>
        <w:spacing w:before="165" w:beforeLines="50" w:after="50"/>
        <w:ind w:firstLine="645"/>
        <w:jc w:val="center"/>
        <w:rPr>
          <w:rFonts w:hint="eastAsia" w:ascii="宋体" w:hAnsi="宋体" w:eastAsia="宋体" w:cs="Times New Roman"/>
          <w:color w:val="auto"/>
          <w:sz w:val="24"/>
          <w:highlight w:val="none"/>
        </w:rPr>
      </w:pPr>
    </w:p>
    <w:p w14:paraId="56D2CFCE">
      <w:pPr>
        <w:snapToGrid w:val="0"/>
        <w:spacing w:before="165" w:beforeLines="50" w:after="50"/>
        <w:ind w:firstLine="645"/>
        <w:jc w:val="center"/>
        <w:rPr>
          <w:rFonts w:hint="eastAsia" w:ascii="宋体" w:hAnsi="宋体" w:eastAsia="宋体" w:cs="Times New Roman"/>
          <w:color w:val="auto"/>
          <w:sz w:val="24"/>
          <w:highlight w:val="none"/>
        </w:rPr>
      </w:pPr>
    </w:p>
    <w:p w14:paraId="20D42DA1">
      <w:pPr>
        <w:snapToGrid w:val="0"/>
        <w:spacing w:before="165" w:beforeLines="50" w:after="50"/>
        <w:ind w:firstLine="645"/>
        <w:jc w:val="center"/>
        <w:rPr>
          <w:rFonts w:hint="eastAsia" w:ascii="宋体" w:hAnsi="宋体" w:eastAsia="宋体" w:cs="Times New Roman"/>
          <w:color w:val="auto"/>
          <w:sz w:val="24"/>
          <w:highlight w:val="none"/>
        </w:rPr>
      </w:pPr>
    </w:p>
    <w:p w14:paraId="3B4F29B4">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396BF02E">
      <w:pPr>
        <w:snapToGrid w:val="0"/>
        <w:spacing w:before="165" w:beforeLines="50" w:after="50"/>
        <w:ind w:firstLine="645"/>
        <w:jc w:val="center"/>
        <w:rPr>
          <w:rFonts w:hint="eastAsia" w:ascii="宋体" w:hAnsi="宋体" w:eastAsia="宋体" w:cs="Times New Roman"/>
          <w:color w:val="auto"/>
          <w:sz w:val="24"/>
          <w:szCs w:val="20"/>
          <w:highlight w:val="none"/>
        </w:rPr>
      </w:pPr>
    </w:p>
    <w:p w14:paraId="4558050A">
      <w:pPr>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br w:type="page"/>
      </w:r>
    </w:p>
    <w:p w14:paraId="21DC9D20">
      <w:pPr>
        <w:numPr>
          <w:ilvl w:val="0"/>
          <w:numId w:val="5"/>
        </w:numPr>
        <w:snapToGrid w:val="0"/>
        <w:spacing w:before="120" w:beforeLines="50" w:after="50"/>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技术文件目录</w:t>
      </w:r>
    </w:p>
    <w:p w14:paraId="5EA8DE1C">
      <w:pPr>
        <w:snapToGrid w:val="0"/>
        <w:spacing w:before="120" w:beforeLines="50" w:after="50"/>
        <w:ind w:left="142" w:leftChars="0" w:firstLine="0" w:firstLineChars="0"/>
        <w:jc w:val="left"/>
        <w:rPr>
          <w:rFonts w:hint="eastAsia" w:ascii="宋体" w:hAnsi="宋体" w:eastAsia="宋体" w:cs="Times New Roman"/>
          <w:b/>
          <w:color w:val="auto"/>
          <w:sz w:val="24"/>
          <w:highlight w:val="none"/>
        </w:rPr>
      </w:pPr>
      <w:r>
        <w:rPr>
          <w:rFonts w:hint="eastAsia" w:ascii="宋体" w:hAnsi="宋体" w:eastAsia="宋体" w:cs="宋体"/>
          <w:color w:val="auto"/>
          <w:kern w:val="0"/>
          <w:sz w:val="24"/>
        </w:rPr>
        <w:t>根据招标文件规定及投标人提供的材料自行编写目录（部分格式后附）。</w:t>
      </w:r>
    </w:p>
    <w:p w14:paraId="34DD9389">
      <w:pPr>
        <w:snapToGrid w:val="0"/>
        <w:spacing w:before="165" w:beforeLines="50" w:after="50"/>
        <w:ind w:left="0" w:leftChars="0" w:firstLine="0" w:firstLineChars="0"/>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 xml:space="preserve"> </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服务要求偏离表</w:t>
      </w:r>
      <w:r>
        <w:rPr>
          <w:rFonts w:hint="eastAsia"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color w:val="auto"/>
          <w:sz w:val="28"/>
          <w:szCs w:val="28"/>
          <w:highlight w:val="none"/>
          <w:lang w:eastAsia="zh-CN"/>
        </w:rPr>
        <w:t>：</w:t>
      </w:r>
    </w:p>
    <w:p w14:paraId="538BA312">
      <w:pPr>
        <w:pStyle w:val="14"/>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服务</w:t>
      </w:r>
      <w:r>
        <w:rPr>
          <w:rFonts w:hint="eastAsia" w:ascii="Times New Roman" w:hAnsi="Times New Roman" w:cs="Times New Roman"/>
          <w:b/>
          <w:bCs/>
          <w:color w:val="auto"/>
          <w:sz w:val="30"/>
          <w:szCs w:val="30"/>
          <w:highlight w:val="none"/>
          <w:lang w:eastAsia="zh-CN"/>
        </w:rPr>
        <w:t>要求</w:t>
      </w:r>
      <w:r>
        <w:rPr>
          <w:rFonts w:hint="eastAsia" w:ascii="Times New Roman" w:hAnsi="Times New Roman" w:eastAsia="宋体" w:cs="Times New Roman"/>
          <w:b/>
          <w:bCs/>
          <w:color w:val="auto"/>
          <w:sz w:val="30"/>
          <w:szCs w:val="30"/>
          <w:highlight w:val="none"/>
        </w:rPr>
        <w:t>偏离表</w:t>
      </w:r>
    </w:p>
    <w:p w14:paraId="52B978D9">
      <w:pPr>
        <w:pStyle w:val="14"/>
        <w:spacing w:line="440" w:lineRule="exact"/>
        <w:ind w:firstLine="420" w:firstLineChars="200"/>
        <w:rPr>
          <w:rFonts w:eastAsia="宋体" w:cs="Times New Roman"/>
          <w:color w:val="auto"/>
          <w:highlight w:val="none"/>
        </w:rPr>
      </w:pPr>
    </w:p>
    <w:p w14:paraId="6AEBA352">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083A644E">
      <w:pPr>
        <w:pStyle w:val="14"/>
        <w:spacing w:line="600" w:lineRule="exact"/>
        <w:ind w:firstLine="0" w:firstLineChars="0"/>
        <w:rPr>
          <w:rFonts w:hint="eastAsia" w:hAnsi="宋体" w:cs="宋体"/>
          <w:color w:val="auto"/>
          <w:sz w:val="24"/>
          <w:highlight w:val="none"/>
          <w:u w:val="single"/>
        </w:rPr>
      </w:pPr>
      <w:r>
        <w:rPr>
          <w:rFonts w:hint="eastAsia" w:hAnsi="宋体" w:cs="宋体"/>
          <w:color w:val="auto"/>
          <w:sz w:val="24"/>
          <w:highlight w:val="none"/>
        </w:rPr>
        <w:t>项目</w:t>
      </w:r>
      <w:r>
        <w:rPr>
          <w:rFonts w:hint="eastAsia" w:ascii="宋体" w:hAnsi="宋体" w:cs="宋体"/>
          <w:color w:val="auto"/>
          <w:sz w:val="24"/>
          <w:highlight w:val="none"/>
        </w:rPr>
        <w:t>编号</w:t>
      </w:r>
      <w:r>
        <w:rPr>
          <w:rFonts w:hint="eastAsia" w:hAnsi="宋体" w:cs="宋体"/>
          <w:color w:val="auto"/>
          <w:sz w:val="24"/>
          <w:highlight w:val="none"/>
        </w:rPr>
        <w:t>：</w:t>
      </w:r>
      <w:r>
        <w:rPr>
          <w:rFonts w:hint="eastAsia" w:hAnsi="宋体" w:cs="宋体"/>
          <w:color w:val="auto"/>
          <w:sz w:val="24"/>
          <w:highlight w:val="none"/>
          <w:u w:val="single"/>
        </w:rPr>
        <w:t xml:space="preserve">                 </w:t>
      </w:r>
    </w:p>
    <w:p w14:paraId="14186B58">
      <w:pPr>
        <w:pStyle w:val="9"/>
        <w:rPr>
          <w:rFonts w:hint="eastAsia"/>
          <w:color w:val="auto"/>
        </w:rPr>
      </w:pPr>
    </w:p>
    <w:p w14:paraId="19341BE4">
      <w:pPr>
        <w:pStyle w:val="9"/>
        <w:ind w:left="0" w:firstLine="0" w:firstLineChars="0"/>
        <w:rPr>
          <w:rFonts w:hint="eastAsia" w:ascii="宋体" w:hAnsi="宋体" w:cs="宋体"/>
          <w:color w:val="auto"/>
          <w:sz w:val="24"/>
          <w:highlight w:val="none"/>
          <w:u w:val="single"/>
        </w:rPr>
      </w:pPr>
      <w:r>
        <w:rPr>
          <w:rFonts w:hint="eastAsia" w:hAnsi="宋体" w:cs="宋体"/>
          <w:color w:val="auto"/>
          <w:sz w:val="24"/>
          <w:szCs w:val="20"/>
          <w:highlight w:val="none"/>
          <w:lang w:eastAsia="zh-CN"/>
        </w:rPr>
        <w:t>所投</w:t>
      </w:r>
      <w:r>
        <w:rPr>
          <w:rFonts w:hint="eastAsia" w:ascii="宋体" w:hAnsi="宋体" w:cs="宋体"/>
          <w:color w:val="auto"/>
          <w:sz w:val="24"/>
          <w:szCs w:val="20"/>
          <w:highlight w:val="none"/>
        </w:rPr>
        <w:t>分标</w:t>
      </w:r>
      <w:r>
        <w:rPr>
          <w:rFonts w:hint="eastAsia" w:ascii="宋体" w:hAnsi="宋体" w:cs="宋体"/>
          <w:color w:val="auto"/>
          <w:sz w:val="21"/>
          <w:szCs w:val="21"/>
        </w:rPr>
        <w:t>（此处有分标时填写具体分标号，无分标时填写“无”）</w:t>
      </w:r>
      <w:r>
        <w:rPr>
          <w:rFonts w:hint="eastAsia" w:ascii="宋体" w:hAnsi="宋体" w:cs="宋体"/>
          <w:color w:val="auto"/>
          <w:sz w:val="24"/>
          <w:szCs w:val="24"/>
          <w:lang w:eastAsia="zh-CN"/>
        </w:rPr>
        <w:t>：</w:t>
      </w:r>
      <w:r>
        <w:rPr>
          <w:rFonts w:hint="eastAsia" w:ascii="宋体" w:hAnsi="宋体" w:cs="宋体"/>
          <w:color w:val="auto"/>
          <w:sz w:val="24"/>
          <w:highlight w:val="none"/>
          <w:u w:val="single"/>
        </w:rPr>
        <w:t xml:space="preserve">           </w:t>
      </w:r>
    </w:p>
    <w:p w14:paraId="3C66DCA8">
      <w:pPr>
        <w:rPr>
          <w:rFonts w:hint="eastAsia"/>
          <w:color w:val="auto"/>
        </w:rPr>
      </w:pPr>
    </w:p>
    <w:tbl>
      <w:tblPr>
        <w:tblStyle w:val="21"/>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6513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10D28FB0">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1262" w:type="dxa"/>
            <w:tcBorders>
              <w:top w:val="single" w:color="auto" w:sz="4" w:space="0"/>
              <w:left w:val="single" w:color="auto" w:sz="4" w:space="0"/>
              <w:right w:val="single" w:color="auto" w:sz="4" w:space="0"/>
            </w:tcBorders>
            <w:noWrap w:val="0"/>
            <w:vAlign w:val="center"/>
          </w:tcPr>
          <w:p w14:paraId="7B46A043">
            <w:pPr>
              <w:jc w:val="cente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标的</w:t>
            </w:r>
            <w:r>
              <w:rPr>
                <w:rFonts w:hint="eastAsia" w:ascii="宋体" w:hAnsi="宋体" w:eastAsia="宋体" w:cs="Times New Roman"/>
                <w:color w:val="auto"/>
                <w:szCs w:val="21"/>
                <w:highlight w:val="none"/>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46962FA">
            <w:pPr>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宋体" w:hAnsi="宋体" w:eastAsia="宋体" w:cs="Times New Roman"/>
                <w:color w:val="auto"/>
                <w:szCs w:val="21"/>
                <w:highlight w:val="none"/>
              </w:rPr>
              <w:t>服务</w:t>
            </w:r>
            <w:r>
              <w:rPr>
                <w:rFonts w:hint="eastAsia" w:ascii="宋体" w:hAnsi="宋体" w:cs="Times New Roman"/>
                <w:color w:val="auto"/>
                <w:szCs w:val="21"/>
                <w:highlight w:val="none"/>
                <w:lang w:eastAsia="zh-CN"/>
              </w:rPr>
              <w:t>内容</w:t>
            </w:r>
          </w:p>
        </w:tc>
        <w:tc>
          <w:tcPr>
            <w:tcW w:w="3477" w:type="dxa"/>
            <w:tcBorders>
              <w:top w:val="single" w:color="auto" w:sz="4" w:space="0"/>
              <w:left w:val="single" w:color="auto" w:sz="4" w:space="0"/>
              <w:right w:val="single" w:color="auto" w:sz="4" w:space="0"/>
            </w:tcBorders>
            <w:noWrap w:val="0"/>
            <w:vAlign w:val="center"/>
          </w:tcPr>
          <w:p w14:paraId="6E1314E0">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文件</w:t>
            </w:r>
            <w:r>
              <w:rPr>
                <w:rFonts w:hint="eastAsia" w:ascii="宋体" w:hAnsi="宋体" w:cs="Times New Roman"/>
                <w:color w:val="auto"/>
                <w:szCs w:val="21"/>
                <w:highlight w:val="none"/>
                <w:lang w:val="en-US" w:eastAsia="zh-CN"/>
              </w:rPr>
              <w:t>响应的</w:t>
            </w:r>
            <w:r>
              <w:rPr>
                <w:rFonts w:hint="eastAsia" w:ascii="宋体" w:hAnsi="宋体" w:cs="Times New Roman"/>
                <w:color w:val="auto"/>
                <w:szCs w:val="21"/>
                <w:highlight w:val="none"/>
                <w:lang w:eastAsia="zh-CN"/>
              </w:rPr>
              <w:t>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5FDE55D">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14:paraId="7570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17EF9D58">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5D0AE1C">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4E59F13A">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0DC98F56">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B15F43D">
            <w:pPr>
              <w:rPr>
                <w:rFonts w:hint="eastAsia" w:ascii="宋体" w:hAnsi="宋体" w:eastAsia="宋体" w:cs="Times New Roman"/>
                <w:color w:val="auto"/>
                <w:szCs w:val="21"/>
                <w:highlight w:val="none"/>
              </w:rPr>
            </w:pPr>
          </w:p>
        </w:tc>
      </w:tr>
      <w:tr w14:paraId="116E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62933B13">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58E0239">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0AAFE04">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0727262C">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AAA5559">
            <w:pPr>
              <w:rPr>
                <w:rFonts w:hint="eastAsia" w:ascii="宋体" w:hAnsi="宋体" w:eastAsia="宋体" w:cs="Times New Roman"/>
                <w:color w:val="auto"/>
                <w:szCs w:val="21"/>
                <w:highlight w:val="none"/>
              </w:rPr>
            </w:pPr>
          </w:p>
        </w:tc>
      </w:tr>
      <w:tr w14:paraId="1A65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08ABEC53">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66DABAD">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754606F">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5333FB44">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B86E6A9">
            <w:pPr>
              <w:rPr>
                <w:rFonts w:hint="eastAsia" w:ascii="宋体" w:hAnsi="宋体" w:eastAsia="宋体" w:cs="Times New Roman"/>
                <w:color w:val="auto"/>
                <w:szCs w:val="21"/>
                <w:highlight w:val="none"/>
              </w:rPr>
            </w:pPr>
          </w:p>
        </w:tc>
      </w:tr>
    </w:tbl>
    <w:p w14:paraId="7177A52B">
      <w:pPr>
        <w:pStyle w:val="14"/>
        <w:spacing w:line="360" w:lineRule="auto"/>
        <w:ind w:firstLine="0" w:firstLineChars="0"/>
        <w:rPr>
          <w:rFonts w:hint="eastAsia" w:hAnsi="宋体" w:cs="宋体"/>
          <w:color w:val="auto"/>
          <w:szCs w:val="21"/>
        </w:rPr>
      </w:pPr>
    </w:p>
    <w:p w14:paraId="3EE868B8">
      <w:pPr>
        <w:pStyle w:val="14"/>
        <w:spacing w:line="360" w:lineRule="auto"/>
        <w:ind w:firstLine="420" w:firstLineChars="200"/>
        <w:rPr>
          <w:rFonts w:hint="eastAsia" w:hAnsi="宋体" w:cs="宋体"/>
          <w:color w:val="auto"/>
          <w:szCs w:val="21"/>
        </w:rPr>
      </w:pPr>
      <w:r>
        <w:rPr>
          <w:rFonts w:hint="eastAsia" w:hAnsi="宋体" w:cs="宋体"/>
          <w:color w:val="auto"/>
          <w:szCs w:val="21"/>
        </w:rPr>
        <w:t>注：</w:t>
      </w:r>
    </w:p>
    <w:p w14:paraId="33D3370B">
      <w:pPr>
        <w:pStyle w:val="14"/>
        <w:spacing w:line="360" w:lineRule="auto"/>
        <w:ind w:firstLine="420" w:firstLineChars="200"/>
        <w:rPr>
          <w:rFonts w:hint="eastAsia" w:hAnsi="宋体" w:cs="宋体"/>
          <w:color w:val="auto"/>
          <w:szCs w:val="21"/>
        </w:rPr>
      </w:pPr>
      <w:r>
        <w:rPr>
          <w:rFonts w:hint="eastAsia" w:hAnsi="宋体" w:cs="宋体"/>
          <w:color w:val="auto"/>
          <w:szCs w:val="21"/>
        </w:rPr>
        <w:t>1.表格内容均需按要求填写并</w:t>
      </w:r>
      <w:r>
        <w:rPr>
          <w:rFonts w:hint="eastAsia" w:hAnsi="宋体" w:cs="宋体"/>
          <w:color w:val="auto"/>
          <w:szCs w:val="21"/>
          <w:lang w:eastAsia="zh-CN"/>
        </w:rPr>
        <w:t>加</w:t>
      </w:r>
      <w:r>
        <w:rPr>
          <w:rFonts w:hint="eastAsia" w:hAnsi="宋体" w:cs="宋体"/>
          <w:color w:val="auto"/>
          <w:szCs w:val="21"/>
        </w:rPr>
        <w:t>盖</w:t>
      </w:r>
      <w:r>
        <w:rPr>
          <w:rFonts w:hint="eastAsia" w:hAnsi="宋体" w:cs="宋体"/>
          <w:color w:val="auto"/>
          <w:szCs w:val="21"/>
          <w:lang w:eastAsia="zh-CN"/>
        </w:rPr>
        <w:t>投标人公</w:t>
      </w:r>
      <w:r>
        <w:rPr>
          <w:rFonts w:hint="eastAsia" w:hAnsi="宋体" w:cs="宋体"/>
          <w:color w:val="auto"/>
          <w:szCs w:val="21"/>
        </w:rPr>
        <w:t>章。</w:t>
      </w:r>
    </w:p>
    <w:p w14:paraId="18218E32">
      <w:pPr>
        <w:pStyle w:val="14"/>
        <w:spacing w:line="360" w:lineRule="auto"/>
        <w:ind w:firstLine="420" w:firstLineChars="200"/>
        <w:rPr>
          <w:rFonts w:hint="eastAsia" w:ascii="宋体" w:hAnsi="宋体" w:eastAsia="宋体" w:cs="宋体"/>
          <w:bCs w:val="0"/>
          <w:color w:val="auto"/>
          <w:szCs w:val="21"/>
        </w:rPr>
      </w:pPr>
      <w:r>
        <w:rPr>
          <w:rFonts w:hint="eastAsia" w:hAnsi="宋体" w:cs="宋体"/>
          <w:bCs/>
          <w:color w:val="auto"/>
          <w:szCs w:val="21"/>
        </w:rPr>
        <w:t>2.</w:t>
      </w:r>
      <w:r>
        <w:rPr>
          <w:rFonts w:hint="eastAsia" w:ascii="宋体" w:hAnsi="宋体" w:eastAsia="宋体" w:cs="宋体"/>
          <w:color w:val="auto"/>
          <w:sz w:val="21"/>
          <w:szCs w:val="21"/>
        </w:rPr>
        <w:t>请根据所投</w:t>
      </w:r>
      <w:r>
        <w:rPr>
          <w:rFonts w:hint="eastAsia" w:hAnsi="宋体" w:cs="宋体"/>
          <w:color w:val="auto"/>
          <w:sz w:val="21"/>
          <w:szCs w:val="21"/>
          <w:lang w:eastAsia="zh-CN"/>
        </w:rPr>
        <w:t>服务内容</w:t>
      </w:r>
      <w:r>
        <w:rPr>
          <w:rFonts w:hint="eastAsia" w:ascii="宋体" w:hAnsi="宋体" w:eastAsia="宋体" w:cs="宋体"/>
          <w:color w:val="auto"/>
          <w:sz w:val="21"/>
          <w:szCs w:val="21"/>
        </w:rPr>
        <w:t>，</w:t>
      </w:r>
      <w:r>
        <w:rPr>
          <w:rFonts w:hint="eastAsia" w:ascii="宋体" w:hAnsi="宋体" w:eastAsia="宋体" w:cs="宋体"/>
          <w:b w:val="0"/>
          <w:color w:val="auto"/>
          <w:sz w:val="21"/>
          <w:szCs w:val="21"/>
        </w:rPr>
        <w:t>逐条对应</w:t>
      </w:r>
      <w:r>
        <w:rPr>
          <w:rFonts w:hint="eastAsia" w:ascii="宋体" w:hAnsi="宋体" w:eastAsia="宋体" w:cs="宋体"/>
          <w:color w:val="auto"/>
          <w:sz w:val="21"/>
          <w:szCs w:val="21"/>
        </w:rPr>
        <w:t>本项目招标文件“第二章</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采购需求</w:t>
      </w:r>
      <w:r>
        <w:rPr>
          <w:rFonts w:hint="eastAsia" w:ascii="宋体" w:hAnsi="宋体" w:eastAsia="宋体" w:cs="宋体"/>
          <w:color w:val="auto"/>
          <w:sz w:val="21"/>
          <w:szCs w:val="21"/>
        </w:rPr>
        <w:t>”中</w:t>
      </w:r>
      <w:r>
        <w:rPr>
          <w:rFonts w:hint="eastAsia" w:ascii="宋体" w:hAnsi="宋体" w:eastAsia="宋体" w:cs="宋体"/>
          <w:color w:val="auto"/>
          <w:sz w:val="21"/>
          <w:szCs w:val="21"/>
          <w:lang w:eastAsia="zh-CN"/>
        </w:rPr>
        <w:t>“</w:t>
      </w:r>
      <w:r>
        <w:rPr>
          <w:rFonts w:hint="eastAsia" w:hAnsi="宋体" w:cs="宋体"/>
          <w:color w:val="auto"/>
          <w:sz w:val="21"/>
          <w:szCs w:val="21"/>
          <w:lang w:eastAsia="zh-CN"/>
        </w:rPr>
        <w:t>服务要求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的</w:t>
      </w:r>
      <w:r>
        <w:rPr>
          <w:rFonts w:hint="eastAsia" w:hAnsi="宋体" w:cs="宋体"/>
          <w:color w:val="auto"/>
          <w:sz w:val="21"/>
          <w:szCs w:val="21"/>
          <w:lang w:val="en-US" w:eastAsia="zh-CN"/>
        </w:rPr>
        <w:t>服务内容作出明确响应，并作出偏离说明</w:t>
      </w:r>
      <w:r>
        <w:rPr>
          <w:rFonts w:hint="eastAsia" w:ascii="宋体" w:hAnsi="宋体" w:eastAsia="宋体" w:cs="宋体"/>
          <w:color w:val="auto"/>
          <w:sz w:val="21"/>
          <w:szCs w:val="21"/>
        </w:rPr>
        <w:t>。“偏离说明”一栏应当选择“正偏离”</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rPr>
        <w:t>“负偏离”或“无偏离”进行填写。</w:t>
      </w:r>
    </w:p>
    <w:p w14:paraId="1403E952">
      <w:pPr>
        <w:pStyle w:val="14"/>
        <w:spacing w:line="360" w:lineRule="auto"/>
        <w:ind w:firstLine="420" w:firstLineChars="200"/>
        <w:rPr>
          <w:rFonts w:hint="eastAsia" w:hAnsi="宋体" w:cs="宋体"/>
          <w:color w:val="auto"/>
          <w:szCs w:val="21"/>
        </w:rPr>
      </w:pPr>
      <w:r>
        <w:rPr>
          <w:rFonts w:hint="eastAsia" w:hAnsi="宋体" w:cs="宋体"/>
          <w:bCs/>
          <w:color w:val="auto"/>
          <w:szCs w:val="21"/>
          <w:lang w:val="en-US" w:eastAsia="zh-CN"/>
        </w:rPr>
        <w:t>3.</w:t>
      </w:r>
      <w:r>
        <w:rPr>
          <w:rFonts w:hint="eastAsia" w:hAnsi="宋体" w:cs="宋体"/>
          <w:bCs/>
          <w:color w:val="auto"/>
          <w:szCs w:val="21"/>
        </w:rPr>
        <w:t>当投标文件的</w:t>
      </w:r>
      <w:r>
        <w:rPr>
          <w:rFonts w:hint="eastAsia" w:hAnsi="宋体" w:cs="宋体"/>
          <w:bCs/>
          <w:color w:val="auto"/>
          <w:szCs w:val="21"/>
          <w:lang w:eastAsia="zh-CN"/>
        </w:rPr>
        <w:t>服务</w:t>
      </w:r>
      <w:r>
        <w:rPr>
          <w:rFonts w:hint="eastAsia" w:hAnsi="宋体" w:cs="宋体"/>
          <w:bCs/>
          <w:color w:val="auto"/>
          <w:szCs w:val="21"/>
        </w:rPr>
        <w:t>内容低于招标文件要求时，投标人应当如实写明“负偏离”。</w:t>
      </w:r>
    </w:p>
    <w:p w14:paraId="0C1A5D65">
      <w:pPr>
        <w:pStyle w:val="9"/>
        <w:rPr>
          <w:rFonts w:hint="eastAsia" w:hAnsi="宋体" w:eastAsia="宋体" w:cs="宋体"/>
          <w:color w:val="auto"/>
          <w:szCs w:val="21"/>
          <w:highlight w:val="none"/>
        </w:rPr>
      </w:pPr>
    </w:p>
    <w:p w14:paraId="05C08433">
      <w:pPr>
        <w:rPr>
          <w:rFonts w:hint="eastAsia" w:hAnsi="宋体" w:eastAsia="宋体" w:cs="宋体"/>
          <w:color w:val="auto"/>
          <w:szCs w:val="21"/>
          <w:highlight w:val="none"/>
        </w:rPr>
      </w:pPr>
    </w:p>
    <w:p w14:paraId="327E30A8">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146DAFFC">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55D057BA">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7838CD1">
      <w:pPr>
        <w:widowControl/>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2F907754">
      <w:pPr>
        <w:snapToGrid w:val="0"/>
        <w:spacing w:before="165" w:beforeLines="50" w:after="50"/>
        <w:ind w:left="142"/>
        <w:jc w:val="left"/>
        <w:rPr>
          <w:rFonts w:hint="eastAsia" w:ascii="宋体" w:hAnsi="宋体" w:eastAsia="宋体" w:cs="Times New Roman"/>
          <w:b/>
          <w:color w:val="auto"/>
          <w:sz w:val="32"/>
          <w:szCs w:val="32"/>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val="en-US" w:eastAsia="zh-CN"/>
        </w:rPr>
        <w:t>主要管理、</w:t>
      </w:r>
      <w:r>
        <w:rPr>
          <w:rFonts w:hint="eastAsia" w:ascii="宋体" w:hAnsi="宋体" w:cs="宋体"/>
          <w:b/>
          <w:color w:val="auto"/>
          <w:sz w:val="28"/>
          <w:szCs w:val="28"/>
          <w:highlight w:val="none"/>
          <w:lang w:eastAsia="zh-CN"/>
        </w:rPr>
        <w:t>服务人员情况表的</w:t>
      </w:r>
      <w:r>
        <w:rPr>
          <w:rFonts w:hint="eastAsia" w:ascii="宋体" w:hAnsi="宋体" w:eastAsia="宋体" w:cs="宋体"/>
          <w:b/>
          <w:color w:val="auto"/>
          <w:sz w:val="28"/>
          <w:szCs w:val="28"/>
          <w:highlight w:val="none"/>
        </w:rPr>
        <w:t>格式</w:t>
      </w:r>
      <w:r>
        <w:rPr>
          <w:rFonts w:hint="eastAsia" w:ascii="宋体" w:hAnsi="宋体" w:cs="宋体"/>
          <w:b/>
          <w:bCs/>
          <w:color w:val="auto"/>
          <w:sz w:val="30"/>
          <w:szCs w:val="30"/>
          <w:lang w:eastAsia="zh-CN"/>
        </w:rPr>
        <w:t>：</w:t>
      </w:r>
    </w:p>
    <w:p w14:paraId="5728A1C9">
      <w:pPr>
        <w:snapToGrid w:val="0"/>
        <w:spacing w:before="165" w:beforeLines="50" w:after="50"/>
        <w:ind w:left="142"/>
        <w:jc w:val="center"/>
        <w:rPr>
          <w:rFonts w:hint="eastAsia" w:ascii="宋体" w:hAnsi="宋体" w:eastAsia="宋体" w:cs="Times New Roman"/>
          <w:b/>
          <w:color w:val="auto"/>
          <w:sz w:val="32"/>
          <w:szCs w:val="32"/>
          <w:highlight w:val="none"/>
        </w:rPr>
      </w:pPr>
    </w:p>
    <w:p w14:paraId="3AE7A154">
      <w:pPr>
        <w:keepNext/>
        <w:autoSpaceDE w:val="0"/>
        <w:autoSpaceDN w:val="0"/>
        <w:spacing w:line="360" w:lineRule="auto"/>
        <w:ind w:firstLine="0"/>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21"/>
        <w:tblW w:w="8755" w:type="dxa"/>
        <w:tblInd w:w="116" w:type="dxa"/>
        <w:tblLayout w:type="fixed"/>
        <w:tblCellMar>
          <w:top w:w="0" w:type="dxa"/>
          <w:left w:w="108" w:type="dxa"/>
          <w:bottom w:w="0" w:type="dxa"/>
          <w:right w:w="108" w:type="dxa"/>
        </w:tblCellMar>
      </w:tblPr>
      <w:tblGrid>
        <w:gridCol w:w="2061"/>
        <w:gridCol w:w="1287"/>
        <w:gridCol w:w="1260"/>
        <w:gridCol w:w="4147"/>
      </w:tblGrid>
      <w:tr w14:paraId="2DA0C95D">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14BA7F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6176F1C">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3FAE4AF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75844A18">
            <w:pPr>
              <w:autoSpaceDE w:val="0"/>
              <w:autoSpaceDN w:val="0"/>
              <w:spacing w:line="360" w:lineRule="auto"/>
              <w:rPr>
                <w:rFonts w:hint="eastAsia" w:ascii="仿宋_GB2312" w:hAnsi="仿宋" w:eastAsia="仿宋_GB2312" w:cs="仿宋_GB2312"/>
                <w:color w:val="auto"/>
                <w:sz w:val="24"/>
                <w:highlight w:val="none"/>
                <w:lang w:eastAsia="zh-CN"/>
              </w:rPr>
            </w:pPr>
            <w:r>
              <w:rPr>
                <w:rFonts w:hint="eastAsia" w:ascii="仿宋_GB2312" w:hAnsi="仿宋" w:eastAsia="仿宋_GB2312" w:cs="仿宋_GB2312"/>
                <w:color w:val="auto"/>
                <w:sz w:val="24"/>
                <w:highlight w:val="none"/>
              </w:rPr>
              <w:t>投标截止时间前三年业绩及承担的主要工作情况，曾担任项目经理的项目应列明细</w:t>
            </w:r>
            <w:r>
              <w:rPr>
                <w:rFonts w:hint="eastAsia" w:ascii="仿宋_GB2312" w:hAnsi="仿宋" w:eastAsia="仿宋_GB2312" w:cs="仿宋_GB2312"/>
                <w:color w:val="auto"/>
                <w:sz w:val="24"/>
                <w:highlight w:val="none"/>
                <w:lang w:eastAsia="zh-CN"/>
              </w:rPr>
              <w:t>。</w:t>
            </w:r>
          </w:p>
        </w:tc>
      </w:tr>
      <w:tr w14:paraId="50B129A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3714E0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3579DC0">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3248F8B8">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680E9824">
            <w:pPr>
              <w:autoSpaceDE w:val="0"/>
              <w:autoSpaceDN w:val="0"/>
              <w:spacing w:line="360" w:lineRule="auto"/>
              <w:jc w:val="center"/>
              <w:rPr>
                <w:rFonts w:hint="eastAsia" w:ascii="仿宋_GB2312" w:hAnsi="仿宋" w:eastAsia="仿宋_GB2312" w:cs="仿宋_GB2312"/>
                <w:color w:val="auto"/>
                <w:sz w:val="24"/>
                <w:highlight w:val="none"/>
              </w:rPr>
            </w:pPr>
          </w:p>
        </w:tc>
      </w:tr>
      <w:tr w14:paraId="5109780C">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AEB4C2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EC5D450">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421088DE">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568564E">
            <w:pPr>
              <w:widowControl/>
              <w:jc w:val="left"/>
              <w:rPr>
                <w:rFonts w:ascii="仿宋_GB2312" w:hAnsi="仿宋" w:eastAsia="仿宋_GB2312" w:cs="仿宋_GB2312"/>
                <w:color w:val="auto"/>
                <w:sz w:val="24"/>
                <w:highlight w:val="none"/>
              </w:rPr>
            </w:pPr>
          </w:p>
        </w:tc>
      </w:tr>
      <w:tr w14:paraId="2F50B3F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4F5C0D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31170C3">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4CFEEE23">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6474651">
            <w:pPr>
              <w:widowControl/>
              <w:jc w:val="left"/>
              <w:rPr>
                <w:rFonts w:ascii="仿宋_GB2312" w:hAnsi="仿宋" w:eastAsia="仿宋_GB2312" w:cs="仿宋_GB2312"/>
                <w:color w:val="auto"/>
                <w:sz w:val="24"/>
                <w:highlight w:val="none"/>
              </w:rPr>
            </w:pPr>
          </w:p>
        </w:tc>
      </w:tr>
      <w:tr w14:paraId="74E28A4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84450F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4AD14BE">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5A920481">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A274C67">
            <w:pPr>
              <w:widowControl/>
              <w:jc w:val="left"/>
              <w:rPr>
                <w:rFonts w:ascii="仿宋_GB2312" w:hAnsi="仿宋" w:eastAsia="仿宋_GB2312" w:cs="仿宋_GB2312"/>
                <w:color w:val="auto"/>
                <w:sz w:val="24"/>
                <w:highlight w:val="none"/>
              </w:rPr>
            </w:pPr>
          </w:p>
        </w:tc>
      </w:tr>
      <w:tr w14:paraId="0C990F85">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61A010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0EF345C">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01C40298">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2FCE226">
            <w:pPr>
              <w:widowControl/>
              <w:jc w:val="left"/>
              <w:rPr>
                <w:rFonts w:ascii="仿宋_GB2312" w:hAnsi="仿宋" w:eastAsia="仿宋_GB2312" w:cs="仿宋_GB2312"/>
                <w:color w:val="auto"/>
                <w:sz w:val="24"/>
                <w:highlight w:val="none"/>
              </w:rPr>
            </w:pPr>
          </w:p>
        </w:tc>
      </w:tr>
      <w:tr w14:paraId="7B8B2D2E">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83FD6B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C81D0D2">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0989C239">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36D6EA5">
            <w:pPr>
              <w:widowControl/>
              <w:jc w:val="left"/>
              <w:rPr>
                <w:rFonts w:ascii="仿宋_GB2312" w:hAnsi="仿宋" w:eastAsia="仿宋_GB2312" w:cs="仿宋_GB2312"/>
                <w:color w:val="auto"/>
                <w:sz w:val="24"/>
                <w:highlight w:val="none"/>
              </w:rPr>
            </w:pPr>
          </w:p>
        </w:tc>
      </w:tr>
      <w:tr w14:paraId="083486EB">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7C9105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4058170">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003B5BFE">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3AD931E">
            <w:pPr>
              <w:widowControl/>
              <w:jc w:val="left"/>
              <w:rPr>
                <w:rFonts w:ascii="仿宋_GB2312" w:hAnsi="仿宋" w:eastAsia="仿宋_GB2312" w:cs="仿宋_GB2312"/>
                <w:color w:val="auto"/>
                <w:sz w:val="24"/>
                <w:highlight w:val="none"/>
              </w:rPr>
            </w:pPr>
          </w:p>
        </w:tc>
      </w:tr>
      <w:tr w14:paraId="7B222B09">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D4EE2D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67F0131">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2B669289">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27F9473">
            <w:pPr>
              <w:widowControl/>
              <w:jc w:val="left"/>
              <w:rPr>
                <w:rFonts w:ascii="仿宋_GB2312" w:hAnsi="仿宋" w:eastAsia="仿宋_GB2312" w:cs="仿宋_GB2312"/>
                <w:color w:val="auto"/>
                <w:sz w:val="24"/>
                <w:highlight w:val="none"/>
              </w:rPr>
            </w:pPr>
          </w:p>
        </w:tc>
      </w:tr>
      <w:tr w14:paraId="100F115D">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268DAC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B4B16F3">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254B9A5C">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8930350">
            <w:pPr>
              <w:widowControl/>
              <w:jc w:val="left"/>
              <w:rPr>
                <w:rFonts w:ascii="仿宋_GB2312" w:hAnsi="仿宋" w:eastAsia="仿宋_GB2312" w:cs="仿宋_GB2312"/>
                <w:color w:val="auto"/>
                <w:sz w:val="24"/>
                <w:highlight w:val="none"/>
              </w:rPr>
            </w:pPr>
          </w:p>
        </w:tc>
      </w:tr>
    </w:tbl>
    <w:p w14:paraId="6BBDB572">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注：投标人可</w:t>
      </w:r>
      <w:r>
        <w:rPr>
          <w:rFonts w:hint="eastAsia" w:ascii="仿宋_GB2312" w:hAnsi="仿宋" w:eastAsia="仿宋_GB2312" w:cs="仿宋_GB2312"/>
          <w:b/>
          <w:color w:val="auto"/>
          <w:sz w:val="24"/>
          <w:highlight w:val="none"/>
          <w:lang w:eastAsia="zh-CN"/>
        </w:rPr>
        <w:t>参照</w:t>
      </w:r>
      <w:r>
        <w:rPr>
          <w:rFonts w:hint="eastAsia" w:ascii="仿宋_GB2312" w:hAnsi="仿宋" w:eastAsia="仿宋_GB2312" w:cs="仿宋_GB2312"/>
          <w:b/>
          <w:color w:val="auto"/>
          <w:sz w:val="24"/>
          <w:highlight w:val="none"/>
        </w:rPr>
        <w:t>上述的格式自行编制，并注明所在投标技术文件页码。</w:t>
      </w:r>
    </w:p>
    <w:p w14:paraId="78C92A35">
      <w:pPr>
        <w:autoSpaceDE w:val="0"/>
        <w:autoSpaceDN w:val="0"/>
        <w:spacing w:line="360" w:lineRule="auto"/>
        <w:rPr>
          <w:rFonts w:hint="eastAsia" w:ascii="仿宋_GB2312" w:hAnsi="仿宋" w:eastAsia="仿宋_GB2312" w:cs="仿宋_GB2312"/>
          <w:b/>
          <w:color w:val="auto"/>
          <w:kern w:val="0"/>
          <w:sz w:val="24"/>
          <w:highlight w:val="none"/>
          <w:lang w:val="en-US" w:eastAsia="zh-CN"/>
        </w:rPr>
      </w:pPr>
    </w:p>
    <w:p w14:paraId="2B1A03CC">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lang w:val="en-US" w:eastAsia="zh-CN"/>
        </w:rPr>
        <w:t>附表B：主要管理、</w:t>
      </w:r>
      <w:r>
        <w:rPr>
          <w:rFonts w:hint="eastAsia" w:ascii="仿宋_GB2312" w:hAnsi="仿宋" w:eastAsia="仿宋_GB2312" w:cs="仿宋_GB2312"/>
          <w:b/>
          <w:color w:val="auto"/>
          <w:kern w:val="0"/>
          <w:sz w:val="24"/>
          <w:highlight w:val="none"/>
        </w:rPr>
        <w:t>服务人员情况表</w:t>
      </w:r>
      <w:r>
        <w:rPr>
          <w:rFonts w:hint="eastAsia" w:ascii="仿宋_GB2312" w:hAnsi="仿宋" w:eastAsia="仿宋_GB2312" w:cs="仿宋_GB2312"/>
          <w:color w:val="auto"/>
          <w:sz w:val="24"/>
          <w:highlight w:val="none"/>
        </w:rPr>
        <w:t>（如有要求</w:t>
      </w:r>
      <w:r>
        <w:rPr>
          <w:rFonts w:hint="eastAsia" w:ascii="仿宋_GB2312" w:hAnsi="仿宋" w:eastAsia="仿宋_GB2312" w:cs="仿宋_GB2312"/>
          <w:color w:val="auto"/>
          <w:sz w:val="24"/>
          <w:highlight w:val="none"/>
          <w:lang w:eastAsia="zh-CN"/>
        </w:rPr>
        <w:t>，参照</w:t>
      </w:r>
      <w:r>
        <w:rPr>
          <w:rFonts w:hint="eastAsia" w:ascii="仿宋_GB2312" w:hAnsi="仿宋" w:eastAsia="仿宋_GB2312" w:cs="仿宋_GB2312"/>
          <w:color w:val="auto"/>
          <w:sz w:val="24"/>
          <w:highlight w:val="none"/>
        </w:rPr>
        <w:t>此格式自制）</w:t>
      </w:r>
    </w:p>
    <w:tbl>
      <w:tblPr>
        <w:tblStyle w:val="21"/>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17E01424">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62BCF17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3420A60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7F170DD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2AE9D97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B75853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EA902A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42F861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094C0E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4B64BD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2DBC59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27CC9A2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14:paraId="2CBA06F3">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3D15FB2">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7CB2DFC6">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9880603">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77A48DB">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E22A94F">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C55E1D0">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6CC52C1">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FE52781">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7E48847">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163614C">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7123200">
            <w:pPr>
              <w:autoSpaceDE w:val="0"/>
              <w:autoSpaceDN w:val="0"/>
              <w:spacing w:line="360" w:lineRule="auto"/>
              <w:rPr>
                <w:rFonts w:hint="eastAsia" w:ascii="仿宋_GB2312" w:hAnsi="仿宋" w:eastAsia="仿宋_GB2312" w:cs="仿宋_GB2312"/>
                <w:color w:val="auto"/>
                <w:sz w:val="24"/>
                <w:highlight w:val="none"/>
              </w:rPr>
            </w:pPr>
          </w:p>
        </w:tc>
      </w:tr>
      <w:tr w14:paraId="088C42EA">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F131022">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316B84A9">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148CDD3">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41BC140">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33C0C6D">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1538D48">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EE97D28">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70B3490">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9300365">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0BF4436">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4242843">
            <w:pPr>
              <w:autoSpaceDE w:val="0"/>
              <w:autoSpaceDN w:val="0"/>
              <w:spacing w:line="360" w:lineRule="auto"/>
              <w:rPr>
                <w:rFonts w:hint="eastAsia" w:ascii="仿宋_GB2312" w:hAnsi="仿宋" w:eastAsia="仿宋_GB2312" w:cs="仿宋_GB2312"/>
                <w:color w:val="auto"/>
                <w:sz w:val="24"/>
                <w:highlight w:val="none"/>
              </w:rPr>
            </w:pPr>
          </w:p>
        </w:tc>
      </w:tr>
      <w:tr w14:paraId="384EC2C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D2F95A1">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15415582">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E1CB2BD">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91B3AEE">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8C05DF2">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B82783B">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F364ADD">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D967A8F">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066EC36">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E8E4555">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EE1D099">
            <w:pPr>
              <w:autoSpaceDE w:val="0"/>
              <w:autoSpaceDN w:val="0"/>
              <w:spacing w:line="360" w:lineRule="auto"/>
              <w:rPr>
                <w:rFonts w:hint="eastAsia" w:ascii="仿宋_GB2312" w:hAnsi="仿宋" w:eastAsia="仿宋_GB2312" w:cs="仿宋_GB2312"/>
                <w:color w:val="auto"/>
                <w:sz w:val="24"/>
                <w:highlight w:val="none"/>
              </w:rPr>
            </w:pPr>
          </w:p>
        </w:tc>
      </w:tr>
      <w:tr w14:paraId="060C6E1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08CA88F1">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2F32068D">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15AA760">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A72E31E">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58F9A73">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26FD6FE">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BB80D9D">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C635AFD">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A2EC7ED">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D80BC11">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A7C63A8">
            <w:pPr>
              <w:autoSpaceDE w:val="0"/>
              <w:autoSpaceDN w:val="0"/>
              <w:spacing w:line="360" w:lineRule="auto"/>
              <w:rPr>
                <w:rFonts w:hint="eastAsia" w:ascii="仿宋_GB2312" w:hAnsi="仿宋" w:eastAsia="仿宋_GB2312" w:cs="仿宋_GB2312"/>
                <w:color w:val="auto"/>
                <w:sz w:val="24"/>
                <w:highlight w:val="none"/>
              </w:rPr>
            </w:pPr>
          </w:p>
        </w:tc>
      </w:tr>
    </w:tbl>
    <w:p w14:paraId="7ABDCB06">
      <w:pPr>
        <w:snapToGrid w:val="0"/>
        <w:spacing w:before="165" w:beforeLines="50" w:after="50"/>
        <w:ind w:left="142"/>
        <w:jc w:val="center"/>
        <w:rPr>
          <w:rFonts w:hint="eastAsia" w:ascii="宋体" w:hAnsi="宋体" w:eastAsia="宋体" w:cs="Times New Roman"/>
          <w:b/>
          <w:color w:val="auto"/>
          <w:sz w:val="32"/>
          <w:szCs w:val="32"/>
          <w:highlight w:val="none"/>
        </w:rPr>
      </w:pPr>
    </w:p>
    <w:p w14:paraId="4B666FB0">
      <w:pPr>
        <w:snapToGrid w:val="0"/>
        <w:spacing w:before="165" w:beforeLines="50" w:line="360" w:lineRule="auto"/>
        <w:ind w:right="480" w:firstLine="3967" w:firstLineChars="1653"/>
        <w:rPr>
          <w:rFonts w:hint="eastAsia" w:ascii="宋体" w:hAnsi="宋体" w:eastAsia="宋体" w:cs="Times New Roman"/>
          <w:color w:val="auto"/>
          <w:sz w:val="24"/>
          <w:highlight w:val="none"/>
        </w:rPr>
      </w:pPr>
    </w:p>
    <w:p w14:paraId="2D1A2D1B">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350B29A3">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02CD104">
      <w:pPr>
        <w:widowControl/>
        <w:spacing w:line="360" w:lineRule="auto"/>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4B638D7F">
      <w:pPr>
        <w:snapToGrid w:val="0"/>
        <w:spacing w:before="50" w:after="50"/>
        <w:rPr>
          <w:rFonts w:hint="eastAsia" w:ascii="宋体" w:hAnsi="宋体" w:eastAsia="宋体" w:cs="Times New Roman"/>
          <w:color w:val="auto"/>
          <w:sz w:val="24"/>
          <w:highlight w:val="none"/>
        </w:rPr>
      </w:pPr>
    </w:p>
    <w:p w14:paraId="1E68BAE6">
      <w:pPr>
        <w:pStyle w:val="14"/>
        <w:jc w:val="center"/>
        <w:outlineLvl w:val="1"/>
        <w:rPr>
          <w:rFonts w:hint="eastAsia" w:hAnsi="宋体" w:eastAsia="宋体" w:cs="Times New Roman"/>
          <w:b/>
          <w:bCs/>
          <w:color w:val="auto"/>
          <w:sz w:val="28"/>
          <w:szCs w:val="28"/>
          <w:highlight w:val="none"/>
        </w:rPr>
      </w:pPr>
      <w:bookmarkStart w:id="389" w:name="_Toc17719"/>
      <w:bookmarkStart w:id="390" w:name="_Toc30951"/>
      <w:bookmarkStart w:id="391" w:name="_Toc31920"/>
      <w:bookmarkStart w:id="392" w:name="_Toc12675"/>
      <w:bookmarkStart w:id="393" w:name="_Toc28617"/>
      <w:bookmarkStart w:id="394" w:name="_Toc22926"/>
      <w:bookmarkStart w:id="395" w:name="_Toc1343"/>
      <w:bookmarkStart w:id="396" w:name="_Toc12868"/>
      <w:bookmarkStart w:id="397" w:name="_Toc3481"/>
      <w:bookmarkStart w:id="398" w:name="_Toc9015"/>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四</w:t>
      </w:r>
      <w:r>
        <w:rPr>
          <w:rFonts w:hint="eastAsia" w:hAnsi="宋体" w:eastAsia="宋体" w:cs="Times New Roman"/>
          <w:b/>
          <w:bCs/>
          <w:color w:val="auto"/>
          <w:sz w:val="28"/>
          <w:szCs w:val="28"/>
          <w:highlight w:val="none"/>
        </w:rPr>
        <w:t>节 报价文件格式</w:t>
      </w:r>
      <w:bookmarkEnd w:id="389"/>
      <w:bookmarkEnd w:id="390"/>
      <w:bookmarkEnd w:id="391"/>
      <w:bookmarkEnd w:id="392"/>
      <w:bookmarkEnd w:id="393"/>
      <w:bookmarkEnd w:id="394"/>
      <w:bookmarkEnd w:id="395"/>
      <w:bookmarkEnd w:id="396"/>
      <w:bookmarkEnd w:id="397"/>
      <w:bookmarkEnd w:id="398"/>
    </w:p>
    <w:p w14:paraId="6C40FD42">
      <w:pPr>
        <w:snapToGrid w:val="0"/>
        <w:spacing w:before="165" w:beforeLines="50" w:after="50" w:line="40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cs="宋体"/>
          <w:b/>
          <w:bCs/>
          <w:color w:val="auto"/>
          <w:sz w:val="28"/>
          <w:szCs w:val="28"/>
          <w:lang w:val="en-US" w:eastAsia="zh-CN"/>
        </w:rPr>
        <w:t>1.</w:t>
      </w:r>
      <w:r>
        <w:rPr>
          <w:rFonts w:hint="eastAsia" w:ascii="宋体" w:hAnsi="宋体" w:cs="宋体"/>
          <w:b/>
          <w:bCs/>
          <w:color w:val="auto"/>
          <w:sz w:val="28"/>
          <w:szCs w:val="28"/>
        </w:rPr>
        <w:t>报价文件</w:t>
      </w:r>
      <w:r>
        <w:rPr>
          <w:rFonts w:hint="eastAsia" w:ascii="宋体" w:hAnsi="宋体" w:cs="宋体"/>
          <w:b/>
          <w:bCs/>
          <w:color w:val="auto"/>
          <w:sz w:val="28"/>
          <w:szCs w:val="28"/>
          <w:lang w:eastAsia="zh-CN"/>
        </w:rPr>
        <w:t>封面的格式（参照此格式自拟）：</w:t>
      </w:r>
      <w:r>
        <w:rPr>
          <w:rFonts w:hint="eastAsia" w:ascii="宋体" w:hAnsi="宋体" w:eastAsia="宋体" w:cs="Times New Roman"/>
          <w:color w:val="auto"/>
          <w:sz w:val="24"/>
          <w:highlight w:val="none"/>
        </w:rPr>
        <w:t xml:space="preserve">                                </w:t>
      </w:r>
    </w:p>
    <w:p w14:paraId="26ECCBDD">
      <w:pPr>
        <w:snapToGrid w:val="0"/>
        <w:spacing w:before="165" w:beforeLines="50" w:after="50" w:line="400" w:lineRule="exact"/>
        <w:rPr>
          <w:rFonts w:hint="eastAsia" w:ascii="宋体" w:hAnsi="宋体" w:eastAsia="宋体" w:cs="Times New Roman"/>
          <w:color w:val="auto"/>
          <w:sz w:val="24"/>
          <w:highlight w:val="none"/>
        </w:rPr>
      </w:pPr>
    </w:p>
    <w:p w14:paraId="3FE2855B">
      <w:pPr>
        <w:snapToGrid w:val="0"/>
        <w:spacing w:before="165" w:beforeLines="50" w:after="50" w:line="400" w:lineRule="exact"/>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bCs/>
          <w:color w:val="auto"/>
          <w:highlight w:val="none"/>
        </w:rPr>
        <w:t>电子投标文件</w:t>
      </w:r>
    </w:p>
    <w:p w14:paraId="158CD7E1">
      <w:pPr>
        <w:snapToGrid w:val="0"/>
        <w:spacing w:before="165" w:beforeLines="50" w:after="50" w:line="400" w:lineRule="exact"/>
        <w:jc w:val="center"/>
        <w:rPr>
          <w:rFonts w:hint="eastAsia" w:ascii="宋体" w:hAnsi="宋体" w:eastAsia="宋体" w:cs="Times New Roman"/>
          <w:bCs/>
          <w:color w:val="auto"/>
          <w:sz w:val="24"/>
          <w:szCs w:val="20"/>
          <w:highlight w:val="none"/>
        </w:rPr>
      </w:pPr>
    </w:p>
    <w:p w14:paraId="4ACCCCD9">
      <w:pPr>
        <w:snapToGrid w:val="0"/>
        <w:spacing w:before="165" w:beforeLines="50" w:after="50" w:line="400" w:lineRule="exact"/>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报价文件</w:t>
      </w:r>
    </w:p>
    <w:p w14:paraId="64319358">
      <w:pPr>
        <w:snapToGrid w:val="0"/>
        <w:spacing w:before="165" w:beforeLines="50" w:after="50" w:line="400" w:lineRule="exact"/>
        <w:rPr>
          <w:rFonts w:hint="eastAsia" w:ascii="宋体" w:hAnsi="宋体" w:eastAsia="宋体" w:cs="Times New Roman"/>
          <w:bCs/>
          <w:color w:val="auto"/>
          <w:sz w:val="24"/>
          <w:szCs w:val="20"/>
          <w:highlight w:val="none"/>
        </w:rPr>
      </w:pPr>
    </w:p>
    <w:p w14:paraId="039E8075">
      <w:pPr>
        <w:snapToGrid w:val="0"/>
        <w:spacing w:before="165" w:beforeLines="50" w:after="50" w:line="400" w:lineRule="exact"/>
        <w:rPr>
          <w:rFonts w:hint="eastAsia" w:ascii="宋体" w:hAnsi="宋体" w:eastAsia="宋体" w:cs="Times New Roman"/>
          <w:bCs/>
          <w:color w:val="auto"/>
          <w:sz w:val="24"/>
          <w:szCs w:val="20"/>
          <w:highlight w:val="none"/>
        </w:rPr>
      </w:pPr>
    </w:p>
    <w:p w14:paraId="2E600CF7">
      <w:pPr>
        <w:snapToGrid w:val="0"/>
        <w:spacing w:before="165" w:beforeLines="50" w:after="50" w:line="400" w:lineRule="exact"/>
        <w:rPr>
          <w:rFonts w:hint="eastAsia" w:ascii="宋体" w:hAnsi="宋体" w:eastAsia="宋体" w:cs="Times New Roman"/>
          <w:bCs/>
          <w:color w:val="auto"/>
          <w:sz w:val="24"/>
          <w:szCs w:val="20"/>
          <w:highlight w:val="none"/>
        </w:rPr>
      </w:pPr>
    </w:p>
    <w:p w14:paraId="089E0BA0">
      <w:pPr>
        <w:snapToGrid w:val="0"/>
        <w:spacing w:before="165" w:beforeLines="50" w:after="50" w:line="400" w:lineRule="exact"/>
        <w:rPr>
          <w:rFonts w:hint="eastAsia" w:ascii="宋体" w:hAnsi="宋体" w:eastAsia="宋体" w:cs="Times New Roman"/>
          <w:bCs/>
          <w:color w:val="auto"/>
          <w:sz w:val="24"/>
          <w:szCs w:val="20"/>
          <w:highlight w:val="none"/>
        </w:rPr>
      </w:pPr>
    </w:p>
    <w:p w14:paraId="113942AE">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项目名称： </w:t>
      </w:r>
    </w:p>
    <w:p w14:paraId="7266B34F">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5D3CC883">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项目编号： </w:t>
      </w:r>
    </w:p>
    <w:p w14:paraId="43B71AF3">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5271CC45">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346B1453">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3573B3D8">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2172408F">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76FFD0C1">
      <w:pPr>
        <w:pStyle w:val="8"/>
        <w:snapToGrid w:val="0"/>
        <w:spacing w:before="50" w:after="50" w:line="400" w:lineRule="exact"/>
        <w:ind w:firstLine="960" w:firstLineChars="400"/>
        <w:rPr>
          <w:rFonts w:hint="eastAsia" w:ascii="宋体" w:hAnsi="宋体" w:eastAsia="宋体" w:cs="Times New Roman"/>
          <w:bCs/>
          <w:color w:val="auto"/>
          <w:sz w:val="24"/>
          <w:szCs w:val="24"/>
          <w:highlight w:val="none"/>
        </w:rPr>
      </w:pPr>
    </w:p>
    <w:p w14:paraId="06A6969C">
      <w:pPr>
        <w:snapToGrid w:val="0"/>
        <w:spacing w:before="165" w:beforeLines="50" w:after="50"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0DAC50DD">
      <w:pPr>
        <w:snapToGrid w:val="0"/>
        <w:spacing w:before="165" w:beforeLines="50" w:after="50" w:line="400" w:lineRule="exact"/>
        <w:ind w:firstLine="3120" w:firstLineChars="1300"/>
        <w:rPr>
          <w:rFonts w:hint="eastAsia" w:ascii="宋体" w:hAnsi="宋体" w:eastAsia="宋体" w:cs="Times New Roman"/>
          <w:color w:val="auto"/>
          <w:sz w:val="24"/>
          <w:highlight w:val="none"/>
        </w:rPr>
      </w:pPr>
    </w:p>
    <w:p w14:paraId="2264CE15">
      <w:pPr>
        <w:snapToGrid w:val="0"/>
        <w:spacing w:before="165" w:beforeLines="50" w:after="50" w:line="400" w:lineRule="exact"/>
        <w:ind w:firstLine="4320" w:firstLineChars="1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639DFF54">
      <w:pPr>
        <w:widowControl/>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1CEBE1B9">
      <w:pP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6A505F60">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rPr>
        <w:t>（部分格式后附）</w:t>
      </w:r>
      <w:r>
        <w:rPr>
          <w:rFonts w:hint="eastAsia" w:ascii="宋体" w:hAnsi="宋体" w:eastAsia="宋体" w:cs="宋体"/>
          <w:color w:val="auto"/>
          <w:sz w:val="28"/>
          <w:szCs w:val="28"/>
          <w:highlight w:val="none"/>
        </w:rPr>
        <w:t>。</w:t>
      </w:r>
    </w:p>
    <w:p w14:paraId="29928869">
      <w:pPr>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7842A2F1">
      <w:pPr>
        <w:pStyle w:val="14"/>
        <w:spacing w:line="500" w:lineRule="exact"/>
        <w:jc w:val="left"/>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lang w:val="en-US" w:eastAsia="zh-CN"/>
        </w:rPr>
        <w:t>3.投标函的格式：</w:t>
      </w:r>
    </w:p>
    <w:p w14:paraId="58AABF31">
      <w:pPr>
        <w:pStyle w:val="14"/>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投标函</w:t>
      </w:r>
    </w:p>
    <w:p w14:paraId="0C9ACA2D">
      <w:pPr>
        <w:pStyle w:val="14"/>
        <w:spacing w:line="440" w:lineRule="exact"/>
        <w:ind w:firstLine="420" w:firstLineChars="200"/>
        <w:rPr>
          <w:rFonts w:hint="eastAsia" w:ascii="Times New Roman" w:hAnsi="Times New Roman" w:eastAsia="宋体" w:cs="Times New Roman"/>
          <w:color w:val="auto"/>
          <w:highlight w:val="none"/>
        </w:rPr>
      </w:pPr>
    </w:p>
    <w:p w14:paraId="28F8374D">
      <w:pPr>
        <w:pStyle w:val="14"/>
        <w:spacing w:line="440" w:lineRule="exact"/>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致：</w:t>
      </w:r>
      <w:r>
        <w:rPr>
          <w:rFonts w:hint="eastAsia" w:ascii="Times New Roman" w:hAnsi="Times New Roman" w:cs="Times New Roman"/>
          <w:color w:val="auto"/>
          <w:highlight w:val="none"/>
          <w:u w:val="single"/>
          <w:lang w:eastAsia="zh-CN"/>
        </w:rPr>
        <w:t>广西冠宁工程咨询有限公司</w:t>
      </w:r>
    </w:p>
    <w:p w14:paraId="5BEECFA5">
      <w:pPr>
        <w:pStyle w:val="14"/>
        <w:spacing w:line="440" w:lineRule="exact"/>
        <w:ind w:firstLine="420" w:firstLineChars="200"/>
        <w:rPr>
          <w:rFonts w:eastAsia="宋体" w:cs="Times New Roman"/>
          <w:color w:val="auto"/>
          <w:highlight w:val="none"/>
        </w:rPr>
      </w:pPr>
      <w:r>
        <w:rPr>
          <w:rFonts w:hint="eastAsia" w:eastAsia="宋体" w:cs="Times New Roman"/>
          <w:color w:val="auto"/>
          <w:highlight w:val="none"/>
        </w:rPr>
        <w:t>我方已仔细阅读了贵方组织的</w:t>
      </w:r>
      <w:r>
        <w:rPr>
          <w:rFonts w:hint="eastAsia" w:ascii="宋体" w:hAnsi="宋体" w:cs="宋体"/>
          <w:i/>
          <w:iCs/>
          <w:color w:val="auto"/>
          <w:u w:val="single"/>
          <w:lang w:eastAsia="zh-CN"/>
        </w:rPr>
        <w:t>（项目名称）</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cs="Times New Roman"/>
          <w:color w:val="auto"/>
          <w:highlight w:val="none"/>
          <w:u w:val="single"/>
          <w:lang w:val="en-US" w:eastAsia="zh-CN"/>
        </w:rPr>
        <w:t xml:space="preserve">        </w:t>
      </w:r>
      <w:r>
        <w:rPr>
          <w:rFonts w:hint="eastAsia" w:eastAsia="宋体" w:cs="Times New Roman"/>
          <w:color w:val="auto"/>
          <w:highlight w:val="none"/>
        </w:rPr>
        <w:t>）的招标文件的全部内容，授权</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(全权代表姓名)</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 xml:space="preserve"> (职务、职称)为全权代表，现正式递交下述文件参加贵方组织的本次政府采购活动： </w:t>
      </w:r>
    </w:p>
    <w:p w14:paraId="59A213E4">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一、报价文件电子版（包含按投标人须知前附表要求提交的全部文件）；</w:t>
      </w:r>
    </w:p>
    <w:p w14:paraId="7C6C8889">
      <w:pPr>
        <w:pStyle w:val="14"/>
        <w:spacing w:line="440" w:lineRule="exact"/>
        <w:ind w:firstLine="482"/>
        <w:rPr>
          <w:rFonts w:hint="eastAsia" w:eastAsia="宋体" w:cs="Times New Roman"/>
          <w:color w:val="auto"/>
          <w:highlight w:val="none"/>
        </w:rPr>
      </w:pPr>
      <w:r>
        <w:rPr>
          <w:rFonts w:hint="eastAsia" w:eastAsia="宋体" w:cs="Times New Roman"/>
          <w:color w:val="auto"/>
          <w:highlight w:val="none"/>
        </w:rPr>
        <w:t>二、资格文件电子版（包含按投标人须知前附表要求提交的全部文件）；</w:t>
      </w:r>
    </w:p>
    <w:p w14:paraId="3EF36B92">
      <w:pPr>
        <w:pStyle w:val="14"/>
        <w:spacing w:line="440" w:lineRule="exact"/>
        <w:ind w:firstLine="482"/>
        <w:rPr>
          <w:rFonts w:hint="eastAsia" w:eastAsia="宋体" w:cs="Times New Roman"/>
          <w:color w:val="auto"/>
          <w:highlight w:val="none"/>
        </w:rPr>
      </w:pPr>
      <w:r>
        <w:rPr>
          <w:rFonts w:hint="eastAsia" w:eastAsia="宋体" w:cs="Times New Roman"/>
          <w:color w:val="auto"/>
          <w:highlight w:val="none"/>
        </w:rPr>
        <w:t>三、</w:t>
      </w:r>
      <w:r>
        <w:rPr>
          <w:rFonts w:hint="eastAsia" w:hAnsi="宋体" w:eastAsia="宋体" w:cs="Times New Roman"/>
          <w:color w:val="auto"/>
          <w:highlight w:val="none"/>
        </w:rPr>
        <w:t>技术</w:t>
      </w:r>
      <w:r>
        <w:rPr>
          <w:rFonts w:hint="eastAsia" w:eastAsia="宋体" w:cs="Times New Roman"/>
          <w:color w:val="auto"/>
          <w:highlight w:val="none"/>
        </w:rPr>
        <w:t>文件电子版（包含按投标人须知前附表要求提交的全部文件）；</w:t>
      </w:r>
    </w:p>
    <w:p w14:paraId="4B217024">
      <w:pPr>
        <w:pStyle w:val="14"/>
        <w:spacing w:line="440" w:lineRule="exact"/>
        <w:ind w:firstLine="482"/>
        <w:rPr>
          <w:rFonts w:hint="eastAsia" w:eastAsia="宋体" w:cs="Times New Roman"/>
          <w:color w:val="auto"/>
          <w:highlight w:val="none"/>
        </w:rPr>
      </w:pPr>
      <w:r>
        <w:rPr>
          <w:rFonts w:hint="eastAsia" w:hAnsi="宋体" w:eastAsia="宋体" w:cs="Times New Roman"/>
          <w:color w:val="auto"/>
          <w:highlight w:val="none"/>
        </w:rPr>
        <w:t>四、</w:t>
      </w:r>
      <w:r>
        <w:rPr>
          <w:rFonts w:hint="eastAsia" w:eastAsia="宋体" w:cs="Times New Roman"/>
          <w:color w:val="auto"/>
          <w:highlight w:val="none"/>
        </w:rPr>
        <w:t>商务</w:t>
      </w:r>
      <w:r>
        <w:rPr>
          <w:rFonts w:hint="eastAsia" w:hAnsi="宋体" w:eastAsia="宋体" w:cs="Times New Roman"/>
          <w:color w:val="auto"/>
          <w:highlight w:val="none"/>
        </w:rPr>
        <w:t>文件</w:t>
      </w:r>
      <w:r>
        <w:rPr>
          <w:rFonts w:hint="eastAsia" w:eastAsia="宋体" w:cs="Times New Roman"/>
          <w:color w:val="auto"/>
          <w:highlight w:val="none"/>
        </w:rPr>
        <w:t>电子版（包含按投标人须知前附表要求提交的全部文件）；</w:t>
      </w:r>
    </w:p>
    <w:p w14:paraId="4A319A2E">
      <w:pPr>
        <w:pStyle w:val="14"/>
        <w:spacing w:line="440" w:lineRule="exact"/>
        <w:ind w:firstLine="482"/>
        <w:rPr>
          <w:rFonts w:hint="eastAsia" w:ascii="Times New Roman" w:hAnsi="Times New Roman" w:eastAsia="宋体" w:cs="Times New Roman"/>
          <w:color w:val="auto"/>
          <w:highlight w:val="none"/>
        </w:rPr>
      </w:pPr>
      <w:r>
        <w:rPr>
          <w:rFonts w:hint="eastAsia" w:eastAsia="宋体" w:cs="Times New Roman"/>
          <w:color w:val="auto"/>
          <w:highlight w:val="none"/>
        </w:rPr>
        <w:t>据此函，</w:t>
      </w:r>
      <w:r>
        <w:rPr>
          <w:rFonts w:hint="eastAsia" w:cs="Times New Roman"/>
          <w:color w:val="auto"/>
          <w:highlight w:val="none"/>
          <w:lang w:val="en-US" w:eastAsia="zh-CN"/>
        </w:rPr>
        <w:t>我方</w:t>
      </w:r>
      <w:r>
        <w:rPr>
          <w:rFonts w:hint="default" w:eastAsia="宋体" w:cs="Times New Roman"/>
          <w:color w:val="auto"/>
          <w:highlight w:val="none"/>
          <w:lang w:val="en-US"/>
        </w:rPr>
        <w:t>兹</w:t>
      </w:r>
      <w:r>
        <w:rPr>
          <w:rFonts w:hint="eastAsia" w:eastAsia="宋体" w:cs="Times New Roman"/>
          <w:color w:val="auto"/>
          <w:highlight w:val="none"/>
        </w:rPr>
        <w:t>宣布：</w:t>
      </w:r>
    </w:p>
    <w:p w14:paraId="44B7452E">
      <w:pPr>
        <w:pStyle w:val="14"/>
        <w:spacing w:line="440" w:lineRule="exact"/>
        <w:ind w:firstLine="420" w:firstLineChars="200"/>
        <w:rPr>
          <w:rFonts w:ascii="Times New Roman" w:hAnsi="Times New Roman" w:eastAsia="宋体" w:cs="Times New Roman"/>
          <w:color w:val="auto"/>
          <w:highlight w:val="none"/>
        </w:rPr>
      </w:pPr>
      <w:r>
        <w:rPr>
          <w:rFonts w:hint="eastAsia" w:eastAsia="宋体" w:cs="Times New Roman"/>
          <w:color w:val="auto"/>
          <w:highlight w:val="none"/>
        </w:rPr>
        <w:t>1、我方愿意以投标时提供</w:t>
      </w:r>
      <w:r>
        <w:rPr>
          <w:rFonts w:hint="eastAsia" w:hAnsi="宋体" w:cs="宋体"/>
          <w:color w:val="auto"/>
          <w:highlight w:val="none"/>
          <w:lang w:eastAsia="zh-CN"/>
        </w:rPr>
        <w:t>的开标一览表中的投标总</w:t>
      </w:r>
      <w:r>
        <w:rPr>
          <w:rFonts w:hint="eastAsia" w:ascii="宋体" w:hAnsi="宋体" w:cs="宋体"/>
          <w:color w:val="auto"/>
          <w:szCs w:val="22"/>
          <w:highlight w:val="none"/>
        </w:rPr>
        <w:t>报价</w:t>
      </w:r>
      <w:r>
        <w:rPr>
          <w:rFonts w:hint="eastAsia" w:hAnsi="宋体" w:cs="宋体"/>
          <w:color w:val="auto"/>
          <w:szCs w:val="22"/>
          <w:highlight w:val="none"/>
          <w:lang w:eastAsia="zh-CN"/>
        </w:rPr>
        <w:t>，在承诺的提交服务成果时间内</w:t>
      </w:r>
      <w:r>
        <w:rPr>
          <w:rFonts w:hint="eastAsia" w:eastAsia="宋体" w:cs="Times New Roman"/>
          <w:color w:val="auto"/>
          <w:highlight w:val="none"/>
        </w:rPr>
        <w:t>提供本项目</w:t>
      </w:r>
      <w:r>
        <w:rPr>
          <w:rFonts w:hint="eastAsia" w:hAnsi="Times New Roman" w:eastAsia="宋体" w:cs="Times New Roman"/>
          <w:color w:val="auto"/>
          <w:highlight w:val="none"/>
        </w:rPr>
        <w:t>招标文件“第二章  采购需求”的“</w:t>
      </w:r>
      <w:r>
        <w:rPr>
          <w:rFonts w:hint="eastAsia" w:hAnsi="Times New Roman" w:cs="Times New Roman"/>
          <w:color w:val="auto"/>
          <w:highlight w:val="none"/>
          <w:lang w:eastAsia="zh-CN"/>
        </w:rPr>
        <w:t>服务要求</w:t>
      </w:r>
      <w:r>
        <w:rPr>
          <w:rFonts w:hint="eastAsia" w:hAnsi="Times New Roman" w:eastAsia="宋体" w:cs="Times New Roman"/>
          <w:color w:val="auto"/>
          <w:highlight w:val="none"/>
        </w:rPr>
        <w:t>”</w:t>
      </w:r>
      <w:r>
        <w:rPr>
          <w:rFonts w:hint="eastAsia" w:hAnsi="Times New Roman" w:cs="Times New Roman"/>
          <w:color w:val="auto"/>
          <w:highlight w:val="none"/>
          <w:lang w:eastAsia="zh-CN"/>
        </w:rPr>
        <w:t>中</w:t>
      </w:r>
      <w:r>
        <w:rPr>
          <w:rFonts w:hint="eastAsia" w:eastAsia="宋体" w:cs="Times New Roman"/>
          <w:color w:val="auto"/>
          <w:highlight w:val="none"/>
        </w:rPr>
        <w:t>的相应的采购内容</w:t>
      </w:r>
      <w:r>
        <w:rPr>
          <w:rFonts w:hint="eastAsia" w:hAnsi="宋体" w:cs="宋体"/>
          <w:color w:val="auto"/>
          <w:lang w:eastAsia="zh-CN"/>
        </w:rPr>
        <w:t>，具体详见开标一览表</w:t>
      </w:r>
      <w:r>
        <w:rPr>
          <w:rFonts w:hint="eastAsia" w:eastAsia="宋体" w:cs="Times New Roman"/>
          <w:color w:val="auto"/>
          <w:highlight w:val="none"/>
        </w:rPr>
        <w:t>。</w:t>
      </w:r>
    </w:p>
    <w:p w14:paraId="789563E6">
      <w:pPr>
        <w:pStyle w:val="14"/>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2、我方同意自本项目招标文件“第三章 投标人须知”第一节 投标人须知前附表 第21.</w:t>
      </w:r>
      <w:r>
        <w:rPr>
          <w:rFonts w:hint="eastAsia" w:cs="Times New Roman"/>
          <w:color w:val="auto"/>
          <w:highlight w:val="none"/>
          <w:lang w:val="en-US" w:eastAsia="zh-CN"/>
        </w:rPr>
        <w:t>1</w:t>
      </w:r>
      <w:r>
        <w:rPr>
          <w:rFonts w:hint="eastAsia" w:eastAsia="宋体" w:cs="Times New Roman"/>
          <w:color w:val="auto"/>
          <w:highlight w:val="none"/>
        </w:rPr>
        <w:t>项规定的投标截止时间（开标时间）起遵循</w:t>
      </w:r>
      <w:r>
        <w:rPr>
          <w:rFonts w:hint="eastAsia" w:hAnsi="宋体" w:eastAsia="宋体" w:cs="Times New Roman"/>
          <w:color w:val="auto"/>
          <w:highlight w:val="none"/>
        </w:rPr>
        <w:t>本投标函</w:t>
      </w:r>
      <w:r>
        <w:rPr>
          <w:rFonts w:hint="eastAsia" w:eastAsia="宋体" w:cs="Times New Roman"/>
          <w:color w:val="auto"/>
          <w:highlight w:val="none"/>
        </w:rPr>
        <w:t>，并承诺在“投标人须知前附表”第17.2项规定的投标有效期内不修改、撤销投标文件。</w:t>
      </w:r>
    </w:p>
    <w:p w14:paraId="434E9DA8">
      <w:pPr>
        <w:pStyle w:val="14"/>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3、我方</w:t>
      </w:r>
      <w:r>
        <w:rPr>
          <w:rFonts w:hint="eastAsia" w:ascii="宋体" w:hAnsi="宋体" w:eastAsia="宋体" w:cs="宋体"/>
          <w:color w:val="auto"/>
          <w:kern w:val="0"/>
          <w:sz w:val="20"/>
          <w:szCs w:val="21"/>
          <w:lang w:val="zh-CN" w:eastAsia="zh-CN"/>
        </w:rPr>
        <w:t>在此声明</w:t>
      </w:r>
      <w:r>
        <w:rPr>
          <w:rFonts w:hint="eastAsia" w:eastAsia="宋体" w:cs="Times New Roman"/>
          <w:color w:val="auto"/>
          <w:highlight w:val="none"/>
        </w:rPr>
        <w:t>所递交的投标文件及有关资料都是内容完整、真实和准确的。</w:t>
      </w:r>
    </w:p>
    <w:p w14:paraId="5A8C0CFD">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4、</w:t>
      </w:r>
      <w:r>
        <w:rPr>
          <w:rFonts w:hint="eastAsia" w:eastAsia="宋体" w:cs="Times New Roman"/>
          <w:color w:val="auto"/>
          <w:szCs w:val="21"/>
          <w:highlight w:val="none"/>
        </w:rPr>
        <w:t>如本项目采购内容涉及须符合国家强制规定的，我方承诺我方本次投标（包括资格条件和所投产品）均符合国家有关强制规定。</w:t>
      </w:r>
    </w:p>
    <w:p w14:paraId="4E24A7C5">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5、如我方中标，我方承诺在收到中标通知书后，在中标通知书规定的期限内，</w:t>
      </w:r>
      <w:r>
        <w:rPr>
          <w:rFonts w:hint="eastAsia" w:hAnsi="宋体" w:eastAsia="宋体" w:cs="Times New Roman"/>
          <w:color w:val="auto"/>
          <w:highlight w:val="none"/>
        </w:rPr>
        <w:t>根据招标文件、我方的投标文件及有关澄清承诺书的要求按第五章“拟签订的合同文本”与采购人订立书面合同，并按照合同约定</w:t>
      </w:r>
      <w:r>
        <w:rPr>
          <w:rFonts w:hint="eastAsia" w:eastAsia="宋体" w:cs="Times New Roman"/>
          <w:color w:val="auto"/>
          <w:highlight w:val="none"/>
        </w:rPr>
        <w:t>承担完成合同的责任和义务。</w:t>
      </w:r>
    </w:p>
    <w:p w14:paraId="7FEE09CF">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6、我方已详细审核招标文件，我方知道必须放弃提出含糊不清或误解问题的权利。</w:t>
      </w:r>
    </w:p>
    <w:p w14:paraId="77151C88">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7、我方同意应贵方要求提供与本投标有关的任何数据或资料。若贵方需要，我方愿意提供我方作出的一切承诺的证明材料。</w:t>
      </w:r>
    </w:p>
    <w:p w14:paraId="0BF457BB">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8、我方完全理解贵方不一定接受投标报价最低的投标人为中标</w:t>
      </w:r>
      <w:r>
        <w:rPr>
          <w:rFonts w:hint="eastAsia" w:cs="Times New Roman"/>
          <w:color w:val="auto"/>
          <w:highlight w:val="none"/>
          <w:lang w:val="en-US" w:eastAsia="zh-CN"/>
        </w:rPr>
        <w:t>人</w:t>
      </w:r>
      <w:r>
        <w:rPr>
          <w:rFonts w:hint="eastAsia" w:eastAsia="宋体" w:cs="Times New Roman"/>
          <w:color w:val="auto"/>
          <w:highlight w:val="none"/>
        </w:rPr>
        <w:t>的行为。</w:t>
      </w:r>
    </w:p>
    <w:p w14:paraId="4223A0CF">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9、我方将严格遵守《中华人民共和国政府采购法》第七十七条的规定，即供应商有下列情形之一的，处以采购金额千分之五以上千分之十</w:t>
      </w:r>
      <w:r>
        <w:rPr>
          <w:rFonts w:hint="eastAsia" w:hAnsi="宋体" w:eastAsia="宋体" w:cs="Times New Roman"/>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1D6C4B67">
      <w:pPr>
        <w:pStyle w:val="14"/>
        <w:numPr>
          <w:ilvl w:val="0"/>
          <w:numId w:val="6"/>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提供虚假材料谋取中标、成交的；</w:t>
      </w:r>
    </w:p>
    <w:p w14:paraId="6059A4B0">
      <w:pPr>
        <w:pStyle w:val="14"/>
        <w:numPr>
          <w:ilvl w:val="0"/>
          <w:numId w:val="6"/>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采取不正当手段诋毁、排挤其他供应商的；</w:t>
      </w:r>
    </w:p>
    <w:p w14:paraId="02A73430">
      <w:pPr>
        <w:pStyle w:val="14"/>
        <w:numPr>
          <w:ilvl w:val="0"/>
          <w:numId w:val="6"/>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与采购人、其他供应商或者采购代理机构恶意串通的；</w:t>
      </w:r>
    </w:p>
    <w:p w14:paraId="7F9218B0">
      <w:pPr>
        <w:pStyle w:val="14"/>
        <w:numPr>
          <w:ilvl w:val="0"/>
          <w:numId w:val="6"/>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向采购人、采购代理机构行贿或者提供其他不正当利益的；</w:t>
      </w:r>
    </w:p>
    <w:p w14:paraId="2C871D9C">
      <w:pPr>
        <w:pStyle w:val="14"/>
        <w:numPr>
          <w:ilvl w:val="0"/>
          <w:numId w:val="6"/>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在招标采购过程中与采购人进行协商谈判的；</w:t>
      </w:r>
    </w:p>
    <w:p w14:paraId="686E404E">
      <w:pPr>
        <w:pStyle w:val="14"/>
        <w:numPr>
          <w:ilvl w:val="0"/>
          <w:numId w:val="6"/>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拒绝有关部门监督检查或提供虚假情况的。</w:t>
      </w:r>
    </w:p>
    <w:p w14:paraId="04FEAF1A">
      <w:pPr>
        <w:pStyle w:val="14"/>
        <w:spacing w:line="360" w:lineRule="auto"/>
        <w:ind w:firstLine="420"/>
        <w:rPr>
          <w:rFonts w:hint="eastAsia" w:eastAsia="宋体" w:cs="Times New Roman"/>
          <w:color w:val="auto"/>
          <w:highlight w:val="none"/>
        </w:rPr>
      </w:pPr>
      <w:r>
        <w:rPr>
          <w:rFonts w:hint="eastAsia" w:eastAsia="宋体" w:cs="Times New Roman"/>
          <w:color w:val="auto"/>
          <w:highlight w:val="none"/>
        </w:rPr>
        <w:t>10、以上事项如有虚假或</w:t>
      </w:r>
      <w:r>
        <w:rPr>
          <w:rFonts w:hint="eastAsia"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lang w:val="en-US" w:eastAsia="zh-CN"/>
        </w:rPr>
        <w:t>者</w:t>
      </w:r>
      <w:r>
        <w:rPr>
          <w:rFonts w:hint="eastAsia" w:eastAsia="宋体" w:cs="Times New Roman"/>
          <w:color w:val="auto"/>
          <w:highlight w:val="none"/>
        </w:rPr>
        <w:t>免除法律责任的辩解。</w:t>
      </w:r>
    </w:p>
    <w:p w14:paraId="31FD1831">
      <w:pPr>
        <w:pStyle w:val="14"/>
        <w:spacing w:line="360" w:lineRule="auto"/>
        <w:ind w:firstLine="420"/>
        <w:rPr>
          <w:rFonts w:hint="eastAsia" w:eastAsia="宋体" w:cs="Times New Roman"/>
          <w:color w:val="auto"/>
          <w:highlight w:val="none"/>
        </w:rPr>
      </w:pPr>
      <w:r>
        <w:rPr>
          <w:rFonts w:hint="eastAsia" w:eastAsia="宋体" w:cs="Times New Roman"/>
          <w:color w:val="auto"/>
          <w:highlight w:val="none"/>
        </w:rPr>
        <w:t>1</w:t>
      </w:r>
      <w:r>
        <w:rPr>
          <w:rFonts w:hint="eastAsia" w:cs="Times New Roman"/>
          <w:color w:val="auto"/>
          <w:highlight w:val="none"/>
          <w:lang w:val="en-US" w:eastAsia="zh-CN"/>
        </w:rPr>
        <w:t>1</w:t>
      </w:r>
      <w:r>
        <w:rPr>
          <w:rFonts w:hint="eastAsia" w:eastAsia="宋体" w:cs="Times New Roman"/>
          <w:color w:val="auto"/>
          <w:highlight w:val="none"/>
        </w:rPr>
        <w:t>、与本投标有关的一切正式往来信函请寄：</w:t>
      </w:r>
    </w:p>
    <w:p w14:paraId="53B1B2E1">
      <w:pPr>
        <w:pStyle w:val="14"/>
        <w:spacing w:line="360" w:lineRule="auto"/>
        <w:ind w:firstLine="420"/>
        <w:rPr>
          <w:rFonts w:hint="eastAsia" w:eastAsia="宋体" w:cs="Times New Roman"/>
          <w:color w:val="auto"/>
          <w:highlight w:val="none"/>
        </w:rPr>
      </w:pPr>
      <w:r>
        <w:rPr>
          <w:rFonts w:hint="eastAsia" w:eastAsia="宋体" w:cs="Times New Roman"/>
          <w:color w:val="auto"/>
          <w:highlight w:val="none"/>
        </w:rPr>
        <w:t>地址：</w:t>
      </w:r>
      <w:r>
        <w:rPr>
          <w:rFonts w:hint="eastAsia" w:eastAsia="宋体" w:cs="Times New Roman"/>
          <w:color w:val="auto"/>
          <w:highlight w:val="none"/>
          <w:u w:val="single"/>
        </w:rPr>
        <w:t xml:space="preserve">                                                        </w:t>
      </w:r>
      <w:r>
        <w:rPr>
          <w:rFonts w:hint="eastAsia" w:eastAsia="宋体" w:cs="Times New Roman"/>
          <w:color w:val="auto"/>
          <w:highlight w:val="none"/>
        </w:rPr>
        <w:t xml:space="preserve"> </w:t>
      </w:r>
    </w:p>
    <w:p w14:paraId="38606988">
      <w:pPr>
        <w:pStyle w:val="14"/>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电话：</w:t>
      </w:r>
      <w:r>
        <w:rPr>
          <w:rFonts w:hint="eastAsia" w:eastAsia="宋体" w:cs="Times New Roman"/>
          <w:color w:val="auto"/>
          <w:highlight w:val="none"/>
          <w:u w:val="single"/>
        </w:rPr>
        <w:t xml:space="preserve">                                      　　　　　　　　　</w:t>
      </w:r>
    </w:p>
    <w:p w14:paraId="76A8B984">
      <w:pPr>
        <w:pStyle w:val="14"/>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传真：</w:t>
      </w:r>
      <w:r>
        <w:rPr>
          <w:rFonts w:hint="eastAsia" w:eastAsia="宋体" w:cs="Times New Roman"/>
          <w:color w:val="auto"/>
          <w:highlight w:val="none"/>
          <w:u w:val="single"/>
        </w:rPr>
        <w:t>　　　　　　　　　　　　　　　　　　　　　　　　　　　　</w:t>
      </w:r>
    </w:p>
    <w:p w14:paraId="4AE827E6">
      <w:pPr>
        <w:pStyle w:val="9"/>
        <w:spacing w:line="360" w:lineRule="auto"/>
        <w:ind w:left="0" w:firstLine="420" w:firstLineChars="200"/>
        <w:rPr>
          <w:rFonts w:hint="eastAsia"/>
          <w:color w:val="auto"/>
        </w:rPr>
      </w:pPr>
      <w:r>
        <w:rPr>
          <w:rFonts w:hint="eastAsia"/>
          <w:color w:val="auto"/>
          <w:u w:val="none"/>
        </w:rPr>
        <w:t>电子邮箱：</w:t>
      </w:r>
      <w:r>
        <w:rPr>
          <w:rFonts w:hint="eastAsia" w:eastAsia="宋体" w:cs="Times New Roman"/>
          <w:color w:val="auto"/>
          <w:highlight w:val="none"/>
          <w:u w:val="single"/>
        </w:rPr>
        <w:t>　　　　　　　　　　　　　　　　　　　　　　　　　　</w:t>
      </w:r>
    </w:p>
    <w:p w14:paraId="3D08DBC8">
      <w:pPr>
        <w:pStyle w:val="14"/>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邮政编码：</w:t>
      </w:r>
      <w:r>
        <w:rPr>
          <w:rFonts w:hint="eastAsia" w:eastAsia="宋体" w:cs="Times New Roman"/>
          <w:color w:val="auto"/>
          <w:highlight w:val="none"/>
          <w:u w:val="single"/>
        </w:rPr>
        <w:t xml:space="preserve">                                                    </w:t>
      </w:r>
    </w:p>
    <w:p w14:paraId="15B2BBAB">
      <w:pPr>
        <w:pStyle w:val="14"/>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开户名称：</w:t>
      </w:r>
      <w:r>
        <w:rPr>
          <w:rFonts w:hint="eastAsia" w:eastAsia="宋体" w:cs="Times New Roman"/>
          <w:color w:val="auto"/>
          <w:highlight w:val="none"/>
          <w:u w:val="single"/>
        </w:rPr>
        <w:t xml:space="preserve">                                                    </w:t>
      </w:r>
    </w:p>
    <w:p w14:paraId="15A5815A">
      <w:pPr>
        <w:pStyle w:val="14"/>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开户银行：</w:t>
      </w:r>
      <w:r>
        <w:rPr>
          <w:rFonts w:hint="eastAsia" w:eastAsia="宋体" w:cs="Times New Roman"/>
          <w:color w:val="auto"/>
          <w:highlight w:val="none"/>
          <w:u w:val="single"/>
        </w:rPr>
        <w:t xml:space="preserve">                                                    </w:t>
      </w:r>
    </w:p>
    <w:p w14:paraId="3E93E439">
      <w:pPr>
        <w:pStyle w:val="14"/>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银行账号：</w:t>
      </w:r>
      <w:r>
        <w:rPr>
          <w:rFonts w:hint="eastAsia" w:eastAsia="宋体" w:cs="Times New Roman"/>
          <w:color w:val="auto"/>
          <w:highlight w:val="none"/>
          <w:u w:val="single"/>
        </w:rPr>
        <w:t xml:space="preserve">                                                    </w:t>
      </w:r>
    </w:p>
    <w:p w14:paraId="7CF4FC0B">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7B87B128">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61DE3055">
      <w:pPr>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0FB290DC">
      <w:pP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49DF1F9">
      <w:pPr>
        <w:widowControl/>
        <w:spacing w:line="360" w:lineRule="auto"/>
        <w:jc w:val="left"/>
        <w:rPr>
          <w:rFonts w:ascii="仿宋_GB2312" w:hAnsi="仿宋" w:eastAsia="仿宋_GB2312" w:cs="仿宋_GB2312"/>
          <w:color w:val="auto"/>
          <w:kern w:val="0"/>
          <w:sz w:val="24"/>
          <w:highlight w:val="none"/>
          <w:lang w:val="zh-CN"/>
        </w:rPr>
        <w:sectPr>
          <w:pgSz w:w="11905" w:h="16838"/>
          <w:pgMar w:top="1134" w:right="1134" w:bottom="1134" w:left="1134" w:header="850" w:footer="850" w:gutter="0"/>
          <w:pgNumType w:fmt="decimal"/>
          <w:cols w:space="0" w:num="1"/>
          <w:titlePg/>
          <w:rtlGutter w:val="0"/>
          <w:docGrid w:linePitch="331" w:charSpace="0"/>
        </w:sectPr>
      </w:pPr>
    </w:p>
    <w:p w14:paraId="7E30CFB4">
      <w:pPr>
        <w:pStyle w:val="14"/>
        <w:spacing w:line="360" w:lineRule="auto"/>
        <w:jc w:val="left"/>
        <w:rPr>
          <w:rFonts w:hint="eastAsia" w:hAnsi="宋体" w:cs="宋体"/>
          <w:b/>
          <w:bCs w:val="0"/>
          <w:color w:val="auto"/>
          <w:sz w:val="28"/>
          <w:szCs w:val="28"/>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w:t>
      </w:r>
      <w:r>
        <w:rPr>
          <w:rFonts w:hint="eastAsia" w:hAnsi="宋体" w:cs="宋体"/>
          <w:b/>
          <w:bCs w:val="0"/>
          <w:color w:val="auto"/>
          <w:sz w:val="28"/>
          <w:szCs w:val="28"/>
          <w:highlight w:val="none"/>
          <w:lang w:eastAsia="zh-CN"/>
        </w:rPr>
        <w:t>的</w:t>
      </w:r>
      <w:r>
        <w:rPr>
          <w:rFonts w:hint="eastAsia" w:ascii="宋体" w:hAnsi="宋体" w:eastAsia="宋体" w:cs="宋体"/>
          <w:b/>
          <w:bCs w:val="0"/>
          <w:color w:val="auto"/>
          <w:sz w:val="28"/>
          <w:szCs w:val="28"/>
          <w:highlight w:val="none"/>
        </w:rPr>
        <w:t>格式</w:t>
      </w:r>
      <w:r>
        <w:rPr>
          <w:rFonts w:hint="eastAsia" w:hAnsi="宋体" w:cs="宋体"/>
          <w:b/>
          <w:bCs w:val="0"/>
          <w:color w:val="auto"/>
          <w:sz w:val="28"/>
          <w:szCs w:val="28"/>
          <w:highlight w:val="none"/>
          <w:lang w:eastAsia="zh-CN"/>
        </w:rPr>
        <w:t>：</w:t>
      </w:r>
    </w:p>
    <w:p w14:paraId="7BB35C54">
      <w:pPr>
        <w:pStyle w:val="14"/>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开标一览表</w:t>
      </w:r>
      <w:r>
        <w:rPr>
          <w:rFonts w:hint="eastAsia" w:ascii="仿宋_GB2312" w:hAnsi="仿宋" w:eastAsia="仿宋_GB2312" w:cs="仿宋_GB2312"/>
          <w:b/>
          <w:color w:val="auto"/>
          <w:kern w:val="0"/>
          <w:sz w:val="24"/>
          <w:highlight w:val="none"/>
          <w:lang w:val="zh-CN"/>
        </w:rPr>
        <w:t>(单位均为人民币元)</w:t>
      </w:r>
    </w:p>
    <w:p w14:paraId="4C5BCE43">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项目名称：</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7A31D5DC">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项目编号：</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421910A1">
      <w:pPr>
        <w:snapToGrid w:val="0"/>
        <w:spacing w:before="50" w:after="50" w:line="360" w:lineRule="auto"/>
        <w:rPr>
          <w:rFonts w:hint="eastAsia" w:ascii="宋体" w:hAnsi="宋体" w:eastAsia="宋体" w:cs="Times New Roman"/>
          <w:color w:val="auto"/>
          <w:sz w:val="24"/>
          <w:highlight w:val="none"/>
          <w:u w:val="single"/>
        </w:rPr>
      </w:pPr>
      <w:r>
        <w:rPr>
          <w:rFonts w:hint="eastAsia" w:ascii="宋体" w:hAnsi="宋体" w:cs="宋体"/>
          <w:bCs/>
          <w:color w:val="auto"/>
          <w:sz w:val="24"/>
        </w:rPr>
        <w:t>所投分标（如有则填写，无分标时填写“无”或者留空）：</w:t>
      </w:r>
      <w:r>
        <w:rPr>
          <w:rFonts w:hint="eastAsia" w:ascii="宋体" w:hAnsi="宋体" w:cs="宋体"/>
          <w:color w:val="auto"/>
          <w:sz w:val="24"/>
          <w:u w:val="single"/>
        </w:rPr>
        <w:t xml:space="preserve">           </w:t>
      </w:r>
      <w:r>
        <w:rPr>
          <w:rFonts w:hint="eastAsia" w:ascii="宋体" w:hAnsi="宋体" w:cs="Times New Roman"/>
          <w:color w:val="auto"/>
          <w:sz w:val="24"/>
          <w:highlight w:val="none"/>
          <w:u w:val="none"/>
          <w:lang w:val="en-US" w:eastAsia="zh-CN"/>
        </w:rPr>
        <w:t xml:space="preserve">                    </w:t>
      </w:r>
    </w:p>
    <w:tbl>
      <w:tblPr>
        <w:tblStyle w:val="21"/>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92"/>
        <w:gridCol w:w="2232"/>
        <w:gridCol w:w="1080"/>
        <w:gridCol w:w="1260"/>
        <w:gridCol w:w="2473"/>
        <w:gridCol w:w="957"/>
      </w:tblGrid>
      <w:tr w14:paraId="33A3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73EE80D">
            <w:pP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序号</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C2642FB">
            <w:pPr>
              <w:rPr>
                <w:rFonts w:hint="eastAsia" w:ascii="宋体" w:hAnsi="宋体" w:eastAsia="宋体" w:cs="Times New Roman"/>
                <w:color w:val="auto"/>
                <w:szCs w:val="22"/>
                <w:highlight w:val="none"/>
              </w:rPr>
            </w:pPr>
            <w:r>
              <w:rPr>
                <w:rFonts w:hint="eastAsia" w:ascii="宋体" w:hAnsi="宋体" w:cs="Times New Roman"/>
                <w:color w:val="auto"/>
                <w:szCs w:val="22"/>
                <w:highlight w:val="none"/>
                <w:lang w:eastAsia="zh-CN"/>
              </w:rPr>
              <w:t>标的</w:t>
            </w:r>
            <w:r>
              <w:rPr>
                <w:rFonts w:hint="eastAsia" w:ascii="宋体" w:hAnsi="宋体" w:eastAsia="宋体" w:cs="Times New Roman"/>
                <w:color w:val="auto"/>
                <w:szCs w:val="22"/>
                <w:highlight w:val="none"/>
              </w:rPr>
              <w:t>名称</w:t>
            </w:r>
          </w:p>
        </w:tc>
        <w:tc>
          <w:tcPr>
            <w:tcW w:w="2232" w:type="dxa"/>
            <w:tcBorders>
              <w:top w:val="single" w:color="auto" w:sz="4" w:space="0"/>
              <w:left w:val="single" w:color="auto" w:sz="4" w:space="0"/>
              <w:bottom w:val="single" w:color="auto" w:sz="4" w:space="0"/>
              <w:right w:val="single" w:color="auto" w:sz="4" w:space="0"/>
            </w:tcBorders>
            <w:noWrap w:val="0"/>
            <w:vAlign w:val="center"/>
          </w:tcPr>
          <w:p w14:paraId="207886B8">
            <w:pPr>
              <w:jc w:val="center"/>
              <w:rPr>
                <w:rFonts w:hint="default" w:ascii="宋体" w:hAnsi="宋体" w:eastAsia="宋体" w:cs="Times New Roman"/>
                <w:color w:val="auto"/>
                <w:szCs w:val="22"/>
                <w:highlight w:val="none"/>
                <w:lang w:val="en-US" w:eastAsia="zh-CN"/>
              </w:rPr>
            </w:pPr>
            <w:r>
              <w:rPr>
                <w:rFonts w:hint="eastAsia" w:ascii="宋体" w:hAnsi="宋体" w:cs="Times New Roman"/>
                <w:color w:val="auto"/>
                <w:szCs w:val="22"/>
                <w:highlight w:val="none"/>
                <w:lang w:val="en-US" w:eastAsia="zh-CN"/>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BEC83E">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数量</w:t>
            </w:r>
            <w:r>
              <w:rPr>
                <w:rFonts w:hint="eastAsia" w:ascii="宋体" w:hAnsi="宋体" w:cs="Times New Roman"/>
                <w:color w:val="auto"/>
                <w:szCs w:val="22"/>
                <w:highlight w:val="none"/>
                <w:lang w:eastAsia="zh-CN"/>
              </w:rPr>
              <w:t>及单位</w:t>
            </w:r>
            <w:r>
              <w:rPr>
                <w:rFonts w:hint="eastAsia" w:ascii="宋体" w:hAnsi="宋体" w:eastAsia="宋体" w:cs="Times New Roman"/>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B15C99C">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单价(元)②</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C7BCE4E">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单项合价（元）</w:t>
            </w:r>
          </w:p>
          <w:p w14:paraId="2FD933EA">
            <w:pPr>
              <w:spacing w:line="360" w:lineRule="auto"/>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29CF0F68">
            <w:pP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备注</w:t>
            </w:r>
          </w:p>
        </w:tc>
      </w:tr>
      <w:tr w14:paraId="01A6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F531A3">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DB7CBAD">
            <w:pPr>
              <w:rPr>
                <w:rFonts w:hint="eastAsia" w:ascii="宋体" w:hAnsi="宋体" w:eastAsia="宋体" w:cs="Times New Roman"/>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1A930FB1">
            <w:pPr>
              <w:rPr>
                <w:rFonts w:hint="eastAsia" w:ascii="宋体" w:hAnsi="宋体" w:eastAsia="宋体" w:cs="Times New Roman"/>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C5D179">
            <w:pPr>
              <w:rPr>
                <w:rFonts w:hint="eastAsia" w:ascii="宋体" w:hAnsi="宋体" w:eastAsia="宋体" w:cs="Times New Roman"/>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22A54C">
            <w:pPr>
              <w:rPr>
                <w:rFonts w:hint="eastAsia" w:ascii="宋体" w:hAnsi="宋体" w:eastAsia="宋体" w:cs="Times New Roman"/>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3B05D41">
            <w:pPr>
              <w:rPr>
                <w:rFonts w:hint="eastAsia" w:ascii="宋体" w:hAnsi="宋体" w:eastAsia="宋体" w:cs="Times New Roman"/>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0EDF0EB6">
            <w:pPr>
              <w:rPr>
                <w:rFonts w:hint="eastAsia" w:ascii="宋体" w:hAnsi="宋体" w:eastAsia="宋体" w:cs="Times New Roman"/>
                <w:color w:val="auto"/>
                <w:szCs w:val="22"/>
                <w:highlight w:val="none"/>
              </w:rPr>
            </w:pPr>
          </w:p>
        </w:tc>
      </w:tr>
      <w:tr w14:paraId="07D1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6799288">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949A6D0">
            <w:pPr>
              <w:rPr>
                <w:rFonts w:hint="eastAsia" w:ascii="宋体" w:hAnsi="宋体" w:eastAsia="宋体" w:cs="Times New Roman"/>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4C10853B">
            <w:pPr>
              <w:rPr>
                <w:rFonts w:hint="eastAsia" w:ascii="宋体" w:hAnsi="宋体" w:eastAsia="宋体" w:cs="Times New Roman"/>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B2B8916">
            <w:pPr>
              <w:rPr>
                <w:rFonts w:hint="eastAsia" w:ascii="宋体" w:hAnsi="宋体" w:eastAsia="宋体" w:cs="Times New Roman"/>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9B8804">
            <w:pPr>
              <w:rPr>
                <w:rFonts w:hint="eastAsia" w:ascii="宋体" w:hAnsi="宋体" w:eastAsia="宋体" w:cs="Times New Roman"/>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72DA52F">
            <w:pPr>
              <w:rPr>
                <w:rFonts w:hint="eastAsia" w:ascii="宋体" w:hAnsi="宋体" w:eastAsia="宋体" w:cs="Times New Roman"/>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68915F5F">
            <w:pPr>
              <w:rPr>
                <w:rFonts w:hint="eastAsia" w:ascii="宋体" w:hAnsi="宋体" w:eastAsia="宋体" w:cs="Times New Roman"/>
                <w:color w:val="auto"/>
                <w:szCs w:val="22"/>
                <w:highlight w:val="none"/>
              </w:rPr>
            </w:pPr>
          </w:p>
        </w:tc>
      </w:tr>
      <w:tr w14:paraId="3B67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F883C6">
            <w:pPr>
              <w:rPr>
                <w:rFonts w:hint="default"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A79EE59">
            <w:pPr>
              <w:rPr>
                <w:rFonts w:hint="eastAsia" w:ascii="宋体" w:hAnsi="宋体" w:eastAsia="宋体" w:cs="Times New Roman"/>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60F6E5B6">
            <w:pPr>
              <w:rPr>
                <w:rFonts w:hint="eastAsia" w:ascii="宋体" w:hAnsi="宋体" w:eastAsia="宋体" w:cs="Times New Roman"/>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B34C6B">
            <w:pPr>
              <w:rPr>
                <w:rFonts w:hint="eastAsia" w:ascii="宋体" w:hAnsi="宋体" w:eastAsia="宋体" w:cs="Times New Roman"/>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420601">
            <w:pPr>
              <w:rPr>
                <w:rFonts w:hint="eastAsia" w:ascii="宋体" w:hAnsi="宋体" w:eastAsia="宋体" w:cs="Times New Roman"/>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EE008C6">
            <w:pPr>
              <w:rPr>
                <w:rFonts w:hint="eastAsia" w:ascii="宋体" w:hAnsi="宋体" w:eastAsia="宋体" w:cs="Times New Roman"/>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C77A295">
            <w:pPr>
              <w:rPr>
                <w:rFonts w:hint="eastAsia" w:ascii="宋体" w:hAnsi="宋体" w:eastAsia="宋体" w:cs="Times New Roman"/>
                <w:color w:val="auto"/>
                <w:szCs w:val="22"/>
                <w:highlight w:val="none"/>
              </w:rPr>
            </w:pPr>
          </w:p>
        </w:tc>
      </w:tr>
      <w:tr w14:paraId="18C1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4CBFC663">
            <w:pPr>
              <w:rPr>
                <w:rFonts w:hint="eastAsia" w:ascii="宋体" w:hAnsi="宋体" w:cs="宋体"/>
                <w:color w:val="auto"/>
                <w:szCs w:val="22"/>
                <w:highlight w:val="none"/>
              </w:rPr>
            </w:pPr>
            <w:r>
              <w:rPr>
                <w:rFonts w:hint="eastAsia" w:hAnsi="宋体" w:cs="宋体"/>
                <w:color w:val="auto"/>
                <w:highlight w:val="none"/>
                <w:lang w:eastAsia="zh-CN"/>
              </w:rPr>
              <w:t>投标总</w:t>
            </w:r>
            <w:r>
              <w:rPr>
                <w:rFonts w:hint="eastAsia" w:ascii="宋体" w:hAnsi="宋体" w:cs="宋体"/>
                <w:color w:val="auto"/>
                <w:szCs w:val="22"/>
                <w:highlight w:val="none"/>
              </w:rPr>
              <w:t>报价</w:t>
            </w:r>
            <w:r>
              <w:rPr>
                <w:rFonts w:hint="eastAsia" w:ascii="宋体" w:hAnsi="宋体" w:eastAsia="宋体" w:cs="Times New Roman"/>
                <w:color w:val="auto"/>
                <w:szCs w:val="21"/>
                <w:highlight w:val="none"/>
              </w:rPr>
              <w:t>（包含税费等所有费用）：</w:t>
            </w:r>
            <w:r>
              <w:rPr>
                <w:rFonts w:hint="eastAsia" w:ascii="宋体" w:hAnsi="宋体" w:cs="宋体"/>
                <w:color w:val="auto"/>
                <w:szCs w:val="22"/>
                <w:highlight w:val="none"/>
              </w:rPr>
              <w:t xml:space="preserve">（大写）人民币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r>
              <w:rPr>
                <w:rFonts w:hint="eastAsia" w:ascii="宋体" w:hAnsi="宋体" w:cs="宋体"/>
                <w:color w:val="auto"/>
                <w:szCs w:val="22"/>
                <w:highlight w:val="none"/>
                <w:lang w:eastAsia="zh-CN"/>
              </w:rPr>
              <w:t>小写</w:t>
            </w:r>
            <w:r>
              <w:rPr>
                <w:rFonts w:hint="eastAsia" w:ascii="宋体" w:hAnsi="宋体" w:cs="宋体"/>
                <w:color w:val="auto"/>
                <w:szCs w:val="22"/>
                <w:highlight w:val="none"/>
              </w:rPr>
              <w:t>）</w:t>
            </w:r>
            <w:r>
              <w:rPr>
                <w:rFonts w:hint="eastAsia" w:ascii="宋体" w:hAnsi="宋体" w:cs="宋体"/>
                <w:color w:val="auto"/>
                <w:szCs w:val="22"/>
                <w:highlight w:val="none"/>
                <w:lang w:eastAsia="zh-CN"/>
              </w:rPr>
              <w:t>¥</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u w:val="single"/>
              </w:rPr>
              <w:t xml:space="preserve">  </w:t>
            </w:r>
          </w:p>
          <w:p w14:paraId="5533DCED">
            <w:pPr>
              <w:jc w:val="left"/>
              <w:rPr>
                <w:rFonts w:hint="eastAsia" w:ascii="宋体" w:hAnsi="宋体" w:eastAsia="宋体" w:cs="Times New Roman"/>
                <w:color w:val="auto"/>
                <w:szCs w:val="22"/>
                <w:highlight w:val="none"/>
              </w:rPr>
            </w:pPr>
            <w:r>
              <w:rPr>
                <w:rFonts w:hint="eastAsia" w:ascii="宋体" w:hAnsi="宋体" w:cs="Times New Roman"/>
                <w:color w:val="auto"/>
                <w:szCs w:val="21"/>
                <w:highlight w:val="none"/>
                <w:lang w:eastAsia="zh-CN"/>
              </w:rPr>
              <w:t>服务期限：</w:t>
            </w:r>
          </w:p>
        </w:tc>
      </w:tr>
    </w:tbl>
    <w:p w14:paraId="63952835">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161F9A1F">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投标人需按本表格式填写，不得自行更改，也不得留空</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除外</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highlight w:val="none"/>
          <w:lang w:val="zh-CN"/>
        </w:rPr>
        <w:t>, 如有多分标，按分标分别提供开标一览表，必须加盖投标人有效公章，</w:t>
      </w:r>
      <w:r>
        <w:rPr>
          <w:rFonts w:hint="eastAsia" w:ascii="宋体" w:hAnsi="宋体" w:eastAsia="宋体" w:cs="宋体"/>
          <w:b/>
          <w:color w:val="auto"/>
          <w:kern w:val="0"/>
          <w:sz w:val="24"/>
          <w:highlight w:val="none"/>
          <w:lang w:val="zh-CN"/>
        </w:rPr>
        <w:t>否则其投标作无效标处理。</w:t>
      </w:r>
    </w:p>
    <w:p w14:paraId="00AB79E6">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2、本表内容均不能涂改，</w:t>
      </w:r>
      <w:r>
        <w:rPr>
          <w:rFonts w:hint="eastAsia" w:ascii="宋体" w:hAnsi="宋体" w:eastAsia="宋体" w:cs="宋体"/>
          <w:b/>
          <w:color w:val="auto"/>
          <w:kern w:val="0"/>
          <w:sz w:val="24"/>
          <w:highlight w:val="none"/>
          <w:lang w:val="zh-CN"/>
        </w:rPr>
        <w:t>否则其投标作无效标处理。</w:t>
      </w:r>
    </w:p>
    <w:p w14:paraId="2FBEC2A0">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w:t>
      </w:r>
      <w:r>
        <w:rPr>
          <w:rFonts w:hint="eastAsia" w:ascii="宋体" w:hAnsi="宋体" w:cs="宋体"/>
          <w:color w:val="auto"/>
          <w:kern w:val="0"/>
          <w:sz w:val="24"/>
          <w:highlight w:val="none"/>
          <w:lang w:val="en-US" w:eastAsia="zh-CN"/>
        </w:rPr>
        <w:t>请</w:t>
      </w:r>
      <w:r>
        <w:rPr>
          <w:rFonts w:hint="eastAsia" w:ascii="宋体" w:hAnsi="宋体" w:eastAsia="宋体" w:cs="宋体"/>
          <w:color w:val="auto"/>
          <w:sz w:val="24"/>
          <w:szCs w:val="24"/>
          <w:highlight w:val="none"/>
        </w:rPr>
        <w:t>根据所投</w:t>
      </w:r>
      <w:r>
        <w:rPr>
          <w:rFonts w:hint="eastAsia" w:hAnsi="宋体" w:cs="宋体"/>
          <w:color w:val="auto"/>
          <w:sz w:val="24"/>
          <w:szCs w:val="24"/>
          <w:highlight w:val="none"/>
          <w:lang w:eastAsia="zh-CN"/>
        </w:rPr>
        <w:t>服务内容</w:t>
      </w:r>
      <w:r>
        <w:rPr>
          <w:rFonts w:hint="eastAsia" w:ascii="宋体" w:hAnsi="宋体" w:eastAsia="宋体" w:cs="宋体"/>
          <w:color w:val="auto"/>
          <w:sz w:val="24"/>
          <w:szCs w:val="24"/>
          <w:highlight w:val="none"/>
        </w:rPr>
        <w:t>，</w:t>
      </w:r>
      <w:r>
        <w:rPr>
          <w:rFonts w:hint="eastAsia" w:ascii="宋体" w:hAnsi="宋体" w:eastAsia="宋体" w:cs="宋体"/>
          <w:b w:val="0"/>
          <w:color w:val="auto"/>
          <w:sz w:val="24"/>
          <w:szCs w:val="24"/>
          <w:highlight w:val="none"/>
        </w:rPr>
        <w:t>逐条对应</w:t>
      </w:r>
      <w:r>
        <w:rPr>
          <w:rFonts w:hint="eastAsia" w:ascii="宋体" w:hAnsi="宋体" w:eastAsia="宋体" w:cs="宋体"/>
          <w:color w:val="auto"/>
          <w:sz w:val="24"/>
          <w:szCs w:val="24"/>
          <w:highlight w:val="none"/>
        </w:rPr>
        <w:t>本项目招标文件“第二章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eastAsia="zh-CN"/>
        </w:rPr>
        <w:t>服务要求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eastAsia="zh-CN"/>
        </w:rPr>
        <w:t>内容</w:t>
      </w:r>
      <w:r>
        <w:rPr>
          <w:rFonts w:hint="eastAsia" w:ascii="宋体" w:hAnsi="宋体" w:eastAsia="宋体" w:cs="宋体"/>
          <w:color w:val="auto"/>
          <w:sz w:val="24"/>
          <w:szCs w:val="24"/>
          <w:highlight w:val="none"/>
        </w:rPr>
        <w:t>详细填写相应的具体内容。</w:t>
      </w:r>
    </w:p>
    <w:p w14:paraId="76C1F46B">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、特别提示：采购代理机构将对项目名称和项目编号，中标</w:t>
      </w:r>
      <w:r>
        <w:rPr>
          <w:rFonts w:hint="eastAsia" w:ascii="宋体" w:hAnsi="宋体" w:eastAsia="宋体" w:cs="宋体"/>
          <w:color w:val="auto"/>
          <w:kern w:val="0"/>
          <w:sz w:val="24"/>
          <w:highlight w:val="none"/>
          <w:lang w:val="en-US" w:eastAsia="zh-CN"/>
        </w:rPr>
        <w:t>人</w:t>
      </w:r>
      <w:r>
        <w:rPr>
          <w:rFonts w:hint="eastAsia" w:ascii="宋体" w:hAnsi="宋体" w:eastAsia="宋体" w:cs="宋体"/>
          <w:color w:val="auto"/>
          <w:kern w:val="0"/>
          <w:sz w:val="24"/>
          <w:highlight w:val="none"/>
          <w:lang w:val="zh-CN"/>
        </w:rPr>
        <w:t>名称、地址和中标金额，主要中标标的的名称、服务范围、服务要求、服务时间、服务标准等予以公示。</w:t>
      </w:r>
    </w:p>
    <w:p w14:paraId="73168319">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5</w:t>
      </w:r>
      <w:r>
        <w:rPr>
          <w:rFonts w:hint="eastAsia" w:ascii="宋体" w:hAnsi="宋体" w:eastAsia="宋体" w:cs="宋体"/>
          <w:color w:val="auto"/>
          <w:kern w:val="0"/>
          <w:sz w:val="24"/>
          <w:szCs w:val="22"/>
          <w:highlight w:val="none"/>
          <w:lang w:val="zh-CN"/>
        </w:rPr>
        <w:t>、</w:t>
      </w:r>
      <w:r>
        <w:rPr>
          <w:rFonts w:hint="eastAsia" w:ascii="宋体" w:hAnsi="宋体" w:eastAsia="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BA76EDF">
      <w:pPr>
        <w:pStyle w:val="3"/>
        <w:rPr>
          <w:rFonts w:hint="eastAsia" w:ascii="宋体" w:hAnsi="宋体" w:eastAsia="宋体" w:cs="宋体"/>
          <w:color w:val="auto"/>
          <w:lang w:val="zh-CN"/>
        </w:rPr>
      </w:pPr>
    </w:p>
    <w:p w14:paraId="5173C598">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3B43196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17DB73D">
      <w:pPr>
        <w:widowControl/>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4E75DA7E">
      <w:pPr>
        <w:snapToGrid w:val="0"/>
        <w:spacing w:before="165" w:beforeLines="50" w:after="50"/>
        <w:jc w:val="center"/>
        <w:outlineLvl w:val="1"/>
        <w:rPr>
          <w:rFonts w:ascii="宋体" w:hAnsi="宋体" w:eastAsia="宋体" w:cs="Times New Roman"/>
          <w:b/>
          <w:bCs/>
          <w:color w:val="auto"/>
          <w:sz w:val="28"/>
          <w:szCs w:val="28"/>
          <w:highlight w:val="none"/>
        </w:rPr>
      </w:pPr>
      <w:bookmarkStart w:id="399" w:name="_Toc2783"/>
      <w:r>
        <w:rPr>
          <w:rFonts w:hint="eastAsia" w:ascii="宋体" w:hAnsi="宋体" w:eastAsia="宋体" w:cs="Times New Roman"/>
          <w:b/>
          <w:bCs/>
          <w:color w:val="auto"/>
          <w:sz w:val="28"/>
          <w:szCs w:val="28"/>
          <w:highlight w:val="none"/>
        </w:rPr>
        <w:t>第</w:t>
      </w:r>
      <w:r>
        <w:rPr>
          <w:rFonts w:hint="eastAsia" w:ascii="宋体" w:hAnsi="宋体" w:cs="Times New Roman"/>
          <w:b/>
          <w:bCs/>
          <w:color w:val="auto"/>
          <w:sz w:val="28"/>
          <w:szCs w:val="28"/>
          <w:highlight w:val="none"/>
          <w:lang w:eastAsia="zh-CN"/>
        </w:rPr>
        <w:t>五</w:t>
      </w:r>
      <w:r>
        <w:rPr>
          <w:rFonts w:hint="eastAsia" w:ascii="宋体" w:hAnsi="宋体" w:eastAsia="宋体" w:cs="Times New Roman"/>
          <w:b/>
          <w:bCs/>
          <w:color w:val="auto"/>
          <w:sz w:val="28"/>
          <w:szCs w:val="28"/>
          <w:highlight w:val="none"/>
        </w:rPr>
        <w:t>节 其他文书、文件格式</w:t>
      </w:r>
      <w:bookmarkEnd w:id="399"/>
    </w:p>
    <w:p w14:paraId="7F861162">
      <w:pPr>
        <w:pStyle w:val="14"/>
        <w:jc w:val="center"/>
        <w:rPr>
          <w:rFonts w:hint="eastAsia" w:ascii="Times New Roman" w:hAnsi="Times New Roman" w:eastAsia="宋体" w:cs="Times New Roman"/>
          <w:b/>
          <w:color w:val="auto"/>
          <w:sz w:val="30"/>
          <w:szCs w:val="30"/>
          <w:highlight w:val="none"/>
        </w:rPr>
      </w:pPr>
    </w:p>
    <w:p w14:paraId="4E008883">
      <w:pPr>
        <w:pStyle w:val="14"/>
        <w:jc w:val="left"/>
        <w:rPr>
          <w:rFonts w:hint="eastAsia" w:ascii="Times New Roman" w:hAnsi="Times New Roman" w:eastAsia="宋体" w:cs="Times New Roman"/>
          <w:b/>
          <w:color w:val="auto"/>
          <w:sz w:val="30"/>
          <w:szCs w:val="30"/>
          <w:highlight w:val="none"/>
        </w:rPr>
      </w:pPr>
      <w:r>
        <w:rPr>
          <w:rFonts w:hint="eastAsia" w:ascii="宋体" w:hAnsi="宋体" w:cs="宋体"/>
          <w:b/>
          <w:color w:val="auto"/>
          <w:sz w:val="28"/>
          <w:szCs w:val="28"/>
          <w:lang w:val="en-US" w:eastAsia="zh-CN"/>
        </w:rPr>
        <w:t>1.</w:t>
      </w:r>
      <w:r>
        <w:rPr>
          <w:rFonts w:hint="eastAsia" w:ascii="宋体" w:hAnsi="宋体" w:cs="宋体"/>
          <w:b/>
          <w:color w:val="auto"/>
          <w:sz w:val="28"/>
          <w:szCs w:val="28"/>
        </w:rPr>
        <w:t>中小企业声明函</w:t>
      </w:r>
      <w:r>
        <w:rPr>
          <w:rFonts w:hint="eastAsia" w:ascii="宋体" w:hAnsi="宋体" w:cs="宋体"/>
          <w:b/>
          <w:color w:val="auto"/>
          <w:sz w:val="28"/>
          <w:szCs w:val="28"/>
          <w:lang w:eastAsia="zh-CN"/>
        </w:rPr>
        <w:t>的格式：</w:t>
      </w:r>
    </w:p>
    <w:p w14:paraId="616397CF">
      <w:pPr>
        <w:pStyle w:val="14"/>
        <w:jc w:val="center"/>
        <w:rPr>
          <w:rFonts w:hint="eastAsia" w:ascii="Times New Roman" w:hAnsi="Times New Roman" w:eastAsia="宋体" w:cs="Times New Roman"/>
          <w:b/>
          <w:color w:val="auto"/>
          <w:sz w:val="30"/>
          <w:szCs w:val="30"/>
          <w:highlight w:val="none"/>
        </w:rPr>
      </w:pPr>
    </w:p>
    <w:p w14:paraId="36CF14C1">
      <w:pPr>
        <w:pStyle w:val="14"/>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中小企业声明函</w:t>
      </w:r>
    </w:p>
    <w:p w14:paraId="03AC7864">
      <w:pPr>
        <w:pStyle w:val="12"/>
        <w:spacing w:line="240" w:lineRule="auto"/>
        <w:ind w:firstLine="404" w:firstLineChars="200"/>
        <w:rPr>
          <w:rFonts w:ascii="Times New Roman" w:hAnsi="宋体" w:eastAsia="宋体" w:cs="Times New Roman"/>
          <w:color w:val="auto"/>
          <w:sz w:val="21"/>
          <w:szCs w:val="21"/>
          <w:highlight w:val="none"/>
        </w:rPr>
      </w:pPr>
    </w:p>
    <w:p w14:paraId="737E7E52">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本公司（联合体）郑重声明，根据《政府采购促进中小企业发展管理办法》（财库﹝2020﹞46 号）的规定，本公司（联合体）参加</w:t>
      </w:r>
      <w:r>
        <w:rPr>
          <w:rFonts w:hint="eastAsia" w:ascii="宋体" w:hAnsi="宋体" w:eastAsia="宋体" w:cs="宋体"/>
          <w:i/>
          <w:color w:val="auto"/>
          <w:kern w:val="0"/>
          <w:sz w:val="21"/>
          <w:szCs w:val="21"/>
          <w:u w:val="single"/>
        </w:rPr>
        <w:t>（单位名称）</w:t>
      </w:r>
      <w:r>
        <w:rPr>
          <w:rFonts w:hint="eastAsia" w:ascii="宋体" w:hAnsi="宋体" w:eastAsia="宋体" w:cs="宋体"/>
          <w:color w:val="auto"/>
          <w:kern w:val="0"/>
          <w:sz w:val="21"/>
          <w:szCs w:val="21"/>
        </w:rPr>
        <w:t>的</w:t>
      </w:r>
      <w:r>
        <w:rPr>
          <w:rFonts w:hint="eastAsia" w:ascii="宋体" w:hAnsi="宋体" w:eastAsia="宋体" w:cs="宋体"/>
          <w:i/>
          <w:color w:val="auto"/>
          <w:kern w:val="0"/>
          <w:sz w:val="21"/>
          <w:szCs w:val="21"/>
          <w:u w:val="single"/>
        </w:rPr>
        <w:t>（项目名称）</w:t>
      </w:r>
      <w:r>
        <w:rPr>
          <w:rFonts w:hint="eastAsia" w:ascii="宋体" w:hAnsi="宋体" w:eastAsia="宋体" w:cs="宋体"/>
          <w:color w:val="auto"/>
          <w:kern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1FC07417">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 </w:t>
      </w:r>
      <w:r>
        <w:rPr>
          <w:rFonts w:hint="eastAsia" w:ascii="宋体" w:hAnsi="宋体" w:eastAsia="宋体" w:cs="宋体"/>
          <w:i/>
          <w:color w:val="auto"/>
          <w:kern w:val="0"/>
          <w:sz w:val="21"/>
          <w:szCs w:val="21"/>
          <w:u w:val="single"/>
        </w:rPr>
        <w:t>（标的名称）</w:t>
      </w:r>
      <w:r>
        <w:rPr>
          <w:rFonts w:hint="eastAsia" w:ascii="宋体" w:hAnsi="宋体" w:eastAsia="宋体" w:cs="宋体"/>
          <w:color w:val="auto"/>
          <w:kern w:val="0"/>
          <w:sz w:val="21"/>
          <w:szCs w:val="21"/>
        </w:rPr>
        <w:t xml:space="preserve"> ，属于</w:t>
      </w:r>
      <w:r>
        <w:rPr>
          <w:rFonts w:hint="eastAsia" w:ascii="宋体" w:hAnsi="宋体" w:eastAsia="宋体" w:cs="宋体"/>
          <w:i/>
          <w:color w:val="auto"/>
          <w:kern w:val="0"/>
          <w:sz w:val="21"/>
          <w:szCs w:val="21"/>
          <w:u w:val="single"/>
        </w:rPr>
        <w:t>（</w:t>
      </w:r>
      <w:r>
        <w:rPr>
          <w:rFonts w:hint="eastAsia" w:ascii="宋体" w:hAnsi="宋体" w:eastAsia="宋体" w:cs="宋体"/>
          <w:i/>
          <w:color w:val="auto"/>
          <w:kern w:val="0"/>
          <w:sz w:val="21"/>
          <w:szCs w:val="21"/>
          <w:u w:val="single"/>
          <w:lang w:eastAsia="zh-CN"/>
        </w:rPr>
        <w:t>采购</w:t>
      </w:r>
      <w:r>
        <w:rPr>
          <w:rFonts w:hint="eastAsia" w:ascii="宋体" w:hAnsi="宋体" w:eastAsia="宋体" w:cs="宋体"/>
          <w:i/>
          <w:color w:val="auto"/>
          <w:kern w:val="0"/>
          <w:sz w:val="21"/>
          <w:szCs w:val="21"/>
          <w:u w:val="single"/>
        </w:rPr>
        <w:t>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i/>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万元，属于</w:t>
      </w:r>
      <w:r>
        <w:rPr>
          <w:rFonts w:hint="eastAsia" w:ascii="宋体" w:hAnsi="宋体" w:eastAsia="宋体" w:cs="宋体"/>
          <w:i/>
          <w:color w:val="auto"/>
          <w:kern w:val="0"/>
          <w:sz w:val="21"/>
          <w:szCs w:val="21"/>
          <w:u w:val="single"/>
        </w:rPr>
        <w:t>（中型企业、小型企业、微型企业）</w:t>
      </w:r>
      <w:r>
        <w:rPr>
          <w:rFonts w:hint="eastAsia" w:ascii="宋体" w:hAnsi="宋体" w:eastAsia="宋体" w:cs="宋体"/>
          <w:color w:val="auto"/>
          <w:kern w:val="0"/>
          <w:sz w:val="21"/>
          <w:szCs w:val="21"/>
        </w:rPr>
        <w:t>；</w:t>
      </w:r>
    </w:p>
    <w:p w14:paraId="73431D76">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 </w:t>
      </w:r>
      <w:r>
        <w:rPr>
          <w:rFonts w:hint="eastAsia" w:ascii="宋体" w:hAnsi="宋体" w:eastAsia="宋体" w:cs="宋体"/>
          <w:i/>
          <w:color w:val="auto"/>
          <w:kern w:val="0"/>
          <w:sz w:val="21"/>
          <w:szCs w:val="21"/>
          <w:u w:val="single"/>
        </w:rPr>
        <w:t>（标的名称）</w:t>
      </w:r>
      <w:r>
        <w:rPr>
          <w:rFonts w:hint="eastAsia" w:ascii="宋体" w:hAnsi="宋体" w:eastAsia="宋体" w:cs="宋体"/>
          <w:color w:val="auto"/>
          <w:kern w:val="0"/>
          <w:sz w:val="21"/>
          <w:szCs w:val="21"/>
        </w:rPr>
        <w:t xml:space="preserve"> ，属于</w:t>
      </w:r>
      <w:r>
        <w:rPr>
          <w:rFonts w:hint="eastAsia" w:ascii="宋体" w:hAnsi="宋体" w:eastAsia="宋体" w:cs="宋体"/>
          <w:i/>
          <w:color w:val="auto"/>
          <w:kern w:val="0"/>
          <w:sz w:val="21"/>
          <w:szCs w:val="21"/>
          <w:u w:val="single"/>
        </w:rPr>
        <w:t>（</w:t>
      </w:r>
      <w:r>
        <w:rPr>
          <w:rFonts w:hint="eastAsia" w:ascii="宋体" w:hAnsi="宋体" w:eastAsia="宋体" w:cs="宋体"/>
          <w:i/>
          <w:color w:val="auto"/>
          <w:kern w:val="0"/>
          <w:sz w:val="21"/>
          <w:szCs w:val="21"/>
          <w:u w:val="single"/>
          <w:lang w:eastAsia="zh-CN"/>
        </w:rPr>
        <w:t>采购</w:t>
      </w:r>
      <w:r>
        <w:rPr>
          <w:rFonts w:hint="eastAsia" w:ascii="宋体" w:hAnsi="宋体" w:eastAsia="宋体" w:cs="宋体"/>
          <w:i/>
          <w:color w:val="auto"/>
          <w:kern w:val="0"/>
          <w:sz w:val="21"/>
          <w:szCs w:val="21"/>
          <w:u w:val="single"/>
        </w:rPr>
        <w:t>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i/>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万元，属于</w:t>
      </w:r>
      <w:r>
        <w:rPr>
          <w:rFonts w:hint="eastAsia" w:ascii="宋体" w:hAnsi="宋体" w:eastAsia="宋体" w:cs="宋体"/>
          <w:i/>
          <w:color w:val="auto"/>
          <w:kern w:val="0"/>
          <w:sz w:val="21"/>
          <w:szCs w:val="21"/>
          <w:u w:val="single"/>
        </w:rPr>
        <w:t>（中型企业、小型企业、微型企业）</w:t>
      </w:r>
      <w:r>
        <w:rPr>
          <w:rFonts w:hint="eastAsia" w:ascii="宋体" w:hAnsi="宋体" w:eastAsia="宋体" w:cs="宋体"/>
          <w:color w:val="auto"/>
          <w:kern w:val="0"/>
          <w:sz w:val="21"/>
          <w:szCs w:val="21"/>
        </w:rPr>
        <w:t>；</w:t>
      </w:r>
    </w:p>
    <w:p w14:paraId="08FFAB3A">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p w14:paraId="5B08EC7A">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以上企业，不属于大企业的分支机构，不存在控股股东为大企业的情形，也不存在与大企业的负责人为同一人的情形。</w:t>
      </w:r>
    </w:p>
    <w:p w14:paraId="6DEF9F86">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本企业对上述声明内容的真实性负责。如有虚假，将依法承担相应责任。</w:t>
      </w:r>
    </w:p>
    <w:p w14:paraId="052F4DA8">
      <w:pPr>
        <w:pStyle w:val="14"/>
        <w:spacing w:line="360" w:lineRule="auto"/>
        <w:ind w:firstLine="420" w:firstLineChars="200"/>
        <w:rPr>
          <w:rFonts w:hint="eastAsia" w:hAnsi="宋体" w:eastAsia="宋体" w:cs="Times New Roman"/>
          <w:color w:val="auto"/>
          <w:szCs w:val="21"/>
          <w:highlight w:val="none"/>
        </w:rPr>
      </w:pPr>
    </w:p>
    <w:p w14:paraId="69970C97">
      <w:pPr>
        <w:pStyle w:val="14"/>
        <w:spacing w:line="360" w:lineRule="auto"/>
        <w:ind w:firstLine="420" w:firstLineChars="200"/>
        <w:rPr>
          <w:rFonts w:hint="eastAsia" w:ascii="宋体" w:hAnsi="宋体" w:eastAsia="宋体" w:cs="宋体"/>
          <w:color w:val="auto"/>
          <w:szCs w:val="21"/>
          <w:highlight w:val="none"/>
        </w:rPr>
      </w:pPr>
    </w:p>
    <w:p w14:paraId="3DE9328C">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05FEB453">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C9EB7D0">
      <w:pPr>
        <w:pStyle w:val="14"/>
        <w:spacing w:line="360" w:lineRule="auto"/>
        <w:ind w:firstLine="420" w:firstLineChars="200"/>
        <w:rPr>
          <w:rFonts w:hint="eastAsia" w:hAnsi="宋体" w:eastAsia="宋体" w:cs="Times New Roman"/>
          <w:color w:val="auto"/>
          <w:szCs w:val="21"/>
          <w:highlight w:val="none"/>
        </w:rPr>
      </w:pPr>
    </w:p>
    <w:p w14:paraId="2C407B11">
      <w:pPr>
        <w:snapToGrid w:val="0"/>
        <w:spacing w:before="50" w:after="165" w:afterLines="5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CA69102">
      <w:pPr>
        <w:numPr>
          <w:ilvl w:val="0"/>
          <w:numId w:val="7"/>
        </w:numP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5C083576">
      <w:pPr>
        <w:snapToGrid w:val="0"/>
        <w:spacing w:before="50" w:after="165" w:afterLines="50"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政策的，采购人或者采购代理机构在公告中标结果时，同时公告其《中小企业声明函》，接受社会监督。</w:t>
      </w:r>
    </w:p>
    <w:p w14:paraId="3296544A">
      <w:pPr>
        <w:pStyle w:val="12"/>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、本声明函主要供参加政府采购活动的中小企业填写，非中小企业无需填写。</w:t>
      </w:r>
    </w:p>
    <w:p w14:paraId="74231456">
      <w:pPr>
        <w:pStyle w:val="12"/>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、小型、微型企业提供中型企业提供的服务的，视同为中型企业。</w:t>
      </w:r>
    </w:p>
    <w:p w14:paraId="3896AA90">
      <w:pPr>
        <w:pStyle w:val="16"/>
        <w:rPr>
          <w:rFonts w:hint="eastAsia" w:ascii="宋体" w:hAnsi="宋体" w:eastAsia="宋体" w:cs="宋体"/>
          <w:b/>
          <w:bCs/>
          <w:color w:val="auto"/>
        </w:rPr>
        <w:sectPr>
          <w:pgSz w:w="11905" w:h="16838"/>
          <w:pgMar w:top="1134" w:right="1134" w:bottom="1134" w:left="1134" w:header="850" w:footer="850" w:gutter="0"/>
          <w:pgNumType w:fmt="decimal"/>
          <w:cols w:space="0" w:num="1"/>
          <w:titlePg/>
          <w:rtlGutter w:val="0"/>
          <w:docGrid w:linePitch="331" w:charSpace="0"/>
        </w:sectPr>
      </w:pPr>
    </w:p>
    <w:p w14:paraId="327225AA">
      <w:pPr>
        <w:jc w:val="left"/>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2.残疾人福利性单位声明函的格式：</w:t>
      </w:r>
    </w:p>
    <w:p w14:paraId="16D9E806">
      <w:pPr>
        <w:jc w:val="left"/>
        <w:rPr>
          <w:rFonts w:hint="eastAsia" w:hAnsi="宋体" w:cs="宋体"/>
          <w:b/>
          <w:color w:val="auto"/>
          <w:sz w:val="28"/>
          <w:szCs w:val="28"/>
          <w:lang w:val="en-US" w:eastAsia="zh-CN"/>
        </w:rPr>
      </w:pPr>
    </w:p>
    <w:p w14:paraId="40803DC7">
      <w:pPr>
        <w:jc w:val="left"/>
        <w:rPr>
          <w:rFonts w:hint="eastAsia" w:hAnsi="宋体" w:cs="宋体"/>
          <w:b/>
          <w:color w:val="auto"/>
          <w:sz w:val="28"/>
          <w:szCs w:val="28"/>
          <w:lang w:val="en" w:eastAsia="zh-CN"/>
        </w:rPr>
      </w:pPr>
    </w:p>
    <w:p w14:paraId="52FF6512">
      <w:pPr>
        <w:pStyle w:val="14"/>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残疾人福利性单位声明函</w:t>
      </w:r>
    </w:p>
    <w:p w14:paraId="3B0CAF45">
      <w:pPr>
        <w:pStyle w:val="14"/>
        <w:spacing w:line="360" w:lineRule="auto"/>
        <w:jc w:val="center"/>
        <w:rPr>
          <w:rFonts w:hint="eastAsia" w:eastAsia="宋体" w:cs="Times New Roman"/>
          <w:b/>
          <w:color w:val="auto"/>
          <w:sz w:val="30"/>
          <w:szCs w:val="30"/>
          <w:highlight w:val="none"/>
        </w:rPr>
      </w:pPr>
    </w:p>
    <w:p w14:paraId="54C44E93">
      <w:pPr>
        <w:pStyle w:val="14"/>
        <w:spacing w:line="360" w:lineRule="auto"/>
        <w:jc w:val="left"/>
        <w:rPr>
          <w:rFonts w:hint="eastAsia" w:ascii="宋体" w:hAnsi="宋体" w:eastAsia="宋体" w:cs="宋体"/>
          <w:color w:val="auto"/>
          <w:sz w:val="24"/>
          <w:szCs w:val="24"/>
          <w:highlight w:val="none"/>
        </w:rPr>
      </w:pPr>
      <w:r>
        <w:rPr>
          <w:rFonts w:hint="eastAsia" w:eastAsia="宋体" w:cs="Times New Roman"/>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7785537C">
      <w:pPr>
        <w:pStyle w:val="1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14:paraId="2E6F0C49">
      <w:pPr>
        <w:pStyle w:val="14"/>
        <w:spacing w:line="360" w:lineRule="auto"/>
        <w:jc w:val="left"/>
        <w:rPr>
          <w:rFonts w:hint="eastAsia" w:ascii="宋体" w:hAnsi="宋体" w:eastAsia="宋体" w:cs="宋体"/>
          <w:b/>
          <w:color w:val="auto"/>
          <w:szCs w:val="21"/>
          <w:highlight w:val="none"/>
        </w:rPr>
      </w:pPr>
    </w:p>
    <w:p w14:paraId="4538CB42">
      <w:pPr>
        <w:pStyle w:val="14"/>
        <w:spacing w:line="360" w:lineRule="auto"/>
        <w:jc w:val="left"/>
        <w:rPr>
          <w:rFonts w:hint="eastAsia" w:ascii="宋体" w:hAnsi="宋体" w:eastAsia="宋体" w:cs="宋体"/>
          <w:b/>
          <w:color w:val="auto"/>
          <w:szCs w:val="21"/>
          <w:highlight w:val="none"/>
        </w:rPr>
      </w:pPr>
    </w:p>
    <w:p w14:paraId="37BFF435">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投标人名称(盖公章)：</w:t>
      </w:r>
    </w:p>
    <w:p w14:paraId="53A096A2">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2E415F2">
      <w:pPr>
        <w:pStyle w:val="14"/>
        <w:spacing w:line="360" w:lineRule="auto"/>
        <w:ind w:left="5132" w:leftChars="1979" w:hanging="976" w:hangingChars="488"/>
        <w:rPr>
          <w:rFonts w:hint="eastAsia" w:ascii="宋体" w:hAnsi="宋体" w:eastAsia="宋体" w:cs="宋体"/>
          <w:color w:val="auto"/>
          <w:sz w:val="20"/>
          <w:highlight w:val="none"/>
        </w:rPr>
      </w:pPr>
    </w:p>
    <w:p w14:paraId="11716A30">
      <w:pPr>
        <w:spacing w:line="360" w:lineRule="auto"/>
        <w:ind w:right="420" w:firstLine="480" w:firstLineChars="200"/>
        <w:rPr>
          <w:rFonts w:hint="eastAsia" w:ascii="宋体" w:hAnsi="宋体" w:eastAsia="宋体" w:cs="宋体"/>
          <w:color w:val="auto"/>
          <w:sz w:val="24"/>
          <w:highlight w:val="none"/>
        </w:rPr>
      </w:pPr>
    </w:p>
    <w:p w14:paraId="5C877379">
      <w:pPr>
        <w:spacing w:line="360" w:lineRule="auto"/>
        <w:ind w:right="420" w:firstLine="480" w:firstLineChars="200"/>
        <w:rPr>
          <w:rFonts w:hint="eastAsia" w:ascii="宋体" w:hAnsi="宋体" w:eastAsia="宋体" w:cs="宋体"/>
          <w:color w:val="auto"/>
          <w:sz w:val="24"/>
          <w:highlight w:val="none"/>
        </w:rPr>
      </w:pPr>
    </w:p>
    <w:p w14:paraId="16AA7A6C">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1"/>
          <w:szCs w:val="21"/>
          <w:highlight w:val="none"/>
          <w:lang w:eastAsia="zh-CN"/>
        </w:rPr>
        <w:t>〔2014〕68号</w:t>
      </w:r>
      <w:r>
        <w:rPr>
          <w:rFonts w:hint="eastAsia" w:ascii="宋体" w:hAnsi="宋体" w:eastAsia="宋体" w:cs="宋体"/>
          <w:color w:val="auto"/>
          <w:sz w:val="21"/>
          <w:szCs w:val="21"/>
          <w:highlight w:val="none"/>
        </w:rPr>
        <w:t>）的规定，投标人提供由省级以上监狱管理局、戒毒管理局（含新疆生产建设兵团）出具的属于监狱企业证明文件的，视同为小型和微型企业。</w:t>
      </w:r>
    </w:p>
    <w:p w14:paraId="14BB3EE9">
      <w:pPr>
        <w:widowControl/>
        <w:spacing w:line="240" w:lineRule="auto"/>
        <w:jc w:val="left"/>
        <w:rPr>
          <w:color w:val="auto"/>
          <w:sz w:val="20"/>
          <w:highlight w:val="none"/>
        </w:rPr>
      </w:pPr>
      <w:r>
        <w:rPr>
          <w:color w:val="auto"/>
          <w:sz w:val="20"/>
          <w:highlight w:val="none"/>
        </w:rPr>
        <w:br w:type="page"/>
      </w:r>
    </w:p>
    <w:p w14:paraId="3AD0262B">
      <w:pPr>
        <w:pStyle w:val="16"/>
        <w:numPr>
          <w:ilvl w:val="0"/>
          <w:numId w:val="5"/>
        </w:numPr>
        <w:ind w:left="142"/>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495245F0">
      <w:pPr>
        <w:pStyle w:val="16"/>
        <w:numPr>
          <w:ilvl w:val="0"/>
          <w:numId w:val="0"/>
        </w:numPr>
        <w:rPr>
          <w:rFonts w:hint="eastAsia" w:ascii="宋体" w:hAnsi="宋体" w:eastAsia="宋体" w:cs="宋体"/>
          <w:color w:val="auto"/>
          <w:kern w:val="0"/>
          <w:sz w:val="28"/>
          <w:szCs w:val="28"/>
          <w:highlight w:val="none"/>
          <w:lang w:eastAsia="zh-CN"/>
        </w:rPr>
      </w:pPr>
    </w:p>
    <w:p w14:paraId="27D8E0DD">
      <w:pPr>
        <w:shd w:val="clear" w:color="auto" w:fill="FFFFFF"/>
        <w:spacing w:line="480" w:lineRule="atLeast"/>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广西壮族自治区政府采购项目合同验收书</w:t>
      </w:r>
    </w:p>
    <w:p w14:paraId="3D32F0C5">
      <w:pPr>
        <w:shd w:val="clear" w:color="auto" w:fill="FFFFFF"/>
        <w:spacing w:line="480" w:lineRule="atLeast"/>
        <w:jc w:val="center"/>
        <w:rPr>
          <w:rFonts w:hint="eastAsia" w:ascii="宋体" w:hAnsi="宋体" w:eastAsia="宋体" w:cs="宋体"/>
          <w:color w:val="auto"/>
          <w:kern w:val="0"/>
          <w:sz w:val="32"/>
          <w:szCs w:val="32"/>
        </w:rPr>
      </w:pPr>
    </w:p>
    <w:p w14:paraId="3CC37009">
      <w:pPr>
        <w:shd w:val="clear" w:color="auto" w:fill="FFFFFF"/>
        <w:snapToGrid w:val="0"/>
        <w:spacing w:line="320" w:lineRule="atLeas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根据政府采购项目（</w:t>
      </w:r>
      <w:r>
        <w:rPr>
          <w:rFonts w:hint="eastAsia" w:ascii="宋体" w:hAnsi="宋体" w:eastAsia="宋体" w:cs="宋体"/>
          <w:color w:val="auto"/>
          <w:kern w:val="0"/>
          <w:szCs w:val="21"/>
          <w:u w:val="single"/>
        </w:rPr>
        <w:t>采购合同编号：</w:t>
      </w:r>
      <w:r>
        <w:rPr>
          <w:rFonts w:hint="eastAsia" w:ascii="宋体" w:hAnsi="宋体" w:eastAsia="宋体" w:cs="宋体"/>
          <w:color w:val="auto"/>
          <w:kern w:val="0"/>
          <w:szCs w:val="21"/>
          <w:u w:val="single"/>
        </w:rPr>
        <w:softHyphen/>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）的约定，我单位对（</w:t>
      </w:r>
      <w:r>
        <w:rPr>
          <w:rFonts w:hint="eastAsia" w:ascii="宋体" w:hAnsi="宋体" w:eastAsia="宋体" w:cs="宋体"/>
          <w:color w:val="auto"/>
          <w:kern w:val="0"/>
          <w:szCs w:val="21"/>
          <w:u w:val="single"/>
        </w:rPr>
        <w:t xml:space="preserve"> 项目名称 </w:t>
      </w:r>
      <w:r>
        <w:rPr>
          <w:rFonts w:hint="eastAsia" w:ascii="宋体" w:hAnsi="宋体" w:eastAsia="宋体" w:cs="宋体"/>
          <w:color w:val="auto"/>
          <w:kern w:val="0"/>
          <w:szCs w:val="21"/>
        </w:rPr>
        <w:t>） 政府采购项目中标（或者成交）投标人（</w:t>
      </w:r>
      <w:r>
        <w:rPr>
          <w:rFonts w:hint="eastAsia" w:ascii="宋体" w:hAnsi="宋体" w:eastAsia="宋体" w:cs="宋体"/>
          <w:color w:val="auto"/>
          <w:kern w:val="0"/>
          <w:szCs w:val="21"/>
          <w:u w:val="single"/>
        </w:rPr>
        <w:t xml:space="preserve"> 公司名称 </w:t>
      </w:r>
      <w:r>
        <w:rPr>
          <w:rFonts w:hint="eastAsia" w:ascii="宋体" w:hAnsi="宋体" w:eastAsia="宋体" w:cs="宋体"/>
          <w:color w:val="auto"/>
          <w:kern w:val="0"/>
          <w:szCs w:val="21"/>
        </w:rPr>
        <w:t>） 提供的货物（或者工程、服务）进行了验收，验收情况如下：</w:t>
      </w:r>
    </w:p>
    <w:tbl>
      <w:tblPr>
        <w:tblStyle w:val="21"/>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1E405881">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49C1A97A">
            <w:pPr>
              <w:snapToGrid w:val="0"/>
              <w:spacing w:before="100" w:beforeAutospacing="1" w:after="100" w:afterAutospacing="1" w:line="320" w:lineRule="atLeast"/>
              <w:ind w:firstLine="5"/>
              <w:jc w:val="center"/>
              <w:rPr>
                <w:rFonts w:hint="eastAsia" w:ascii="宋体" w:hAnsi="宋体" w:eastAsia="宋体" w:cs="宋体"/>
                <w:color w:val="auto"/>
                <w:kern w:val="0"/>
                <w:szCs w:val="21"/>
              </w:rPr>
            </w:pPr>
            <w:r>
              <w:rPr>
                <w:rFonts w:hint="eastAsia" w:ascii="宋体" w:hAnsi="宋体" w:eastAsia="宋体" w:cs="宋体"/>
                <w:color w:val="auto"/>
                <w:kern w:val="0"/>
                <w:szCs w:val="21"/>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70A72C76">
            <w:pPr>
              <w:snapToGrid w:val="0"/>
              <w:spacing w:before="100" w:beforeAutospacing="1" w:after="100" w:afterAutospacing="1" w:line="320" w:lineRule="atLeast"/>
              <w:ind w:firstLine="480"/>
              <w:jc w:val="center"/>
              <w:rPr>
                <w:rFonts w:hint="eastAsia" w:ascii="宋体" w:hAnsi="宋体" w:eastAsia="宋体" w:cs="宋体"/>
                <w:color w:val="auto"/>
                <w:kern w:val="0"/>
                <w:szCs w:val="21"/>
              </w:rPr>
            </w:pPr>
            <w:r>
              <w:rPr>
                <w:rFonts w:hint="eastAsia" w:ascii="宋体" w:hAnsi="宋体" w:eastAsia="宋体" w:cs="宋体"/>
                <w:color w:val="auto"/>
                <w:kern w:val="0"/>
                <w:szCs w:val="21"/>
              </w:rPr>
              <w:t>□自行验收 □委托验收</w:t>
            </w:r>
          </w:p>
        </w:tc>
      </w:tr>
      <w:tr w14:paraId="1E7E5E93">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3FD7872">
            <w:pPr>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921" w:type="dxa"/>
            <w:tcBorders>
              <w:top w:val="nil"/>
              <w:left w:val="nil"/>
              <w:bottom w:val="single" w:color="auto" w:sz="8" w:space="0"/>
              <w:right w:val="single" w:color="auto" w:sz="8" w:space="0"/>
            </w:tcBorders>
            <w:noWrap w:val="0"/>
            <w:vAlign w:val="center"/>
          </w:tcPr>
          <w:p w14:paraId="5775713B">
            <w:pPr>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名 称</w:t>
            </w:r>
          </w:p>
        </w:tc>
        <w:tc>
          <w:tcPr>
            <w:tcW w:w="2902" w:type="dxa"/>
            <w:gridSpan w:val="3"/>
            <w:tcBorders>
              <w:top w:val="nil"/>
              <w:left w:val="nil"/>
              <w:bottom w:val="single" w:color="auto" w:sz="8" w:space="0"/>
              <w:right w:val="single" w:color="auto" w:sz="8" w:space="0"/>
            </w:tcBorders>
            <w:noWrap w:val="0"/>
            <w:vAlign w:val="center"/>
          </w:tcPr>
          <w:p w14:paraId="7F7FB947">
            <w:pPr>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0A37A579">
            <w:pPr>
              <w:snapToGrid w:val="0"/>
              <w:spacing w:before="100" w:beforeAutospacing="1" w:after="100" w:afterAutospacing="1" w:line="32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数量</w:t>
            </w:r>
          </w:p>
        </w:tc>
        <w:tc>
          <w:tcPr>
            <w:tcW w:w="2354" w:type="dxa"/>
            <w:tcBorders>
              <w:top w:val="nil"/>
              <w:left w:val="nil"/>
              <w:bottom w:val="single" w:color="auto" w:sz="8" w:space="0"/>
              <w:right w:val="single" w:color="auto" w:sz="8" w:space="0"/>
            </w:tcBorders>
            <w:noWrap w:val="0"/>
            <w:vAlign w:val="center"/>
          </w:tcPr>
          <w:p w14:paraId="38D0D359">
            <w:pPr>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金 额</w:t>
            </w:r>
          </w:p>
        </w:tc>
      </w:tr>
      <w:tr w14:paraId="3EFB8E28">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E65C5D0">
            <w:pPr>
              <w:spacing w:before="100" w:beforeAutospacing="1" w:after="100" w:afterAutospacing="1" w:line="240" w:lineRule="atLeast"/>
              <w:jc w:val="center"/>
              <w:rPr>
                <w:rFonts w:hint="eastAsia" w:ascii="宋体" w:hAnsi="宋体" w:eastAsia="宋体" w:cs="宋体"/>
                <w:color w:val="auto"/>
                <w:kern w:val="0"/>
                <w:szCs w:val="21"/>
              </w:rPr>
            </w:pPr>
          </w:p>
        </w:tc>
        <w:tc>
          <w:tcPr>
            <w:tcW w:w="1921" w:type="dxa"/>
            <w:tcBorders>
              <w:top w:val="nil"/>
              <w:left w:val="nil"/>
              <w:bottom w:val="single" w:color="auto" w:sz="8" w:space="0"/>
              <w:right w:val="single" w:color="auto" w:sz="8" w:space="0"/>
            </w:tcBorders>
            <w:noWrap w:val="0"/>
            <w:vAlign w:val="center"/>
          </w:tcPr>
          <w:p w14:paraId="35ED2218">
            <w:pPr>
              <w:spacing w:before="100" w:beforeAutospacing="1" w:after="100" w:afterAutospacing="1" w:line="240" w:lineRule="atLeast"/>
              <w:jc w:val="center"/>
              <w:rPr>
                <w:rFonts w:hint="eastAsia" w:ascii="宋体" w:hAnsi="宋体" w:eastAsia="宋体" w:cs="宋体"/>
                <w:color w:val="auto"/>
                <w:kern w:val="0"/>
                <w:szCs w:val="21"/>
              </w:rPr>
            </w:pPr>
          </w:p>
        </w:tc>
        <w:tc>
          <w:tcPr>
            <w:tcW w:w="2902" w:type="dxa"/>
            <w:gridSpan w:val="3"/>
            <w:tcBorders>
              <w:top w:val="nil"/>
              <w:left w:val="nil"/>
              <w:bottom w:val="single" w:color="auto" w:sz="8" w:space="0"/>
              <w:right w:val="single" w:color="auto" w:sz="8" w:space="0"/>
            </w:tcBorders>
            <w:noWrap w:val="0"/>
            <w:vAlign w:val="center"/>
          </w:tcPr>
          <w:p w14:paraId="3C442CAA">
            <w:pPr>
              <w:spacing w:before="100" w:beforeAutospacing="1" w:after="100" w:afterAutospacing="1" w:line="240" w:lineRule="atLeast"/>
              <w:jc w:val="center"/>
              <w:rPr>
                <w:rFonts w:hint="eastAsia" w:ascii="宋体" w:hAnsi="宋体" w:eastAsia="宋体" w:cs="宋体"/>
                <w:color w:val="auto"/>
                <w:kern w:val="0"/>
                <w:szCs w:val="21"/>
              </w:rPr>
            </w:pPr>
          </w:p>
        </w:tc>
        <w:tc>
          <w:tcPr>
            <w:tcW w:w="863" w:type="dxa"/>
            <w:gridSpan w:val="2"/>
            <w:tcBorders>
              <w:top w:val="nil"/>
              <w:left w:val="nil"/>
              <w:bottom w:val="single" w:color="auto" w:sz="8" w:space="0"/>
              <w:right w:val="single" w:color="auto" w:sz="8" w:space="0"/>
            </w:tcBorders>
            <w:noWrap w:val="0"/>
            <w:vAlign w:val="center"/>
          </w:tcPr>
          <w:p w14:paraId="7672C8D3">
            <w:pPr>
              <w:spacing w:before="100" w:beforeAutospacing="1" w:after="100" w:afterAutospacing="1" w:line="240" w:lineRule="atLeast"/>
              <w:jc w:val="center"/>
              <w:rPr>
                <w:rFonts w:hint="eastAsia" w:ascii="宋体" w:hAnsi="宋体" w:eastAsia="宋体" w:cs="宋体"/>
                <w:color w:val="auto"/>
                <w:kern w:val="0"/>
                <w:szCs w:val="21"/>
              </w:rPr>
            </w:pPr>
          </w:p>
        </w:tc>
        <w:tc>
          <w:tcPr>
            <w:tcW w:w="2354" w:type="dxa"/>
            <w:tcBorders>
              <w:top w:val="nil"/>
              <w:left w:val="nil"/>
              <w:bottom w:val="single" w:color="auto" w:sz="8" w:space="0"/>
              <w:right w:val="single" w:color="auto" w:sz="8" w:space="0"/>
            </w:tcBorders>
            <w:noWrap w:val="0"/>
            <w:vAlign w:val="center"/>
          </w:tcPr>
          <w:p w14:paraId="2F0E96DF">
            <w:pPr>
              <w:spacing w:before="100" w:beforeAutospacing="1" w:after="100" w:afterAutospacing="1" w:line="240" w:lineRule="atLeast"/>
              <w:jc w:val="center"/>
              <w:rPr>
                <w:rFonts w:hint="eastAsia" w:ascii="宋体" w:hAnsi="宋体" w:eastAsia="宋体" w:cs="宋体"/>
                <w:color w:val="auto"/>
                <w:kern w:val="0"/>
                <w:szCs w:val="21"/>
              </w:rPr>
            </w:pPr>
          </w:p>
        </w:tc>
      </w:tr>
      <w:tr w14:paraId="1B6D0A44">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0A3A4B8B">
            <w:pPr>
              <w:spacing w:before="100" w:beforeAutospacing="1" w:after="100" w:afterAutospacing="1" w:line="240" w:lineRule="atLeast"/>
              <w:jc w:val="center"/>
              <w:rPr>
                <w:rFonts w:hint="eastAsia" w:ascii="宋体" w:hAnsi="宋体" w:eastAsia="宋体" w:cs="宋体"/>
                <w:color w:val="auto"/>
                <w:kern w:val="0"/>
                <w:szCs w:val="21"/>
              </w:rPr>
            </w:pPr>
          </w:p>
        </w:tc>
        <w:tc>
          <w:tcPr>
            <w:tcW w:w="1921" w:type="dxa"/>
            <w:tcBorders>
              <w:top w:val="nil"/>
              <w:left w:val="nil"/>
              <w:bottom w:val="single" w:color="auto" w:sz="8" w:space="0"/>
              <w:right w:val="single" w:color="auto" w:sz="8" w:space="0"/>
            </w:tcBorders>
            <w:noWrap w:val="0"/>
            <w:vAlign w:val="center"/>
          </w:tcPr>
          <w:p w14:paraId="48AFE08E">
            <w:pPr>
              <w:spacing w:before="100" w:beforeAutospacing="1" w:after="100" w:afterAutospacing="1" w:line="240" w:lineRule="atLeast"/>
              <w:jc w:val="center"/>
              <w:rPr>
                <w:rFonts w:hint="eastAsia" w:ascii="宋体" w:hAnsi="宋体" w:eastAsia="宋体" w:cs="宋体"/>
                <w:color w:val="auto"/>
                <w:kern w:val="0"/>
                <w:szCs w:val="21"/>
              </w:rPr>
            </w:pPr>
          </w:p>
        </w:tc>
        <w:tc>
          <w:tcPr>
            <w:tcW w:w="2902" w:type="dxa"/>
            <w:gridSpan w:val="3"/>
            <w:tcBorders>
              <w:top w:val="nil"/>
              <w:left w:val="nil"/>
              <w:bottom w:val="single" w:color="auto" w:sz="8" w:space="0"/>
              <w:right w:val="single" w:color="auto" w:sz="8" w:space="0"/>
            </w:tcBorders>
            <w:noWrap w:val="0"/>
            <w:vAlign w:val="center"/>
          </w:tcPr>
          <w:p w14:paraId="708A9304">
            <w:pPr>
              <w:spacing w:before="100" w:beforeAutospacing="1" w:after="100" w:afterAutospacing="1" w:line="240" w:lineRule="atLeast"/>
              <w:jc w:val="center"/>
              <w:rPr>
                <w:rFonts w:hint="eastAsia" w:ascii="宋体" w:hAnsi="宋体" w:eastAsia="宋体" w:cs="宋体"/>
                <w:color w:val="auto"/>
                <w:kern w:val="0"/>
                <w:szCs w:val="21"/>
              </w:rPr>
            </w:pPr>
          </w:p>
        </w:tc>
        <w:tc>
          <w:tcPr>
            <w:tcW w:w="863" w:type="dxa"/>
            <w:gridSpan w:val="2"/>
            <w:tcBorders>
              <w:top w:val="nil"/>
              <w:left w:val="nil"/>
              <w:bottom w:val="single" w:color="auto" w:sz="8" w:space="0"/>
              <w:right w:val="single" w:color="auto" w:sz="8" w:space="0"/>
            </w:tcBorders>
            <w:noWrap w:val="0"/>
            <w:vAlign w:val="center"/>
          </w:tcPr>
          <w:p w14:paraId="39E4C60B">
            <w:pPr>
              <w:spacing w:before="100" w:beforeAutospacing="1" w:after="100" w:afterAutospacing="1" w:line="240" w:lineRule="atLeast"/>
              <w:jc w:val="center"/>
              <w:rPr>
                <w:rFonts w:hint="eastAsia" w:ascii="宋体" w:hAnsi="宋体" w:eastAsia="宋体" w:cs="宋体"/>
                <w:color w:val="auto"/>
                <w:kern w:val="0"/>
                <w:szCs w:val="21"/>
              </w:rPr>
            </w:pPr>
          </w:p>
        </w:tc>
        <w:tc>
          <w:tcPr>
            <w:tcW w:w="2354" w:type="dxa"/>
            <w:tcBorders>
              <w:top w:val="nil"/>
              <w:left w:val="nil"/>
              <w:bottom w:val="single" w:color="auto" w:sz="8" w:space="0"/>
              <w:right w:val="single" w:color="auto" w:sz="8" w:space="0"/>
            </w:tcBorders>
            <w:noWrap w:val="0"/>
            <w:vAlign w:val="center"/>
          </w:tcPr>
          <w:p w14:paraId="41198D50">
            <w:pPr>
              <w:spacing w:before="100" w:beforeAutospacing="1" w:after="100" w:afterAutospacing="1" w:line="240" w:lineRule="atLeast"/>
              <w:jc w:val="center"/>
              <w:rPr>
                <w:rFonts w:hint="eastAsia" w:ascii="宋体" w:hAnsi="宋体" w:eastAsia="宋体" w:cs="宋体"/>
                <w:color w:val="auto"/>
                <w:kern w:val="0"/>
                <w:szCs w:val="21"/>
              </w:rPr>
            </w:pPr>
          </w:p>
        </w:tc>
      </w:tr>
      <w:tr w14:paraId="03F786F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3F76C073">
            <w:pPr>
              <w:spacing w:before="100" w:beforeAutospacing="1" w:after="100" w:afterAutospacing="1" w:line="240" w:lineRule="atLeast"/>
              <w:jc w:val="center"/>
              <w:rPr>
                <w:rFonts w:hint="eastAsia" w:ascii="宋体" w:hAnsi="宋体" w:eastAsia="宋体" w:cs="宋体"/>
                <w:color w:val="auto"/>
                <w:kern w:val="0"/>
                <w:szCs w:val="21"/>
              </w:rPr>
            </w:pPr>
          </w:p>
        </w:tc>
        <w:tc>
          <w:tcPr>
            <w:tcW w:w="1921" w:type="dxa"/>
            <w:tcBorders>
              <w:top w:val="nil"/>
              <w:left w:val="nil"/>
              <w:bottom w:val="single" w:color="auto" w:sz="8" w:space="0"/>
              <w:right w:val="single" w:color="auto" w:sz="8" w:space="0"/>
            </w:tcBorders>
            <w:noWrap w:val="0"/>
            <w:vAlign w:val="center"/>
          </w:tcPr>
          <w:p w14:paraId="19332196">
            <w:pPr>
              <w:spacing w:before="100" w:beforeAutospacing="1" w:after="100" w:afterAutospacing="1" w:line="240" w:lineRule="atLeast"/>
              <w:jc w:val="center"/>
              <w:rPr>
                <w:rFonts w:hint="eastAsia" w:ascii="宋体" w:hAnsi="宋体" w:eastAsia="宋体" w:cs="宋体"/>
                <w:color w:val="auto"/>
                <w:kern w:val="0"/>
                <w:szCs w:val="21"/>
              </w:rPr>
            </w:pPr>
          </w:p>
        </w:tc>
        <w:tc>
          <w:tcPr>
            <w:tcW w:w="2902" w:type="dxa"/>
            <w:gridSpan w:val="3"/>
            <w:tcBorders>
              <w:top w:val="nil"/>
              <w:left w:val="nil"/>
              <w:bottom w:val="single" w:color="auto" w:sz="8" w:space="0"/>
              <w:right w:val="single" w:color="auto" w:sz="8" w:space="0"/>
            </w:tcBorders>
            <w:noWrap w:val="0"/>
            <w:vAlign w:val="center"/>
          </w:tcPr>
          <w:p w14:paraId="2680E7DC">
            <w:pPr>
              <w:spacing w:before="100" w:beforeAutospacing="1" w:after="100" w:afterAutospacing="1" w:line="240" w:lineRule="atLeast"/>
              <w:jc w:val="center"/>
              <w:rPr>
                <w:rFonts w:hint="eastAsia" w:ascii="宋体" w:hAnsi="宋体" w:eastAsia="宋体" w:cs="宋体"/>
                <w:color w:val="auto"/>
                <w:kern w:val="0"/>
                <w:szCs w:val="21"/>
              </w:rPr>
            </w:pPr>
          </w:p>
        </w:tc>
        <w:tc>
          <w:tcPr>
            <w:tcW w:w="863" w:type="dxa"/>
            <w:gridSpan w:val="2"/>
            <w:tcBorders>
              <w:top w:val="nil"/>
              <w:left w:val="nil"/>
              <w:bottom w:val="single" w:color="auto" w:sz="8" w:space="0"/>
              <w:right w:val="single" w:color="auto" w:sz="8" w:space="0"/>
            </w:tcBorders>
            <w:noWrap w:val="0"/>
            <w:vAlign w:val="center"/>
          </w:tcPr>
          <w:p w14:paraId="3FEE96E4">
            <w:pPr>
              <w:spacing w:before="100" w:beforeAutospacing="1" w:after="100" w:afterAutospacing="1" w:line="240" w:lineRule="atLeast"/>
              <w:jc w:val="center"/>
              <w:rPr>
                <w:rFonts w:hint="eastAsia" w:ascii="宋体" w:hAnsi="宋体" w:eastAsia="宋体" w:cs="宋体"/>
                <w:color w:val="auto"/>
                <w:kern w:val="0"/>
                <w:szCs w:val="21"/>
              </w:rPr>
            </w:pPr>
          </w:p>
        </w:tc>
        <w:tc>
          <w:tcPr>
            <w:tcW w:w="2354" w:type="dxa"/>
            <w:tcBorders>
              <w:top w:val="nil"/>
              <w:left w:val="nil"/>
              <w:bottom w:val="single" w:color="auto" w:sz="8" w:space="0"/>
              <w:right w:val="single" w:color="auto" w:sz="8" w:space="0"/>
            </w:tcBorders>
            <w:noWrap w:val="0"/>
            <w:vAlign w:val="center"/>
          </w:tcPr>
          <w:p w14:paraId="567B877D">
            <w:pPr>
              <w:spacing w:before="100" w:beforeAutospacing="1" w:after="100" w:afterAutospacing="1" w:line="240" w:lineRule="atLeast"/>
              <w:jc w:val="center"/>
              <w:rPr>
                <w:rFonts w:hint="eastAsia" w:ascii="宋体" w:hAnsi="宋体" w:eastAsia="宋体" w:cs="宋体"/>
                <w:color w:val="auto"/>
                <w:kern w:val="0"/>
                <w:szCs w:val="21"/>
              </w:rPr>
            </w:pPr>
          </w:p>
        </w:tc>
      </w:tr>
      <w:tr w14:paraId="789903F5">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4F458429">
            <w:pPr>
              <w:snapToGrid w:val="0"/>
              <w:spacing w:before="100" w:beforeAutospacing="1" w:after="100" w:afterAutospacing="1" w:line="320" w:lineRule="atLeast"/>
              <w:ind w:firstLine="5"/>
              <w:jc w:val="center"/>
              <w:rPr>
                <w:rFonts w:hint="eastAsia" w:ascii="宋体" w:hAnsi="宋体" w:eastAsia="宋体" w:cs="宋体"/>
                <w:color w:val="auto"/>
                <w:kern w:val="0"/>
                <w:szCs w:val="21"/>
              </w:rPr>
            </w:pPr>
            <w:r>
              <w:rPr>
                <w:rFonts w:hint="eastAsia" w:ascii="宋体" w:hAnsi="宋体" w:eastAsia="宋体" w:cs="宋体"/>
                <w:color w:val="auto"/>
                <w:kern w:val="0"/>
                <w:szCs w:val="21"/>
              </w:rPr>
              <w:t>合 计</w:t>
            </w:r>
          </w:p>
        </w:tc>
        <w:tc>
          <w:tcPr>
            <w:tcW w:w="863" w:type="dxa"/>
            <w:gridSpan w:val="2"/>
            <w:tcBorders>
              <w:top w:val="nil"/>
              <w:left w:val="nil"/>
              <w:bottom w:val="single" w:color="auto" w:sz="8" w:space="0"/>
              <w:right w:val="single" w:color="auto" w:sz="8" w:space="0"/>
            </w:tcBorders>
            <w:noWrap w:val="0"/>
            <w:vAlign w:val="center"/>
          </w:tcPr>
          <w:p w14:paraId="155BE966">
            <w:pPr>
              <w:spacing w:before="100" w:beforeAutospacing="1" w:after="100" w:afterAutospacing="1" w:line="240" w:lineRule="atLeast"/>
              <w:jc w:val="center"/>
              <w:rPr>
                <w:rFonts w:hint="eastAsia" w:ascii="宋体" w:hAnsi="宋体" w:eastAsia="宋体" w:cs="宋体"/>
                <w:color w:val="auto"/>
                <w:kern w:val="0"/>
                <w:szCs w:val="21"/>
              </w:rPr>
            </w:pPr>
          </w:p>
        </w:tc>
        <w:tc>
          <w:tcPr>
            <w:tcW w:w="2354" w:type="dxa"/>
            <w:tcBorders>
              <w:top w:val="nil"/>
              <w:left w:val="nil"/>
              <w:bottom w:val="single" w:color="auto" w:sz="8" w:space="0"/>
              <w:right w:val="single" w:color="auto" w:sz="8" w:space="0"/>
            </w:tcBorders>
            <w:noWrap w:val="0"/>
            <w:vAlign w:val="center"/>
          </w:tcPr>
          <w:p w14:paraId="45DE03EC">
            <w:pPr>
              <w:spacing w:before="100" w:beforeAutospacing="1" w:after="100" w:afterAutospacing="1" w:line="240" w:lineRule="atLeast"/>
              <w:jc w:val="center"/>
              <w:rPr>
                <w:rFonts w:hint="eastAsia" w:ascii="宋体" w:hAnsi="宋体" w:eastAsia="宋体" w:cs="宋体"/>
                <w:color w:val="auto"/>
                <w:kern w:val="0"/>
                <w:szCs w:val="21"/>
              </w:rPr>
            </w:pPr>
          </w:p>
        </w:tc>
      </w:tr>
      <w:tr w14:paraId="07796946">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16A563DF">
            <w:pPr>
              <w:snapToGrid w:val="0"/>
              <w:spacing w:before="100" w:beforeAutospacing="1" w:after="100" w:afterAutospacing="1" w:line="320" w:lineRule="atLeast"/>
              <w:ind w:firstLine="2"/>
              <w:jc w:val="left"/>
              <w:rPr>
                <w:rFonts w:hint="eastAsia" w:ascii="宋体" w:hAnsi="宋体" w:eastAsia="宋体" w:cs="宋体"/>
                <w:color w:val="auto"/>
                <w:kern w:val="0"/>
                <w:szCs w:val="21"/>
              </w:rPr>
            </w:pPr>
            <w:r>
              <w:rPr>
                <w:rFonts w:hint="eastAsia" w:ascii="宋体" w:hAnsi="宋体" w:eastAsia="宋体" w:cs="宋体"/>
                <w:color w:val="auto"/>
                <w:kern w:val="0"/>
                <w:szCs w:val="21"/>
              </w:rPr>
              <w:t>合计大写金额： 亿 仟 佰 拾 万 仟 佰 拾 元</w:t>
            </w:r>
          </w:p>
        </w:tc>
      </w:tr>
      <w:tr w14:paraId="4B3D7CAE">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43DAC82">
            <w:pPr>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实际供货日期</w:t>
            </w:r>
          </w:p>
        </w:tc>
        <w:tc>
          <w:tcPr>
            <w:tcW w:w="2719" w:type="dxa"/>
            <w:gridSpan w:val="2"/>
            <w:tcBorders>
              <w:top w:val="nil"/>
              <w:left w:val="nil"/>
              <w:bottom w:val="single" w:color="auto" w:sz="8" w:space="0"/>
              <w:right w:val="single" w:color="auto" w:sz="8" w:space="0"/>
            </w:tcBorders>
            <w:noWrap w:val="0"/>
            <w:vAlign w:val="center"/>
          </w:tcPr>
          <w:p w14:paraId="4DBA5D3D">
            <w:pPr>
              <w:spacing w:before="100" w:beforeAutospacing="1" w:after="100" w:afterAutospacing="1" w:line="240" w:lineRule="atLeast"/>
              <w:jc w:val="center"/>
              <w:rPr>
                <w:rFonts w:hint="eastAsia" w:ascii="宋体" w:hAnsi="宋体" w:eastAsia="宋体" w:cs="宋体"/>
                <w:color w:val="auto"/>
                <w:kern w:val="0"/>
                <w:szCs w:val="21"/>
              </w:rPr>
            </w:pPr>
          </w:p>
        </w:tc>
        <w:tc>
          <w:tcPr>
            <w:tcW w:w="2282" w:type="dxa"/>
            <w:gridSpan w:val="3"/>
            <w:tcBorders>
              <w:top w:val="nil"/>
              <w:left w:val="nil"/>
              <w:bottom w:val="single" w:color="auto" w:sz="8" w:space="0"/>
              <w:right w:val="single" w:color="auto" w:sz="8" w:space="0"/>
            </w:tcBorders>
            <w:noWrap w:val="0"/>
            <w:vAlign w:val="center"/>
          </w:tcPr>
          <w:p w14:paraId="7EB9A531">
            <w:pPr>
              <w:snapToGrid w:val="0"/>
              <w:spacing w:before="100" w:beforeAutospacing="1" w:after="100" w:afterAutospacing="1" w:line="320" w:lineRule="atLeast"/>
              <w:ind w:firstLine="46"/>
              <w:jc w:val="center"/>
              <w:rPr>
                <w:rFonts w:hint="eastAsia" w:ascii="宋体" w:hAnsi="宋体" w:eastAsia="宋体" w:cs="宋体"/>
                <w:color w:val="auto"/>
                <w:kern w:val="0"/>
                <w:szCs w:val="21"/>
              </w:rPr>
            </w:pPr>
            <w:r>
              <w:rPr>
                <w:rFonts w:hint="eastAsia" w:ascii="宋体" w:hAnsi="宋体" w:eastAsia="宋体" w:cs="宋体"/>
                <w:color w:val="auto"/>
                <w:kern w:val="0"/>
                <w:szCs w:val="21"/>
              </w:rPr>
              <w:t>合同交货验收日期</w:t>
            </w:r>
          </w:p>
        </w:tc>
        <w:tc>
          <w:tcPr>
            <w:tcW w:w="3039" w:type="dxa"/>
            <w:gridSpan w:val="2"/>
            <w:tcBorders>
              <w:top w:val="nil"/>
              <w:left w:val="nil"/>
              <w:bottom w:val="single" w:color="auto" w:sz="8" w:space="0"/>
              <w:right w:val="single" w:color="auto" w:sz="8" w:space="0"/>
            </w:tcBorders>
            <w:noWrap w:val="0"/>
            <w:vAlign w:val="center"/>
          </w:tcPr>
          <w:p w14:paraId="078071E1">
            <w:pPr>
              <w:spacing w:before="100" w:beforeAutospacing="1" w:after="100" w:afterAutospacing="1" w:line="240" w:lineRule="atLeast"/>
              <w:jc w:val="center"/>
              <w:rPr>
                <w:rFonts w:hint="eastAsia" w:ascii="宋体" w:hAnsi="宋体" w:eastAsia="宋体" w:cs="宋体"/>
                <w:color w:val="auto"/>
                <w:kern w:val="0"/>
                <w:szCs w:val="21"/>
              </w:rPr>
            </w:pPr>
          </w:p>
        </w:tc>
      </w:tr>
      <w:tr w14:paraId="76D6B209">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4B658DD">
            <w:pPr>
              <w:spacing w:before="100" w:beforeAutospacing="1" w:after="100" w:afterAutospacing="1" w:line="240" w:lineRule="atLeast"/>
              <w:jc w:val="center"/>
              <w:rPr>
                <w:rFonts w:hint="eastAsia" w:ascii="宋体" w:hAnsi="宋体" w:eastAsia="宋体" w:cs="宋体"/>
                <w:color w:val="auto"/>
                <w:kern w:val="0"/>
                <w:szCs w:val="21"/>
              </w:rPr>
            </w:pPr>
          </w:p>
        </w:tc>
        <w:tc>
          <w:tcPr>
            <w:tcW w:w="2719" w:type="dxa"/>
            <w:gridSpan w:val="2"/>
            <w:tcBorders>
              <w:top w:val="nil"/>
              <w:left w:val="nil"/>
              <w:bottom w:val="single" w:color="auto" w:sz="8" w:space="0"/>
              <w:right w:val="single" w:color="auto" w:sz="8" w:space="0"/>
            </w:tcBorders>
            <w:noWrap w:val="0"/>
            <w:vAlign w:val="center"/>
          </w:tcPr>
          <w:p w14:paraId="24616F6F">
            <w:pPr>
              <w:spacing w:before="100" w:beforeAutospacing="1" w:after="100" w:afterAutospacing="1" w:line="240" w:lineRule="atLeast"/>
              <w:jc w:val="center"/>
              <w:rPr>
                <w:rFonts w:hint="eastAsia" w:ascii="宋体" w:hAnsi="宋体" w:eastAsia="宋体" w:cs="宋体"/>
                <w:color w:val="auto"/>
                <w:kern w:val="0"/>
                <w:szCs w:val="21"/>
              </w:rPr>
            </w:pPr>
          </w:p>
        </w:tc>
        <w:tc>
          <w:tcPr>
            <w:tcW w:w="2282" w:type="dxa"/>
            <w:gridSpan w:val="3"/>
            <w:tcBorders>
              <w:top w:val="nil"/>
              <w:left w:val="nil"/>
              <w:bottom w:val="single" w:color="auto" w:sz="8" w:space="0"/>
              <w:right w:val="single" w:color="auto" w:sz="8" w:space="0"/>
            </w:tcBorders>
            <w:noWrap w:val="0"/>
            <w:vAlign w:val="center"/>
          </w:tcPr>
          <w:p w14:paraId="5DBF08CC">
            <w:pPr>
              <w:spacing w:before="100" w:beforeAutospacing="1" w:after="100" w:afterAutospacing="1" w:line="240" w:lineRule="atLeast"/>
              <w:jc w:val="center"/>
              <w:rPr>
                <w:rFonts w:hint="eastAsia" w:ascii="宋体" w:hAnsi="宋体" w:eastAsia="宋体" w:cs="宋体"/>
                <w:color w:val="auto"/>
                <w:kern w:val="0"/>
                <w:szCs w:val="21"/>
              </w:rPr>
            </w:pPr>
          </w:p>
        </w:tc>
        <w:tc>
          <w:tcPr>
            <w:tcW w:w="3039" w:type="dxa"/>
            <w:gridSpan w:val="2"/>
            <w:tcBorders>
              <w:top w:val="nil"/>
              <w:left w:val="nil"/>
              <w:bottom w:val="single" w:color="auto" w:sz="8" w:space="0"/>
              <w:right w:val="single" w:color="auto" w:sz="8" w:space="0"/>
            </w:tcBorders>
            <w:noWrap w:val="0"/>
            <w:vAlign w:val="center"/>
          </w:tcPr>
          <w:p w14:paraId="1B9F8F8D">
            <w:pPr>
              <w:spacing w:before="100" w:beforeAutospacing="1" w:after="100" w:afterAutospacing="1" w:line="240" w:lineRule="atLeast"/>
              <w:jc w:val="center"/>
              <w:rPr>
                <w:rFonts w:hint="eastAsia" w:ascii="宋体" w:hAnsi="宋体" w:eastAsia="宋体" w:cs="宋体"/>
                <w:color w:val="auto"/>
                <w:kern w:val="0"/>
                <w:szCs w:val="21"/>
              </w:rPr>
            </w:pPr>
          </w:p>
        </w:tc>
      </w:tr>
      <w:tr w14:paraId="154A4704">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82FE5A">
            <w:pPr>
              <w:snapToGrid w:val="0"/>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04B2951">
            <w:pPr>
              <w:snapToGrid w:val="0"/>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018CBD6B">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B8231B">
            <w:pPr>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验收小组意见</w:t>
            </w:r>
          </w:p>
        </w:tc>
        <w:tc>
          <w:tcPr>
            <w:tcW w:w="8040" w:type="dxa"/>
            <w:gridSpan w:val="7"/>
            <w:tcBorders>
              <w:top w:val="nil"/>
              <w:left w:val="nil"/>
              <w:bottom w:val="single" w:color="auto" w:sz="8" w:space="0"/>
              <w:right w:val="single" w:color="auto" w:sz="8" w:space="0"/>
            </w:tcBorders>
            <w:noWrap w:val="0"/>
            <w:vAlign w:val="center"/>
          </w:tcPr>
          <w:p w14:paraId="46CB7E90">
            <w:pPr>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验收结论性意见：</w:t>
            </w:r>
          </w:p>
        </w:tc>
      </w:tr>
      <w:tr w14:paraId="47A18C65">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6835008E">
            <w:pPr>
              <w:jc w:val="left"/>
              <w:rPr>
                <w:rFonts w:hint="eastAsia" w:ascii="宋体" w:hAnsi="宋体" w:eastAsia="宋体" w:cs="宋体"/>
                <w:color w:val="auto"/>
                <w:kern w:val="0"/>
                <w:szCs w:val="21"/>
              </w:rPr>
            </w:pPr>
          </w:p>
        </w:tc>
        <w:tc>
          <w:tcPr>
            <w:tcW w:w="8040" w:type="dxa"/>
            <w:gridSpan w:val="7"/>
            <w:tcBorders>
              <w:top w:val="nil"/>
              <w:left w:val="nil"/>
              <w:bottom w:val="single" w:color="auto" w:sz="8" w:space="0"/>
              <w:right w:val="single" w:color="auto" w:sz="8" w:space="0"/>
            </w:tcBorders>
            <w:noWrap w:val="0"/>
            <w:vAlign w:val="center"/>
          </w:tcPr>
          <w:p w14:paraId="6628CFD4">
            <w:pPr>
              <w:spacing w:before="100" w:beforeAutospacing="1" w:after="100" w:afterAutospacing="1" w:line="320" w:lineRule="atLeast"/>
              <w:ind w:firstLine="96"/>
              <w:jc w:val="left"/>
              <w:rPr>
                <w:rFonts w:hint="eastAsia" w:ascii="宋体" w:hAnsi="宋体" w:eastAsia="宋体" w:cs="宋体"/>
                <w:color w:val="auto"/>
                <w:kern w:val="0"/>
                <w:szCs w:val="21"/>
              </w:rPr>
            </w:pPr>
            <w:r>
              <w:rPr>
                <w:rFonts w:hint="eastAsia" w:ascii="宋体" w:hAnsi="宋体" w:eastAsia="宋体" w:cs="宋体"/>
                <w:color w:val="auto"/>
                <w:kern w:val="0"/>
                <w:szCs w:val="21"/>
              </w:rPr>
              <w:t>有异议的意见和说明理由：</w:t>
            </w:r>
          </w:p>
          <w:p w14:paraId="261CB362">
            <w:pPr>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签字：</w:t>
            </w:r>
          </w:p>
        </w:tc>
      </w:tr>
      <w:tr w14:paraId="63E48676">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E70673">
            <w:pPr>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验收小组成员签字：</w:t>
            </w:r>
          </w:p>
        </w:tc>
      </w:tr>
      <w:tr w14:paraId="055064E0">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EE8ADD">
            <w:pPr>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监督人员或者</w:t>
            </w:r>
            <w:r>
              <w:rPr>
                <w:rFonts w:hint="eastAsia" w:ascii="宋体" w:hAnsi="宋体" w:eastAsia="宋体" w:cs="宋体"/>
                <w:color w:val="auto"/>
                <w:kern w:val="0"/>
                <w:szCs w:val="21"/>
                <w:lang w:eastAsia="zh-CN"/>
              </w:rPr>
              <w:t>其他</w:t>
            </w:r>
            <w:r>
              <w:rPr>
                <w:rFonts w:hint="eastAsia" w:ascii="宋体" w:hAnsi="宋体" w:eastAsia="宋体" w:cs="宋体"/>
                <w:color w:val="auto"/>
                <w:kern w:val="0"/>
                <w:szCs w:val="21"/>
              </w:rPr>
              <w:t>相关人员签字：</w:t>
            </w:r>
          </w:p>
          <w:p w14:paraId="45042534">
            <w:pPr>
              <w:spacing w:before="100" w:beforeAutospacing="1" w:after="100" w:afterAutospacing="1" w:line="320" w:lineRule="atLeast"/>
              <w:ind w:firstLine="74"/>
              <w:jc w:val="left"/>
              <w:rPr>
                <w:rFonts w:hint="eastAsia" w:ascii="宋体" w:hAnsi="宋体" w:eastAsia="宋体" w:cs="宋体"/>
                <w:color w:val="auto"/>
                <w:kern w:val="0"/>
                <w:szCs w:val="21"/>
              </w:rPr>
            </w:pPr>
            <w:r>
              <w:rPr>
                <w:rFonts w:hint="eastAsia" w:ascii="宋体" w:hAnsi="宋体" w:eastAsia="宋体" w:cs="宋体"/>
                <w:color w:val="auto"/>
                <w:kern w:val="0"/>
                <w:szCs w:val="21"/>
              </w:rPr>
              <w:t>或者受邀机构的意见（盖章）：</w:t>
            </w:r>
          </w:p>
        </w:tc>
      </w:tr>
      <w:tr w14:paraId="17FCA556">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423A436C">
            <w:pPr>
              <w:spacing w:before="100" w:beforeAutospacing="1" w:after="100" w:afterAutospacing="1" w:line="320" w:lineRule="atLeast"/>
              <w:ind w:firstLine="74"/>
              <w:jc w:val="left"/>
              <w:rPr>
                <w:rFonts w:hint="eastAsia" w:ascii="宋体" w:hAnsi="宋体" w:eastAsia="宋体" w:cs="宋体"/>
                <w:color w:val="auto"/>
                <w:kern w:val="0"/>
                <w:szCs w:val="21"/>
              </w:rPr>
            </w:pPr>
            <w:r>
              <w:rPr>
                <w:rFonts w:hint="eastAsia" w:ascii="宋体" w:hAnsi="宋体" w:eastAsia="宋体" w:cs="宋体"/>
                <w:color w:val="auto"/>
                <w:kern w:val="0"/>
                <w:szCs w:val="21"/>
              </w:rPr>
              <w:t>中标或者成交</w:t>
            </w:r>
            <w:r>
              <w:rPr>
                <w:rFonts w:hint="default" w:ascii="宋体" w:hAnsi="宋体" w:eastAsia="宋体" w:cs="宋体"/>
                <w:color w:val="auto"/>
                <w:kern w:val="0"/>
                <w:szCs w:val="21"/>
                <w:lang w:val="en-US"/>
              </w:rPr>
              <w:t>人</w:t>
            </w:r>
            <w:r>
              <w:rPr>
                <w:rFonts w:hint="eastAsia" w:ascii="宋体" w:hAnsi="宋体" w:eastAsia="宋体" w:cs="宋体"/>
                <w:color w:val="auto"/>
                <w:kern w:val="0"/>
                <w:szCs w:val="21"/>
              </w:rPr>
              <w:t>负责人签字或者盖章：</w:t>
            </w:r>
          </w:p>
          <w:p w14:paraId="7FEE1608">
            <w:pPr>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联系电话： </w:t>
            </w:r>
          </w:p>
          <w:p w14:paraId="639E2A0B">
            <w:pPr>
              <w:spacing w:before="100" w:beforeAutospacing="1" w:after="100" w:afterAutospacing="1" w:line="320" w:lineRule="atLeast"/>
              <w:ind w:firstLine="2730" w:firstLineChars="1300"/>
              <w:jc w:val="left"/>
              <w:rPr>
                <w:rFonts w:hint="eastAsia" w:ascii="宋体" w:hAnsi="宋体" w:eastAsia="宋体" w:cs="宋体"/>
                <w:color w:val="auto"/>
                <w:kern w:val="0"/>
                <w:szCs w:val="21"/>
              </w:rPr>
            </w:pPr>
            <w:r>
              <w:rPr>
                <w:rFonts w:hint="eastAsia" w:ascii="宋体" w:hAnsi="宋体" w:eastAsia="宋体" w:cs="宋体"/>
                <w:color w:val="auto"/>
                <w:kern w:val="0"/>
                <w:szCs w:val="21"/>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6F13371C">
            <w:pPr>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采购人或者受托机构的意见（盖章）：</w:t>
            </w:r>
          </w:p>
          <w:p w14:paraId="4875C84D">
            <w:pPr>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联系电话： </w:t>
            </w:r>
          </w:p>
          <w:p w14:paraId="2D232F48">
            <w:pPr>
              <w:spacing w:before="100" w:beforeAutospacing="1" w:after="100" w:afterAutospacing="1" w:line="320" w:lineRule="atLeast"/>
              <w:ind w:firstLine="2520" w:firstLineChars="1200"/>
              <w:jc w:val="left"/>
              <w:rPr>
                <w:rFonts w:hint="eastAsia" w:ascii="宋体" w:hAnsi="宋体" w:eastAsia="宋体" w:cs="宋体"/>
                <w:color w:val="auto"/>
                <w:kern w:val="0"/>
                <w:szCs w:val="21"/>
              </w:rPr>
            </w:pPr>
            <w:r>
              <w:rPr>
                <w:rFonts w:hint="eastAsia" w:ascii="宋体" w:hAnsi="宋体" w:eastAsia="宋体" w:cs="宋体"/>
                <w:color w:val="auto"/>
                <w:kern w:val="0"/>
                <w:szCs w:val="21"/>
              </w:rPr>
              <w:t>年 月 日</w:t>
            </w:r>
          </w:p>
        </w:tc>
      </w:tr>
    </w:tbl>
    <w:p w14:paraId="02E233F6">
      <w:pPr>
        <w:pStyle w:val="16"/>
        <w:numPr>
          <w:ilvl w:val="0"/>
          <w:numId w:val="0"/>
        </w:numPr>
        <w:rPr>
          <w:rFonts w:hint="eastAsia" w:ascii="宋体" w:hAnsi="宋体" w:eastAsia="宋体" w:cs="宋体"/>
          <w:color w:val="auto"/>
          <w:kern w:val="0"/>
          <w:sz w:val="28"/>
          <w:szCs w:val="28"/>
          <w:highlight w:val="none"/>
          <w:lang w:eastAsia="zh-CN"/>
        </w:rPr>
        <w:sectPr>
          <w:pgSz w:w="11905" w:h="16838"/>
          <w:pgMar w:top="1134" w:right="1134" w:bottom="1134" w:left="1134" w:header="850" w:footer="850" w:gutter="0"/>
          <w:pgNumType w:fmt="decimal"/>
          <w:cols w:space="0" w:num="1"/>
          <w:titlePg/>
          <w:rtlGutter w:val="0"/>
          <w:docGrid w:linePitch="331" w:charSpace="0"/>
        </w:sectPr>
      </w:pPr>
      <w:r>
        <w:rPr>
          <w:rFonts w:hint="eastAsia" w:ascii="宋体" w:hAnsi="宋体" w:eastAsia="宋体" w:cs="宋体"/>
          <w:color w:val="auto"/>
        </w:rPr>
        <w:br w:type="page"/>
      </w:r>
    </w:p>
    <w:p w14:paraId="39AB54F2">
      <w:pPr>
        <w:pStyle w:val="14"/>
        <w:tabs>
          <w:tab w:val="left" w:pos="2472"/>
        </w:tabs>
        <w:spacing w:line="460" w:lineRule="exact"/>
        <w:jc w:val="center"/>
        <w:rPr>
          <w:rFonts w:ascii="Times New Roman" w:hAnsi="Times New Roman" w:eastAsia="宋体" w:cs="Times New Roman"/>
          <w:b/>
          <w:color w:val="auto"/>
          <w:sz w:val="36"/>
          <w:highlight w:val="none"/>
        </w:rPr>
      </w:pPr>
    </w:p>
    <w:p w14:paraId="7EE1A821">
      <w:pPr>
        <w:pStyle w:val="14"/>
        <w:tabs>
          <w:tab w:val="left" w:pos="2472"/>
        </w:tabs>
        <w:spacing w:line="460" w:lineRule="exact"/>
        <w:jc w:val="center"/>
        <w:rPr>
          <w:rFonts w:ascii="Times New Roman" w:hAnsi="Times New Roman" w:eastAsia="宋体" w:cs="Times New Roman"/>
          <w:b/>
          <w:color w:val="auto"/>
          <w:sz w:val="36"/>
          <w:highlight w:val="none"/>
        </w:rPr>
      </w:pPr>
    </w:p>
    <w:p w14:paraId="3D2F257B">
      <w:pPr>
        <w:pStyle w:val="14"/>
        <w:tabs>
          <w:tab w:val="left" w:pos="2472"/>
        </w:tabs>
        <w:spacing w:line="460" w:lineRule="exact"/>
        <w:jc w:val="center"/>
        <w:rPr>
          <w:rFonts w:ascii="Times New Roman" w:hAnsi="Times New Roman" w:eastAsia="宋体" w:cs="Times New Roman"/>
          <w:b/>
          <w:color w:val="auto"/>
          <w:sz w:val="36"/>
          <w:highlight w:val="none"/>
        </w:rPr>
      </w:pPr>
    </w:p>
    <w:p w14:paraId="1EE3DA15">
      <w:pPr>
        <w:pStyle w:val="14"/>
        <w:tabs>
          <w:tab w:val="left" w:pos="2472"/>
        </w:tabs>
        <w:spacing w:line="460" w:lineRule="exact"/>
        <w:jc w:val="center"/>
        <w:rPr>
          <w:rFonts w:ascii="Times New Roman" w:hAnsi="Times New Roman" w:eastAsia="宋体" w:cs="Times New Roman"/>
          <w:b/>
          <w:color w:val="auto"/>
          <w:sz w:val="36"/>
          <w:highlight w:val="none"/>
        </w:rPr>
      </w:pPr>
    </w:p>
    <w:p w14:paraId="0EA59CE5">
      <w:pPr>
        <w:pStyle w:val="14"/>
        <w:tabs>
          <w:tab w:val="left" w:pos="2472"/>
        </w:tabs>
        <w:spacing w:line="460" w:lineRule="exact"/>
        <w:jc w:val="center"/>
        <w:rPr>
          <w:rFonts w:ascii="Times New Roman" w:hAnsi="Times New Roman" w:eastAsia="宋体" w:cs="Times New Roman"/>
          <w:b/>
          <w:color w:val="auto"/>
          <w:sz w:val="36"/>
          <w:highlight w:val="none"/>
        </w:rPr>
      </w:pPr>
    </w:p>
    <w:p w14:paraId="27ED0121">
      <w:pPr>
        <w:pStyle w:val="14"/>
        <w:tabs>
          <w:tab w:val="left" w:pos="2472"/>
        </w:tabs>
        <w:spacing w:line="460" w:lineRule="exact"/>
        <w:jc w:val="center"/>
        <w:rPr>
          <w:rFonts w:ascii="Times New Roman" w:hAnsi="Times New Roman" w:eastAsia="宋体" w:cs="Times New Roman"/>
          <w:b/>
          <w:color w:val="auto"/>
          <w:sz w:val="36"/>
          <w:highlight w:val="none"/>
        </w:rPr>
      </w:pPr>
    </w:p>
    <w:p w14:paraId="109E2D17">
      <w:pPr>
        <w:pStyle w:val="14"/>
        <w:tabs>
          <w:tab w:val="left" w:pos="2472"/>
        </w:tabs>
        <w:spacing w:line="460" w:lineRule="exact"/>
        <w:jc w:val="center"/>
        <w:rPr>
          <w:rFonts w:ascii="Times New Roman" w:hAnsi="Times New Roman" w:eastAsia="宋体" w:cs="Times New Roman"/>
          <w:b/>
          <w:color w:val="auto"/>
          <w:sz w:val="36"/>
          <w:highlight w:val="none"/>
        </w:rPr>
      </w:pPr>
    </w:p>
    <w:p w14:paraId="19DEB946">
      <w:pPr>
        <w:pStyle w:val="14"/>
        <w:tabs>
          <w:tab w:val="left" w:pos="2472"/>
        </w:tabs>
        <w:spacing w:line="460" w:lineRule="exact"/>
        <w:jc w:val="center"/>
        <w:rPr>
          <w:rFonts w:ascii="Times New Roman" w:hAnsi="Times New Roman" w:eastAsia="宋体" w:cs="Times New Roman"/>
          <w:b/>
          <w:color w:val="auto"/>
          <w:sz w:val="36"/>
          <w:highlight w:val="none"/>
        </w:rPr>
      </w:pPr>
    </w:p>
    <w:p w14:paraId="14D0BBB8">
      <w:pPr>
        <w:pStyle w:val="14"/>
        <w:tabs>
          <w:tab w:val="left" w:pos="2472"/>
        </w:tabs>
        <w:spacing w:line="460" w:lineRule="exact"/>
        <w:jc w:val="center"/>
        <w:rPr>
          <w:rFonts w:ascii="Times New Roman" w:hAnsi="Times New Roman" w:eastAsia="宋体" w:cs="Times New Roman"/>
          <w:b/>
          <w:color w:val="auto"/>
          <w:sz w:val="36"/>
          <w:highlight w:val="none"/>
        </w:rPr>
      </w:pPr>
    </w:p>
    <w:p w14:paraId="4636E220">
      <w:pPr>
        <w:pStyle w:val="14"/>
        <w:tabs>
          <w:tab w:val="left" w:pos="2472"/>
        </w:tabs>
        <w:spacing w:line="460" w:lineRule="exact"/>
        <w:jc w:val="center"/>
        <w:rPr>
          <w:rFonts w:ascii="Times New Roman" w:hAnsi="Times New Roman" w:eastAsia="宋体" w:cs="Times New Roman"/>
          <w:b/>
          <w:color w:val="auto"/>
          <w:sz w:val="36"/>
          <w:highlight w:val="none"/>
        </w:rPr>
      </w:pPr>
    </w:p>
    <w:p w14:paraId="59769664">
      <w:pPr>
        <w:pStyle w:val="14"/>
        <w:tabs>
          <w:tab w:val="left" w:pos="2472"/>
        </w:tabs>
        <w:spacing w:line="460" w:lineRule="exact"/>
        <w:jc w:val="center"/>
        <w:outlineLvl w:val="0"/>
        <w:rPr>
          <w:rFonts w:ascii="Times New Roman" w:hAnsi="Times New Roman" w:eastAsia="宋体" w:cs="Times New Roman"/>
          <w:b/>
          <w:color w:val="auto"/>
          <w:sz w:val="36"/>
          <w:highlight w:val="none"/>
        </w:rPr>
      </w:pPr>
      <w:bookmarkStart w:id="400" w:name="_Toc6635"/>
      <w:bookmarkStart w:id="401" w:name="_Toc7254"/>
      <w:bookmarkStart w:id="402" w:name="_Toc31310"/>
      <w:bookmarkStart w:id="403" w:name="_Toc31429"/>
      <w:bookmarkStart w:id="404" w:name="_Toc25113"/>
      <w:bookmarkStart w:id="405" w:name="_Toc18173"/>
      <w:bookmarkStart w:id="406" w:name="_Toc11260"/>
      <w:bookmarkStart w:id="407" w:name="_Toc491"/>
      <w:bookmarkStart w:id="408" w:name="_Toc32028"/>
      <w:bookmarkStart w:id="409" w:name="_Toc17736"/>
      <w:bookmarkStart w:id="410" w:name="_Toc7244"/>
      <w:bookmarkStart w:id="411" w:name="_Toc21753"/>
      <w:bookmarkStart w:id="412" w:name="_Toc2211"/>
      <w:r>
        <w:rPr>
          <w:rFonts w:hint="eastAsia" w:ascii="Times New Roman" w:hAnsi="Times New Roman" w:eastAsia="宋体" w:cs="Times New Roman"/>
          <w:b/>
          <w:color w:val="auto"/>
          <w:sz w:val="36"/>
          <w:highlight w:val="none"/>
        </w:rPr>
        <w:t>第七章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质疑、投诉材料格式</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3B5C1021">
      <w:pPr>
        <w:widowControl/>
        <w:spacing w:line="360" w:lineRule="auto"/>
        <w:jc w:val="left"/>
        <w:rPr>
          <w:color w:val="auto"/>
          <w:sz w:val="20"/>
          <w:highlight w:val="none"/>
        </w:rPr>
        <w:sectPr>
          <w:pgSz w:w="11905" w:h="16838"/>
          <w:pgMar w:top="1134" w:right="1134" w:bottom="1134" w:left="1134" w:header="850" w:footer="850" w:gutter="0"/>
          <w:pgNumType w:fmt="decimal"/>
          <w:cols w:space="0" w:num="1"/>
          <w:titlePg/>
          <w:rtlGutter w:val="0"/>
          <w:docGrid w:linePitch="331" w:charSpace="0"/>
        </w:sectPr>
      </w:pPr>
    </w:p>
    <w:p w14:paraId="175F4BC7">
      <w:pPr>
        <w:pStyle w:val="5"/>
        <w:jc w:val="center"/>
        <w:rPr>
          <w:rFonts w:hint="eastAsia" w:ascii="宋体" w:hAnsi="宋体" w:cs="Times New Roman"/>
          <w:b w:val="0"/>
          <w:bCs w:val="0"/>
          <w:color w:val="auto"/>
          <w:highlight w:val="none"/>
        </w:rPr>
      </w:pPr>
      <w:bookmarkStart w:id="413" w:name="_Toc22595"/>
      <w:bookmarkStart w:id="414" w:name="_Toc10944"/>
      <w:bookmarkStart w:id="415" w:name="_Toc12016"/>
      <w:bookmarkStart w:id="416" w:name="_Toc17610"/>
      <w:bookmarkStart w:id="417" w:name="_Toc3458"/>
      <w:bookmarkStart w:id="418" w:name="_Toc990"/>
      <w:bookmarkStart w:id="419" w:name="_Toc22540"/>
      <w:bookmarkStart w:id="420" w:name="_Toc31800"/>
      <w:bookmarkStart w:id="421" w:name="_Toc15096"/>
      <w:bookmarkStart w:id="422" w:name="_Toc25538"/>
      <w:r>
        <w:rPr>
          <w:rFonts w:hint="eastAsia" w:ascii="宋体" w:hAnsi="宋体" w:cs="Times New Roman"/>
          <w:b w:val="0"/>
          <w:bCs w:val="0"/>
          <w:color w:val="auto"/>
          <w:highlight w:val="none"/>
        </w:rPr>
        <w:t>第一节 质疑函（格式）</w:t>
      </w:r>
      <w:bookmarkEnd w:id="413"/>
      <w:bookmarkEnd w:id="414"/>
      <w:bookmarkEnd w:id="415"/>
      <w:bookmarkEnd w:id="416"/>
      <w:bookmarkEnd w:id="417"/>
      <w:bookmarkEnd w:id="418"/>
      <w:bookmarkEnd w:id="419"/>
      <w:bookmarkEnd w:id="420"/>
      <w:bookmarkEnd w:id="421"/>
      <w:bookmarkEnd w:id="422"/>
    </w:p>
    <w:p w14:paraId="373A165D">
      <w:pPr>
        <w:adjustRightInd/>
        <w:snapToGrid/>
        <w:spacing w:before="0" w:beforeLines="-2147483648" w:line="240" w:lineRule="auto"/>
        <w:jc w:val="center"/>
        <w:rPr>
          <w:rFonts w:hint="eastAsia"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5628B10B">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3DF94F0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0C5C919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485036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D67443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518EBC1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837FE0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C6C9B12">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BF45B56">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14:paraId="41C401A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14:paraId="3031B9CD">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bookmarkStart w:id="423" w:name="PO_3000001867_PM026_5"/>
      <w:r>
        <w:rPr>
          <w:rFonts w:hint="eastAsia" w:ascii="宋体" w:hAnsi="宋体" w:eastAsia="宋体" w:cs="宋体"/>
          <w:color w:val="auto"/>
          <w:sz w:val="24"/>
          <w:szCs w:val="24"/>
          <w:u w:val="dotted"/>
        </w:rPr>
        <w:t xml:space="preserve">                        </w:t>
      </w:r>
      <w:bookmarkEnd w:id="423"/>
      <w:r>
        <w:rPr>
          <w:rFonts w:hint="eastAsia" w:ascii="宋体" w:hAnsi="宋体" w:eastAsia="宋体" w:cs="宋体"/>
          <w:color w:val="auto"/>
          <w:sz w:val="24"/>
          <w:szCs w:val="24"/>
          <w:u w:val="dotted"/>
        </w:rPr>
        <w:t xml:space="preserve">  </w:t>
      </w:r>
    </w:p>
    <w:p w14:paraId="7B9945C5">
      <w:pPr>
        <w:adjustRightInd w:val="0"/>
        <w:snapToGrid w:val="0"/>
        <w:spacing w:line="360" w:lineRule="auto"/>
        <w:ind w:left="0" w:leftChars="0" w:firstLine="0" w:firstLineChars="0"/>
        <w:rPr>
          <w:rFonts w:hint="eastAsia" w:ascii="宋体" w:hAnsi="宋体" w:eastAsia="宋体" w:cs="宋体"/>
          <w:color w:val="auto"/>
          <w:kern w:val="2"/>
          <w:sz w:val="24"/>
          <w:szCs w:val="24"/>
          <w:lang w:val="zh-CN" w:eastAsia="zh-CN"/>
        </w:rPr>
      </w:pPr>
      <w:r>
        <w:rPr>
          <w:rFonts w:hint="eastAsia" w:ascii="宋体" w:hAnsi="宋体" w:eastAsia="宋体" w:cs="宋体"/>
          <w:color w:val="auto"/>
          <w:kern w:val="2"/>
          <w:sz w:val="24"/>
          <w:szCs w:val="24"/>
          <w:lang w:val="zh-CN" w:eastAsia="zh-CN"/>
        </w:rPr>
        <w:t>质疑事项：</w:t>
      </w:r>
    </w:p>
    <w:p w14:paraId="29DF773D">
      <w:pPr>
        <w:adjustRightInd w:val="0"/>
        <w:snapToGrid w:val="0"/>
        <w:spacing w:line="360" w:lineRule="auto"/>
        <w:ind w:left="0" w:leftChars="0" w:firstLine="0" w:firstLineChars="0"/>
        <w:rPr>
          <w:rFonts w:hint="eastAsia" w:ascii="宋体" w:hAnsi="宋体" w:eastAsia="宋体" w:cs="宋体"/>
          <w:color w:val="auto"/>
          <w:kern w:val="2"/>
          <w:sz w:val="24"/>
          <w:szCs w:val="24"/>
          <w:lang w:val="zh-CN" w:eastAsia="zh-CN"/>
        </w:rPr>
      </w:pPr>
      <w:r>
        <w:rPr>
          <w:rFonts w:hint="eastAsia" w:ascii="宋体" w:hAnsi="宋体" w:eastAsia="宋体" w:cs="宋体"/>
          <w:color w:val="auto"/>
          <w:kern w:val="2"/>
          <w:sz w:val="24"/>
          <w:szCs w:val="24"/>
          <w:lang w:val="zh-CN" w:eastAsia="zh-CN"/>
        </w:rPr>
        <w:t>□采购文件   采购文件获取日期：</w:t>
      </w:r>
      <w:r>
        <w:rPr>
          <w:rFonts w:hint="eastAsia" w:ascii="宋体" w:hAnsi="宋体" w:eastAsia="宋体" w:cs="宋体"/>
          <w:color w:val="auto"/>
          <w:sz w:val="24"/>
          <w:szCs w:val="24"/>
          <w:u w:val="dotted"/>
        </w:rPr>
        <w:t xml:space="preserve">                         </w:t>
      </w:r>
      <w:r>
        <w:rPr>
          <w:rFonts w:hint="eastAsia" w:ascii="宋体" w:hAnsi="宋体" w:eastAsia="宋体" w:cs="宋体"/>
          <w:bCs w:val="0"/>
          <w:color w:val="auto"/>
          <w:kern w:val="2"/>
          <w:sz w:val="24"/>
          <w:szCs w:val="24"/>
          <w:u w:val="none"/>
          <w:lang w:val="zh-CN" w:eastAsia="zh-CN"/>
        </w:rPr>
        <w:t xml:space="preserve">  </w:t>
      </w:r>
    </w:p>
    <w:p w14:paraId="41306965">
      <w:pPr>
        <w:adjustRightInd w:val="0"/>
        <w:snapToGrid w:val="0"/>
        <w:spacing w:line="360" w:lineRule="auto"/>
        <w:ind w:left="0" w:leftChars="0" w:firstLine="0" w:firstLineChars="0"/>
        <w:rPr>
          <w:rFonts w:hint="eastAsia" w:ascii="宋体" w:hAnsi="宋体" w:eastAsia="宋体" w:cs="宋体"/>
          <w:color w:val="auto"/>
          <w:kern w:val="2"/>
          <w:sz w:val="24"/>
          <w:szCs w:val="24"/>
          <w:lang w:val="zh-CN" w:eastAsia="zh-CN"/>
        </w:rPr>
      </w:pPr>
      <w:r>
        <w:rPr>
          <w:rFonts w:hint="eastAsia" w:ascii="宋体" w:hAnsi="宋体" w:eastAsia="宋体" w:cs="宋体"/>
          <w:color w:val="auto"/>
          <w:kern w:val="2"/>
          <w:sz w:val="24"/>
          <w:szCs w:val="24"/>
          <w:lang w:val="zh-CN" w:eastAsia="zh-CN"/>
        </w:rPr>
        <w:t xml:space="preserve">□采购过程   </w:t>
      </w:r>
    </w:p>
    <w:p w14:paraId="08D37EB7">
      <w:pPr>
        <w:adjustRightInd w:val="0"/>
        <w:snapToGrid w:val="0"/>
        <w:spacing w:line="360" w:lineRule="auto"/>
        <w:ind w:left="0" w:leftChars="0" w:firstLine="0" w:firstLineChars="0"/>
        <w:rPr>
          <w:rFonts w:hint="eastAsia" w:ascii="宋体" w:hAnsi="宋体" w:eastAsia="宋体" w:cs="宋体"/>
          <w:bCs w:val="0"/>
          <w:color w:val="auto"/>
          <w:kern w:val="2"/>
          <w:sz w:val="24"/>
          <w:szCs w:val="24"/>
          <w:u w:val="none"/>
          <w:lang w:val="zh-CN" w:eastAsia="zh-CN"/>
        </w:rPr>
      </w:pPr>
      <w:r>
        <w:rPr>
          <w:rFonts w:hint="eastAsia" w:ascii="宋体" w:hAnsi="宋体" w:eastAsia="宋体" w:cs="宋体"/>
          <w:color w:val="auto"/>
          <w:kern w:val="2"/>
          <w:sz w:val="24"/>
          <w:szCs w:val="24"/>
          <w:lang w:val="zh-CN" w:eastAsia="zh-CN"/>
        </w:rPr>
        <w:t xml:space="preserve">□中标结果   </w:t>
      </w:r>
    </w:p>
    <w:p w14:paraId="4533B0A4">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4CB5661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32B8570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5F7D9AA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038DFD65">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CCCB355">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FC4043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6B248BC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A923B26">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51813D75">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67BA2E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45B7DE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40F79AC4">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14:paraId="5DEE8A9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6685ECC9">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341047E3">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48AE65C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51726A0C">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282BC39C">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1373AC69">
      <w:pPr>
        <w:widowControl/>
        <w:spacing w:line="360" w:lineRule="auto"/>
        <w:ind w:firstLine="480" w:firstLineChars="200"/>
        <w:jc w:val="left"/>
        <w:rPr>
          <w:rFonts w:hint="eastAsia" w:ascii="宋体" w:hAnsi="宋体" w:eastAsia="宋体" w:cs="宋体"/>
          <w:color w:val="auto"/>
          <w:sz w:val="24"/>
          <w:szCs w:val="24"/>
          <w:highlight w:val="none"/>
        </w:rPr>
      </w:pPr>
    </w:p>
    <w:p w14:paraId="4D70542B">
      <w:pPr>
        <w:widowControl/>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0" w:num="1"/>
          <w:titlePg/>
          <w:rtlGutter w:val="0"/>
          <w:docGrid w:linePitch="331" w:charSpace="0"/>
        </w:sectPr>
      </w:pPr>
    </w:p>
    <w:p w14:paraId="6B419091">
      <w:pPr>
        <w:pStyle w:val="5"/>
        <w:jc w:val="center"/>
        <w:rPr>
          <w:rFonts w:hint="eastAsia" w:ascii="宋体" w:hAnsi="宋体" w:cs="Times New Roman"/>
          <w:b w:val="0"/>
          <w:bCs w:val="0"/>
          <w:color w:val="auto"/>
          <w:highlight w:val="none"/>
        </w:rPr>
      </w:pPr>
      <w:bookmarkStart w:id="424" w:name="_Toc8862"/>
      <w:bookmarkStart w:id="425" w:name="_Toc11428"/>
      <w:bookmarkStart w:id="426" w:name="_Toc11984"/>
      <w:bookmarkStart w:id="427" w:name="_Toc24568"/>
      <w:bookmarkStart w:id="428" w:name="_Toc31203"/>
      <w:bookmarkStart w:id="429" w:name="_Toc1896"/>
      <w:bookmarkStart w:id="430" w:name="_Toc7549"/>
      <w:bookmarkStart w:id="431" w:name="_Toc6551"/>
      <w:bookmarkStart w:id="432" w:name="_Toc24894"/>
      <w:bookmarkStart w:id="433" w:name="_Toc32540"/>
      <w:r>
        <w:rPr>
          <w:rFonts w:hint="eastAsia" w:ascii="宋体" w:hAnsi="宋体" w:cs="Times New Roman"/>
          <w:b w:val="0"/>
          <w:bCs w:val="0"/>
          <w:color w:val="auto"/>
          <w:highlight w:val="none"/>
        </w:rPr>
        <w:t>第二节 投诉书（格式）</w:t>
      </w:r>
      <w:bookmarkEnd w:id="424"/>
      <w:bookmarkEnd w:id="425"/>
      <w:bookmarkEnd w:id="426"/>
      <w:bookmarkEnd w:id="427"/>
      <w:bookmarkEnd w:id="428"/>
      <w:bookmarkEnd w:id="429"/>
      <w:bookmarkEnd w:id="430"/>
      <w:bookmarkEnd w:id="431"/>
      <w:bookmarkEnd w:id="432"/>
      <w:bookmarkEnd w:id="433"/>
    </w:p>
    <w:p w14:paraId="0427FDC2">
      <w:pPr>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32"/>
          <w:szCs w:val="32"/>
          <w:highlight w:val="none"/>
        </w:rPr>
        <w:t>投诉书</w:t>
      </w:r>
    </w:p>
    <w:p w14:paraId="3F964E79">
      <w:pPr>
        <w:rPr>
          <w:rFonts w:hint="eastAsia" w:ascii="黑体" w:hAnsi="黑体" w:eastAsia="黑体" w:cs="Times New Roman"/>
          <w:color w:val="auto"/>
          <w:sz w:val="32"/>
          <w:szCs w:val="32"/>
          <w:highlight w:val="none"/>
        </w:rPr>
      </w:pPr>
    </w:p>
    <w:p w14:paraId="4F68CC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6D7DBD2B">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4B5C5BB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19DB16C">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14:paraId="27949BB9">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1BB0196">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0C8422F5">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6991F0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14:paraId="59A164D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3B3860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C52A7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12A14CDB">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6BA6AA4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14:paraId="48E8782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0A8DE0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0A42E9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7A8CD3DD">
      <w:pPr>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u w:val="dotted"/>
        </w:rPr>
        <w:t xml:space="preserve">  </w:t>
      </w:r>
      <w:bookmarkStart w:id="434" w:name="PO_3000001867_PM002_12"/>
      <w:r>
        <w:rPr>
          <w:rFonts w:hint="eastAsia" w:ascii="宋体" w:hAnsi="宋体" w:eastAsia="宋体" w:cs="宋体"/>
          <w:color w:val="auto"/>
          <w:sz w:val="24"/>
          <w:szCs w:val="24"/>
          <w:u w:val="dotted"/>
        </w:rPr>
        <w:t xml:space="preserve">                    </w:t>
      </w:r>
      <w:bookmarkEnd w:id="434"/>
      <w:r>
        <w:rPr>
          <w:rFonts w:hint="eastAsia" w:ascii="宋体" w:hAnsi="宋体" w:eastAsia="宋体" w:cs="宋体"/>
          <w:color w:val="auto"/>
          <w:sz w:val="24"/>
          <w:szCs w:val="24"/>
          <w:u w:val="dotted"/>
        </w:rPr>
        <w:t xml:space="preserve">  </w:t>
      </w:r>
    </w:p>
    <w:p w14:paraId="3260CE66">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采购项目编号：</w:t>
      </w:r>
      <w:r>
        <w:rPr>
          <w:rFonts w:hint="eastAsia" w:ascii="宋体" w:hAnsi="宋体" w:eastAsia="宋体" w:cs="宋体"/>
          <w:color w:val="auto"/>
          <w:sz w:val="24"/>
          <w:szCs w:val="24"/>
          <w:u w:val="dotted"/>
        </w:rPr>
        <w:t xml:space="preserve">  </w:t>
      </w:r>
      <w:bookmarkStart w:id="435" w:name="PO_3000001867_PM001_9"/>
      <w:r>
        <w:rPr>
          <w:rFonts w:hint="eastAsia" w:ascii="宋体" w:hAnsi="宋体" w:eastAsia="宋体" w:cs="宋体"/>
          <w:color w:val="auto"/>
          <w:sz w:val="24"/>
          <w:szCs w:val="24"/>
          <w:u w:val="dotted"/>
        </w:rPr>
        <w:t xml:space="preserve">                    </w:t>
      </w:r>
      <w:bookmarkEnd w:id="435"/>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14:paraId="203DFDE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bookmarkStart w:id="436" w:name="PO_3000001867_PM026_6"/>
      <w:r>
        <w:rPr>
          <w:rFonts w:hint="eastAsia" w:ascii="宋体" w:hAnsi="宋体" w:eastAsia="宋体" w:cs="宋体"/>
          <w:color w:val="auto"/>
          <w:sz w:val="24"/>
          <w:szCs w:val="24"/>
          <w:u w:val="dotted"/>
        </w:rPr>
        <w:t xml:space="preserve">                    </w:t>
      </w:r>
      <w:bookmarkEnd w:id="436"/>
      <w:r>
        <w:rPr>
          <w:rFonts w:hint="eastAsia" w:ascii="宋体" w:hAnsi="宋体" w:eastAsia="宋体" w:cs="宋体"/>
          <w:color w:val="auto"/>
          <w:sz w:val="24"/>
          <w:szCs w:val="24"/>
          <w:u w:val="dotted"/>
          <w:lang w:val="en-US" w:eastAsia="zh-CN"/>
        </w:rPr>
        <w:t xml:space="preserve">  </w:t>
      </w:r>
    </w:p>
    <w:p w14:paraId="242C4E1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7095C572">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524CC1C4">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71D675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529E2099">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743D30D2">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2B26F893">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55877D6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47B76E6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469FE2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538EE467">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8C9D82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5A8BF452">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142C1D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3E5DE584">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09285C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55C329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4418DA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5B9585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2CC291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4043C94D">
      <w:pPr>
        <w:spacing w:line="360" w:lineRule="auto"/>
        <w:rPr>
          <w:rFonts w:hint="eastAsia" w:ascii="宋体" w:hAnsi="宋体" w:eastAsia="宋体" w:cs="宋体"/>
          <w:b/>
          <w:color w:val="auto"/>
          <w:sz w:val="24"/>
          <w:szCs w:val="24"/>
          <w:highlight w:val="none"/>
        </w:rPr>
      </w:pPr>
    </w:p>
    <w:p w14:paraId="170FEFF2">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72636E0B">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42089DF6">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4857E45D">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09B6820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4DDE891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38839DA2">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157052DC">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6671BB54">
      <w:pPr>
        <w:rPr>
          <w:color w:val="auto"/>
          <w:highlight w:val="none"/>
        </w:rPr>
      </w:pPr>
    </w:p>
    <w:sectPr>
      <w:footerReference r:id="rId11" w:type="first"/>
      <w:headerReference r:id="rId8" w:type="default"/>
      <w:footerReference r:id="rId9" w:type="default"/>
      <w:footerReference r:id="rId10"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0E5E7">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3AF1C">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FF3AF1C">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CD306">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0418B">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580418B">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4466">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7A059A7">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67A059A7">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107882E6">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B47EA">
    <w:pPr>
      <w:pStyle w:val="16"/>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24C1B">
                          <w:pPr>
                            <w:pStyle w:val="16"/>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624C1B">
                    <w:pPr>
                      <w:pStyle w:val="16"/>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14:paraId="32A0819A">
    <w:pPr>
      <w:pStyle w:val="16"/>
      <w:rPr>
        <w:rFonts w:ascii="Times New Roman" w:hAnsi="Times New Roman"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E8457">
    <w:pPr>
      <w:pStyle w:val="16"/>
      <w:framePr w:wrap="around" w:vAnchor="text" w:hAnchor="margin" w:xAlign="center" w:y="1"/>
      <w:rPr>
        <w:rStyle w:val="25"/>
        <w:rFonts w:ascii="Times New Roman" w:hAnsi="Times New Roman" w:eastAsia="宋体" w:cs="Times New Roman"/>
      </w:rPr>
    </w:pPr>
    <w:r>
      <w:rPr>
        <w:rFonts w:ascii="Times New Roman" w:hAnsi="Times New Roman" w:eastAsia="宋体" w:cs="Times New Roman"/>
      </w:rPr>
      <w:fldChar w:fldCharType="begin"/>
    </w:r>
    <w:r>
      <w:rPr>
        <w:rStyle w:val="25"/>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0231D8CD">
    <w:pPr>
      <w:pStyle w:val="16"/>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88E9C">
    <w:pPr>
      <w:pStyle w:val="16"/>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8075B">
                          <w:pPr>
                            <w:pStyle w:val="16"/>
                            <w:rPr>
                              <w:rStyle w:val="25"/>
                              <w:rFonts w:ascii="Times New Roman" w:hAnsi="Times New Roman" w:eastAsia="宋体" w:cs="Times New Roman"/>
                            </w:rPr>
                          </w:pPr>
                          <w:r>
                            <w:rPr>
                              <w:rFonts w:ascii="Times New Roman" w:hAnsi="Times New Roman" w:eastAsia="宋体" w:cs="Times New Roman"/>
                            </w:rPr>
                            <w:fldChar w:fldCharType="begin"/>
                          </w:r>
                          <w:r>
                            <w:rPr>
                              <w:rStyle w:val="25"/>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5"/>
                              <w:rFonts w:ascii="Times New Roman" w:hAnsi="Times New Roman" w:eastAsia="宋体" w:cs="Times New Roman"/>
                            </w:rPr>
                            <w:t>122</w:t>
                          </w:r>
                          <w:r>
                            <w:rPr>
                              <w:rFonts w:ascii="Times New Roman" w:hAnsi="Times New Roman" w:eastAsia="宋体" w:cs="Times New Roman"/>
                            </w:rPr>
                            <w:fldChar w:fldCharType="end"/>
                          </w:r>
                        </w:p>
                        <w:p w14:paraId="2D75C67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98075B">
                    <w:pPr>
                      <w:pStyle w:val="16"/>
                      <w:rPr>
                        <w:rStyle w:val="25"/>
                        <w:rFonts w:ascii="Times New Roman" w:hAnsi="Times New Roman" w:eastAsia="宋体" w:cs="Times New Roman"/>
                      </w:rPr>
                    </w:pPr>
                    <w:r>
                      <w:rPr>
                        <w:rFonts w:ascii="Times New Roman" w:hAnsi="Times New Roman" w:eastAsia="宋体" w:cs="Times New Roman"/>
                      </w:rPr>
                      <w:fldChar w:fldCharType="begin"/>
                    </w:r>
                    <w:r>
                      <w:rPr>
                        <w:rStyle w:val="25"/>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5"/>
                        <w:rFonts w:ascii="Times New Roman" w:hAnsi="Times New Roman" w:eastAsia="宋体" w:cs="Times New Roman"/>
                      </w:rPr>
                      <w:t>122</w:t>
                    </w:r>
                    <w:r>
                      <w:rPr>
                        <w:rFonts w:ascii="Times New Roman" w:hAnsi="Times New Roman" w:eastAsia="宋体" w:cs="Times New Roman"/>
                      </w:rPr>
                      <w:fldChar w:fldCharType="end"/>
                    </w:r>
                  </w:p>
                  <w:p w14:paraId="2D75C672"/>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3F892">
    <w:pPr>
      <w:pStyle w:val="17"/>
      <w:pBdr>
        <w:bottom w:val="none" w:color="auto" w:sz="0" w:space="1"/>
      </w:pBdr>
      <w:jc w:val="right"/>
      <w:rPr>
        <w:rFonts w:hint="eastAsia" w:ascii="Times New Roman" w:hAnsi="Times New Roman" w:eastAsia="宋体" w:cs="Times New Roman"/>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11AF0">
    <w:pPr>
      <w:pStyle w:val="17"/>
      <w:pBdr>
        <w:bottom w:val="none" w:color="auto" w:sz="0" w:space="1"/>
      </w:pBdr>
      <w:tabs>
        <w:tab w:val="left" w:pos="2597"/>
      </w:tabs>
      <w:jc w:val="left"/>
      <w:rPr>
        <w:rFonts w:hint="eastAsia" w:ascii="Times New Roman" w:hAnsi="Times New Roman" w:eastAsia="宋体" w:cs="Times New Roman"/>
        <w:lang w:eastAsia="zh-CN"/>
      </w:rPr>
    </w:pPr>
    <w:r>
      <w:rPr>
        <w:rFonts w:hint="eastAsia" w:cs="Times New Roman"/>
        <w:lang w:eastAsia="zh-CN"/>
      </w:rPr>
      <w:tab/>
    </w:r>
    <w:r>
      <w:rPr>
        <w:rFonts w:hint="eastAsia" w:cs="Times New Roman"/>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4A3AB">
    <w:pPr>
      <w:pStyle w:val="17"/>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DD6FA038"/>
    <w:multiLevelType w:val="singleLevel"/>
    <w:tmpl w:val="DD6FA038"/>
    <w:lvl w:ilvl="0" w:tentative="0">
      <w:start w:val="2"/>
      <w:numFmt w:val="decimal"/>
      <w:lvlText w:val="%1."/>
      <w:lvlJc w:val="left"/>
      <w:pPr>
        <w:tabs>
          <w:tab w:val="left" w:pos="312"/>
        </w:tabs>
      </w:pPr>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348E8DD0"/>
    <w:multiLevelType w:val="singleLevel"/>
    <w:tmpl w:val="348E8DD0"/>
    <w:lvl w:ilvl="0" w:tentative="0">
      <w:start w:val="2"/>
      <w:numFmt w:val="decimal"/>
      <w:suff w:val="space"/>
      <w:lvlText w:val="%1."/>
      <w:lvlJc w:val="left"/>
    </w:lvl>
  </w:abstractNum>
  <w:abstractNum w:abstractNumId="5">
    <w:nsid w:val="45A66A42"/>
    <w:multiLevelType w:val="singleLevel"/>
    <w:tmpl w:val="45A66A42"/>
    <w:lvl w:ilvl="0" w:tentative="0">
      <w:start w:val="3"/>
      <w:numFmt w:val="chineseCounting"/>
      <w:suff w:val="nothing"/>
      <w:lvlText w:val="%1、"/>
      <w:lvlJc w:val="left"/>
      <w:rPr>
        <w:rFonts w:hint="eastAsia"/>
      </w:rPr>
    </w:lvl>
  </w:abstractNum>
  <w:abstractNum w:abstractNumId="6">
    <w:nsid w:val="51536378"/>
    <w:multiLevelType w:val="singleLevel"/>
    <w:tmpl w:val="51536378"/>
    <w:lvl w:ilvl="0" w:tentative="0">
      <w:start w:val="1"/>
      <w:numFmt w:val="decimal"/>
      <w:suff w:val="nothing"/>
      <w:lvlText w:val="（%1）"/>
      <w:lvlJc w:val="left"/>
      <w:pPr>
        <w:ind w:left="0" w:firstLine="0"/>
      </w:pPr>
    </w:lvl>
  </w:abstractNum>
  <w:num w:numId="1">
    <w:abstractNumId w:val="5"/>
  </w:num>
  <w:num w:numId="2">
    <w:abstractNumId w:val="0"/>
  </w:num>
  <w:num w:numId="3">
    <w:abstractNumId w:val="6"/>
    <w:lvlOverride w:ilvl="0">
      <w:startOverride w:val="1"/>
    </w:lvlOverride>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GY0NGQ5OGEyODUzY2E3MWM2YjNkMTgwZWQ4MjkifQ=="/>
  </w:docVars>
  <w:rsids>
    <w:rsidRoot w:val="00000000"/>
    <w:rsid w:val="003B1799"/>
    <w:rsid w:val="00973C87"/>
    <w:rsid w:val="00C621D0"/>
    <w:rsid w:val="00D26508"/>
    <w:rsid w:val="00D47C35"/>
    <w:rsid w:val="00D95B39"/>
    <w:rsid w:val="00DB6B5A"/>
    <w:rsid w:val="00DF7D37"/>
    <w:rsid w:val="01095920"/>
    <w:rsid w:val="011B02F9"/>
    <w:rsid w:val="012A54D2"/>
    <w:rsid w:val="014275A5"/>
    <w:rsid w:val="014E69AF"/>
    <w:rsid w:val="01A72EEF"/>
    <w:rsid w:val="01BE6222"/>
    <w:rsid w:val="01C73E98"/>
    <w:rsid w:val="01C92250"/>
    <w:rsid w:val="02055082"/>
    <w:rsid w:val="02974B2C"/>
    <w:rsid w:val="02CC6E30"/>
    <w:rsid w:val="02D92142"/>
    <w:rsid w:val="03323B4D"/>
    <w:rsid w:val="035C3D6F"/>
    <w:rsid w:val="036A4118"/>
    <w:rsid w:val="037B5A38"/>
    <w:rsid w:val="038207AB"/>
    <w:rsid w:val="038F07B3"/>
    <w:rsid w:val="04054EA8"/>
    <w:rsid w:val="041C7FB9"/>
    <w:rsid w:val="047475DC"/>
    <w:rsid w:val="04886962"/>
    <w:rsid w:val="04975296"/>
    <w:rsid w:val="049A7C20"/>
    <w:rsid w:val="04A309D6"/>
    <w:rsid w:val="04A57753"/>
    <w:rsid w:val="04C31FAE"/>
    <w:rsid w:val="04E34912"/>
    <w:rsid w:val="054579FD"/>
    <w:rsid w:val="054D6CFB"/>
    <w:rsid w:val="054F5D32"/>
    <w:rsid w:val="056D44BF"/>
    <w:rsid w:val="05A71B3F"/>
    <w:rsid w:val="05BE24D8"/>
    <w:rsid w:val="05EC04F9"/>
    <w:rsid w:val="05F34893"/>
    <w:rsid w:val="060A5367"/>
    <w:rsid w:val="061760BE"/>
    <w:rsid w:val="066F5DC3"/>
    <w:rsid w:val="0676474C"/>
    <w:rsid w:val="068C4871"/>
    <w:rsid w:val="069602FF"/>
    <w:rsid w:val="06F62551"/>
    <w:rsid w:val="072D0157"/>
    <w:rsid w:val="075D020D"/>
    <w:rsid w:val="07621280"/>
    <w:rsid w:val="0790327A"/>
    <w:rsid w:val="07A428E3"/>
    <w:rsid w:val="07BB39A6"/>
    <w:rsid w:val="07CB185D"/>
    <w:rsid w:val="07DA4E9C"/>
    <w:rsid w:val="08093A71"/>
    <w:rsid w:val="08A76D34"/>
    <w:rsid w:val="08F00221"/>
    <w:rsid w:val="08FB6F31"/>
    <w:rsid w:val="09572877"/>
    <w:rsid w:val="097C1490"/>
    <w:rsid w:val="099E24B2"/>
    <w:rsid w:val="09AB0983"/>
    <w:rsid w:val="09CE1116"/>
    <w:rsid w:val="09E076C7"/>
    <w:rsid w:val="0A1E7575"/>
    <w:rsid w:val="0A2013A9"/>
    <w:rsid w:val="0A435CEB"/>
    <w:rsid w:val="0A564057"/>
    <w:rsid w:val="0A765A8A"/>
    <w:rsid w:val="0A813285"/>
    <w:rsid w:val="0AA809C6"/>
    <w:rsid w:val="0ACE705D"/>
    <w:rsid w:val="0AD3705F"/>
    <w:rsid w:val="0AF837E4"/>
    <w:rsid w:val="0B05035F"/>
    <w:rsid w:val="0B2B22F5"/>
    <w:rsid w:val="0B5140BC"/>
    <w:rsid w:val="0B615CFF"/>
    <w:rsid w:val="0B6D3325"/>
    <w:rsid w:val="0B831A63"/>
    <w:rsid w:val="0B8C6DD9"/>
    <w:rsid w:val="0B8F7AB0"/>
    <w:rsid w:val="0BA95626"/>
    <w:rsid w:val="0BC23C9A"/>
    <w:rsid w:val="0C01007F"/>
    <w:rsid w:val="0C463AE2"/>
    <w:rsid w:val="0C585D0D"/>
    <w:rsid w:val="0CDC043F"/>
    <w:rsid w:val="0D3B1F2E"/>
    <w:rsid w:val="0D3B4AA2"/>
    <w:rsid w:val="0D543F47"/>
    <w:rsid w:val="0D9269B0"/>
    <w:rsid w:val="0D992AED"/>
    <w:rsid w:val="0DE663B1"/>
    <w:rsid w:val="0E0F21BC"/>
    <w:rsid w:val="0E1770D6"/>
    <w:rsid w:val="0E2B18D5"/>
    <w:rsid w:val="0E3218E4"/>
    <w:rsid w:val="0E73260E"/>
    <w:rsid w:val="0EA91BC1"/>
    <w:rsid w:val="0EEF6AAD"/>
    <w:rsid w:val="0EFB7D6B"/>
    <w:rsid w:val="0F012419"/>
    <w:rsid w:val="0F035F56"/>
    <w:rsid w:val="0F17197D"/>
    <w:rsid w:val="0F3410B2"/>
    <w:rsid w:val="0F524821"/>
    <w:rsid w:val="0F6B1F01"/>
    <w:rsid w:val="0FB74DC9"/>
    <w:rsid w:val="101A621B"/>
    <w:rsid w:val="102F0E28"/>
    <w:rsid w:val="10390118"/>
    <w:rsid w:val="10A25EDA"/>
    <w:rsid w:val="10D4339F"/>
    <w:rsid w:val="11652FD6"/>
    <w:rsid w:val="11D843F8"/>
    <w:rsid w:val="11F56084"/>
    <w:rsid w:val="120D6C92"/>
    <w:rsid w:val="124B49D0"/>
    <w:rsid w:val="12DE2AB6"/>
    <w:rsid w:val="12E271C4"/>
    <w:rsid w:val="12E63C04"/>
    <w:rsid w:val="13004370"/>
    <w:rsid w:val="13D773DA"/>
    <w:rsid w:val="13F735FB"/>
    <w:rsid w:val="144E3925"/>
    <w:rsid w:val="14523C8E"/>
    <w:rsid w:val="14814229"/>
    <w:rsid w:val="1485642A"/>
    <w:rsid w:val="148C55F5"/>
    <w:rsid w:val="1493579A"/>
    <w:rsid w:val="14A02656"/>
    <w:rsid w:val="14EF2214"/>
    <w:rsid w:val="15112FB3"/>
    <w:rsid w:val="1517629B"/>
    <w:rsid w:val="158A4703"/>
    <w:rsid w:val="15A71FCF"/>
    <w:rsid w:val="15CE73E7"/>
    <w:rsid w:val="15DA6861"/>
    <w:rsid w:val="15F7039E"/>
    <w:rsid w:val="161B58A4"/>
    <w:rsid w:val="16243806"/>
    <w:rsid w:val="16521360"/>
    <w:rsid w:val="169D6CED"/>
    <w:rsid w:val="16CC463A"/>
    <w:rsid w:val="172A6452"/>
    <w:rsid w:val="17526FA4"/>
    <w:rsid w:val="178A5D34"/>
    <w:rsid w:val="1795379C"/>
    <w:rsid w:val="18063809"/>
    <w:rsid w:val="18817186"/>
    <w:rsid w:val="18A53C2D"/>
    <w:rsid w:val="18D61EF9"/>
    <w:rsid w:val="18E66AB2"/>
    <w:rsid w:val="19097C61"/>
    <w:rsid w:val="19155678"/>
    <w:rsid w:val="194F7902"/>
    <w:rsid w:val="19B81747"/>
    <w:rsid w:val="19DC1C4E"/>
    <w:rsid w:val="19FF33EE"/>
    <w:rsid w:val="1A224809"/>
    <w:rsid w:val="1A70567B"/>
    <w:rsid w:val="1A774458"/>
    <w:rsid w:val="1A846A93"/>
    <w:rsid w:val="1AA22304"/>
    <w:rsid w:val="1ABD34B5"/>
    <w:rsid w:val="1B1A3D35"/>
    <w:rsid w:val="1B6A2382"/>
    <w:rsid w:val="1B8B4540"/>
    <w:rsid w:val="1B980981"/>
    <w:rsid w:val="1BC83144"/>
    <w:rsid w:val="1BEA4C7C"/>
    <w:rsid w:val="1C6A16ED"/>
    <w:rsid w:val="1C885DAD"/>
    <w:rsid w:val="1C9E7D2D"/>
    <w:rsid w:val="1CA43733"/>
    <w:rsid w:val="1CAB0B30"/>
    <w:rsid w:val="1CCA5C25"/>
    <w:rsid w:val="1D556DBC"/>
    <w:rsid w:val="1DF1639C"/>
    <w:rsid w:val="1E037DAC"/>
    <w:rsid w:val="1E55723C"/>
    <w:rsid w:val="1EA4279A"/>
    <w:rsid w:val="1EA700B7"/>
    <w:rsid w:val="1F152A17"/>
    <w:rsid w:val="1F4E3E9E"/>
    <w:rsid w:val="1F6210D9"/>
    <w:rsid w:val="1F640C4B"/>
    <w:rsid w:val="1F7C3BBA"/>
    <w:rsid w:val="1FC2394D"/>
    <w:rsid w:val="1FCF2A25"/>
    <w:rsid w:val="202A5D19"/>
    <w:rsid w:val="208D2FA3"/>
    <w:rsid w:val="20910DC7"/>
    <w:rsid w:val="209640CD"/>
    <w:rsid w:val="20967EE2"/>
    <w:rsid w:val="20D3473E"/>
    <w:rsid w:val="20DD79A8"/>
    <w:rsid w:val="20E233A0"/>
    <w:rsid w:val="20E3050A"/>
    <w:rsid w:val="21170006"/>
    <w:rsid w:val="213D7796"/>
    <w:rsid w:val="215E6B36"/>
    <w:rsid w:val="21660D84"/>
    <w:rsid w:val="2176663D"/>
    <w:rsid w:val="217D1569"/>
    <w:rsid w:val="21AB6CB3"/>
    <w:rsid w:val="21B4139D"/>
    <w:rsid w:val="21D70261"/>
    <w:rsid w:val="21DA28C2"/>
    <w:rsid w:val="21E92535"/>
    <w:rsid w:val="21EA67DF"/>
    <w:rsid w:val="22394291"/>
    <w:rsid w:val="22494C50"/>
    <w:rsid w:val="22551944"/>
    <w:rsid w:val="225718E5"/>
    <w:rsid w:val="2279283A"/>
    <w:rsid w:val="227A5108"/>
    <w:rsid w:val="22AB5DF9"/>
    <w:rsid w:val="22C87A6E"/>
    <w:rsid w:val="22CE4F93"/>
    <w:rsid w:val="22DA3051"/>
    <w:rsid w:val="22DC4C58"/>
    <w:rsid w:val="23236BC0"/>
    <w:rsid w:val="237F36A3"/>
    <w:rsid w:val="23AD68F9"/>
    <w:rsid w:val="23C31EAF"/>
    <w:rsid w:val="23C46C9C"/>
    <w:rsid w:val="23CD5BEA"/>
    <w:rsid w:val="23D46646"/>
    <w:rsid w:val="23E16DB3"/>
    <w:rsid w:val="23EF07BD"/>
    <w:rsid w:val="24045F32"/>
    <w:rsid w:val="240B21ED"/>
    <w:rsid w:val="242D3833"/>
    <w:rsid w:val="24816B05"/>
    <w:rsid w:val="24941690"/>
    <w:rsid w:val="24CF590E"/>
    <w:rsid w:val="24FD473D"/>
    <w:rsid w:val="25581FF1"/>
    <w:rsid w:val="25665875"/>
    <w:rsid w:val="256C491B"/>
    <w:rsid w:val="258F5A73"/>
    <w:rsid w:val="25CF57C2"/>
    <w:rsid w:val="25E2566C"/>
    <w:rsid w:val="26024071"/>
    <w:rsid w:val="26A742E8"/>
    <w:rsid w:val="26CF1553"/>
    <w:rsid w:val="26DA0542"/>
    <w:rsid w:val="273259A9"/>
    <w:rsid w:val="27380A7A"/>
    <w:rsid w:val="27503865"/>
    <w:rsid w:val="275A5F00"/>
    <w:rsid w:val="276258F6"/>
    <w:rsid w:val="279A2560"/>
    <w:rsid w:val="27DA7DAA"/>
    <w:rsid w:val="27F23143"/>
    <w:rsid w:val="28063E8E"/>
    <w:rsid w:val="28790670"/>
    <w:rsid w:val="28DA5593"/>
    <w:rsid w:val="29095C9F"/>
    <w:rsid w:val="291B1976"/>
    <w:rsid w:val="292145DB"/>
    <w:rsid w:val="292D12B6"/>
    <w:rsid w:val="29AB0C3B"/>
    <w:rsid w:val="29BB4910"/>
    <w:rsid w:val="29DB234D"/>
    <w:rsid w:val="29DD3939"/>
    <w:rsid w:val="2A1F36F3"/>
    <w:rsid w:val="2A636FF6"/>
    <w:rsid w:val="2A80573B"/>
    <w:rsid w:val="2B3B1E66"/>
    <w:rsid w:val="2B770163"/>
    <w:rsid w:val="2B960D99"/>
    <w:rsid w:val="2B9E3F4D"/>
    <w:rsid w:val="2B9E7E17"/>
    <w:rsid w:val="2BCB247B"/>
    <w:rsid w:val="2BDD7B07"/>
    <w:rsid w:val="2C7D12B4"/>
    <w:rsid w:val="2CCA7EB6"/>
    <w:rsid w:val="2CED73A5"/>
    <w:rsid w:val="2CF72413"/>
    <w:rsid w:val="2D3347E7"/>
    <w:rsid w:val="2D4F38E3"/>
    <w:rsid w:val="2D6045A9"/>
    <w:rsid w:val="2D9617F6"/>
    <w:rsid w:val="2DBE7E6A"/>
    <w:rsid w:val="2DCB0FE4"/>
    <w:rsid w:val="2DEC5B1F"/>
    <w:rsid w:val="2E21726B"/>
    <w:rsid w:val="2E7532C5"/>
    <w:rsid w:val="2F423753"/>
    <w:rsid w:val="2F575FD4"/>
    <w:rsid w:val="2FB87BD1"/>
    <w:rsid w:val="2FF80F0E"/>
    <w:rsid w:val="304108B1"/>
    <w:rsid w:val="305807BF"/>
    <w:rsid w:val="306B5FE8"/>
    <w:rsid w:val="306C7483"/>
    <w:rsid w:val="307E46AF"/>
    <w:rsid w:val="30D81EF7"/>
    <w:rsid w:val="30D93356"/>
    <w:rsid w:val="30DA1DD9"/>
    <w:rsid w:val="318D2CFD"/>
    <w:rsid w:val="31EF7B28"/>
    <w:rsid w:val="32015993"/>
    <w:rsid w:val="322118FB"/>
    <w:rsid w:val="322476CF"/>
    <w:rsid w:val="322B55AE"/>
    <w:rsid w:val="32390A38"/>
    <w:rsid w:val="32521B1D"/>
    <w:rsid w:val="326C65A7"/>
    <w:rsid w:val="326D5167"/>
    <w:rsid w:val="326E6C1E"/>
    <w:rsid w:val="329F5F4A"/>
    <w:rsid w:val="32AD00E0"/>
    <w:rsid w:val="32BB403E"/>
    <w:rsid w:val="32DD681E"/>
    <w:rsid w:val="32E3590E"/>
    <w:rsid w:val="32FC3D25"/>
    <w:rsid w:val="33136037"/>
    <w:rsid w:val="3316675F"/>
    <w:rsid w:val="33800A0F"/>
    <w:rsid w:val="338E424C"/>
    <w:rsid w:val="339B377C"/>
    <w:rsid w:val="33D1368F"/>
    <w:rsid w:val="345631E3"/>
    <w:rsid w:val="34572A71"/>
    <w:rsid w:val="349D7A9E"/>
    <w:rsid w:val="34B410D3"/>
    <w:rsid w:val="34BB41E0"/>
    <w:rsid w:val="34BC4B4B"/>
    <w:rsid w:val="3507717E"/>
    <w:rsid w:val="350C2D09"/>
    <w:rsid w:val="3592350F"/>
    <w:rsid w:val="35A67A5F"/>
    <w:rsid w:val="36110C0F"/>
    <w:rsid w:val="3615435C"/>
    <w:rsid w:val="361C37F0"/>
    <w:rsid w:val="361E362C"/>
    <w:rsid w:val="3635774B"/>
    <w:rsid w:val="3642105E"/>
    <w:rsid w:val="366E1C81"/>
    <w:rsid w:val="366E4460"/>
    <w:rsid w:val="36773E5D"/>
    <w:rsid w:val="36801F8F"/>
    <w:rsid w:val="36AF573D"/>
    <w:rsid w:val="36BB169B"/>
    <w:rsid w:val="36CF23CE"/>
    <w:rsid w:val="36D3565B"/>
    <w:rsid w:val="36E0622F"/>
    <w:rsid w:val="36ED3DEE"/>
    <w:rsid w:val="3720584E"/>
    <w:rsid w:val="375D21A8"/>
    <w:rsid w:val="3779039B"/>
    <w:rsid w:val="37FB3273"/>
    <w:rsid w:val="383967AA"/>
    <w:rsid w:val="387F5AF8"/>
    <w:rsid w:val="38E50D89"/>
    <w:rsid w:val="39455184"/>
    <w:rsid w:val="39726B7C"/>
    <w:rsid w:val="399B6E57"/>
    <w:rsid w:val="39EA3076"/>
    <w:rsid w:val="3A2C1123"/>
    <w:rsid w:val="3A395E36"/>
    <w:rsid w:val="3A443C96"/>
    <w:rsid w:val="3A5E70A9"/>
    <w:rsid w:val="3A605AF2"/>
    <w:rsid w:val="3ADE1AAE"/>
    <w:rsid w:val="3B457F98"/>
    <w:rsid w:val="3B6C49BC"/>
    <w:rsid w:val="3B776CDF"/>
    <w:rsid w:val="3BA30382"/>
    <w:rsid w:val="3BAA39EE"/>
    <w:rsid w:val="3C0359A7"/>
    <w:rsid w:val="3C457F4A"/>
    <w:rsid w:val="3C9C292F"/>
    <w:rsid w:val="3DBD339D"/>
    <w:rsid w:val="3E4F3CEB"/>
    <w:rsid w:val="3E8B7A4C"/>
    <w:rsid w:val="3E9D5E68"/>
    <w:rsid w:val="3EF54968"/>
    <w:rsid w:val="3F1B0FC1"/>
    <w:rsid w:val="3F246DEE"/>
    <w:rsid w:val="3F320B28"/>
    <w:rsid w:val="3F4A0470"/>
    <w:rsid w:val="3F5512BA"/>
    <w:rsid w:val="3FD602BE"/>
    <w:rsid w:val="400468BA"/>
    <w:rsid w:val="40455FBC"/>
    <w:rsid w:val="40956660"/>
    <w:rsid w:val="40D60483"/>
    <w:rsid w:val="40EF446D"/>
    <w:rsid w:val="40FD0A5D"/>
    <w:rsid w:val="41366D43"/>
    <w:rsid w:val="4152018A"/>
    <w:rsid w:val="416C7DBD"/>
    <w:rsid w:val="41F122DB"/>
    <w:rsid w:val="4234381E"/>
    <w:rsid w:val="42954201"/>
    <w:rsid w:val="429823CB"/>
    <w:rsid w:val="429D5C8C"/>
    <w:rsid w:val="42A178EE"/>
    <w:rsid w:val="43050FCE"/>
    <w:rsid w:val="433831AE"/>
    <w:rsid w:val="433B256A"/>
    <w:rsid w:val="43460D6B"/>
    <w:rsid w:val="4399196E"/>
    <w:rsid w:val="43F31EC1"/>
    <w:rsid w:val="43FB1131"/>
    <w:rsid w:val="441A2345"/>
    <w:rsid w:val="44385910"/>
    <w:rsid w:val="443F0DB6"/>
    <w:rsid w:val="445E4478"/>
    <w:rsid w:val="447E4A26"/>
    <w:rsid w:val="449F1233"/>
    <w:rsid w:val="44E471D7"/>
    <w:rsid w:val="45500698"/>
    <w:rsid w:val="458F40E0"/>
    <w:rsid w:val="45D4622A"/>
    <w:rsid w:val="462E0726"/>
    <w:rsid w:val="4683709C"/>
    <w:rsid w:val="46AF2877"/>
    <w:rsid w:val="471760F8"/>
    <w:rsid w:val="47435B56"/>
    <w:rsid w:val="476123B9"/>
    <w:rsid w:val="47720309"/>
    <w:rsid w:val="478009AC"/>
    <w:rsid w:val="47A42B87"/>
    <w:rsid w:val="47B03B4D"/>
    <w:rsid w:val="484A0F00"/>
    <w:rsid w:val="484E4048"/>
    <w:rsid w:val="48787FAC"/>
    <w:rsid w:val="489B2F4B"/>
    <w:rsid w:val="48C0305C"/>
    <w:rsid w:val="48CF07C1"/>
    <w:rsid w:val="48D1046F"/>
    <w:rsid w:val="49360D0C"/>
    <w:rsid w:val="493865B5"/>
    <w:rsid w:val="496C7C8D"/>
    <w:rsid w:val="498469FF"/>
    <w:rsid w:val="49DF5A21"/>
    <w:rsid w:val="4A187D2D"/>
    <w:rsid w:val="4A780B39"/>
    <w:rsid w:val="4AC863B5"/>
    <w:rsid w:val="4ADD6C7C"/>
    <w:rsid w:val="4B410C16"/>
    <w:rsid w:val="4B44380D"/>
    <w:rsid w:val="4B7F5BCC"/>
    <w:rsid w:val="4BA94BA1"/>
    <w:rsid w:val="4BB30F42"/>
    <w:rsid w:val="4BC17ABD"/>
    <w:rsid w:val="4BEE18C0"/>
    <w:rsid w:val="4BF33563"/>
    <w:rsid w:val="4BF50CB2"/>
    <w:rsid w:val="4C6E15BF"/>
    <w:rsid w:val="4C737E6D"/>
    <w:rsid w:val="4CAF6EB5"/>
    <w:rsid w:val="4CB2054A"/>
    <w:rsid w:val="4CC65386"/>
    <w:rsid w:val="4CDF679D"/>
    <w:rsid w:val="4CFE0910"/>
    <w:rsid w:val="4D165162"/>
    <w:rsid w:val="4D170BB5"/>
    <w:rsid w:val="4D574D34"/>
    <w:rsid w:val="4D640565"/>
    <w:rsid w:val="4D7213D6"/>
    <w:rsid w:val="4DB67C3F"/>
    <w:rsid w:val="4DB93C1C"/>
    <w:rsid w:val="4DDB3C99"/>
    <w:rsid w:val="4DDC3463"/>
    <w:rsid w:val="4E050942"/>
    <w:rsid w:val="4E247E95"/>
    <w:rsid w:val="4E274294"/>
    <w:rsid w:val="4E4207B2"/>
    <w:rsid w:val="4E5649B8"/>
    <w:rsid w:val="4EC84766"/>
    <w:rsid w:val="4ED133E0"/>
    <w:rsid w:val="4EE1639C"/>
    <w:rsid w:val="4EF94B51"/>
    <w:rsid w:val="4F097A7C"/>
    <w:rsid w:val="4F4F2ACB"/>
    <w:rsid w:val="4F7A5C1F"/>
    <w:rsid w:val="4F8F33DB"/>
    <w:rsid w:val="4F940DFD"/>
    <w:rsid w:val="4F9D2D1D"/>
    <w:rsid w:val="4FF8744B"/>
    <w:rsid w:val="4FFB507E"/>
    <w:rsid w:val="501C5568"/>
    <w:rsid w:val="503F1F7D"/>
    <w:rsid w:val="50815D87"/>
    <w:rsid w:val="50875DDA"/>
    <w:rsid w:val="50A67405"/>
    <w:rsid w:val="50BF7A86"/>
    <w:rsid w:val="50F7462E"/>
    <w:rsid w:val="50FC2C3C"/>
    <w:rsid w:val="51074AD7"/>
    <w:rsid w:val="514C13A9"/>
    <w:rsid w:val="5165451C"/>
    <w:rsid w:val="518F7337"/>
    <w:rsid w:val="51CA2B07"/>
    <w:rsid w:val="51D574B6"/>
    <w:rsid w:val="51D97625"/>
    <w:rsid w:val="520D40AC"/>
    <w:rsid w:val="520F0B85"/>
    <w:rsid w:val="52237D21"/>
    <w:rsid w:val="524B5983"/>
    <w:rsid w:val="527777E7"/>
    <w:rsid w:val="528E2E9A"/>
    <w:rsid w:val="52A248C9"/>
    <w:rsid w:val="531C5B05"/>
    <w:rsid w:val="533E54DE"/>
    <w:rsid w:val="53532AF5"/>
    <w:rsid w:val="5363174A"/>
    <w:rsid w:val="53781CD0"/>
    <w:rsid w:val="53BE66B0"/>
    <w:rsid w:val="53D272B4"/>
    <w:rsid w:val="53E429F3"/>
    <w:rsid w:val="53FC7D3D"/>
    <w:rsid w:val="544F4B17"/>
    <w:rsid w:val="54690E06"/>
    <w:rsid w:val="547D1B69"/>
    <w:rsid w:val="547D3CA1"/>
    <w:rsid w:val="549A78FD"/>
    <w:rsid w:val="54A71544"/>
    <w:rsid w:val="54E03240"/>
    <w:rsid w:val="54E161E6"/>
    <w:rsid w:val="55717EF0"/>
    <w:rsid w:val="55B83796"/>
    <w:rsid w:val="55BD62FC"/>
    <w:rsid w:val="55CF4789"/>
    <w:rsid w:val="55E24205"/>
    <w:rsid w:val="55FF3119"/>
    <w:rsid w:val="56290606"/>
    <w:rsid w:val="56960007"/>
    <w:rsid w:val="569C33FD"/>
    <w:rsid w:val="56A67268"/>
    <w:rsid w:val="56AD53E1"/>
    <w:rsid w:val="56E17E4B"/>
    <w:rsid w:val="571177FA"/>
    <w:rsid w:val="571A4D54"/>
    <w:rsid w:val="57285324"/>
    <w:rsid w:val="572C50A1"/>
    <w:rsid w:val="574A79DE"/>
    <w:rsid w:val="574E744D"/>
    <w:rsid w:val="57862A77"/>
    <w:rsid w:val="57D26EB7"/>
    <w:rsid w:val="580653FD"/>
    <w:rsid w:val="580E4991"/>
    <w:rsid w:val="580F63AE"/>
    <w:rsid w:val="586B7753"/>
    <w:rsid w:val="58AA581E"/>
    <w:rsid w:val="58D5070A"/>
    <w:rsid w:val="59043E01"/>
    <w:rsid w:val="59BB60CF"/>
    <w:rsid w:val="59D34D02"/>
    <w:rsid w:val="59F97B49"/>
    <w:rsid w:val="5A4E4EC1"/>
    <w:rsid w:val="5A4E7262"/>
    <w:rsid w:val="5A791DEA"/>
    <w:rsid w:val="5A7C75A7"/>
    <w:rsid w:val="5A831B3A"/>
    <w:rsid w:val="5AEE72F1"/>
    <w:rsid w:val="5B4102C6"/>
    <w:rsid w:val="5BC24B08"/>
    <w:rsid w:val="5BDA4CF1"/>
    <w:rsid w:val="5BE34185"/>
    <w:rsid w:val="5BF6728A"/>
    <w:rsid w:val="5C083ADA"/>
    <w:rsid w:val="5C766F57"/>
    <w:rsid w:val="5C7865A7"/>
    <w:rsid w:val="5C9F3A65"/>
    <w:rsid w:val="5CB11B30"/>
    <w:rsid w:val="5D0C1B5E"/>
    <w:rsid w:val="5D10309F"/>
    <w:rsid w:val="5D2B4B79"/>
    <w:rsid w:val="5D3D543E"/>
    <w:rsid w:val="5D425978"/>
    <w:rsid w:val="5D6F03B3"/>
    <w:rsid w:val="5D8F57D0"/>
    <w:rsid w:val="5D9769EF"/>
    <w:rsid w:val="5DB43D5B"/>
    <w:rsid w:val="5DC90AF1"/>
    <w:rsid w:val="5E1F3CF6"/>
    <w:rsid w:val="5E565CA2"/>
    <w:rsid w:val="5E7B08D1"/>
    <w:rsid w:val="5E826CA8"/>
    <w:rsid w:val="5E847D30"/>
    <w:rsid w:val="5EAB0D2C"/>
    <w:rsid w:val="5F2B1805"/>
    <w:rsid w:val="5F476193"/>
    <w:rsid w:val="5F4D6DA2"/>
    <w:rsid w:val="5F9B585D"/>
    <w:rsid w:val="5FA17662"/>
    <w:rsid w:val="5FAE1170"/>
    <w:rsid w:val="5FB76261"/>
    <w:rsid w:val="604231D2"/>
    <w:rsid w:val="60573113"/>
    <w:rsid w:val="608A289D"/>
    <w:rsid w:val="60A9595B"/>
    <w:rsid w:val="60D56C76"/>
    <w:rsid w:val="60E342E4"/>
    <w:rsid w:val="61151723"/>
    <w:rsid w:val="613432FE"/>
    <w:rsid w:val="614528AC"/>
    <w:rsid w:val="617B565A"/>
    <w:rsid w:val="619D6B85"/>
    <w:rsid w:val="61B363CD"/>
    <w:rsid w:val="61FB170E"/>
    <w:rsid w:val="62A00E16"/>
    <w:rsid w:val="62D14C9E"/>
    <w:rsid w:val="633F463B"/>
    <w:rsid w:val="639F7DC1"/>
    <w:rsid w:val="63EE313D"/>
    <w:rsid w:val="63F30435"/>
    <w:rsid w:val="63F743E1"/>
    <w:rsid w:val="64050ABF"/>
    <w:rsid w:val="642D1CFD"/>
    <w:rsid w:val="64363468"/>
    <w:rsid w:val="645239A3"/>
    <w:rsid w:val="64B32E2F"/>
    <w:rsid w:val="64C157D9"/>
    <w:rsid w:val="64CA7FBA"/>
    <w:rsid w:val="64D8451F"/>
    <w:rsid w:val="64E250F2"/>
    <w:rsid w:val="6500469F"/>
    <w:rsid w:val="659F6081"/>
    <w:rsid w:val="65A70C8A"/>
    <w:rsid w:val="65A76324"/>
    <w:rsid w:val="65A823F2"/>
    <w:rsid w:val="65B460C5"/>
    <w:rsid w:val="65ED414E"/>
    <w:rsid w:val="65EF4D81"/>
    <w:rsid w:val="65FD598B"/>
    <w:rsid w:val="66534994"/>
    <w:rsid w:val="66620E80"/>
    <w:rsid w:val="66B5420B"/>
    <w:rsid w:val="670F7889"/>
    <w:rsid w:val="67126567"/>
    <w:rsid w:val="67211260"/>
    <w:rsid w:val="67460997"/>
    <w:rsid w:val="676557D9"/>
    <w:rsid w:val="676D705E"/>
    <w:rsid w:val="67A05B2A"/>
    <w:rsid w:val="67DE2C50"/>
    <w:rsid w:val="67DE7084"/>
    <w:rsid w:val="67E26CAF"/>
    <w:rsid w:val="67E833FD"/>
    <w:rsid w:val="67F7300E"/>
    <w:rsid w:val="68342E8F"/>
    <w:rsid w:val="68483D18"/>
    <w:rsid w:val="687D4BDD"/>
    <w:rsid w:val="68952F54"/>
    <w:rsid w:val="68DC3EFE"/>
    <w:rsid w:val="68F8398F"/>
    <w:rsid w:val="69125ADB"/>
    <w:rsid w:val="69507B39"/>
    <w:rsid w:val="698E0FEB"/>
    <w:rsid w:val="6998799E"/>
    <w:rsid w:val="6A3E6267"/>
    <w:rsid w:val="6A5979DE"/>
    <w:rsid w:val="6A8923D3"/>
    <w:rsid w:val="6ADB3525"/>
    <w:rsid w:val="6AE81C2A"/>
    <w:rsid w:val="6B8723B0"/>
    <w:rsid w:val="6B8B2B72"/>
    <w:rsid w:val="6C3170F0"/>
    <w:rsid w:val="6C8146C9"/>
    <w:rsid w:val="6CA8352E"/>
    <w:rsid w:val="6CB97733"/>
    <w:rsid w:val="6CD725ED"/>
    <w:rsid w:val="6CEA4165"/>
    <w:rsid w:val="6D376AFE"/>
    <w:rsid w:val="6D3B35C4"/>
    <w:rsid w:val="6D546223"/>
    <w:rsid w:val="6D9557A8"/>
    <w:rsid w:val="6E0B4668"/>
    <w:rsid w:val="6E141A2A"/>
    <w:rsid w:val="6E2122B7"/>
    <w:rsid w:val="6E5509CC"/>
    <w:rsid w:val="6E6A6EBE"/>
    <w:rsid w:val="6EA05AE1"/>
    <w:rsid w:val="6EAB20CD"/>
    <w:rsid w:val="6EE06FEB"/>
    <w:rsid w:val="6EED307F"/>
    <w:rsid w:val="6EF74287"/>
    <w:rsid w:val="6F101EC1"/>
    <w:rsid w:val="6F153218"/>
    <w:rsid w:val="6F1F0ECB"/>
    <w:rsid w:val="6F76486B"/>
    <w:rsid w:val="6F924A6F"/>
    <w:rsid w:val="6FE55BBD"/>
    <w:rsid w:val="707B47C4"/>
    <w:rsid w:val="709B4B83"/>
    <w:rsid w:val="70B64C12"/>
    <w:rsid w:val="70C11755"/>
    <w:rsid w:val="70DD2618"/>
    <w:rsid w:val="70E6544B"/>
    <w:rsid w:val="70ED0986"/>
    <w:rsid w:val="71881060"/>
    <w:rsid w:val="71AD5293"/>
    <w:rsid w:val="71CF0D35"/>
    <w:rsid w:val="71D728C9"/>
    <w:rsid w:val="71E003DD"/>
    <w:rsid w:val="71F41383"/>
    <w:rsid w:val="72021250"/>
    <w:rsid w:val="720F6D7D"/>
    <w:rsid w:val="72472963"/>
    <w:rsid w:val="726532FB"/>
    <w:rsid w:val="72670F93"/>
    <w:rsid w:val="72950198"/>
    <w:rsid w:val="72EA4658"/>
    <w:rsid w:val="7320375D"/>
    <w:rsid w:val="734075B0"/>
    <w:rsid w:val="736C23ED"/>
    <w:rsid w:val="73F53DA6"/>
    <w:rsid w:val="742B4973"/>
    <w:rsid w:val="74444F9D"/>
    <w:rsid w:val="748725BD"/>
    <w:rsid w:val="74A01DFE"/>
    <w:rsid w:val="74B00652"/>
    <w:rsid w:val="74C6075E"/>
    <w:rsid w:val="74D86BD2"/>
    <w:rsid w:val="74F109DD"/>
    <w:rsid w:val="7509716F"/>
    <w:rsid w:val="753442AC"/>
    <w:rsid w:val="755A26D4"/>
    <w:rsid w:val="75667239"/>
    <w:rsid w:val="756D0B1E"/>
    <w:rsid w:val="75E57090"/>
    <w:rsid w:val="761B4B26"/>
    <w:rsid w:val="762F10DD"/>
    <w:rsid w:val="76945580"/>
    <w:rsid w:val="769B575F"/>
    <w:rsid w:val="76BE180F"/>
    <w:rsid w:val="76E17EFC"/>
    <w:rsid w:val="771C6DDB"/>
    <w:rsid w:val="774C11E5"/>
    <w:rsid w:val="77563BDF"/>
    <w:rsid w:val="77970501"/>
    <w:rsid w:val="77CE4E49"/>
    <w:rsid w:val="77DD1955"/>
    <w:rsid w:val="78492BFF"/>
    <w:rsid w:val="784A2834"/>
    <w:rsid w:val="78986C8F"/>
    <w:rsid w:val="78F316BE"/>
    <w:rsid w:val="78F53EF1"/>
    <w:rsid w:val="79064ACA"/>
    <w:rsid w:val="79200D68"/>
    <w:rsid w:val="79404045"/>
    <w:rsid w:val="794B1CCF"/>
    <w:rsid w:val="794E1F75"/>
    <w:rsid w:val="799737F5"/>
    <w:rsid w:val="799E4EDF"/>
    <w:rsid w:val="79C40791"/>
    <w:rsid w:val="7A4D6843"/>
    <w:rsid w:val="7A721263"/>
    <w:rsid w:val="7A925478"/>
    <w:rsid w:val="7A98300E"/>
    <w:rsid w:val="7AA812CD"/>
    <w:rsid w:val="7B2241A0"/>
    <w:rsid w:val="7B4E5F74"/>
    <w:rsid w:val="7B5B590C"/>
    <w:rsid w:val="7BC21276"/>
    <w:rsid w:val="7BE62355"/>
    <w:rsid w:val="7BF232D8"/>
    <w:rsid w:val="7C0A10B0"/>
    <w:rsid w:val="7C2521C4"/>
    <w:rsid w:val="7C266A5E"/>
    <w:rsid w:val="7C4D471D"/>
    <w:rsid w:val="7C620CEE"/>
    <w:rsid w:val="7CC43F8D"/>
    <w:rsid w:val="7CC81220"/>
    <w:rsid w:val="7CD3033B"/>
    <w:rsid w:val="7CD4773D"/>
    <w:rsid w:val="7CDD2498"/>
    <w:rsid w:val="7D1428F3"/>
    <w:rsid w:val="7D1C52E3"/>
    <w:rsid w:val="7D2E060E"/>
    <w:rsid w:val="7D3714E0"/>
    <w:rsid w:val="7D3A2618"/>
    <w:rsid w:val="7D405FDE"/>
    <w:rsid w:val="7D53229B"/>
    <w:rsid w:val="7D9F232A"/>
    <w:rsid w:val="7DB84B7D"/>
    <w:rsid w:val="7DC03F63"/>
    <w:rsid w:val="7E2719D2"/>
    <w:rsid w:val="7E301C88"/>
    <w:rsid w:val="7E5706C0"/>
    <w:rsid w:val="7E730C2B"/>
    <w:rsid w:val="7E797FB0"/>
    <w:rsid w:val="7EA1239A"/>
    <w:rsid w:val="7EC81A6C"/>
    <w:rsid w:val="7ED9582D"/>
    <w:rsid w:val="7F21731A"/>
    <w:rsid w:val="7F66149A"/>
    <w:rsid w:val="7FE07536"/>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autoRedefine/>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6">
    <w:name w:val="heading 3"/>
    <w:next w:val="1"/>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7">
    <w:name w:val="heading 5"/>
    <w:basedOn w:val="1"/>
    <w:next w:val="8"/>
    <w:autoRedefine/>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3">
    <w:name w:val="Default Paragraph Font"/>
    <w:autoRedefine/>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表格文字"/>
    <w:next w:val="3"/>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paragraph" w:styleId="3">
    <w:name w:val="Body Text"/>
    <w:basedOn w:val="1"/>
    <w:next w:val="1"/>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8">
    <w:name w:val="Normal Indent"/>
    <w:basedOn w:val="1"/>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9">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10">
    <w:name w:val="annotation text"/>
    <w:basedOn w:val="1"/>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1">
    <w:name w:val="Body Text 3"/>
    <w:basedOn w:val="1"/>
    <w:autoRedefine/>
    <w:qFormat/>
    <w:uiPriority w:val="0"/>
    <w:pPr>
      <w:spacing w:line="500" w:lineRule="exact"/>
    </w:pPr>
    <w:rPr>
      <w:b/>
      <w:bCs/>
      <w:kern w:val="0"/>
      <w:sz w:val="24"/>
    </w:rPr>
  </w:style>
  <w:style w:type="paragraph" w:styleId="12">
    <w:name w:val="Body Text Indent"/>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3">
    <w:name w:val="toc 3"/>
    <w:next w:val="1"/>
    <w:autoRedefine/>
    <w:qFormat/>
    <w:uiPriority w:val="0"/>
    <w:pPr>
      <w:widowControl w:val="0"/>
      <w:jc w:val="left"/>
    </w:pPr>
    <w:rPr>
      <w:rFonts w:ascii="Calibri" w:hAnsi="Calibri" w:eastAsia="宋体" w:cs="Times New Roman"/>
      <w:smallCaps/>
      <w:kern w:val="2"/>
      <w:sz w:val="22"/>
      <w:szCs w:val="22"/>
      <w:lang w:val="en-US" w:eastAsia="zh-CN" w:bidi="ar-SA"/>
    </w:rPr>
  </w:style>
  <w:style w:type="paragraph" w:styleId="14">
    <w:name w:val="Plain Text"/>
    <w:basedOn w:val="1"/>
    <w:next w:val="15"/>
    <w:autoRedefine/>
    <w:qFormat/>
    <w:uiPriority w:val="0"/>
    <w:pPr>
      <w:widowControl w:val="0"/>
      <w:jc w:val="both"/>
    </w:pPr>
    <w:rPr>
      <w:rFonts w:ascii="宋体" w:hAnsi="Courier New" w:eastAsia="宋体" w:cs="Times New Roman"/>
      <w:kern w:val="2"/>
      <w:sz w:val="21"/>
      <w:szCs w:val="20"/>
      <w:lang w:val="en-US" w:eastAsia="zh-CN" w:bidi="ar-SA"/>
    </w:rPr>
  </w:style>
  <w:style w:type="paragraph" w:styleId="15">
    <w:name w:val="toc 1"/>
    <w:basedOn w:val="1"/>
    <w:next w:val="1"/>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16">
    <w:name w:val="footer"/>
    <w:basedOn w:val="1"/>
    <w:next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7">
    <w:name w:val="header"/>
    <w:basedOn w:val="1"/>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8">
    <w:name w:val="List"/>
    <w:basedOn w:val="1"/>
    <w:autoRedefine/>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19">
    <w:name w:val="toc 2"/>
    <w:next w:val="1"/>
    <w:autoRedefine/>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20">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table" w:styleId="22">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page number"/>
    <w:autoRedefine/>
    <w:qFormat/>
    <w:uiPriority w:val="0"/>
  </w:style>
  <w:style w:type="character" w:styleId="26">
    <w:name w:val="FollowedHyperlink"/>
    <w:basedOn w:val="23"/>
    <w:autoRedefine/>
    <w:qFormat/>
    <w:uiPriority w:val="0"/>
    <w:rPr>
      <w:rFonts w:hint="eastAsia" w:ascii="微软雅黑" w:hAnsi="微软雅黑" w:eastAsia="微软雅黑" w:cs="微软雅黑"/>
      <w:color w:val="02396F"/>
      <w:u w:val="single"/>
    </w:rPr>
  </w:style>
  <w:style w:type="character" w:styleId="27">
    <w:name w:val="Hyperlink"/>
    <w:autoRedefine/>
    <w:qFormat/>
    <w:uiPriority w:val="0"/>
    <w:rPr>
      <w:color w:val="0000FF"/>
      <w:u w:val="single"/>
    </w:rPr>
  </w:style>
  <w:style w:type="character" w:styleId="28">
    <w:name w:val="annotation reference"/>
    <w:autoRedefine/>
    <w:qFormat/>
    <w:uiPriority w:val="0"/>
    <w:rPr>
      <w:sz w:val="21"/>
      <w:szCs w:val="21"/>
    </w:rPr>
  </w:style>
  <w:style w:type="character" w:customStyle="1" w:styleId="2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0">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1">
    <w:name w:val="正文缩进1"/>
    <w:next w:val="12"/>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2">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3">
    <w:name w:val="List Paragraph"/>
    <w:basedOn w:val="1"/>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28606</Words>
  <Characters>30513</Characters>
  <Lines>0</Lines>
  <Paragraphs>0</Paragraphs>
  <TotalTime>5</TotalTime>
  <ScaleCrop>false</ScaleCrop>
  <LinksUpToDate>false</LinksUpToDate>
  <CharactersWithSpaces>31083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甜馨</cp:lastModifiedBy>
  <dcterms:modified xsi:type="dcterms:W3CDTF">2026-06-18T10:15:43Z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CEDE398244F8416AB176D9301D2D5BD2_13</vt:lpwstr>
  </property>
  <property fmtid="{D5CDD505-2E9C-101B-9397-08002B2CF9AE}" pid="4" name="KSOTemplateDocerSaveRecord">
    <vt:lpwstr>eyJoZGlkIjoiMjRkMjBkZDIxNmVhZmY5OGMxZDRhM2FkZmM3M2RlZTQiLCJ1c2VySWQiOiIyNjAzNjM4NTkifQ==</vt:lpwstr>
  </property>
</Properties>
</file>