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740738">
      <w:pPr>
        <w:spacing w:line="240" w:lineRule="atLeast"/>
        <w:jc w:val="center"/>
        <w:rPr>
          <w:rFonts w:hint="eastAsia" w:ascii="仿宋" w:hAnsi="仿宋" w:eastAsia="仿宋" w:cs="仿宋"/>
          <w:color w:val="auto"/>
          <w:sz w:val="52"/>
          <w:szCs w:val="52"/>
          <w:highlight w:val="none"/>
        </w:rPr>
      </w:pPr>
      <w:bookmarkStart w:id="198" w:name="_GoBack"/>
      <w:bookmarkEnd w:id="198"/>
    </w:p>
    <w:p w14:paraId="6FF5A772">
      <w:pPr>
        <w:spacing w:line="360" w:lineRule="auto"/>
        <w:jc w:val="center"/>
        <w:rPr>
          <w:rFonts w:hint="eastAsia" w:ascii="仿宋" w:hAnsi="仿宋" w:eastAsia="仿宋" w:cs="仿宋"/>
          <w:color w:val="auto"/>
          <w:sz w:val="52"/>
          <w:szCs w:val="52"/>
          <w:highlight w:val="none"/>
        </w:rPr>
      </w:pPr>
      <w:r>
        <w:rPr>
          <w:rFonts w:hint="eastAsia" w:ascii="仿宋" w:hAnsi="仿宋" w:eastAsia="仿宋" w:cs="仿宋"/>
          <w:color w:val="auto"/>
          <w:highlight w:val="none"/>
        </w:rPr>
        <w:drawing>
          <wp:inline distT="0" distB="0" distL="0" distR="0">
            <wp:extent cx="895350" cy="933450"/>
            <wp:effectExtent l="0" t="0" r="0" b="0"/>
            <wp:docPr id="2" name="图片 2" descr="科文名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科文名片"/>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95350" cy="933450"/>
                    </a:xfrm>
                    <a:prstGeom prst="rect">
                      <a:avLst/>
                    </a:prstGeom>
                    <a:noFill/>
                    <a:ln>
                      <a:noFill/>
                    </a:ln>
                  </pic:spPr>
                </pic:pic>
              </a:graphicData>
            </a:graphic>
          </wp:inline>
        </w:drawing>
      </w:r>
    </w:p>
    <w:p w14:paraId="7FD8C245">
      <w:pPr>
        <w:pStyle w:val="27"/>
        <w:jc w:val="center"/>
        <w:rPr>
          <w:rFonts w:hint="eastAsia" w:ascii="仿宋" w:hAnsi="仿宋" w:eastAsia="仿宋" w:cs="仿宋"/>
          <w:color w:val="auto"/>
          <w:spacing w:val="30"/>
          <w:kern w:val="52"/>
          <w:sz w:val="64"/>
          <w:szCs w:val="64"/>
          <w:highlight w:val="none"/>
        </w:rPr>
      </w:pPr>
      <w:r>
        <w:rPr>
          <w:rFonts w:hint="eastAsia" w:ascii="仿宋" w:hAnsi="仿宋" w:eastAsia="仿宋" w:cs="仿宋"/>
          <w:color w:val="auto"/>
          <w:spacing w:val="30"/>
          <w:kern w:val="52"/>
          <w:sz w:val="64"/>
          <w:szCs w:val="64"/>
          <w:highlight w:val="none"/>
        </w:rPr>
        <w:t>广西科文招标有限公司</w:t>
      </w:r>
    </w:p>
    <w:p w14:paraId="2BE8A387">
      <w:pPr>
        <w:pStyle w:val="27"/>
        <w:jc w:val="center"/>
        <w:rPr>
          <w:rFonts w:hint="eastAsia" w:ascii="仿宋" w:hAnsi="仿宋" w:eastAsia="仿宋" w:cs="仿宋"/>
          <w:color w:val="auto"/>
          <w:spacing w:val="28"/>
          <w:sz w:val="64"/>
          <w:szCs w:val="64"/>
          <w:highlight w:val="none"/>
        </w:rPr>
      </w:pPr>
      <w:r>
        <w:rPr>
          <w:rFonts w:hint="eastAsia" w:ascii="仿宋" w:hAnsi="仿宋" w:eastAsia="仿宋" w:cs="仿宋"/>
          <w:b/>
          <w:color w:val="auto"/>
          <w:spacing w:val="-18"/>
          <w:sz w:val="64"/>
          <w:szCs w:val="64"/>
          <w:highlight w:val="none"/>
        </w:rPr>
        <mc:AlternateContent>
          <mc:Choice Requires="wps">
            <w:drawing>
              <wp:anchor distT="0" distB="0" distL="114300" distR="114300" simplePos="0" relativeHeight="251659264" behindDoc="0" locked="0" layoutInCell="1" allowOverlap="1">
                <wp:simplePos x="0" y="0"/>
                <wp:positionH relativeFrom="column">
                  <wp:posOffset>495300</wp:posOffset>
                </wp:positionH>
                <wp:positionV relativeFrom="paragraph">
                  <wp:posOffset>99060</wp:posOffset>
                </wp:positionV>
                <wp:extent cx="5486400" cy="0"/>
                <wp:effectExtent l="0" t="6350" r="0" b="6350"/>
                <wp:wrapNone/>
                <wp:docPr id="1" name="Line 2"/>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2700" cmpd="sng">
                          <a:solidFill>
                            <a:srgbClr val="000000"/>
                          </a:solidFill>
                          <a:round/>
                        </a:ln>
                        <a:effectLst/>
                      </wps:spPr>
                      <wps:bodyPr/>
                    </wps:wsp>
                  </a:graphicData>
                </a:graphic>
              </wp:anchor>
            </w:drawing>
          </mc:Choice>
          <mc:Fallback>
            <w:pict>
              <v:line id="Line 2" o:spid="_x0000_s1026" o:spt="20" style="position:absolute;left:0pt;margin-left:39pt;margin-top:7.8pt;height:0pt;width:432pt;z-index:251659264;mso-width-relative:page;mso-height-relative:page;" filled="f" stroked="t" coordsize="21600,21600" o:gfxdata="UEsDBAoAAAAAAIdO4kAAAAAAAAAAAAAAAAAEAAAAZHJzL1BLAwQUAAAACACHTuJA/3ATEtYAAAAI&#10;AQAADwAAAGRycy9kb3ducmV2LnhtbE2PzU7DMBCE70i8g7VI3KjTCNo0jdMDqKpAXNoicd0mSxyI&#10;12ns/vD2LOoBjvvNaHamWJxdp440hNazgfEoAUVc+brlxsDbdnmXgQoRucbOMxn4pgCL8vqqwLz2&#10;J17TcRMbJSEccjRgY+xzrUNlyWEY+Z5YtA8/OIxyDo2uBzxJuOt0miQT7bBl+WCxp0dL1dfm4Azg&#10;02od37P0Zdo+29fP7XK/stnemNubcTIHFekc/8zwW1+qQymddv7AdVCdgWkmU6Lwhwko0Wf3qYDd&#10;Beiy0P8HlD9QSwMEFAAAAAgAh07iQOXrq47TAQAAuQMAAA4AAABkcnMvZTJvRG9jLnhtbK1Ty27b&#10;MBC8F+g/ELzXko00DQTLOdhIL25rIOkH0BQlESW5BJe25L/vkrLcNL3kUB0IPnZnZ2ZX68fRGnZW&#10;ATW4mi8XJWfKSWi062r+8+Xp0wNnGIVrhAGnan5RyB83Hz+sB1+pFfRgGhUYgTisBl/zPkZfFQXK&#10;XlmBC/DK0WMLwYpIx9AVTRADoVtTrMryvhggND6AVIh0u5se+RUxvAcQ2lZLtQN5ssrFCTUoIyJJ&#10;wl575JvMtm2VjD/aFlVkpuakNOaVitD+mNZisxZVF4TvtbxSEO+h8EaTFdpR0RvUTkTBTkH/A2W1&#10;DIDQxoUEW0xCsiOkYlm+8ea5F15lLWQ1+pvp+P9g5ffzITDd0CRw5oSlhu+1U2yVnBk8VhSwdYeQ&#10;tMnRPfs9yF/IHGx74TqVGb5cPKUtU0bxV0o6oCf84/ANGooRpwjZprENNkGSAWzM3bjcuqHGyCRd&#10;fr57uL8rqVFyfitENSf6gPGrAsvSpuaGOGdgcd5jTERENYekOg6etDG52caxgdiuvmRo60k6ui4n&#10;IxjdpMCUgqE7bk1gZ5FGJ39ZIb28Dgtwcs1U0LiUp/LUXVnMDkxeHqG5HMJsE3U087xOXxqZ1+ds&#10;5p8/bvM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ATEtYAAAAIAQAADwAAAAAAAAABACAAAAAi&#10;AAAAZHJzL2Rvd25yZXYueG1sUEsBAhQAFAAAAAgAh07iQOXrq47TAQAAuQMAAA4AAAAAAAAAAQAg&#10;AAAAJQEAAGRycy9lMm9Eb2MueG1sUEsFBgAAAAAGAAYAWQEAAGoFAAAAAA==&#10;">
                <v:fill on="f" focussize="0,0"/>
                <v:stroke weight="1pt" color="#000000" joinstyle="round"/>
                <v:imagedata o:title=""/>
                <o:lock v:ext="edit" aspectratio="f"/>
              </v:line>
            </w:pict>
          </mc:Fallback>
        </mc:AlternateContent>
      </w:r>
    </w:p>
    <w:p w14:paraId="3217E277">
      <w:pPr>
        <w:snapToGrid w:val="0"/>
        <w:spacing w:before="120" w:beforeLines="50" w:line="360" w:lineRule="auto"/>
        <w:jc w:val="center"/>
        <w:rPr>
          <w:rFonts w:hint="eastAsia" w:ascii="仿宋" w:hAnsi="仿宋" w:eastAsia="仿宋" w:cs="仿宋"/>
          <w:color w:val="auto"/>
          <w:sz w:val="120"/>
          <w:szCs w:val="120"/>
          <w:highlight w:val="none"/>
        </w:rPr>
      </w:pPr>
      <w:r>
        <w:rPr>
          <w:rFonts w:hint="eastAsia" w:ascii="仿宋" w:hAnsi="仿宋" w:eastAsia="仿宋" w:cs="仿宋"/>
          <w:color w:val="auto"/>
          <w:sz w:val="120"/>
          <w:szCs w:val="120"/>
          <w:highlight w:val="none"/>
        </w:rPr>
        <w:t>招 标 文 件</w:t>
      </w:r>
    </w:p>
    <w:p w14:paraId="5FA25E85">
      <w:pPr>
        <w:pStyle w:val="27"/>
        <w:snapToGrid w:val="0"/>
        <w:spacing w:line="360" w:lineRule="auto"/>
        <w:ind w:firstLine="1977" w:firstLineChars="691"/>
        <w:rPr>
          <w:rFonts w:hint="eastAsia" w:ascii="仿宋" w:hAnsi="仿宋" w:eastAsia="仿宋" w:cs="仿宋"/>
          <w:b/>
          <w:bCs/>
          <w:color w:val="auto"/>
          <w:w w:val="95"/>
          <w:sz w:val="30"/>
          <w:szCs w:val="30"/>
          <w:highlight w:val="none"/>
        </w:rPr>
      </w:pPr>
    </w:p>
    <w:p w14:paraId="2A1DB71A">
      <w:pPr>
        <w:pStyle w:val="27"/>
        <w:snapToGrid w:val="0"/>
        <w:spacing w:line="360" w:lineRule="auto"/>
        <w:ind w:firstLine="1977" w:firstLineChars="691"/>
        <w:rPr>
          <w:rFonts w:hint="eastAsia" w:ascii="仿宋" w:hAnsi="仿宋" w:eastAsia="仿宋" w:cs="仿宋"/>
          <w:b/>
          <w:bCs/>
          <w:color w:val="auto"/>
          <w:w w:val="95"/>
          <w:sz w:val="30"/>
          <w:szCs w:val="30"/>
          <w:highlight w:val="none"/>
        </w:rPr>
      </w:pPr>
    </w:p>
    <w:p w14:paraId="62809D23">
      <w:pPr>
        <w:pStyle w:val="27"/>
        <w:snapToGrid w:val="0"/>
        <w:spacing w:line="360" w:lineRule="auto"/>
        <w:jc w:val="center"/>
        <w:rPr>
          <w:rFonts w:hint="eastAsia" w:ascii="仿宋" w:hAnsi="仿宋" w:eastAsia="仿宋" w:cs="仿宋"/>
          <w:b/>
          <w:bCs/>
          <w:color w:val="auto"/>
          <w:sz w:val="30"/>
          <w:szCs w:val="30"/>
          <w:highlight w:val="none"/>
          <w:lang w:eastAsia="zh-CN"/>
        </w:rPr>
      </w:pPr>
      <w:r>
        <w:rPr>
          <w:rFonts w:hint="eastAsia" w:ascii="仿宋" w:hAnsi="仿宋" w:eastAsia="仿宋" w:cs="仿宋"/>
          <w:b/>
          <w:bCs/>
          <w:color w:val="auto"/>
          <w:sz w:val="30"/>
          <w:szCs w:val="30"/>
          <w:highlight w:val="none"/>
        </w:rPr>
        <w:t>项目名称：</w:t>
      </w:r>
      <w:r>
        <w:rPr>
          <w:rFonts w:hint="eastAsia" w:ascii="仿宋" w:hAnsi="仿宋" w:eastAsia="仿宋" w:cs="仿宋"/>
          <w:b/>
          <w:bCs/>
          <w:color w:val="auto"/>
          <w:sz w:val="30"/>
          <w:szCs w:val="30"/>
          <w:highlight w:val="none"/>
          <w:lang w:eastAsia="zh-CN"/>
        </w:rPr>
        <w:t>南溪山医院医疗设备一批（八）（高清腹腔镜系统、胃肠机）</w:t>
      </w:r>
    </w:p>
    <w:p w14:paraId="5A1C7135">
      <w:pPr>
        <w:pStyle w:val="27"/>
        <w:snapToGrid w:val="0"/>
        <w:spacing w:line="360" w:lineRule="auto"/>
        <w:jc w:val="center"/>
        <w:rPr>
          <w:rFonts w:hint="eastAsia" w:ascii="仿宋" w:hAnsi="仿宋" w:eastAsia="仿宋" w:cs="仿宋"/>
          <w:b/>
          <w:bCs/>
          <w:color w:val="auto"/>
          <w:sz w:val="30"/>
          <w:szCs w:val="30"/>
          <w:highlight w:val="none"/>
          <w:lang w:eastAsia="zh-CN"/>
        </w:rPr>
      </w:pPr>
      <w:r>
        <w:rPr>
          <w:rFonts w:hint="eastAsia" w:ascii="仿宋" w:hAnsi="仿宋" w:eastAsia="仿宋" w:cs="仿宋"/>
          <w:b/>
          <w:bCs/>
          <w:color w:val="auto"/>
          <w:sz w:val="30"/>
          <w:szCs w:val="30"/>
          <w:highlight w:val="none"/>
        </w:rPr>
        <w:t>项目编号：</w:t>
      </w:r>
      <w:r>
        <w:rPr>
          <w:rFonts w:hint="eastAsia" w:ascii="仿宋" w:hAnsi="仿宋" w:eastAsia="仿宋" w:cs="仿宋"/>
          <w:b/>
          <w:bCs/>
          <w:color w:val="auto"/>
          <w:sz w:val="30"/>
          <w:szCs w:val="30"/>
          <w:highlight w:val="none"/>
          <w:lang w:eastAsia="zh-CN"/>
        </w:rPr>
        <w:t>GXZC2026-G1-002188-KWZB</w:t>
      </w:r>
    </w:p>
    <w:p w14:paraId="6839ECF1">
      <w:pPr>
        <w:pStyle w:val="27"/>
        <w:snapToGrid w:val="0"/>
        <w:spacing w:line="360" w:lineRule="auto"/>
        <w:ind w:firstLine="1977" w:firstLineChars="691"/>
        <w:rPr>
          <w:rFonts w:hint="eastAsia" w:ascii="仿宋" w:hAnsi="仿宋" w:eastAsia="仿宋" w:cs="仿宋"/>
          <w:b/>
          <w:bCs/>
          <w:color w:val="auto"/>
          <w:w w:val="95"/>
          <w:sz w:val="30"/>
          <w:szCs w:val="30"/>
          <w:highlight w:val="none"/>
        </w:rPr>
      </w:pPr>
    </w:p>
    <w:p w14:paraId="02057F35">
      <w:pPr>
        <w:pStyle w:val="27"/>
        <w:snapToGrid w:val="0"/>
        <w:spacing w:line="360" w:lineRule="auto"/>
        <w:ind w:firstLine="1977" w:firstLineChars="691"/>
        <w:rPr>
          <w:rFonts w:hint="eastAsia" w:ascii="仿宋" w:hAnsi="仿宋" w:eastAsia="仿宋" w:cs="仿宋"/>
          <w:b/>
          <w:bCs/>
          <w:color w:val="auto"/>
          <w:w w:val="95"/>
          <w:sz w:val="30"/>
          <w:szCs w:val="30"/>
          <w:highlight w:val="none"/>
        </w:rPr>
      </w:pPr>
    </w:p>
    <w:p w14:paraId="1CBB870B">
      <w:pPr>
        <w:pStyle w:val="27"/>
        <w:snapToGrid w:val="0"/>
        <w:spacing w:line="360" w:lineRule="auto"/>
        <w:jc w:val="center"/>
        <w:rPr>
          <w:rFonts w:hint="eastAsia" w:ascii="仿宋" w:hAnsi="仿宋" w:eastAsia="仿宋" w:cs="仿宋"/>
          <w:b/>
          <w:bCs/>
          <w:color w:val="auto"/>
          <w:sz w:val="30"/>
          <w:szCs w:val="30"/>
          <w:highlight w:val="none"/>
          <w:lang w:eastAsia="zh-CN"/>
        </w:rPr>
      </w:pPr>
      <w:r>
        <w:rPr>
          <w:rFonts w:hint="eastAsia" w:ascii="仿宋" w:hAnsi="仿宋" w:eastAsia="仿宋" w:cs="仿宋"/>
          <w:b/>
          <w:bCs/>
          <w:color w:val="auto"/>
          <w:sz w:val="30"/>
          <w:szCs w:val="30"/>
          <w:highlight w:val="none"/>
        </w:rPr>
        <w:t>采购人：</w:t>
      </w:r>
      <w:r>
        <w:rPr>
          <w:rFonts w:hint="eastAsia" w:ascii="仿宋" w:hAnsi="仿宋" w:eastAsia="仿宋" w:cs="仿宋"/>
          <w:b/>
          <w:bCs/>
          <w:color w:val="auto"/>
          <w:sz w:val="30"/>
          <w:szCs w:val="30"/>
          <w:highlight w:val="none"/>
          <w:lang w:eastAsia="zh-CN"/>
        </w:rPr>
        <w:t>广西壮族自治区南溪山医院（广西壮族自治区第二人民医院）</w:t>
      </w:r>
    </w:p>
    <w:p w14:paraId="0470242A">
      <w:pPr>
        <w:pStyle w:val="27"/>
        <w:snapToGrid w:val="0"/>
        <w:spacing w:line="360" w:lineRule="auto"/>
        <w:jc w:val="center"/>
        <w:rPr>
          <w:rFonts w:hint="eastAsia"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t>采购代理机构：广西科文招标有限公司</w:t>
      </w:r>
    </w:p>
    <w:p w14:paraId="1D8EA6D3">
      <w:pPr>
        <w:pStyle w:val="27"/>
        <w:snapToGrid w:val="0"/>
        <w:spacing w:line="360" w:lineRule="auto"/>
        <w:jc w:val="center"/>
        <w:rPr>
          <w:rFonts w:hint="eastAsia" w:ascii="仿宋" w:hAnsi="仿宋" w:eastAsia="仿宋" w:cs="仿宋"/>
          <w:color w:val="auto"/>
          <w:szCs w:val="20"/>
          <w:highlight w:val="none"/>
          <w:lang w:eastAsia="zh-CN"/>
        </w:rPr>
      </w:pPr>
      <w:r>
        <w:rPr>
          <w:rFonts w:hint="eastAsia" w:ascii="仿宋" w:hAnsi="仿宋" w:eastAsia="仿宋" w:cs="仿宋"/>
          <w:b/>
          <w:bCs/>
          <w:color w:val="auto"/>
          <w:sz w:val="30"/>
          <w:szCs w:val="30"/>
          <w:highlight w:val="none"/>
          <w:lang w:eastAsia="zh-CN"/>
        </w:rPr>
        <w:t>2026年</w:t>
      </w:r>
      <w:r>
        <w:rPr>
          <w:rFonts w:hint="eastAsia" w:ascii="仿宋" w:hAnsi="仿宋" w:eastAsia="仿宋" w:cs="仿宋"/>
          <w:b/>
          <w:bCs/>
          <w:color w:val="auto"/>
          <w:sz w:val="30"/>
          <w:szCs w:val="30"/>
          <w:highlight w:val="none"/>
          <w:lang w:val="en-US" w:eastAsia="zh-CN"/>
        </w:rPr>
        <w:t>7</w:t>
      </w:r>
      <w:r>
        <w:rPr>
          <w:rFonts w:hint="eastAsia" w:ascii="仿宋" w:hAnsi="仿宋" w:eastAsia="仿宋" w:cs="仿宋"/>
          <w:b/>
          <w:bCs/>
          <w:color w:val="auto"/>
          <w:sz w:val="30"/>
          <w:szCs w:val="30"/>
          <w:highlight w:val="none"/>
          <w:lang w:eastAsia="zh-CN"/>
        </w:rPr>
        <w:t>月</w:t>
      </w:r>
    </w:p>
    <w:p w14:paraId="501E71B8">
      <w:pPr>
        <w:pStyle w:val="27"/>
        <w:spacing w:before="120" w:after="120" w:line="360" w:lineRule="auto"/>
        <w:jc w:val="center"/>
        <w:rPr>
          <w:rFonts w:hint="eastAsia" w:ascii="仿宋" w:hAnsi="仿宋" w:eastAsia="仿宋" w:cs="仿宋"/>
          <w:color w:val="auto"/>
          <w:highlight w:val="none"/>
        </w:rPr>
      </w:pPr>
    </w:p>
    <w:p w14:paraId="76255482">
      <w:pPr>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  录</w:t>
      </w:r>
    </w:p>
    <w:p w14:paraId="27313DD1">
      <w:pPr>
        <w:pStyle w:val="35"/>
        <w:spacing w:line="360" w:lineRule="auto"/>
        <w:ind w:firstLine="320"/>
        <w:rPr>
          <w:rFonts w:hint="eastAsia" w:ascii="仿宋" w:hAnsi="仿宋" w:eastAsia="仿宋" w:cs="仿宋"/>
          <w:b w:val="0"/>
          <w:color w:val="auto"/>
          <w:sz w:val="32"/>
          <w:szCs w:val="32"/>
          <w:highlight w:val="none"/>
        </w:rPr>
      </w:pPr>
    </w:p>
    <w:p w14:paraId="348BBEE0">
      <w:pPr>
        <w:pStyle w:val="35"/>
        <w:tabs>
          <w:tab w:val="right" w:leader="dot" w:pos="9072"/>
          <w:tab w:val="clear" w:pos="8398"/>
        </w:tabs>
        <w:spacing w:before="0" w:after="0" w:line="480" w:lineRule="auto"/>
        <w:ind w:firstLine="0" w:firstLineChars="0"/>
        <w:jc w:val="center"/>
        <w:rPr>
          <w:rFonts w:hint="eastAsia" w:ascii="仿宋" w:hAnsi="仿宋" w:eastAsia="仿宋" w:cs="仿宋"/>
          <w:b w:val="0"/>
          <w:bCs w:val="0"/>
          <w:caps w:val="0"/>
          <w:color w:val="auto"/>
          <w:sz w:val="36"/>
          <w:szCs w:val="36"/>
          <w:highlight w:val="none"/>
        </w:rPr>
      </w:pPr>
      <w:r>
        <w:rPr>
          <w:rFonts w:hint="eastAsia" w:ascii="仿宋" w:hAnsi="仿宋" w:eastAsia="仿宋" w:cs="仿宋"/>
          <w:b w:val="0"/>
          <w:color w:val="auto"/>
          <w:sz w:val="36"/>
          <w:szCs w:val="36"/>
          <w:highlight w:val="none"/>
        </w:rPr>
        <w:fldChar w:fldCharType="begin"/>
      </w:r>
      <w:r>
        <w:rPr>
          <w:rFonts w:hint="eastAsia" w:ascii="仿宋" w:hAnsi="仿宋" w:eastAsia="仿宋" w:cs="仿宋"/>
          <w:b w:val="0"/>
          <w:color w:val="auto"/>
          <w:sz w:val="36"/>
          <w:szCs w:val="36"/>
          <w:highlight w:val="none"/>
        </w:rPr>
        <w:instrText xml:space="preserve">TOC \o "1-2" \h \z \u</w:instrText>
      </w:r>
      <w:r>
        <w:rPr>
          <w:rFonts w:hint="eastAsia" w:ascii="仿宋" w:hAnsi="仿宋" w:eastAsia="仿宋" w:cs="仿宋"/>
          <w:b w:val="0"/>
          <w:color w:val="auto"/>
          <w:sz w:val="36"/>
          <w:szCs w:val="36"/>
          <w:highlight w:val="none"/>
        </w:rPr>
        <w:fldChar w:fldCharType="separate"/>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"_Toc74320800" </w:instrText>
      </w:r>
      <w:r>
        <w:rPr>
          <w:rFonts w:hint="eastAsia" w:ascii="仿宋" w:hAnsi="仿宋" w:eastAsia="仿宋" w:cs="仿宋"/>
          <w:color w:val="auto"/>
          <w:highlight w:val="none"/>
        </w:rPr>
        <w:fldChar w:fldCharType="separate"/>
      </w:r>
      <w:r>
        <w:rPr>
          <w:rStyle w:val="58"/>
          <w:rFonts w:hint="eastAsia" w:ascii="仿宋" w:hAnsi="仿宋" w:eastAsia="仿宋" w:cs="仿宋"/>
          <w:b w:val="0"/>
          <w:color w:val="auto"/>
          <w:sz w:val="36"/>
          <w:szCs w:val="36"/>
          <w:highlight w:val="none"/>
        </w:rPr>
        <w:t>第一章 招标公告</w:t>
      </w:r>
      <w:r>
        <w:rPr>
          <w:rFonts w:hint="eastAsia" w:ascii="仿宋" w:hAnsi="仿宋" w:eastAsia="仿宋" w:cs="仿宋"/>
          <w:b w:val="0"/>
          <w:color w:val="auto"/>
          <w:sz w:val="36"/>
          <w:szCs w:val="36"/>
          <w:highlight w:val="none"/>
        </w:rPr>
        <w:tab/>
      </w:r>
      <w:r>
        <w:rPr>
          <w:rFonts w:hint="eastAsia" w:ascii="仿宋" w:hAnsi="仿宋" w:eastAsia="仿宋" w:cs="仿宋"/>
          <w:b w:val="0"/>
          <w:color w:val="auto"/>
          <w:sz w:val="36"/>
          <w:szCs w:val="36"/>
          <w:highlight w:val="none"/>
        </w:rPr>
        <w:t>2</w:t>
      </w:r>
      <w:r>
        <w:rPr>
          <w:rFonts w:hint="eastAsia" w:ascii="仿宋" w:hAnsi="仿宋" w:eastAsia="仿宋" w:cs="仿宋"/>
          <w:b w:val="0"/>
          <w:color w:val="auto"/>
          <w:sz w:val="36"/>
          <w:szCs w:val="36"/>
          <w:highlight w:val="none"/>
        </w:rPr>
        <w:fldChar w:fldCharType="end"/>
      </w:r>
    </w:p>
    <w:p w14:paraId="0419A138">
      <w:pPr>
        <w:pStyle w:val="35"/>
        <w:tabs>
          <w:tab w:val="right" w:leader="dot" w:pos="9072"/>
          <w:tab w:val="clear" w:pos="8398"/>
        </w:tabs>
        <w:spacing w:before="0" w:after="0" w:line="480" w:lineRule="auto"/>
        <w:ind w:firstLine="0" w:firstLineChars="0"/>
        <w:jc w:val="center"/>
        <w:rPr>
          <w:rFonts w:hint="eastAsia" w:ascii="仿宋" w:hAnsi="仿宋" w:eastAsia="仿宋" w:cs="仿宋"/>
          <w:b w:val="0"/>
          <w:bCs w:val="0"/>
          <w:caps w:val="0"/>
          <w:color w:val="auto"/>
          <w:sz w:val="36"/>
          <w:szCs w:val="36"/>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"_Toc74320801" </w:instrText>
      </w:r>
      <w:r>
        <w:rPr>
          <w:rFonts w:hint="eastAsia" w:ascii="仿宋" w:hAnsi="仿宋" w:eastAsia="仿宋" w:cs="仿宋"/>
          <w:color w:val="auto"/>
          <w:highlight w:val="none"/>
        </w:rPr>
        <w:fldChar w:fldCharType="separate"/>
      </w:r>
      <w:r>
        <w:rPr>
          <w:rStyle w:val="58"/>
          <w:rFonts w:hint="eastAsia" w:ascii="仿宋" w:hAnsi="仿宋" w:eastAsia="仿宋" w:cs="仿宋"/>
          <w:b w:val="0"/>
          <w:color w:val="auto"/>
          <w:sz w:val="36"/>
          <w:szCs w:val="36"/>
          <w:highlight w:val="none"/>
        </w:rPr>
        <w:t>第二章 采购需求</w:t>
      </w:r>
      <w:bookmarkStart w:id="0" w:name="_Hlt112372227"/>
      <w:bookmarkStart w:id="1" w:name="_Hlt113479581"/>
      <w:bookmarkStart w:id="2" w:name="_Hlt113479582"/>
      <w:bookmarkStart w:id="3" w:name="_Hlt115102512"/>
      <w:bookmarkStart w:id="4" w:name="_Hlt112295812"/>
      <w:r>
        <w:rPr>
          <w:rFonts w:hint="eastAsia" w:ascii="仿宋" w:hAnsi="仿宋" w:eastAsia="仿宋" w:cs="仿宋"/>
          <w:b w:val="0"/>
          <w:color w:val="auto"/>
          <w:sz w:val="36"/>
          <w:szCs w:val="36"/>
          <w:highlight w:val="none"/>
        </w:rPr>
        <w:tab/>
      </w:r>
      <w:bookmarkEnd w:id="0"/>
      <w:bookmarkEnd w:id="1"/>
      <w:bookmarkEnd w:id="2"/>
      <w:bookmarkEnd w:id="3"/>
      <w:bookmarkEnd w:id="4"/>
      <w:r>
        <w:rPr>
          <w:rFonts w:hint="eastAsia" w:ascii="仿宋" w:hAnsi="仿宋" w:eastAsia="仿宋" w:cs="仿宋"/>
          <w:b w:val="0"/>
          <w:color w:val="auto"/>
          <w:sz w:val="36"/>
          <w:szCs w:val="36"/>
          <w:highlight w:val="none"/>
          <w:lang w:val="en-US" w:eastAsia="zh-CN"/>
        </w:rPr>
        <w:t>7</w:t>
      </w:r>
      <w:r>
        <w:rPr>
          <w:rFonts w:hint="eastAsia" w:ascii="仿宋" w:hAnsi="仿宋" w:eastAsia="仿宋" w:cs="仿宋"/>
          <w:b w:val="0"/>
          <w:color w:val="auto"/>
          <w:sz w:val="36"/>
          <w:szCs w:val="36"/>
          <w:highlight w:val="none"/>
        </w:rPr>
        <w:fldChar w:fldCharType="end"/>
      </w:r>
    </w:p>
    <w:p w14:paraId="07E19354">
      <w:pPr>
        <w:pStyle w:val="35"/>
        <w:tabs>
          <w:tab w:val="right" w:leader="dot" w:pos="9072"/>
          <w:tab w:val="clear" w:pos="8398"/>
        </w:tabs>
        <w:spacing w:before="0" w:after="0" w:line="480" w:lineRule="auto"/>
        <w:ind w:firstLine="0" w:firstLineChars="0"/>
        <w:jc w:val="center"/>
        <w:rPr>
          <w:rFonts w:hint="default" w:ascii="仿宋" w:hAnsi="仿宋" w:eastAsia="仿宋" w:cs="仿宋"/>
          <w:b w:val="0"/>
          <w:bCs w:val="0"/>
          <w:caps w:val="0"/>
          <w:color w:val="auto"/>
          <w:sz w:val="36"/>
          <w:szCs w:val="36"/>
          <w:highlight w:val="none"/>
          <w:lang w:val="en-US" w:eastAsia="zh-CN"/>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"_Toc74320802" </w:instrText>
      </w:r>
      <w:r>
        <w:rPr>
          <w:rFonts w:hint="eastAsia" w:ascii="仿宋" w:hAnsi="仿宋" w:eastAsia="仿宋" w:cs="仿宋"/>
          <w:color w:val="auto"/>
          <w:highlight w:val="none"/>
        </w:rPr>
        <w:fldChar w:fldCharType="separate"/>
      </w:r>
      <w:r>
        <w:rPr>
          <w:rStyle w:val="58"/>
          <w:rFonts w:hint="eastAsia" w:ascii="仿宋" w:hAnsi="仿宋" w:eastAsia="仿宋" w:cs="仿宋"/>
          <w:b w:val="0"/>
          <w:color w:val="auto"/>
          <w:sz w:val="36"/>
          <w:szCs w:val="36"/>
          <w:highlight w:val="none"/>
        </w:rPr>
        <w:t>第三章 投标人须</w:t>
      </w:r>
      <w:bookmarkStart w:id="5" w:name="_Hlt79572745"/>
      <w:bookmarkStart w:id="6" w:name="_Hlt79572744"/>
      <w:r>
        <w:rPr>
          <w:rStyle w:val="58"/>
          <w:rFonts w:hint="eastAsia" w:ascii="仿宋" w:hAnsi="仿宋" w:eastAsia="仿宋" w:cs="仿宋"/>
          <w:b w:val="0"/>
          <w:color w:val="auto"/>
          <w:sz w:val="36"/>
          <w:szCs w:val="36"/>
          <w:highlight w:val="none"/>
        </w:rPr>
        <w:t>知</w:t>
      </w:r>
      <w:bookmarkEnd w:id="5"/>
      <w:bookmarkEnd w:id="6"/>
      <w:bookmarkStart w:id="7" w:name="_Hlt115102046"/>
      <w:bookmarkStart w:id="8" w:name="_Hlt112372199"/>
      <w:bookmarkStart w:id="9" w:name="_Hlt112290079"/>
      <w:bookmarkStart w:id="10" w:name="_Hlt112290080"/>
      <w:bookmarkStart w:id="11" w:name="_Hlt115102045"/>
      <w:bookmarkStart w:id="12" w:name="_Hlt112295571"/>
      <w:r>
        <w:rPr>
          <w:rFonts w:hint="eastAsia" w:ascii="仿宋" w:hAnsi="仿宋" w:eastAsia="仿宋" w:cs="仿宋"/>
          <w:b w:val="0"/>
          <w:color w:val="auto"/>
          <w:sz w:val="36"/>
          <w:szCs w:val="36"/>
          <w:highlight w:val="none"/>
        </w:rPr>
        <w:tab/>
      </w:r>
      <w:bookmarkEnd w:id="7"/>
      <w:bookmarkEnd w:id="8"/>
      <w:bookmarkEnd w:id="9"/>
      <w:bookmarkEnd w:id="10"/>
      <w:bookmarkEnd w:id="11"/>
      <w:bookmarkEnd w:id="12"/>
      <w:r>
        <w:rPr>
          <w:rFonts w:hint="eastAsia" w:ascii="仿宋" w:hAnsi="仿宋" w:eastAsia="仿宋" w:cs="仿宋"/>
          <w:b w:val="0"/>
          <w:color w:val="auto"/>
          <w:sz w:val="36"/>
          <w:szCs w:val="36"/>
          <w:highlight w:val="none"/>
        </w:rPr>
        <w:fldChar w:fldCharType="end"/>
      </w:r>
      <w:r>
        <w:rPr>
          <w:rFonts w:hint="eastAsia" w:ascii="仿宋" w:hAnsi="仿宋" w:eastAsia="仿宋" w:cs="仿宋"/>
          <w:b w:val="0"/>
          <w:color w:val="auto"/>
          <w:sz w:val="36"/>
          <w:szCs w:val="36"/>
          <w:highlight w:val="none"/>
          <w:lang w:val="en-US" w:eastAsia="zh-CN"/>
        </w:rPr>
        <w:t>30</w:t>
      </w:r>
    </w:p>
    <w:p w14:paraId="6456EBED">
      <w:pPr>
        <w:pStyle w:val="35"/>
        <w:tabs>
          <w:tab w:val="right" w:leader="dot" w:pos="9072"/>
          <w:tab w:val="clear" w:pos="8398"/>
        </w:tabs>
        <w:spacing w:before="0" w:after="0" w:line="480" w:lineRule="auto"/>
        <w:ind w:firstLine="0" w:firstLineChars="0"/>
        <w:jc w:val="center"/>
        <w:rPr>
          <w:rFonts w:hint="default" w:ascii="仿宋" w:hAnsi="仿宋" w:eastAsia="仿宋" w:cs="仿宋"/>
          <w:b w:val="0"/>
          <w:bCs w:val="0"/>
          <w:caps w:val="0"/>
          <w:color w:val="auto"/>
          <w:sz w:val="36"/>
          <w:szCs w:val="36"/>
          <w:highlight w:val="none"/>
          <w:lang w:val="en-US" w:eastAsia="zh-CN"/>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"_Toc74320803" </w:instrText>
      </w:r>
      <w:r>
        <w:rPr>
          <w:rFonts w:hint="eastAsia" w:ascii="仿宋" w:hAnsi="仿宋" w:eastAsia="仿宋" w:cs="仿宋"/>
          <w:color w:val="auto"/>
          <w:highlight w:val="none"/>
        </w:rPr>
        <w:fldChar w:fldCharType="separate"/>
      </w:r>
      <w:r>
        <w:rPr>
          <w:rStyle w:val="58"/>
          <w:rFonts w:hint="eastAsia" w:ascii="仿宋" w:hAnsi="仿宋" w:eastAsia="仿宋" w:cs="仿宋"/>
          <w:b w:val="0"/>
          <w:color w:val="auto"/>
          <w:sz w:val="36"/>
          <w:szCs w:val="36"/>
          <w:highlight w:val="none"/>
        </w:rPr>
        <w:t>第四章 评标方</w:t>
      </w:r>
      <w:bookmarkStart w:id="13" w:name="_Hlt82186274"/>
      <w:bookmarkStart w:id="14" w:name="_Hlt82186273"/>
      <w:r>
        <w:rPr>
          <w:rStyle w:val="58"/>
          <w:rFonts w:hint="eastAsia" w:ascii="仿宋" w:hAnsi="仿宋" w:eastAsia="仿宋" w:cs="仿宋"/>
          <w:b w:val="0"/>
          <w:color w:val="auto"/>
          <w:sz w:val="36"/>
          <w:szCs w:val="36"/>
          <w:highlight w:val="none"/>
        </w:rPr>
        <w:t>法</w:t>
      </w:r>
      <w:bookmarkEnd w:id="13"/>
      <w:bookmarkEnd w:id="14"/>
      <w:r>
        <w:rPr>
          <w:rStyle w:val="58"/>
          <w:rFonts w:hint="eastAsia" w:ascii="仿宋" w:hAnsi="仿宋" w:eastAsia="仿宋" w:cs="仿宋"/>
          <w:b w:val="0"/>
          <w:color w:val="auto"/>
          <w:sz w:val="36"/>
          <w:szCs w:val="36"/>
          <w:highlight w:val="none"/>
        </w:rPr>
        <w:t>及</w:t>
      </w:r>
      <w:bookmarkStart w:id="15" w:name="_Hlt115102681"/>
      <w:bookmarkStart w:id="16" w:name="_Hlt115102492"/>
      <w:r>
        <w:rPr>
          <w:rStyle w:val="58"/>
          <w:rFonts w:hint="eastAsia" w:ascii="仿宋" w:hAnsi="仿宋" w:eastAsia="仿宋" w:cs="仿宋"/>
          <w:b w:val="0"/>
          <w:color w:val="auto"/>
          <w:sz w:val="36"/>
          <w:szCs w:val="36"/>
          <w:highlight w:val="none"/>
        </w:rPr>
        <w:t>评</w:t>
      </w:r>
      <w:bookmarkEnd w:id="15"/>
      <w:bookmarkEnd w:id="16"/>
      <w:bookmarkStart w:id="17" w:name="_Hlt112801462"/>
      <w:r>
        <w:rPr>
          <w:rStyle w:val="58"/>
          <w:rFonts w:hint="eastAsia" w:ascii="仿宋" w:hAnsi="仿宋" w:eastAsia="仿宋" w:cs="仿宋"/>
          <w:b w:val="0"/>
          <w:color w:val="auto"/>
          <w:sz w:val="36"/>
          <w:szCs w:val="36"/>
          <w:highlight w:val="none"/>
        </w:rPr>
        <w:t>标</w:t>
      </w:r>
      <w:bookmarkEnd w:id="17"/>
      <w:r>
        <w:rPr>
          <w:rStyle w:val="58"/>
          <w:rFonts w:hint="eastAsia" w:ascii="仿宋" w:hAnsi="仿宋" w:eastAsia="仿宋" w:cs="仿宋"/>
          <w:b w:val="0"/>
          <w:color w:val="auto"/>
          <w:sz w:val="36"/>
          <w:szCs w:val="36"/>
          <w:highlight w:val="none"/>
        </w:rPr>
        <w:t>标准</w:t>
      </w:r>
      <w:bookmarkStart w:id="18" w:name="_Hlt112801593"/>
      <w:r>
        <w:rPr>
          <w:rFonts w:hint="eastAsia" w:ascii="仿宋" w:hAnsi="仿宋" w:eastAsia="仿宋" w:cs="仿宋"/>
          <w:b w:val="0"/>
          <w:color w:val="auto"/>
          <w:sz w:val="36"/>
          <w:szCs w:val="36"/>
          <w:highlight w:val="none"/>
        </w:rPr>
        <w:tab/>
      </w:r>
      <w:bookmarkEnd w:id="18"/>
      <w:r>
        <w:rPr>
          <w:rFonts w:hint="eastAsia" w:ascii="仿宋" w:hAnsi="仿宋" w:eastAsia="仿宋" w:cs="仿宋"/>
          <w:b w:val="0"/>
          <w:color w:val="auto"/>
          <w:sz w:val="36"/>
          <w:szCs w:val="36"/>
          <w:highlight w:val="none"/>
        </w:rPr>
        <w:fldChar w:fldCharType="end"/>
      </w:r>
      <w:r>
        <w:rPr>
          <w:rFonts w:hint="eastAsia" w:ascii="仿宋" w:hAnsi="仿宋" w:eastAsia="仿宋" w:cs="仿宋"/>
          <w:b w:val="0"/>
          <w:color w:val="auto"/>
          <w:sz w:val="36"/>
          <w:szCs w:val="36"/>
          <w:highlight w:val="none"/>
          <w:lang w:val="en-US" w:eastAsia="zh-CN"/>
        </w:rPr>
        <w:t>55</w:t>
      </w:r>
    </w:p>
    <w:p w14:paraId="0D439F99">
      <w:pPr>
        <w:pStyle w:val="35"/>
        <w:tabs>
          <w:tab w:val="right" w:leader="dot" w:pos="9072"/>
          <w:tab w:val="clear" w:pos="8398"/>
        </w:tabs>
        <w:spacing w:before="0" w:after="0" w:line="480" w:lineRule="auto"/>
        <w:ind w:firstLine="0" w:firstLineChars="0"/>
        <w:jc w:val="center"/>
        <w:rPr>
          <w:rFonts w:hint="default" w:ascii="仿宋" w:hAnsi="仿宋" w:eastAsia="仿宋" w:cs="仿宋"/>
          <w:b w:val="0"/>
          <w:bCs w:val="0"/>
          <w:caps w:val="0"/>
          <w:color w:val="auto"/>
          <w:sz w:val="36"/>
          <w:szCs w:val="36"/>
          <w:highlight w:val="none"/>
          <w:lang w:val="en-US" w:eastAsia="zh-CN"/>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"_Toc74320804" </w:instrText>
      </w:r>
      <w:r>
        <w:rPr>
          <w:rFonts w:hint="eastAsia" w:ascii="仿宋" w:hAnsi="仿宋" w:eastAsia="仿宋" w:cs="仿宋"/>
          <w:color w:val="auto"/>
          <w:highlight w:val="none"/>
        </w:rPr>
        <w:fldChar w:fldCharType="separate"/>
      </w:r>
      <w:r>
        <w:rPr>
          <w:rStyle w:val="58"/>
          <w:rFonts w:hint="eastAsia" w:ascii="仿宋" w:hAnsi="仿宋" w:eastAsia="仿宋" w:cs="仿宋"/>
          <w:b w:val="0"/>
          <w:color w:val="auto"/>
          <w:sz w:val="36"/>
          <w:szCs w:val="36"/>
          <w:highlight w:val="none"/>
        </w:rPr>
        <w:t>第五章 拟签订的合同文本</w:t>
      </w:r>
      <w:r>
        <w:rPr>
          <w:rFonts w:hint="eastAsia" w:ascii="仿宋" w:hAnsi="仿宋" w:eastAsia="仿宋" w:cs="仿宋"/>
          <w:b w:val="0"/>
          <w:color w:val="auto"/>
          <w:sz w:val="36"/>
          <w:szCs w:val="36"/>
          <w:highlight w:val="none"/>
        </w:rPr>
        <w:tab/>
      </w:r>
      <w:r>
        <w:rPr>
          <w:rFonts w:hint="eastAsia" w:ascii="仿宋" w:hAnsi="仿宋" w:eastAsia="仿宋" w:cs="仿宋"/>
          <w:b w:val="0"/>
          <w:color w:val="auto"/>
          <w:sz w:val="36"/>
          <w:szCs w:val="36"/>
          <w:highlight w:val="none"/>
        </w:rPr>
        <w:fldChar w:fldCharType="end"/>
      </w:r>
      <w:r>
        <w:rPr>
          <w:rFonts w:hint="eastAsia" w:ascii="仿宋" w:hAnsi="仿宋" w:eastAsia="仿宋" w:cs="仿宋"/>
          <w:b w:val="0"/>
          <w:color w:val="auto"/>
          <w:sz w:val="36"/>
          <w:szCs w:val="36"/>
          <w:highlight w:val="none"/>
          <w:lang w:val="en-US" w:eastAsia="zh-CN"/>
        </w:rPr>
        <w:t>68</w:t>
      </w:r>
    </w:p>
    <w:p w14:paraId="4E5798B6">
      <w:pPr>
        <w:pStyle w:val="35"/>
        <w:tabs>
          <w:tab w:val="right" w:leader="dot" w:pos="9072"/>
          <w:tab w:val="clear" w:pos="8398"/>
        </w:tabs>
        <w:spacing w:before="0" w:after="0" w:line="480" w:lineRule="auto"/>
        <w:ind w:firstLine="0" w:firstLineChars="0"/>
        <w:jc w:val="center"/>
        <w:rPr>
          <w:rFonts w:hint="default" w:ascii="仿宋" w:hAnsi="仿宋" w:eastAsia="仿宋" w:cs="仿宋"/>
          <w:b w:val="0"/>
          <w:bCs w:val="0"/>
          <w:caps w:val="0"/>
          <w:color w:val="auto"/>
          <w:sz w:val="36"/>
          <w:szCs w:val="36"/>
          <w:highlight w:val="none"/>
          <w:lang w:val="en-US" w:eastAsia="zh-CN"/>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"_Toc74320805" </w:instrText>
      </w:r>
      <w:r>
        <w:rPr>
          <w:rFonts w:hint="eastAsia" w:ascii="仿宋" w:hAnsi="仿宋" w:eastAsia="仿宋" w:cs="仿宋"/>
          <w:color w:val="auto"/>
          <w:highlight w:val="none"/>
        </w:rPr>
        <w:fldChar w:fldCharType="separate"/>
      </w:r>
      <w:r>
        <w:rPr>
          <w:rStyle w:val="58"/>
          <w:rFonts w:hint="eastAsia" w:ascii="仿宋" w:hAnsi="仿宋" w:eastAsia="仿宋" w:cs="仿宋"/>
          <w:b w:val="0"/>
          <w:color w:val="auto"/>
          <w:sz w:val="36"/>
          <w:szCs w:val="36"/>
          <w:highlight w:val="none"/>
        </w:rPr>
        <w:t>第六章 投标文件格式</w:t>
      </w:r>
      <w:bookmarkStart w:id="19" w:name="_Hlt112372474"/>
      <w:r>
        <w:rPr>
          <w:rFonts w:hint="eastAsia" w:ascii="仿宋" w:hAnsi="仿宋" w:eastAsia="仿宋" w:cs="仿宋"/>
          <w:b w:val="0"/>
          <w:color w:val="auto"/>
          <w:sz w:val="36"/>
          <w:szCs w:val="36"/>
          <w:highlight w:val="none"/>
        </w:rPr>
        <w:tab/>
      </w:r>
      <w:bookmarkEnd w:id="19"/>
      <w:r>
        <w:rPr>
          <w:rFonts w:hint="eastAsia" w:ascii="仿宋" w:hAnsi="仿宋" w:eastAsia="仿宋" w:cs="仿宋"/>
          <w:b w:val="0"/>
          <w:color w:val="auto"/>
          <w:sz w:val="36"/>
          <w:szCs w:val="36"/>
          <w:highlight w:val="none"/>
        </w:rPr>
        <w:fldChar w:fldCharType="end"/>
      </w:r>
      <w:r>
        <w:rPr>
          <w:rFonts w:hint="eastAsia" w:ascii="仿宋" w:hAnsi="仿宋" w:eastAsia="仿宋" w:cs="仿宋"/>
          <w:b w:val="0"/>
          <w:color w:val="auto"/>
          <w:sz w:val="36"/>
          <w:szCs w:val="36"/>
          <w:highlight w:val="none"/>
          <w:lang w:val="en-US" w:eastAsia="zh-CN"/>
        </w:rPr>
        <w:t>81</w:t>
      </w:r>
    </w:p>
    <w:p w14:paraId="29F5374E">
      <w:pP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36"/>
          <w:szCs w:val="36"/>
          <w:highlight w:val="none"/>
        </w:rPr>
        <w:fldChar w:fldCharType="end"/>
      </w:r>
    </w:p>
    <w:p w14:paraId="6583BEFC">
      <w:pPr>
        <w:spacing w:before="120" w:beforeLines="50" w:line="480" w:lineRule="exact"/>
        <w:rPr>
          <w:rFonts w:hint="eastAsia" w:ascii="仿宋" w:hAnsi="仿宋" w:eastAsia="仿宋" w:cs="仿宋"/>
          <w:color w:val="auto"/>
          <w:sz w:val="30"/>
          <w:highlight w:val="none"/>
        </w:rPr>
      </w:pPr>
    </w:p>
    <w:p w14:paraId="5300D3F3">
      <w:pPr>
        <w:pStyle w:val="18"/>
        <w:rPr>
          <w:rFonts w:hint="eastAsia" w:ascii="仿宋" w:hAnsi="仿宋" w:eastAsia="仿宋" w:cs="仿宋"/>
          <w:b/>
          <w:bCs/>
          <w:color w:val="auto"/>
          <w:highlight w:val="none"/>
        </w:rPr>
      </w:pPr>
      <w:bookmarkStart w:id="20" w:name="_Toc254970630"/>
      <w:bookmarkStart w:id="21" w:name="_Toc254970489"/>
    </w:p>
    <w:p w14:paraId="349F3AF5">
      <w:pPr>
        <w:pStyle w:val="3"/>
        <w:keepNext w:val="0"/>
        <w:keepLines w:val="0"/>
        <w:tabs>
          <w:tab w:val="left" w:pos="0"/>
          <w:tab w:val="left" w:pos="3165"/>
          <w:tab w:val="center" w:pos="4153"/>
        </w:tabs>
        <w:autoSpaceDE w:val="0"/>
        <w:autoSpaceDN w:val="0"/>
        <w:adjustRightInd w:val="0"/>
        <w:spacing w:before="0" w:after="0" w:line="500" w:lineRule="exact"/>
        <w:jc w:val="center"/>
        <w:rPr>
          <w:rFonts w:hint="eastAsia" w:ascii="仿宋" w:hAnsi="仿宋" w:eastAsia="仿宋" w:cs="仿宋"/>
          <w:b w:val="0"/>
          <w:bCs w:val="0"/>
          <w:color w:val="auto"/>
          <w:highlight w:val="none"/>
        </w:rPr>
      </w:pPr>
    </w:p>
    <w:p w14:paraId="4B430526">
      <w:pPr>
        <w:rPr>
          <w:rFonts w:hint="eastAsia" w:ascii="仿宋" w:hAnsi="仿宋" w:eastAsia="仿宋" w:cs="仿宋"/>
          <w:color w:val="auto"/>
          <w:highlight w:val="none"/>
        </w:rPr>
      </w:pPr>
    </w:p>
    <w:p w14:paraId="627AEC8E">
      <w:pPr>
        <w:rPr>
          <w:rFonts w:hint="eastAsia" w:ascii="仿宋" w:hAnsi="仿宋" w:eastAsia="仿宋" w:cs="仿宋"/>
          <w:color w:val="auto"/>
          <w:highlight w:val="none"/>
        </w:rPr>
      </w:pPr>
    </w:p>
    <w:p w14:paraId="05625B07">
      <w:pPr>
        <w:rPr>
          <w:rFonts w:hint="eastAsia" w:ascii="仿宋" w:hAnsi="仿宋" w:eastAsia="仿宋" w:cs="仿宋"/>
          <w:color w:val="auto"/>
          <w:highlight w:val="none"/>
        </w:rPr>
      </w:pPr>
    </w:p>
    <w:p w14:paraId="286DB516">
      <w:pPr>
        <w:rPr>
          <w:rFonts w:hint="eastAsia" w:ascii="仿宋" w:hAnsi="仿宋" w:eastAsia="仿宋" w:cs="仿宋"/>
          <w:color w:val="auto"/>
          <w:highlight w:val="none"/>
        </w:rPr>
      </w:pPr>
    </w:p>
    <w:p w14:paraId="509EDFAE">
      <w:pPr>
        <w:rPr>
          <w:rFonts w:hint="eastAsia" w:ascii="仿宋" w:hAnsi="仿宋" w:eastAsia="仿宋" w:cs="仿宋"/>
          <w:color w:val="auto"/>
          <w:highlight w:val="none"/>
        </w:rPr>
      </w:pPr>
    </w:p>
    <w:p w14:paraId="64B0EE7E">
      <w:pPr>
        <w:rPr>
          <w:rFonts w:hint="eastAsia" w:ascii="仿宋" w:hAnsi="仿宋" w:eastAsia="仿宋" w:cs="仿宋"/>
          <w:color w:val="auto"/>
          <w:highlight w:val="none"/>
        </w:rPr>
      </w:pPr>
    </w:p>
    <w:p w14:paraId="569A66E2">
      <w:pPr>
        <w:pStyle w:val="3"/>
        <w:keepNext w:val="0"/>
        <w:keepLines w:val="0"/>
        <w:tabs>
          <w:tab w:val="left" w:pos="0"/>
          <w:tab w:val="left" w:pos="3165"/>
          <w:tab w:val="center" w:pos="4153"/>
        </w:tabs>
        <w:autoSpaceDE w:val="0"/>
        <w:autoSpaceDN w:val="0"/>
        <w:adjustRightInd w:val="0"/>
        <w:spacing w:before="0" w:after="0" w:line="500" w:lineRule="exact"/>
        <w:rPr>
          <w:rFonts w:hint="eastAsia" w:ascii="仿宋" w:hAnsi="仿宋" w:eastAsia="仿宋" w:cs="仿宋"/>
          <w:color w:val="auto"/>
          <w:highlight w:val="none"/>
        </w:rPr>
      </w:pPr>
    </w:p>
    <w:p w14:paraId="132ACCE0">
      <w:pPr>
        <w:pStyle w:val="3"/>
        <w:keepNext w:val="0"/>
        <w:keepLines w:val="0"/>
        <w:tabs>
          <w:tab w:val="left" w:pos="0"/>
          <w:tab w:val="left" w:pos="3165"/>
          <w:tab w:val="center" w:pos="4153"/>
        </w:tabs>
        <w:autoSpaceDE w:val="0"/>
        <w:autoSpaceDN w:val="0"/>
        <w:adjustRightInd w:val="0"/>
        <w:spacing w:before="0" w:after="0" w:line="50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br w:type="page"/>
      </w:r>
      <w:bookmarkStart w:id="22" w:name="_Toc74320800"/>
      <w:bookmarkStart w:id="23" w:name="OLE_LINK3"/>
      <w:r>
        <w:rPr>
          <w:rFonts w:hint="eastAsia" w:ascii="仿宋" w:hAnsi="仿宋" w:eastAsia="仿宋" w:cs="仿宋"/>
          <w:color w:val="auto"/>
          <w:highlight w:val="none"/>
        </w:rPr>
        <w:t>第一章</w:t>
      </w:r>
      <w:bookmarkEnd w:id="20"/>
      <w:bookmarkEnd w:id="21"/>
      <w:bookmarkStart w:id="24" w:name="_Toc35393789"/>
      <w:bookmarkStart w:id="25" w:name="_Toc28359001"/>
      <w:r>
        <w:rPr>
          <w:rFonts w:hint="eastAsia" w:ascii="仿宋" w:hAnsi="仿宋" w:eastAsia="仿宋" w:cs="仿宋"/>
          <w:color w:val="auto"/>
          <w:highlight w:val="none"/>
        </w:rPr>
        <w:t>招标公告</w:t>
      </w:r>
      <w:bookmarkEnd w:id="22"/>
      <w:bookmarkEnd w:id="24"/>
      <w:bookmarkEnd w:id="25"/>
    </w:p>
    <w:p w14:paraId="5619BABE">
      <w:pPr>
        <w:pStyle w:val="3"/>
        <w:keepNext w:val="0"/>
        <w:keepLines w:val="0"/>
        <w:pageBreakBefore w:val="0"/>
        <w:tabs>
          <w:tab w:val="left" w:pos="0"/>
          <w:tab w:val="left" w:pos="3165"/>
          <w:tab w:val="center" w:pos="4153"/>
        </w:tabs>
        <w:kinsoku/>
        <w:wordWrap w:val="0"/>
        <w:overflowPunct/>
        <w:topLinePunct w:val="0"/>
        <w:autoSpaceDE w:val="0"/>
        <w:autoSpaceDN w:val="0"/>
        <w:bidi w:val="0"/>
        <w:adjustRightInd w:val="0"/>
        <w:snapToGrid/>
        <w:spacing w:before="120" w:beforeLines="50" w:after="0" w:line="500" w:lineRule="exact"/>
        <w:jc w:val="center"/>
        <w:textAlignment w:val="auto"/>
        <w:rPr>
          <w:rFonts w:hint="eastAsia" w:ascii="仿宋" w:hAnsi="仿宋" w:eastAsia="仿宋" w:cs="仿宋"/>
          <w:bCs w:val="0"/>
          <w:color w:val="auto"/>
          <w:kern w:val="2"/>
          <w:sz w:val="30"/>
          <w:szCs w:val="30"/>
          <w:highlight w:val="none"/>
        </w:rPr>
      </w:pPr>
      <w:r>
        <w:rPr>
          <w:rFonts w:hint="eastAsia" w:ascii="仿宋" w:hAnsi="仿宋" w:eastAsia="仿宋" w:cs="仿宋"/>
          <w:color w:val="auto"/>
          <w:sz w:val="30"/>
          <w:szCs w:val="30"/>
          <w:highlight w:val="none"/>
          <w:lang w:eastAsia="zh-CN"/>
        </w:rPr>
        <w:t>南溪山医院医疗设备一批（八）（高清腹腔镜系统、胃肠机）</w:t>
      </w:r>
      <w:r>
        <w:rPr>
          <w:rFonts w:hint="eastAsia" w:ascii="仿宋" w:hAnsi="仿宋" w:eastAsia="仿宋" w:cs="仿宋"/>
          <w:bCs w:val="0"/>
          <w:color w:val="auto"/>
          <w:kern w:val="2"/>
          <w:sz w:val="30"/>
          <w:szCs w:val="30"/>
          <w:highlight w:val="none"/>
        </w:rPr>
        <w:t>（</w:t>
      </w:r>
      <w:r>
        <w:rPr>
          <w:rFonts w:hint="eastAsia" w:ascii="仿宋" w:hAnsi="仿宋" w:eastAsia="仿宋" w:cs="仿宋"/>
          <w:bCs w:val="0"/>
          <w:color w:val="auto"/>
          <w:kern w:val="2"/>
          <w:sz w:val="30"/>
          <w:szCs w:val="30"/>
          <w:highlight w:val="none"/>
          <w:lang w:eastAsia="zh-CN"/>
        </w:rPr>
        <w:t>GXZC2026-G1-002188-KWZB</w:t>
      </w:r>
      <w:r>
        <w:rPr>
          <w:rFonts w:hint="eastAsia" w:ascii="仿宋" w:hAnsi="仿宋" w:eastAsia="仿宋" w:cs="仿宋"/>
          <w:bCs w:val="0"/>
          <w:color w:val="auto"/>
          <w:kern w:val="2"/>
          <w:sz w:val="30"/>
          <w:szCs w:val="30"/>
          <w:highlight w:val="none"/>
        </w:rPr>
        <w:t>）招标公告</w:t>
      </w:r>
    </w:p>
    <w:p w14:paraId="4CBBEE98">
      <w:pPr>
        <w:keepNext w:val="0"/>
        <w:keepLines w:val="0"/>
        <w:pageBreakBefore w:val="0"/>
        <w:pBdr>
          <w:top w:val="single" w:color="auto" w:sz="4" w:space="1"/>
          <w:left w:val="single" w:color="auto" w:sz="4" w:space="4"/>
          <w:bottom w:val="single" w:color="auto" w:sz="4" w:space="1"/>
          <w:right w:val="single" w:color="auto" w:sz="4" w:space="4"/>
        </w:pBdr>
        <w:kinsoku/>
        <w:wordWrap w:val="0"/>
        <w:overflowPunct/>
        <w:topLinePunct w:val="0"/>
        <w:bidi w:val="0"/>
        <w:snapToGrid/>
        <w:spacing w:line="40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项目概况</w:t>
      </w:r>
    </w:p>
    <w:p w14:paraId="4E5A555B">
      <w:pPr>
        <w:keepNext w:val="0"/>
        <w:keepLines w:val="0"/>
        <w:pageBreakBefore w:val="0"/>
        <w:pBdr>
          <w:top w:val="single" w:color="auto" w:sz="4" w:space="1"/>
          <w:left w:val="single" w:color="auto" w:sz="4" w:space="4"/>
          <w:bottom w:val="single" w:color="auto" w:sz="4" w:space="1"/>
          <w:right w:val="single" w:color="auto" w:sz="4" w:space="4"/>
        </w:pBdr>
        <w:kinsoku/>
        <w:wordWrap w:val="0"/>
        <w:overflowPunct/>
        <w:topLinePunct w:val="0"/>
        <w:bidi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南溪山医院医疗设备一批（八）（高清腹腔镜系统、胃肠机）</w:t>
      </w:r>
      <w:r>
        <w:rPr>
          <w:rFonts w:hint="eastAsia" w:ascii="仿宋" w:hAnsi="仿宋" w:eastAsia="仿宋" w:cs="仿宋"/>
          <w:color w:val="auto"/>
          <w:sz w:val="24"/>
          <w:highlight w:val="none"/>
        </w:rPr>
        <w:t>招标项目的潜在投标人应在</w:t>
      </w:r>
      <w:r>
        <w:rPr>
          <w:rFonts w:hint="eastAsia" w:ascii="仿宋" w:hAnsi="仿宋" w:eastAsia="仿宋" w:cs="仿宋"/>
          <w:color w:val="auto"/>
          <w:sz w:val="24"/>
          <w:highlight w:val="none"/>
          <w:u w:val="single"/>
        </w:rPr>
        <w:t>广西政府采购云平台（https://www.gcy.zfcg.gxzf.gov.cn/）</w:t>
      </w:r>
      <w:r>
        <w:rPr>
          <w:rFonts w:hint="eastAsia" w:ascii="仿宋" w:hAnsi="仿宋" w:eastAsia="仿宋" w:cs="仿宋"/>
          <w:color w:val="auto"/>
          <w:sz w:val="24"/>
          <w:highlight w:val="none"/>
        </w:rPr>
        <w:t>获取招标文件，并于</w:t>
      </w:r>
      <w:r>
        <w:rPr>
          <w:rFonts w:hint="eastAsia" w:ascii="仿宋" w:hAnsi="仿宋" w:eastAsia="仿宋" w:cs="仿宋"/>
          <w:color w:val="auto"/>
          <w:sz w:val="24"/>
          <w:highlight w:val="none"/>
          <w:lang w:eastAsia="zh-CN"/>
        </w:rPr>
        <w:t>2026年7月 日</w:t>
      </w:r>
      <w:r>
        <w:rPr>
          <w:rFonts w:hint="eastAsia" w:ascii="仿宋" w:hAnsi="仿宋" w:eastAsia="仿宋" w:cs="仿宋"/>
          <w:color w:val="auto"/>
          <w:sz w:val="24"/>
          <w:highlight w:val="none"/>
        </w:rPr>
        <w:t>9：30（北京时间）前递交投标文件。</w:t>
      </w:r>
    </w:p>
    <w:p w14:paraId="46E6C528">
      <w:pPr>
        <w:keepNext w:val="0"/>
        <w:keepLines w:val="0"/>
        <w:pageBreakBefore w:val="0"/>
        <w:kinsoku/>
        <w:wordWrap w:val="0"/>
        <w:overflowPunct/>
        <w:topLinePunct w:val="0"/>
        <w:bidi w:val="0"/>
        <w:snapToGrid/>
        <w:spacing w:line="360" w:lineRule="auto"/>
        <w:textAlignment w:val="auto"/>
        <w:rPr>
          <w:rFonts w:hint="eastAsia" w:ascii="仿宋" w:hAnsi="仿宋" w:eastAsia="仿宋" w:cs="仿宋"/>
          <w:b/>
          <w:bCs/>
          <w:color w:val="auto"/>
          <w:sz w:val="24"/>
          <w:szCs w:val="24"/>
          <w:highlight w:val="none"/>
        </w:rPr>
      </w:pPr>
      <w:bookmarkStart w:id="26" w:name="_Toc28359002"/>
      <w:bookmarkStart w:id="27" w:name="_Toc28359079"/>
      <w:bookmarkStart w:id="28" w:name="_Toc35393790"/>
      <w:bookmarkStart w:id="29" w:name="_Toc35393621"/>
      <w:bookmarkStart w:id="30" w:name="_Hlk24379207"/>
      <w:r>
        <w:rPr>
          <w:rFonts w:hint="eastAsia" w:ascii="仿宋" w:hAnsi="仿宋" w:eastAsia="仿宋" w:cs="仿宋"/>
          <w:b/>
          <w:bCs/>
          <w:color w:val="auto"/>
          <w:sz w:val="24"/>
          <w:szCs w:val="24"/>
          <w:highlight w:val="none"/>
        </w:rPr>
        <w:t>一、项目基本情况</w:t>
      </w:r>
      <w:bookmarkEnd w:id="26"/>
      <w:bookmarkEnd w:id="27"/>
      <w:bookmarkEnd w:id="28"/>
      <w:bookmarkEnd w:id="29"/>
    </w:p>
    <w:bookmarkEnd w:id="30"/>
    <w:p w14:paraId="6C773B60">
      <w:pPr>
        <w:keepNext w:val="0"/>
        <w:keepLines w:val="0"/>
        <w:pageBreakBefore w:val="0"/>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Cs/>
          <w:color w:val="auto"/>
          <w:sz w:val="24"/>
          <w:szCs w:val="24"/>
          <w:highlight w:val="none"/>
          <w:lang w:eastAsia="zh-CN"/>
        </w:rPr>
      </w:pPr>
      <w:bookmarkStart w:id="31" w:name="_Toc28359004"/>
      <w:bookmarkStart w:id="32" w:name="_Toc28359081"/>
      <w:bookmarkStart w:id="33" w:name="_Toc35393792"/>
      <w:bookmarkStart w:id="34" w:name="_Toc35393623"/>
      <w:r>
        <w:rPr>
          <w:rFonts w:hint="eastAsia" w:ascii="仿宋" w:hAnsi="仿宋" w:eastAsia="仿宋" w:cs="仿宋"/>
          <w:bCs/>
          <w:color w:val="auto"/>
          <w:sz w:val="24"/>
          <w:szCs w:val="24"/>
          <w:highlight w:val="none"/>
        </w:rPr>
        <w:t>项目编号：</w:t>
      </w:r>
      <w:r>
        <w:rPr>
          <w:rFonts w:hint="eastAsia" w:ascii="仿宋" w:hAnsi="仿宋" w:eastAsia="仿宋" w:cs="仿宋"/>
          <w:bCs/>
          <w:color w:val="auto"/>
          <w:sz w:val="24"/>
          <w:szCs w:val="24"/>
          <w:highlight w:val="none"/>
          <w:lang w:eastAsia="zh-CN"/>
        </w:rPr>
        <w:t>GXZC2026-G1-002188-KWZB</w:t>
      </w:r>
    </w:p>
    <w:p w14:paraId="5C116547">
      <w:pPr>
        <w:keepNext w:val="0"/>
        <w:keepLines w:val="0"/>
        <w:pageBreakBefore w:val="0"/>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项目名称</w:t>
      </w:r>
      <w:r>
        <w:rPr>
          <w:rFonts w:hint="eastAsia" w:ascii="仿宋" w:hAnsi="仿宋" w:eastAsia="仿宋" w:cs="仿宋"/>
          <w:bCs/>
          <w:color w:val="auto"/>
          <w:sz w:val="24"/>
          <w:szCs w:val="24"/>
          <w:highlight w:val="none"/>
        </w:rPr>
        <w:t>：</w:t>
      </w:r>
      <w:bookmarkStart w:id="35" w:name="OLE_LINK41"/>
      <w:r>
        <w:rPr>
          <w:rFonts w:hint="eastAsia" w:ascii="仿宋" w:hAnsi="仿宋" w:eastAsia="仿宋" w:cs="仿宋"/>
          <w:bCs/>
          <w:color w:val="auto"/>
          <w:sz w:val="24"/>
          <w:szCs w:val="24"/>
          <w:highlight w:val="none"/>
          <w:lang w:eastAsia="zh-CN"/>
        </w:rPr>
        <w:t>南溪山医院医疗设备一批（八）（高清腹腔镜系统、胃肠机）</w:t>
      </w:r>
      <w:r>
        <w:rPr>
          <w:rFonts w:hint="eastAsia" w:ascii="仿宋" w:hAnsi="仿宋" w:eastAsia="仿宋" w:cs="仿宋"/>
          <w:bCs/>
          <w:color w:val="auto"/>
          <w:sz w:val="24"/>
          <w:szCs w:val="24"/>
          <w:highlight w:val="none"/>
        </w:rPr>
        <w:t xml:space="preserve"> </w:t>
      </w:r>
      <w:bookmarkEnd w:id="35"/>
    </w:p>
    <w:p w14:paraId="1F779D8F">
      <w:pPr>
        <w:keepNext w:val="0"/>
        <w:keepLines w:val="0"/>
        <w:pageBreakBefore w:val="0"/>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预算金</w:t>
      </w:r>
      <w:r>
        <w:rPr>
          <w:rFonts w:hint="eastAsia" w:ascii="仿宋" w:hAnsi="仿宋" w:eastAsia="仿宋" w:cs="仿宋"/>
          <w:bCs/>
          <w:color w:val="auto"/>
          <w:sz w:val="24"/>
          <w:szCs w:val="24"/>
          <w:highlight w:val="none"/>
        </w:rPr>
        <w:t>额（元）：</w:t>
      </w:r>
      <w:r>
        <w:rPr>
          <w:rFonts w:hint="eastAsia" w:ascii="仿宋" w:hAnsi="仿宋" w:eastAsia="仿宋" w:cs="仿宋"/>
          <w:bCs/>
          <w:color w:val="auto"/>
          <w:sz w:val="24"/>
          <w:szCs w:val="24"/>
          <w:highlight w:val="none"/>
          <w:lang w:val="en-US" w:eastAsia="zh-CN"/>
        </w:rPr>
        <w:t>3150000.00</w:t>
      </w:r>
    </w:p>
    <w:p w14:paraId="40E67AE6">
      <w:pPr>
        <w:keepNext w:val="0"/>
        <w:keepLines w:val="0"/>
        <w:pageBreakBefore w:val="0"/>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最高限价（如有）：</w:t>
      </w:r>
      <w:r>
        <w:rPr>
          <w:rFonts w:hint="eastAsia" w:ascii="仿宋" w:hAnsi="仿宋" w:eastAsia="仿宋" w:cs="仿宋"/>
          <w:color w:val="auto"/>
          <w:sz w:val="24"/>
          <w:szCs w:val="24"/>
          <w:highlight w:val="none"/>
          <w:lang w:eastAsia="zh-CN"/>
        </w:rPr>
        <w:t>3150000.00</w:t>
      </w:r>
    </w:p>
    <w:p w14:paraId="56BFA1C5">
      <w:pPr>
        <w:keepNext w:val="0"/>
        <w:keepLines w:val="0"/>
        <w:pageBreakBefore w:val="0"/>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采购需求：</w:t>
      </w:r>
    </w:p>
    <w:p w14:paraId="2F403F98">
      <w:pPr>
        <w:keepNext w:val="0"/>
        <w:keepLines w:val="0"/>
        <w:pageBreakBefore w:val="0"/>
        <w:kinsoku/>
        <w:wordWrap w:val="0"/>
        <w:overflowPunct/>
        <w:topLinePunct w:val="0"/>
        <w:autoSpaceDE/>
        <w:autoSpaceDN/>
        <w:bidi w:val="0"/>
        <w:adjustRightInd/>
        <w:snapToGrid/>
        <w:spacing w:line="360" w:lineRule="auto"/>
        <w:ind w:firstLine="482" w:firstLineChars="200"/>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标项一</w:t>
      </w:r>
    </w:p>
    <w:p w14:paraId="588E5E6D">
      <w:pPr>
        <w:keepNext w:val="0"/>
        <w:keepLines w:val="0"/>
        <w:pageBreakBefore w:val="0"/>
        <w:kinsoku/>
        <w:wordWrap w:val="0"/>
        <w:overflowPunct/>
        <w:topLinePunct w:val="0"/>
        <w:autoSpaceDE/>
        <w:autoSpaceDN/>
        <w:bidi w:val="0"/>
        <w:adjustRightInd/>
        <w:snapToGrid/>
        <w:spacing w:line="360" w:lineRule="auto"/>
        <w:ind w:firstLine="482" w:firstLineChars="200"/>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标项</w:t>
      </w:r>
      <w:r>
        <w:rPr>
          <w:rFonts w:hint="eastAsia" w:ascii="仿宋" w:hAnsi="仿宋" w:eastAsia="仿宋" w:cs="仿宋"/>
          <w:b/>
          <w:bCs/>
          <w:color w:val="auto"/>
          <w:sz w:val="24"/>
          <w:szCs w:val="24"/>
          <w:highlight w:val="none"/>
        </w:rPr>
        <w:t>名称：</w:t>
      </w:r>
      <w:r>
        <w:rPr>
          <w:rFonts w:hint="eastAsia" w:ascii="仿宋" w:hAnsi="仿宋" w:eastAsia="仿宋" w:cs="仿宋"/>
          <w:b/>
          <w:bCs/>
          <w:color w:val="auto"/>
          <w:sz w:val="24"/>
          <w:szCs w:val="24"/>
          <w:highlight w:val="none"/>
          <w:lang w:val="en-US" w:eastAsia="zh-CN"/>
        </w:rPr>
        <w:t xml:space="preserve">分标1 </w:t>
      </w:r>
      <w:r>
        <w:rPr>
          <w:rFonts w:hint="eastAsia" w:ascii="仿宋" w:hAnsi="仿宋" w:eastAsia="仿宋" w:cs="仿宋"/>
          <w:b/>
          <w:bCs/>
          <w:color w:val="auto"/>
          <w:sz w:val="24"/>
          <w:szCs w:val="24"/>
          <w:highlight w:val="none"/>
          <w:lang w:eastAsia="zh-CN"/>
        </w:rPr>
        <w:t>高清腹腔镜系统</w:t>
      </w:r>
    </w:p>
    <w:p w14:paraId="47761A98">
      <w:pPr>
        <w:keepNext w:val="0"/>
        <w:keepLines w:val="0"/>
        <w:pageBreakBefore w:val="0"/>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数量：</w:t>
      </w:r>
      <w:r>
        <w:rPr>
          <w:rFonts w:hint="eastAsia" w:ascii="仿宋" w:hAnsi="仿宋" w:eastAsia="仿宋" w:cs="仿宋"/>
          <w:color w:val="auto"/>
          <w:sz w:val="24"/>
          <w:szCs w:val="24"/>
          <w:highlight w:val="none"/>
          <w:lang w:val="en-US" w:eastAsia="zh-CN"/>
        </w:rPr>
        <w:t>1套</w:t>
      </w:r>
    </w:p>
    <w:p w14:paraId="1678825E">
      <w:pPr>
        <w:keepNext w:val="0"/>
        <w:keepLines w:val="0"/>
        <w:pageBreakBefore w:val="0"/>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预算金额（元）：1700000.00</w:t>
      </w:r>
    </w:p>
    <w:p w14:paraId="00CCDC5C">
      <w:pPr>
        <w:keepNext w:val="0"/>
        <w:keepLines w:val="0"/>
        <w:pageBreakBefore w:val="0"/>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简要规格描述或项目基本概况介绍、用途：</w:t>
      </w:r>
      <w:bookmarkStart w:id="36" w:name="OLE_LINK46"/>
      <w:r>
        <w:rPr>
          <w:rFonts w:hint="eastAsia" w:ascii="仿宋" w:hAnsi="仿宋" w:eastAsia="仿宋" w:cs="仿宋"/>
          <w:color w:val="auto"/>
          <w:sz w:val="24"/>
          <w:szCs w:val="24"/>
          <w:highlight w:val="none"/>
          <w:lang w:eastAsia="zh-CN"/>
        </w:rPr>
        <w:t>高清腹腔镜系统</w:t>
      </w:r>
      <w:r>
        <w:rPr>
          <w:rFonts w:hint="eastAsia" w:ascii="仿宋" w:hAnsi="仿宋" w:eastAsia="仿宋" w:cs="仿宋"/>
          <w:color w:val="auto"/>
          <w:sz w:val="24"/>
          <w:szCs w:val="24"/>
          <w:highlight w:val="none"/>
          <w:lang w:val="en-US" w:eastAsia="zh-CN"/>
        </w:rPr>
        <w:t>1套</w:t>
      </w:r>
      <w:r>
        <w:rPr>
          <w:rFonts w:hint="eastAsia" w:ascii="仿宋" w:hAnsi="仿宋" w:eastAsia="仿宋" w:cs="仿宋"/>
          <w:color w:val="auto"/>
          <w:sz w:val="24"/>
          <w:szCs w:val="24"/>
          <w:highlight w:val="none"/>
          <w:lang w:eastAsia="zh-CN"/>
        </w:rPr>
        <w:t>。具体内容详见招标文件。</w:t>
      </w:r>
      <w:bookmarkEnd w:id="36"/>
    </w:p>
    <w:p w14:paraId="039D1606">
      <w:pPr>
        <w:keepNext w:val="0"/>
        <w:keepLines w:val="0"/>
        <w:pageBreakBefore w:val="0"/>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最高限价（如有）：</w:t>
      </w:r>
      <w:r>
        <w:rPr>
          <w:rFonts w:hint="eastAsia" w:ascii="仿宋" w:hAnsi="仿宋" w:eastAsia="仿宋" w:cs="仿宋"/>
          <w:color w:val="auto"/>
          <w:sz w:val="24"/>
          <w:szCs w:val="24"/>
          <w:highlight w:val="none"/>
          <w:lang w:val="en-US" w:eastAsia="zh-CN"/>
        </w:rPr>
        <w:t>1700000</w:t>
      </w:r>
      <w:r>
        <w:rPr>
          <w:rFonts w:hint="eastAsia" w:ascii="仿宋" w:hAnsi="仿宋" w:eastAsia="仿宋" w:cs="仿宋"/>
          <w:color w:val="auto"/>
          <w:sz w:val="24"/>
          <w:szCs w:val="24"/>
          <w:highlight w:val="none"/>
          <w:lang w:eastAsia="zh-CN"/>
        </w:rPr>
        <w:t>.00</w:t>
      </w:r>
    </w:p>
    <w:p w14:paraId="2B746C8A">
      <w:pPr>
        <w:keepNext w:val="0"/>
        <w:keepLines w:val="0"/>
        <w:pageBreakBefore w:val="0"/>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合同履行期限：采购合同签订后30个日历日内交货并完成安装调试</w:t>
      </w:r>
      <w:r>
        <w:rPr>
          <w:rFonts w:hint="eastAsia" w:ascii="仿宋" w:hAnsi="仿宋" w:eastAsia="仿宋" w:cs="仿宋"/>
          <w:color w:val="auto"/>
          <w:sz w:val="24"/>
          <w:szCs w:val="24"/>
          <w:highlight w:val="none"/>
          <w:lang w:eastAsia="zh-CN"/>
        </w:rPr>
        <w:t>。</w:t>
      </w:r>
    </w:p>
    <w:p w14:paraId="6D376ADF">
      <w:pPr>
        <w:keepNext w:val="0"/>
        <w:keepLines w:val="0"/>
        <w:pageBreakBefore w:val="0"/>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w:t>
      </w:r>
      <w:r>
        <w:rPr>
          <w:rFonts w:hint="eastAsia" w:ascii="仿宋" w:hAnsi="仿宋" w:eastAsia="仿宋" w:cs="仿宋"/>
          <w:color w:val="auto"/>
          <w:sz w:val="24"/>
          <w:szCs w:val="24"/>
          <w:highlight w:val="none"/>
          <w:lang w:val="en-US" w:eastAsia="zh-CN"/>
        </w:rPr>
        <w:t>项目</w:t>
      </w:r>
      <w:r>
        <w:rPr>
          <w:rFonts w:hint="eastAsia" w:ascii="仿宋" w:hAnsi="仿宋" w:eastAsia="仿宋" w:cs="仿宋"/>
          <w:color w:val="auto"/>
          <w:sz w:val="24"/>
          <w:szCs w:val="24"/>
          <w:highlight w:val="none"/>
        </w:rPr>
        <w:t>（否）接受联合体投标。</w:t>
      </w:r>
    </w:p>
    <w:p w14:paraId="358F3D03">
      <w:pPr>
        <w:keepNext w:val="0"/>
        <w:keepLines w:val="0"/>
        <w:pageBreakBefore w:val="0"/>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p w14:paraId="467A91F5">
      <w:pPr>
        <w:keepNext w:val="0"/>
        <w:keepLines w:val="0"/>
        <w:pageBreakBefore w:val="0"/>
        <w:kinsoku/>
        <w:wordWrap w:val="0"/>
        <w:overflowPunct/>
        <w:topLinePunct w:val="0"/>
        <w:autoSpaceDE/>
        <w:autoSpaceDN/>
        <w:bidi w:val="0"/>
        <w:adjustRightInd/>
        <w:snapToGrid/>
        <w:spacing w:line="360" w:lineRule="auto"/>
        <w:ind w:firstLine="482" w:firstLineChars="200"/>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标项二</w:t>
      </w:r>
    </w:p>
    <w:p w14:paraId="26B1857E">
      <w:pPr>
        <w:keepNext w:val="0"/>
        <w:keepLines w:val="0"/>
        <w:pageBreakBefore w:val="0"/>
        <w:kinsoku/>
        <w:wordWrap w:val="0"/>
        <w:overflowPunct/>
        <w:topLinePunct w:val="0"/>
        <w:autoSpaceDE/>
        <w:autoSpaceDN/>
        <w:bidi w:val="0"/>
        <w:adjustRightInd/>
        <w:snapToGrid/>
        <w:spacing w:line="360" w:lineRule="auto"/>
        <w:ind w:firstLine="482" w:firstLineChars="200"/>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标项</w:t>
      </w:r>
      <w:r>
        <w:rPr>
          <w:rFonts w:hint="eastAsia" w:ascii="仿宋" w:hAnsi="仿宋" w:eastAsia="仿宋" w:cs="仿宋"/>
          <w:b/>
          <w:bCs/>
          <w:color w:val="auto"/>
          <w:sz w:val="24"/>
          <w:szCs w:val="24"/>
          <w:highlight w:val="none"/>
        </w:rPr>
        <w:t>名称：</w:t>
      </w:r>
      <w:r>
        <w:rPr>
          <w:rFonts w:hint="eastAsia" w:ascii="仿宋" w:hAnsi="仿宋" w:eastAsia="仿宋" w:cs="仿宋"/>
          <w:b/>
          <w:bCs/>
          <w:color w:val="auto"/>
          <w:sz w:val="24"/>
          <w:szCs w:val="24"/>
          <w:highlight w:val="none"/>
          <w:lang w:val="en-US" w:eastAsia="zh-CN"/>
        </w:rPr>
        <w:t>分标2</w:t>
      </w:r>
      <w:r>
        <w:rPr>
          <w:rFonts w:hint="eastAsia" w:ascii="仿宋" w:hAnsi="仿宋" w:eastAsia="仿宋" w:cs="仿宋"/>
          <w:b/>
          <w:bCs/>
          <w:color w:val="auto"/>
          <w:sz w:val="24"/>
          <w:szCs w:val="24"/>
          <w:highlight w:val="none"/>
        </w:rPr>
        <w:t>胃肠机</w:t>
      </w:r>
    </w:p>
    <w:p w14:paraId="43B4DDCE">
      <w:pPr>
        <w:keepNext w:val="0"/>
        <w:keepLines w:val="0"/>
        <w:pageBreakBefore w:val="0"/>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数量：</w:t>
      </w:r>
      <w:r>
        <w:rPr>
          <w:rFonts w:hint="eastAsia" w:ascii="仿宋" w:hAnsi="仿宋" w:eastAsia="仿宋" w:cs="仿宋"/>
          <w:color w:val="auto"/>
          <w:sz w:val="24"/>
          <w:szCs w:val="24"/>
          <w:highlight w:val="none"/>
          <w:lang w:val="en-US" w:eastAsia="zh-CN"/>
        </w:rPr>
        <w:t>1套</w:t>
      </w:r>
    </w:p>
    <w:p w14:paraId="1F1ADBEB">
      <w:pPr>
        <w:keepNext w:val="0"/>
        <w:keepLines w:val="0"/>
        <w:pageBreakBefore w:val="0"/>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预算金额（元）：1450000.00</w:t>
      </w:r>
    </w:p>
    <w:p w14:paraId="3638D6CC">
      <w:pPr>
        <w:keepNext w:val="0"/>
        <w:keepLines w:val="0"/>
        <w:pageBreakBefore w:val="0"/>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简要规格描述或项目基本概况介绍、用途：胃肠机</w:t>
      </w:r>
      <w:r>
        <w:rPr>
          <w:rFonts w:hint="eastAsia" w:ascii="仿宋" w:hAnsi="仿宋" w:eastAsia="仿宋" w:cs="仿宋"/>
          <w:color w:val="auto"/>
          <w:sz w:val="24"/>
          <w:szCs w:val="24"/>
          <w:highlight w:val="none"/>
          <w:lang w:val="en-US" w:eastAsia="zh-CN"/>
        </w:rPr>
        <w:t>1套</w:t>
      </w:r>
      <w:r>
        <w:rPr>
          <w:rFonts w:hint="eastAsia" w:ascii="仿宋" w:hAnsi="仿宋" w:eastAsia="仿宋" w:cs="仿宋"/>
          <w:color w:val="auto"/>
          <w:sz w:val="24"/>
          <w:szCs w:val="24"/>
          <w:highlight w:val="none"/>
          <w:lang w:eastAsia="zh-CN"/>
        </w:rPr>
        <w:t>。具体内容详见招标文件。</w:t>
      </w:r>
    </w:p>
    <w:p w14:paraId="29B75074">
      <w:pPr>
        <w:keepNext w:val="0"/>
        <w:keepLines w:val="0"/>
        <w:pageBreakBefore w:val="0"/>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最高限价（如有）：1450000.00</w:t>
      </w:r>
    </w:p>
    <w:p w14:paraId="1FCD3593">
      <w:pPr>
        <w:keepNext w:val="0"/>
        <w:keepLines w:val="0"/>
        <w:pageBreakBefore w:val="0"/>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合同履行期限：采购合同签订后45个日历日内交货并完成安装调试</w:t>
      </w:r>
      <w:r>
        <w:rPr>
          <w:rFonts w:hint="eastAsia" w:ascii="仿宋" w:hAnsi="仿宋" w:eastAsia="仿宋" w:cs="仿宋"/>
          <w:color w:val="auto"/>
          <w:sz w:val="24"/>
          <w:szCs w:val="24"/>
          <w:highlight w:val="none"/>
          <w:lang w:eastAsia="zh-CN"/>
        </w:rPr>
        <w:t>。</w:t>
      </w:r>
    </w:p>
    <w:p w14:paraId="4C5043E8">
      <w:pPr>
        <w:keepNext w:val="0"/>
        <w:keepLines w:val="0"/>
        <w:pageBreakBefore w:val="0"/>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w:t>
      </w:r>
      <w:r>
        <w:rPr>
          <w:rFonts w:hint="eastAsia" w:ascii="仿宋" w:hAnsi="仿宋" w:eastAsia="仿宋" w:cs="仿宋"/>
          <w:color w:val="auto"/>
          <w:sz w:val="24"/>
          <w:szCs w:val="24"/>
          <w:highlight w:val="none"/>
          <w:lang w:val="en-US" w:eastAsia="zh-CN"/>
        </w:rPr>
        <w:t>项目</w:t>
      </w:r>
      <w:r>
        <w:rPr>
          <w:rFonts w:hint="eastAsia" w:ascii="仿宋" w:hAnsi="仿宋" w:eastAsia="仿宋" w:cs="仿宋"/>
          <w:color w:val="auto"/>
          <w:sz w:val="24"/>
          <w:szCs w:val="24"/>
          <w:highlight w:val="none"/>
        </w:rPr>
        <w:t>（否）接受联合体投标。</w:t>
      </w:r>
    </w:p>
    <w:p w14:paraId="3723638C">
      <w:pPr>
        <w:keepNext w:val="0"/>
        <w:keepLines w:val="0"/>
        <w:pageBreakBefore w:val="0"/>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p w14:paraId="3972B977">
      <w:pPr>
        <w:keepNext w:val="0"/>
        <w:keepLines w:val="0"/>
        <w:pageBreakBefore w:val="0"/>
        <w:kinsoku/>
        <w:wordWrap w:val="0"/>
        <w:overflowPunct/>
        <w:topLinePunct w:val="0"/>
        <w:autoSpaceDE/>
        <w:autoSpaceDN/>
        <w:bidi w:val="0"/>
        <w:adjustRightInd/>
        <w:snapToGrid/>
        <w:spacing w:line="360" w:lineRule="auto"/>
        <w:ind w:firstLine="482" w:firstLineChars="200"/>
        <w:textAlignment w:val="auto"/>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二、申请人的资格要求：</w:t>
      </w:r>
    </w:p>
    <w:p w14:paraId="4566B14D">
      <w:pPr>
        <w:keepNext w:val="0"/>
        <w:keepLines w:val="0"/>
        <w:pageBreakBefore w:val="0"/>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1.满足《中华人民共和国政府采购法》第二十二条规定；</w:t>
      </w:r>
    </w:p>
    <w:p w14:paraId="6F8AE417">
      <w:pPr>
        <w:keepNext w:val="0"/>
        <w:keepLines w:val="0"/>
        <w:pageBreakBefore w:val="0"/>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2.落实政府采购政策需满足的资格要求</w:t>
      </w:r>
      <w:r>
        <w:rPr>
          <w:rFonts w:hint="eastAsia" w:ascii="仿宋" w:hAnsi="仿宋" w:eastAsia="仿宋" w:cs="仿宋"/>
          <w:color w:val="auto"/>
          <w:sz w:val="24"/>
          <w:szCs w:val="24"/>
          <w:highlight w:val="none"/>
          <w:lang w:eastAsia="zh-CN"/>
        </w:rPr>
        <w:t>：分标</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：无</w:t>
      </w:r>
      <w:r>
        <w:rPr>
          <w:rFonts w:hint="eastAsia" w:ascii="仿宋" w:hAnsi="仿宋" w:eastAsia="仿宋" w:cs="仿宋"/>
          <w:color w:val="auto"/>
          <w:sz w:val="24"/>
          <w:szCs w:val="24"/>
          <w:highlight w:val="none"/>
        </w:rPr>
        <w:t>；</w:t>
      </w:r>
    </w:p>
    <w:p w14:paraId="124EE3C8">
      <w:pPr>
        <w:keepNext w:val="0"/>
        <w:keepLines w:val="0"/>
        <w:pageBreakBefore w:val="0"/>
        <w:kinsoku/>
        <w:wordWrap w:val="0"/>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3.本项目的特定资格要求：本项目各分标</w:t>
      </w: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lang w:eastAsia="zh-CN"/>
        </w:rPr>
        <w:t>按《医疗器械监督管理条例》（国务院令第739号）医疗器械分类管理要求，具备涵盖本次医疗器械采购标的且有效的医疗器械经营备案凭证或者经营许可证[符合《医疗器械监督管理条例》第四十一条第二款规定的除外]，或者投标人具有《医疗器械监督管理条例》第四十三条规定的注册人凭证。</w:t>
      </w:r>
    </w:p>
    <w:p w14:paraId="22B304D2">
      <w:pPr>
        <w:keepNext w:val="0"/>
        <w:keepLines w:val="0"/>
        <w:pageBreakBefore w:val="0"/>
        <w:kinsoku/>
        <w:wordWrap w:val="0"/>
        <w:overflowPunct/>
        <w:topLinePunct w:val="0"/>
        <w:bidi w:val="0"/>
        <w:snapToGrid/>
        <w:spacing w:line="360" w:lineRule="auto"/>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三、获取招标文件</w:t>
      </w:r>
      <w:bookmarkEnd w:id="31"/>
      <w:bookmarkEnd w:id="32"/>
      <w:bookmarkEnd w:id="33"/>
      <w:bookmarkEnd w:id="34"/>
    </w:p>
    <w:p w14:paraId="4D2A216E">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时间：</w:t>
      </w:r>
      <w:r>
        <w:rPr>
          <w:rFonts w:hint="eastAsia" w:ascii="仿宋" w:hAnsi="仿宋" w:eastAsia="仿宋" w:cs="仿宋"/>
          <w:color w:val="auto"/>
          <w:sz w:val="24"/>
          <w:highlight w:val="none"/>
          <w:lang w:eastAsia="zh-CN"/>
        </w:rPr>
        <w:t>2026年</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lang w:eastAsia="zh-CN"/>
        </w:rPr>
        <w:t>月</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日</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lang w:eastAsia="zh-CN"/>
        </w:rPr>
        <w:t>2026年</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lang w:eastAsia="zh-CN"/>
        </w:rPr>
        <w:t>月</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日，每天上午00:00-12:00；下午12:01-23:59（北京时间，法定节假日除外）。</w:t>
      </w:r>
    </w:p>
    <w:p w14:paraId="542D2DFD">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地点（网址）：</w:t>
      </w:r>
      <w:r>
        <w:rPr>
          <w:rFonts w:hint="eastAsia" w:ascii="仿宋" w:hAnsi="仿宋" w:eastAsia="仿宋" w:cs="仿宋"/>
          <w:color w:val="auto"/>
          <w:sz w:val="24"/>
          <w:highlight w:val="none"/>
          <w:u w:val="single"/>
        </w:rPr>
        <w:t>广西政府采购云平台（https://www.gcy.zfcg.gxzf.gov.cn/）</w:t>
      </w:r>
      <w:r>
        <w:rPr>
          <w:rFonts w:hint="eastAsia" w:ascii="仿宋" w:hAnsi="仿宋" w:eastAsia="仿宋" w:cs="仿宋"/>
          <w:bCs/>
          <w:color w:val="auto"/>
          <w:kern w:val="0"/>
          <w:sz w:val="24"/>
          <w:highlight w:val="none"/>
        </w:rPr>
        <w:t>。</w:t>
      </w:r>
    </w:p>
    <w:p w14:paraId="4D08147F">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方式：网上下载。供应商应自行登陆</w:t>
      </w:r>
      <w:r>
        <w:rPr>
          <w:rFonts w:hint="eastAsia" w:ascii="仿宋" w:hAnsi="仿宋" w:eastAsia="仿宋" w:cs="仿宋"/>
          <w:color w:val="auto"/>
          <w:sz w:val="24"/>
          <w:highlight w:val="none"/>
          <w:u w:val="single"/>
        </w:rPr>
        <w:t>广西政府采购云平台（https://www.gcy.zfcg.gxzf.gov.cn/）</w:t>
      </w:r>
      <w:r>
        <w:rPr>
          <w:rFonts w:hint="eastAsia" w:ascii="仿宋" w:hAnsi="仿宋" w:eastAsia="仿宋" w:cs="仿宋"/>
          <w:bCs/>
          <w:color w:val="auto"/>
          <w:kern w:val="0"/>
          <w:sz w:val="24"/>
          <w:highlight w:val="none"/>
        </w:rPr>
        <w:t>下载招标文件（操作路径：登录“广西政府采购云平台”-项目采购-获取采购文件-找到本项目-点击“申请获取采购文件”），电子投标文件制作需要基于“广西政府采购云平台”获取的招标文件编制。</w:t>
      </w:r>
    </w:p>
    <w:p w14:paraId="7E540804">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bCs/>
          <w:color w:val="auto"/>
          <w:kern w:val="0"/>
          <w:sz w:val="24"/>
          <w:highlight w:val="none"/>
        </w:rPr>
        <w:t>售价：0元。</w:t>
      </w:r>
    </w:p>
    <w:p w14:paraId="6C5B3B6C">
      <w:pPr>
        <w:keepNext w:val="0"/>
        <w:keepLines w:val="0"/>
        <w:pageBreakBefore w:val="0"/>
        <w:kinsoku/>
        <w:wordWrap w:val="0"/>
        <w:overflowPunct/>
        <w:topLinePunct w:val="0"/>
        <w:bidi w:val="0"/>
        <w:snapToGrid/>
        <w:spacing w:line="360" w:lineRule="auto"/>
        <w:textAlignment w:val="auto"/>
        <w:rPr>
          <w:rFonts w:hint="eastAsia" w:ascii="仿宋" w:hAnsi="仿宋" w:eastAsia="仿宋" w:cs="仿宋"/>
          <w:b/>
          <w:bCs/>
          <w:color w:val="auto"/>
          <w:sz w:val="24"/>
          <w:highlight w:val="none"/>
        </w:rPr>
      </w:pPr>
      <w:bookmarkStart w:id="37" w:name="_Toc28359005"/>
      <w:bookmarkStart w:id="38" w:name="_Toc28359082"/>
      <w:bookmarkStart w:id="39" w:name="_Toc35393624"/>
      <w:bookmarkStart w:id="40" w:name="_Toc35393793"/>
      <w:r>
        <w:rPr>
          <w:rFonts w:hint="eastAsia" w:ascii="仿宋" w:hAnsi="仿宋" w:eastAsia="仿宋" w:cs="仿宋"/>
          <w:b/>
          <w:bCs/>
          <w:color w:val="auto"/>
          <w:sz w:val="24"/>
          <w:highlight w:val="none"/>
        </w:rPr>
        <w:t>四、提交投标文件</w:t>
      </w:r>
      <w:bookmarkEnd w:id="37"/>
      <w:bookmarkEnd w:id="38"/>
      <w:r>
        <w:rPr>
          <w:rFonts w:hint="eastAsia" w:ascii="仿宋" w:hAnsi="仿宋" w:eastAsia="仿宋" w:cs="仿宋"/>
          <w:b/>
          <w:bCs/>
          <w:color w:val="auto"/>
          <w:sz w:val="24"/>
          <w:highlight w:val="none"/>
        </w:rPr>
        <w:t>截止时间、开标时间和地点</w:t>
      </w:r>
      <w:bookmarkEnd w:id="39"/>
      <w:bookmarkEnd w:id="40"/>
    </w:p>
    <w:p w14:paraId="4DC062D2">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color w:val="auto"/>
          <w:sz w:val="24"/>
          <w:highlight w:val="none"/>
        </w:rPr>
      </w:pPr>
      <w:bookmarkStart w:id="41" w:name="_Toc35393625"/>
      <w:bookmarkStart w:id="42" w:name="_Toc28359084"/>
      <w:bookmarkStart w:id="43" w:name="_Toc28359007"/>
      <w:bookmarkStart w:id="44" w:name="_Toc35393794"/>
      <w:r>
        <w:rPr>
          <w:rFonts w:hint="eastAsia" w:ascii="仿宋" w:hAnsi="仿宋" w:eastAsia="仿宋" w:cs="仿宋"/>
          <w:color w:val="auto"/>
          <w:sz w:val="24"/>
          <w:highlight w:val="none"/>
        </w:rPr>
        <w:t>1、提交投标文件截止时间：</w:t>
      </w:r>
      <w:r>
        <w:rPr>
          <w:rFonts w:hint="eastAsia" w:ascii="仿宋" w:hAnsi="仿宋" w:eastAsia="仿宋" w:cs="仿宋"/>
          <w:color w:val="auto"/>
          <w:sz w:val="24"/>
          <w:highlight w:val="none"/>
          <w:lang w:eastAsia="zh-CN"/>
        </w:rPr>
        <w:t>2026年7月 日</w:t>
      </w:r>
      <w:r>
        <w:rPr>
          <w:rFonts w:hint="eastAsia" w:ascii="仿宋" w:hAnsi="仿宋" w:eastAsia="仿宋" w:cs="仿宋"/>
          <w:color w:val="auto"/>
          <w:sz w:val="24"/>
          <w:highlight w:val="none"/>
        </w:rPr>
        <w:t>09：30（北京时间）。</w:t>
      </w:r>
    </w:p>
    <w:p w14:paraId="06A79CB5">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2、投标地点（网址）：通过“广西政府采购云平台”在线提交投标文件。</w:t>
      </w:r>
    </w:p>
    <w:p w14:paraId="234847DE">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3、开标时间：</w:t>
      </w:r>
      <w:r>
        <w:rPr>
          <w:rFonts w:hint="eastAsia" w:ascii="仿宋" w:hAnsi="仿宋" w:eastAsia="仿宋" w:cs="仿宋"/>
          <w:color w:val="auto"/>
          <w:sz w:val="24"/>
          <w:highlight w:val="none"/>
          <w:lang w:eastAsia="zh-CN"/>
        </w:rPr>
        <w:t>2026年7月 日</w:t>
      </w:r>
      <w:r>
        <w:rPr>
          <w:rFonts w:hint="eastAsia" w:ascii="仿宋" w:hAnsi="仿宋" w:eastAsia="仿宋" w:cs="仿宋"/>
          <w:color w:val="auto"/>
          <w:sz w:val="24"/>
          <w:highlight w:val="none"/>
        </w:rPr>
        <w:t>09:30。</w:t>
      </w:r>
    </w:p>
    <w:p w14:paraId="626A9288">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4、开标地点：通过“广西政府采购云平台”在线开启投标文件。</w:t>
      </w:r>
    </w:p>
    <w:p w14:paraId="5A4DAE0C">
      <w:pPr>
        <w:keepNext w:val="0"/>
        <w:keepLines w:val="0"/>
        <w:pageBreakBefore w:val="0"/>
        <w:kinsoku/>
        <w:wordWrap w:val="0"/>
        <w:overflowPunct/>
        <w:topLinePunct w:val="0"/>
        <w:bidi w:val="0"/>
        <w:snapToGrid/>
        <w:spacing w:line="360" w:lineRule="auto"/>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五、公告期限</w:t>
      </w:r>
      <w:bookmarkEnd w:id="41"/>
      <w:bookmarkEnd w:id="42"/>
      <w:bookmarkEnd w:id="43"/>
      <w:bookmarkEnd w:id="44"/>
    </w:p>
    <w:p w14:paraId="1CF39B09">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自本公告发布之日起5个工作日。</w:t>
      </w:r>
    </w:p>
    <w:p w14:paraId="75DB640F">
      <w:pPr>
        <w:keepNext w:val="0"/>
        <w:keepLines w:val="0"/>
        <w:pageBreakBefore w:val="0"/>
        <w:kinsoku/>
        <w:wordWrap w:val="0"/>
        <w:overflowPunct/>
        <w:topLinePunct w:val="0"/>
        <w:bidi w:val="0"/>
        <w:snapToGrid/>
        <w:spacing w:line="360" w:lineRule="auto"/>
        <w:textAlignment w:val="auto"/>
        <w:rPr>
          <w:rFonts w:hint="eastAsia" w:ascii="仿宋" w:hAnsi="仿宋" w:eastAsia="仿宋" w:cs="仿宋"/>
          <w:b/>
          <w:bCs/>
          <w:color w:val="auto"/>
          <w:sz w:val="24"/>
          <w:highlight w:val="none"/>
        </w:rPr>
      </w:pPr>
      <w:bookmarkStart w:id="45" w:name="_Toc35393795"/>
      <w:bookmarkStart w:id="46" w:name="_Toc35393626"/>
      <w:r>
        <w:rPr>
          <w:rFonts w:hint="eastAsia" w:ascii="仿宋" w:hAnsi="仿宋" w:eastAsia="仿宋" w:cs="仿宋"/>
          <w:b/>
          <w:bCs/>
          <w:color w:val="auto"/>
          <w:sz w:val="24"/>
          <w:highlight w:val="none"/>
        </w:rPr>
        <w:t>六、其他补充事宜</w:t>
      </w:r>
      <w:bookmarkEnd w:id="45"/>
      <w:bookmarkEnd w:id="46"/>
    </w:p>
    <w:p w14:paraId="56AD9894">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color w:val="auto"/>
          <w:kern w:val="0"/>
          <w:sz w:val="24"/>
          <w:highlight w:val="none"/>
        </w:rPr>
      </w:pPr>
      <w:bookmarkStart w:id="47" w:name="_Hlk37429674"/>
      <w:r>
        <w:rPr>
          <w:rFonts w:hint="eastAsia" w:ascii="仿宋" w:hAnsi="仿宋" w:eastAsia="仿宋" w:cs="仿宋"/>
          <w:color w:val="auto"/>
          <w:kern w:val="0"/>
          <w:sz w:val="24"/>
          <w:highlight w:val="none"/>
        </w:rPr>
        <w:t>1、投标保证金（人民币）：本项目无需缴纳投标保证金。</w:t>
      </w:r>
    </w:p>
    <w:p w14:paraId="56D4F237">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434E4E81">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根据财政部《关于在政府采购活动中查询及使用信用记录有关问题的通知》（财库〔2016〕125号）的规定，对在“信用中国”网站(www.creditchina.gov.cn)、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2A941129">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4、网上查询地址：中国政府采购网（www.ccgp.gov.cn）、广西政府采购网（zfcg.gxzf.gov.cn）。</w:t>
      </w:r>
    </w:p>
    <w:p w14:paraId="7EB0A7F0">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5、本项目需要落实的政府采购政策：</w:t>
      </w:r>
    </w:p>
    <w:p w14:paraId="7E667F07">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（1）政府采购促进中小企业发展政策。</w:t>
      </w:r>
    </w:p>
    <w:p w14:paraId="2233C4DB">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（2）政府采购支持采用本国产品的政策。</w:t>
      </w:r>
    </w:p>
    <w:p w14:paraId="4C3369B0">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（3）强制采购节能产品；优先采购节能产品、环境标志产品。</w:t>
      </w:r>
    </w:p>
    <w:p w14:paraId="11BB2FAD">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（4）政府采购促进残疾人就业政策。</w:t>
      </w:r>
    </w:p>
    <w:p w14:paraId="64430700">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（5）政府采购支持监狱企业发展政策。</w:t>
      </w:r>
    </w:p>
    <w:p w14:paraId="0FE46CB3">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6</w:t>
      </w:r>
      <w:r>
        <w:rPr>
          <w:rFonts w:hint="eastAsia" w:ascii="仿宋" w:hAnsi="仿宋" w:eastAsia="仿宋" w:cs="仿宋"/>
          <w:color w:val="auto"/>
          <w:kern w:val="0"/>
          <w:sz w:val="24"/>
          <w:highlight w:val="none"/>
          <w:lang w:eastAsia="zh-CN"/>
        </w:rPr>
        <w:t>）对本国产品的支持等有关政策。</w:t>
      </w:r>
    </w:p>
    <w:p w14:paraId="0FF2D199">
      <w:pPr>
        <w:keepNext w:val="0"/>
        <w:keepLines w:val="0"/>
        <w:pageBreakBefore w:val="0"/>
        <w:widowControl/>
        <w:kinsoku/>
        <w:wordWrap w:val="0"/>
        <w:overflowPunct/>
        <w:topLinePunct w:val="0"/>
        <w:bidi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6、投标注意事项：</w:t>
      </w:r>
    </w:p>
    <w:bookmarkEnd w:id="47"/>
    <w:p w14:paraId="2264B7D6">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color w:val="auto"/>
          <w:sz w:val="24"/>
          <w:highlight w:val="none"/>
        </w:rPr>
      </w:pPr>
      <w:bookmarkStart w:id="48" w:name="_Toc28359008"/>
      <w:bookmarkStart w:id="49" w:name="_Toc35393627"/>
      <w:bookmarkStart w:id="50" w:name="_Toc35393796"/>
      <w:bookmarkStart w:id="51" w:name="_Toc28359085"/>
      <w:r>
        <w:rPr>
          <w:rFonts w:hint="eastAsia" w:ascii="仿宋" w:hAnsi="仿宋" w:eastAsia="仿宋" w:cs="仿宋"/>
          <w:color w:val="auto"/>
          <w:sz w:val="24"/>
          <w:highlight w:val="none"/>
        </w:rPr>
        <w:t>（1）投标文件提交方式：本项目为全流程电子化政府采购项目，通过</w:t>
      </w:r>
      <w:r>
        <w:rPr>
          <w:rFonts w:hint="eastAsia" w:ascii="仿宋" w:hAnsi="仿宋" w:eastAsia="仿宋" w:cs="仿宋"/>
          <w:color w:val="auto"/>
          <w:sz w:val="24"/>
          <w:highlight w:val="none"/>
          <w:u w:val="single"/>
        </w:rPr>
        <w:t>广西政府采购云平台（https://www.gcy.zfcg.gxzf.gov.cn/）</w:t>
      </w:r>
      <w:r>
        <w:rPr>
          <w:rFonts w:hint="eastAsia" w:ascii="仿宋" w:hAnsi="仿宋" w:eastAsia="仿宋" w:cs="仿宋"/>
          <w:color w:val="auto"/>
          <w:sz w:val="24"/>
          <w:highlight w:val="none"/>
        </w:rPr>
        <w:t>实行在线电子投标，供应商应先安装“广西政府采购云平台电子交易客户端”（请自行前往“广西政府采购云平台”进行下载），并按照本项目招标文件和“广西政府采购云平台”的要求编制、加密后在投标截止时间前通过网络上传至“广西政府采购云平台”，供应商在“广西政府采购云平台”提交电子版投标文件时，请填写参加远程开标活动经办人联系方式。</w:t>
      </w:r>
    </w:p>
    <w:p w14:paraId="1CA28ACE">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供应商应及时熟悉掌握电子标系统操作指南（见广西政府采购云平台电子卖场首页右上角—服务中心—帮助文档—项目采购）：https://service.zcygov.cn/#/knowledges/tree?tag=AG1DtGwBFdiHxlNdhY0r；及时完成CA申领和绑定（见广西壮族自治区政府采购网—办事服务—下载专区-广西政府采购云平台CA证书办理操作指南）。</w:t>
      </w:r>
    </w:p>
    <w:p w14:paraId="2B79DFCE">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未进行网上注册并办理数字证书（CA认证）的供应商将无法参与本项目政府采购活动，潜在供应商应当在投标截止时间前，完成电子交易平台上的CA数字证书办理及投标文件的提交。完成CA数字证书办理预计7日左右，投标人只需办理其中一家CA数字证书及签章，建议各投标人抓紧时间办理。</w:t>
      </w:r>
    </w:p>
    <w:p w14:paraId="2A79C6CB">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（4）为确保网上操作合法、有效和安全，请投标人确保在电子投标过程中能够对相关数据电文进行加密和使用电子签章，妥善保管CA数字证书并使用有效的CA数字证书参与整个采购活动。</w:t>
      </w:r>
    </w:p>
    <w:p w14:paraId="57BA52B6">
      <w:pPr>
        <w:keepNext w:val="0"/>
        <w:keepLines w:val="0"/>
        <w:pageBreakBefore w:val="0"/>
        <w:kinsoku/>
        <w:wordWrap w:val="0"/>
        <w:overflowPunct/>
        <w:topLinePunct w:val="0"/>
        <w:bidi w:val="0"/>
        <w:snapToGrid/>
        <w:spacing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6D27129A">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7、CA证书在线解密：供应商投标时，需携带制作投标文件时用来加密的有效数字证书（CA认证）登录“广西政府采购云平台”电子开标大厅现场按规定时间对加密的投标文件进行解密，否则后果自负。</w:t>
      </w:r>
    </w:p>
    <w:p w14:paraId="2D5E65A0">
      <w:pPr>
        <w:keepNext w:val="0"/>
        <w:keepLines w:val="0"/>
        <w:pageBreakBefore w:val="0"/>
        <w:kinsoku/>
        <w:wordWrap w:val="0"/>
        <w:overflowPunct/>
        <w:topLinePunct w:val="0"/>
        <w:bidi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若对项目采购电子交易系统操作有疑问，可登录广西政府采购云平台（https://www.gcy.zfcg.gxzf.gov.cn/），点击右侧咨询小采，获取采小蜜智能服务管家帮助，或拨打广西政府采购云平台服务热线95763获取热线服务帮助。</w:t>
      </w:r>
    </w:p>
    <w:p w14:paraId="5C5AE466">
      <w:pPr>
        <w:keepNext w:val="0"/>
        <w:keepLines w:val="0"/>
        <w:pageBreakBefore w:val="0"/>
        <w:kinsoku/>
        <w:wordWrap w:val="0"/>
        <w:overflowPunct/>
        <w:topLinePunct w:val="0"/>
        <w:bidi w:val="0"/>
        <w:snapToGrid/>
        <w:spacing w:line="360" w:lineRule="auto"/>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七、对本次招标提出询问，请按以下方式联系。</w:t>
      </w:r>
      <w:bookmarkEnd w:id="48"/>
      <w:bookmarkEnd w:id="49"/>
      <w:bookmarkEnd w:id="50"/>
      <w:bookmarkEnd w:id="51"/>
    </w:p>
    <w:p w14:paraId="2B841D43">
      <w:pPr>
        <w:keepNext w:val="0"/>
        <w:keepLines w:val="0"/>
        <w:pageBreakBefore w:val="0"/>
        <w:kinsoku/>
        <w:wordWrap w:val="0"/>
        <w:overflowPunct/>
        <w:topLinePunct w:val="0"/>
        <w:bidi w:val="0"/>
        <w:snapToGrid/>
        <w:spacing w:line="360" w:lineRule="auto"/>
        <w:ind w:firstLine="648" w:firstLineChars="27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1.采购人信息</w:t>
      </w:r>
    </w:p>
    <w:p w14:paraId="462E6C8F">
      <w:pPr>
        <w:keepNext w:val="0"/>
        <w:keepLines w:val="0"/>
        <w:pageBreakBefore w:val="0"/>
        <w:kinsoku/>
        <w:wordWrap w:val="0"/>
        <w:overflowPunct/>
        <w:topLinePunct w:val="0"/>
        <w:bidi w:val="0"/>
        <w:snapToGrid/>
        <w:spacing w:line="360" w:lineRule="auto"/>
        <w:ind w:firstLine="648" w:firstLineChars="270"/>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广西壮族自治区南溪山医院（广西壮族自治区第二人民医院）</w:t>
      </w:r>
    </w:p>
    <w:p w14:paraId="4846D78F">
      <w:pPr>
        <w:keepNext w:val="0"/>
        <w:keepLines w:val="0"/>
        <w:pageBreakBefore w:val="0"/>
        <w:kinsoku/>
        <w:wordWrap w:val="0"/>
        <w:overflowPunct/>
        <w:topLinePunct w:val="0"/>
        <w:bidi w:val="0"/>
        <w:snapToGrid/>
        <w:spacing w:line="360" w:lineRule="auto"/>
        <w:ind w:firstLine="648" w:firstLineChars="270"/>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lang w:eastAsia="zh-CN"/>
        </w:rPr>
        <w:t>广西桂林市崇信路46号</w:t>
      </w:r>
    </w:p>
    <w:p w14:paraId="69A151D8">
      <w:pPr>
        <w:keepNext w:val="0"/>
        <w:keepLines w:val="0"/>
        <w:pageBreakBefore w:val="0"/>
        <w:kinsoku/>
        <w:wordWrap w:val="0"/>
        <w:overflowPunct/>
        <w:topLinePunct w:val="0"/>
        <w:bidi w:val="0"/>
        <w:snapToGrid/>
        <w:spacing w:line="360" w:lineRule="auto"/>
        <w:ind w:firstLine="648" w:firstLineChars="270"/>
        <w:jc w:val="left"/>
        <w:textAlignment w:val="auto"/>
        <w:rPr>
          <w:rFonts w:hint="eastAsia" w:ascii="仿宋" w:hAnsi="仿宋" w:eastAsia="仿宋" w:cs="仿宋"/>
          <w:color w:val="auto"/>
          <w:sz w:val="24"/>
          <w:highlight w:val="none"/>
          <w:lang w:eastAsia="zh-CN"/>
        </w:rPr>
      </w:pPr>
      <w:bookmarkStart w:id="52" w:name="_Toc28359086"/>
      <w:bookmarkStart w:id="53" w:name="_Toc28359009"/>
      <w:r>
        <w:rPr>
          <w:rFonts w:hint="eastAsia" w:ascii="仿宋" w:hAnsi="仿宋" w:eastAsia="仿宋" w:cs="仿宋"/>
          <w:color w:val="auto"/>
          <w:sz w:val="24"/>
          <w:highlight w:val="none"/>
        </w:rPr>
        <w:t>项目联系人：</w:t>
      </w:r>
      <w:r>
        <w:rPr>
          <w:rFonts w:hint="eastAsia" w:ascii="仿宋" w:hAnsi="仿宋" w:eastAsia="仿宋" w:cs="仿宋"/>
          <w:color w:val="auto"/>
          <w:sz w:val="24"/>
          <w:highlight w:val="none"/>
          <w:lang w:eastAsia="zh-CN"/>
        </w:rPr>
        <w:t>温老师</w:t>
      </w:r>
    </w:p>
    <w:p w14:paraId="3247DD0A">
      <w:pPr>
        <w:keepNext w:val="0"/>
        <w:keepLines w:val="0"/>
        <w:pageBreakBefore w:val="0"/>
        <w:kinsoku/>
        <w:wordWrap w:val="0"/>
        <w:overflowPunct/>
        <w:topLinePunct w:val="0"/>
        <w:bidi w:val="0"/>
        <w:snapToGrid/>
        <w:spacing w:line="360" w:lineRule="auto"/>
        <w:ind w:firstLine="648" w:firstLineChars="270"/>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项目联系方式：0773-</w:t>
      </w:r>
      <w:r>
        <w:rPr>
          <w:rFonts w:hint="eastAsia" w:ascii="仿宋" w:hAnsi="仿宋" w:eastAsia="仿宋" w:cs="仿宋"/>
          <w:color w:val="auto"/>
          <w:sz w:val="24"/>
          <w:highlight w:val="none"/>
          <w:lang w:eastAsia="zh-CN"/>
        </w:rPr>
        <w:t>7592156</w:t>
      </w:r>
    </w:p>
    <w:p w14:paraId="3C7FAA68">
      <w:pPr>
        <w:keepNext w:val="0"/>
        <w:keepLines w:val="0"/>
        <w:pageBreakBefore w:val="0"/>
        <w:kinsoku/>
        <w:wordWrap w:val="0"/>
        <w:overflowPunct/>
        <w:topLinePunct w:val="0"/>
        <w:bidi w:val="0"/>
        <w:snapToGrid/>
        <w:spacing w:line="360" w:lineRule="auto"/>
        <w:ind w:firstLine="648" w:firstLineChars="27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2.采购代理机构信息</w:t>
      </w:r>
      <w:bookmarkEnd w:id="52"/>
      <w:bookmarkEnd w:id="53"/>
    </w:p>
    <w:p w14:paraId="789E20B3">
      <w:pPr>
        <w:keepNext w:val="0"/>
        <w:keepLines w:val="0"/>
        <w:pageBreakBefore w:val="0"/>
        <w:kinsoku/>
        <w:wordWrap w:val="0"/>
        <w:overflowPunct/>
        <w:topLinePunct w:val="0"/>
        <w:bidi w:val="0"/>
        <w:snapToGrid/>
        <w:spacing w:line="360" w:lineRule="auto"/>
        <w:ind w:firstLine="648" w:firstLineChars="27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称：广西科文招标有限公司</w:t>
      </w:r>
    </w:p>
    <w:p w14:paraId="2262D00B">
      <w:pPr>
        <w:keepNext w:val="0"/>
        <w:keepLines w:val="0"/>
        <w:pageBreakBefore w:val="0"/>
        <w:kinsoku/>
        <w:wordWrap w:val="0"/>
        <w:overflowPunct/>
        <w:topLinePunct w:val="0"/>
        <w:bidi w:val="0"/>
        <w:snapToGrid/>
        <w:spacing w:line="360" w:lineRule="auto"/>
        <w:ind w:firstLine="648" w:firstLineChars="27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址：桂林市七星区穿山东路41号彰泰•天街V+国际中心1#楼八层802号</w:t>
      </w:r>
    </w:p>
    <w:p w14:paraId="1CB03DEE">
      <w:pPr>
        <w:pStyle w:val="27"/>
        <w:keepNext w:val="0"/>
        <w:keepLines w:val="0"/>
        <w:pageBreakBefore w:val="0"/>
        <w:kinsoku/>
        <w:wordWrap w:val="0"/>
        <w:overflowPunct/>
        <w:topLinePunct w:val="0"/>
        <w:bidi w:val="0"/>
        <w:snapToGrid/>
        <w:spacing w:line="360" w:lineRule="auto"/>
        <w:ind w:firstLine="648" w:firstLineChars="27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项目联系人：</w:t>
      </w:r>
      <w:r>
        <w:rPr>
          <w:rFonts w:hint="eastAsia" w:ascii="仿宋" w:hAnsi="仿宋" w:eastAsia="仿宋" w:cs="仿宋"/>
          <w:color w:val="auto"/>
          <w:sz w:val="24"/>
          <w:szCs w:val="24"/>
          <w:highlight w:val="none"/>
          <w:lang w:eastAsia="zh-CN"/>
        </w:rPr>
        <w:t>李冰华、潘虹、谢敏聪</w:t>
      </w:r>
    </w:p>
    <w:p w14:paraId="1993C3AB">
      <w:pPr>
        <w:keepNext w:val="0"/>
        <w:keepLines w:val="0"/>
        <w:pageBreakBefore w:val="0"/>
        <w:kinsoku/>
        <w:wordWrap w:val="0"/>
        <w:overflowPunct/>
        <w:topLinePunct w:val="0"/>
        <w:bidi w:val="0"/>
        <w:snapToGrid/>
        <w:spacing w:line="360" w:lineRule="auto"/>
        <w:ind w:firstLine="648" w:firstLineChars="27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电　话：</w:t>
      </w:r>
      <w:r>
        <w:rPr>
          <w:rFonts w:hint="eastAsia" w:ascii="仿宋" w:hAnsi="仿宋" w:eastAsia="仿宋" w:cs="仿宋"/>
          <w:color w:val="auto"/>
          <w:sz w:val="24"/>
          <w:highlight w:val="none"/>
          <w:lang w:eastAsia="zh-CN"/>
        </w:rPr>
        <w:t>0773-7593227</w:t>
      </w:r>
    </w:p>
    <w:p w14:paraId="76FEB6A0">
      <w:pPr>
        <w:wordWrap w:val="0"/>
        <w:spacing w:line="400" w:lineRule="exact"/>
        <w:jc w:val="right"/>
        <w:rPr>
          <w:rFonts w:hint="eastAsia" w:ascii="仿宋" w:hAnsi="仿宋" w:eastAsia="仿宋" w:cs="仿宋"/>
          <w:color w:val="auto"/>
          <w:sz w:val="24"/>
          <w:highlight w:val="none"/>
        </w:rPr>
      </w:pPr>
    </w:p>
    <w:p w14:paraId="569321BF">
      <w:pPr>
        <w:pStyle w:val="3"/>
        <w:keepNext w:val="0"/>
        <w:keepLines w:val="0"/>
        <w:pageBreakBefore/>
        <w:numPr>
          <w:ilvl w:val="0"/>
          <w:numId w:val="4"/>
        </w:numPr>
        <w:spacing w:before="0" w:after="0" w:line="500" w:lineRule="exact"/>
        <w:jc w:val="center"/>
        <w:rPr>
          <w:rFonts w:hint="eastAsia" w:ascii="仿宋" w:hAnsi="仿宋" w:eastAsia="仿宋" w:cs="仿宋"/>
          <w:color w:val="auto"/>
          <w:highlight w:val="none"/>
        </w:rPr>
      </w:pPr>
      <w:bookmarkStart w:id="54" w:name="_Toc74320801"/>
      <w:r>
        <w:rPr>
          <w:rFonts w:hint="eastAsia" w:ascii="仿宋" w:hAnsi="仿宋" w:eastAsia="仿宋" w:cs="仿宋"/>
          <w:color w:val="auto"/>
          <w:highlight w:val="none"/>
        </w:rPr>
        <w:t xml:space="preserve"> 采购需求</w:t>
      </w:r>
      <w:bookmarkEnd w:id="54"/>
    </w:p>
    <w:p w14:paraId="2372BE1C">
      <w:pPr>
        <w:pStyle w:val="2"/>
        <w:kinsoku/>
        <w:spacing w:before="120" w:beforeLines="50" w:after="120" w:afterLines="50" w:line="400" w:lineRule="exact"/>
        <w:ind w:firstLine="482" w:firstLineChars="200"/>
        <w:rPr>
          <w:rFonts w:hint="eastAsia" w:ascii="仿宋" w:hAnsi="仿宋" w:eastAsia="仿宋" w:cs="仿宋"/>
          <w:color w:val="auto"/>
          <w:sz w:val="24"/>
          <w:szCs w:val="24"/>
          <w:highlight w:val="none"/>
          <w:lang w:eastAsia="zh-CN"/>
        </w:rPr>
      </w:pPr>
      <w:bookmarkStart w:id="55" w:name="_Toc19116"/>
      <w:r>
        <w:rPr>
          <w:rFonts w:hint="eastAsia" w:ascii="仿宋" w:hAnsi="仿宋" w:eastAsia="仿宋" w:cs="仿宋"/>
          <w:b/>
          <w:color w:val="auto"/>
          <w:sz w:val="24"/>
          <w:szCs w:val="24"/>
          <w:highlight w:val="none"/>
        </w:rPr>
        <w:t>一、本项目需实现的功能或者目标</w:t>
      </w:r>
    </w:p>
    <w:p w14:paraId="79A2FE81">
      <w:pPr>
        <w:pStyle w:val="2"/>
        <w:kinsoku/>
        <w:spacing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满足</w:t>
      </w:r>
      <w:r>
        <w:rPr>
          <w:rFonts w:hint="eastAsia" w:ascii="仿宋" w:hAnsi="仿宋" w:eastAsia="仿宋" w:cs="仿宋"/>
          <w:color w:val="auto"/>
          <w:sz w:val="24"/>
          <w:szCs w:val="24"/>
          <w:highlight w:val="none"/>
          <w:lang w:eastAsia="zh-CN"/>
        </w:rPr>
        <w:t>招标</w:t>
      </w:r>
      <w:r>
        <w:rPr>
          <w:rFonts w:hint="eastAsia" w:ascii="仿宋" w:hAnsi="仿宋" w:eastAsia="仿宋" w:cs="仿宋"/>
          <w:color w:val="auto"/>
          <w:sz w:val="24"/>
          <w:szCs w:val="24"/>
          <w:highlight w:val="none"/>
        </w:rPr>
        <w:t>文件采购需求及采购合同约定需求，经验收达到合格标准。本项目如有国家相关标准、行业标准、地方标准或者其他标准、规范的，应执行相应的标准、规范。如具体采购需求与标准、规范不一致的</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高于标准、规范的按具体采购需求执行</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低于标准、规范的按标准、规范执行。投标人所投标货物或服务如国家有强制性要求的应按国家规定执行。</w:t>
      </w:r>
    </w:p>
    <w:p w14:paraId="7A807C9C">
      <w:pPr>
        <w:pStyle w:val="2"/>
        <w:kinsoku/>
        <w:spacing w:before="120" w:beforeLines="50" w:after="120" w:afterLines="50" w:line="400" w:lineRule="exact"/>
        <w:ind w:firstLine="480" w:firstLineChars="200"/>
        <w:rPr>
          <w:rFonts w:hint="eastAsia" w:ascii="仿宋" w:hAnsi="仿宋" w:eastAsia="仿宋" w:cs="仿宋"/>
          <w:b/>
          <w:bCs/>
          <w:color w:val="auto"/>
          <w:sz w:val="24"/>
          <w:szCs w:val="24"/>
          <w:highlight w:val="none"/>
          <w:lang w:eastAsia="zh-CN"/>
        </w:rPr>
      </w:pPr>
      <w:r>
        <w:rPr>
          <w:rFonts w:hint="eastAsia" w:ascii="仿宋" w:hAnsi="仿宋" w:eastAsia="仿宋" w:cs="仿宋"/>
          <w:color w:val="auto"/>
          <w:sz w:val="24"/>
          <w:szCs w:val="24"/>
          <w:highlight w:val="none"/>
          <w:lang w:eastAsia="zh-CN"/>
        </w:rPr>
        <w:t>二、</w:t>
      </w:r>
      <w:r>
        <w:rPr>
          <w:rFonts w:hint="eastAsia" w:ascii="仿宋" w:hAnsi="仿宋" w:eastAsia="仿宋" w:cs="仿宋"/>
          <w:b/>
          <w:bCs/>
          <w:color w:val="auto"/>
          <w:sz w:val="24"/>
          <w:szCs w:val="24"/>
          <w:highlight w:val="none"/>
        </w:rPr>
        <w:t>落实政府采购政策需满足的要求</w:t>
      </w:r>
    </w:p>
    <w:p w14:paraId="05B31708">
      <w:pPr>
        <w:kinsoku/>
        <w:spacing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eastAsia="zh-CN"/>
        </w:rPr>
        <w:t>1.</w:t>
      </w:r>
      <w:r>
        <w:rPr>
          <w:rFonts w:hint="eastAsia" w:ascii="仿宋" w:hAnsi="仿宋" w:eastAsia="仿宋" w:cs="仿宋"/>
          <w:color w:val="auto"/>
          <w:kern w:val="0"/>
          <w:sz w:val="24"/>
          <w:szCs w:val="24"/>
          <w:highlight w:val="none"/>
        </w:rPr>
        <w:t xml:space="preserve"> 需要落实的政府采购政策详见</w:t>
      </w:r>
      <w:r>
        <w:rPr>
          <w:rFonts w:hint="eastAsia" w:ascii="仿宋" w:hAnsi="仿宋" w:eastAsia="仿宋" w:cs="仿宋"/>
          <w:color w:val="auto"/>
          <w:kern w:val="0"/>
          <w:sz w:val="24"/>
          <w:szCs w:val="24"/>
          <w:highlight w:val="none"/>
          <w:lang w:eastAsia="zh-CN"/>
        </w:rPr>
        <w:t>招标</w:t>
      </w:r>
      <w:r>
        <w:rPr>
          <w:rFonts w:hint="eastAsia" w:ascii="仿宋" w:hAnsi="仿宋" w:eastAsia="仿宋" w:cs="仿宋"/>
          <w:color w:val="auto"/>
          <w:kern w:val="0"/>
          <w:sz w:val="24"/>
          <w:szCs w:val="24"/>
          <w:highlight w:val="none"/>
        </w:rPr>
        <w:t>公告，</w:t>
      </w:r>
      <w:r>
        <w:rPr>
          <w:rFonts w:hint="eastAsia" w:ascii="仿宋" w:hAnsi="仿宋" w:eastAsia="仿宋" w:cs="仿宋"/>
          <w:bCs/>
          <w:color w:val="auto"/>
          <w:sz w:val="24"/>
          <w:szCs w:val="24"/>
          <w:highlight w:val="none"/>
        </w:rPr>
        <w:t>本招标文件所称中小企业必须符合《政府采购促进中小企业发展管理办法》（财库〔2020〕46号）的规定。</w:t>
      </w:r>
    </w:p>
    <w:p w14:paraId="7BFE925D">
      <w:pPr>
        <w:kinsoku/>
        <w:adjustRightInd/>
        <w:snapToGrid/>
        <w:spacing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eastAsia="zh-CN"/>
        </w:rPr>
        <w:t>2.</w:t>
      </w:r>
      <w:r>
        <w:rPr>
          <w:rFonts w:hint="eastAsia" w:ascii="仿宋" w:hAnsi="仿宋" w:eastAsia="仿宋" w:cs="仿宋"/>
          <w:bCs/>
          <w:color w:val="auto"/>
          <w:sz w:val="24"/>
          <w:szCs w:val="24"/>
          <w:highlight w:val="none"/>
        </w:rPr>
        <w:t xml:space="preserve">根据《财政部 发展改革委 </w:t>
      </w:r>
      <w:r>
        <w:rPr>
          <w:rFonts w:hint="eastAsia" w:ascii="仿宋" w:hAnsi="仿宋" w:eastAsia="仿宋" w:cs="仿宋"/>
          <w:bCs/>
          <w:color w:val="auto"/>
          <w:spacing w:val="-6"/>
          <w:sz w:val="24"/>
          <w:szCs w:val="24"/>
          <w:highlight w:val="none"/>
        </w:rPr>
        <w:t>生态环境部 市场监管总局关于调整优化节能产品</w:t>
      </w:r>
      <w:r>
        <w:rPr>
          <w:rFonts w:hint="eastAsia" w:ascii="仿宋" w:hAnsi="仿宋" w:eastAsia="仿宋" w:cs="仿宋"/>
          <w:bCs/>
          <w:color w:val="auto"/>
          <w:spacing w:val="-6"/>
          <w:sz w:val="24"/>
          <w:szCs w:val="24"/>
          <w:highlight w:val="none"/>
          <w:lang w:eastAsia="zh-CN"/>
        </w:rPr>
        <w:t>、</w:t>
      </w:r>
      <w:r>
        <w:rPr>
          <w:rFonts w:hint="eastAsia" w:ascii="仿宋" w:hAnsi="仿宋" w:eastAsia="仿宋" w:cs="仿宋"/>
          <w:bCs/>
          <w:color w:val="auto"/>
          <w:sz w:val="24"/>
          <w:szCs w:val="24"/>
          <w:highlight w:val="none"/>
        </w:rPr>
        <w:t>环境标志产品政府采购执行机制的通知》（财库〔2019〕9号）和《关于印发节能产品政府采购品目清单的通知》（财库〔2019〕19号）的规定，采购需求中的产品属于节能产品政府采购品目清单内标注“</w:t>
      </w:r>
      <w:r>
        <w:rPr>
          <w:rFonts w:hint="eastAsia" w:ascii="仿宋" w:hAnsi="仿宋" w:eastAsia="仿宋" w:cs="仿宋"/>
          <w:b/>
          <w:color w:val="auto"/>
          <w:sz w:val="24"/>
          <w:szCs w:val="24"/>
          <w:highlight w:val="none"/>
        </w:rPr>
        <w:t>★</w:t>
      </w:r>
      <w:r>
        <w:rPr>
          <w:rFonts w:hint="eastAsia" w:ascii="仿宋" w:hAnsi="仿宋" w:eastAsia="仿宋" w:cs="仿宋"/>
          <w:bCs/>
          <w:color w:val="auto"/>
          <w:sz w:val="24"/>
          <w:szCs w:val="24"/>
          <w:highlight w:val="none"/>
        </w:rPr>
        <w:t>”的（详见本章后附的节能产品政府采购品目清单），投标人的投标货物必须使用政府强制采购的节能产品，投标人必须在投标文件中提供所投标产品的节能产品认证证书复印件（加盖投标人公章），否则按无效投标处理。如本项目包含的货物</w:t>
      </w:r>
      <w:r>
        <w:rPr>
          <w:rFonts w:hint="eastAsia" w:ascii="仿宋" w:hAnsi="仿宋" w:eastAsia="仿宋" w:cs="仿宋"/>
          <w:bCs/>
          <w:color w:val="auto"/>
          <w:sz w:val="24"/>
          <w:szCs w:val="24"/>
          <w:highlight w:val="none"/>
          <w:lang w:val="en-US" w:eastAsia="zh-CN"/>
        </w:rPr>
        <w:t>有</w:t>
      </w:r>
      <w:r>
        <w:rPr>
          <w:rFonts w:hint="eastAsia" w:ascii="仿宋" w:hAnsi="仿宋" w:eastAsia="仿宋" w:cs="仿宋"/>
          <w:bCs/>
          <w:color w:val="auto"/>
          <w:sz w:val="24"/>
          <w:szCs w:val="24"/>
          <w:highlight w:val="none"/>
        </w:rPr>
        <w:t>属于品目清单内非标注“</w:t>
      </w:r>
      <w:r>
        <w:rPr>
          <w:rFonts w:hint="eastAsia" w:ascii="仿宋" w:hAnsi="仿宋" w:eastAsia="仿宋" w:cs="仿宋"/>
          <w:b/>
          <w:color w:val="auto"/>
          <w:sz w:val="24"/>
          <w:szCs w:val="24"/>
          <w:highlight w:val="none"/>
        </w:rPr>
        <w:t>★</w:t>
      </w:r>
      <w:r>
        <w:rPr>
          <w:rFonts w:hint="eastAsia" w:ascii="仿宋" w:hAnsi="仿宋" w:eastAsia="仿宋" w:cs="仿宋"/>
          <w:bCs/>
          <w:color w:val="auto"/>
          <w:sz w:val="24"/>
          <w:szCs w:val="24"/>
          <w:highlight w:val="none"/>
        </w:rPr>
        <w:t>”的产品时，应优先采购，具体详见“第四章 评标方法及评标标准”。</w:t>
      </w:r>
    </w:p>
    <w:p w14:paraId="4EC7CF4A">
      <w:pPr>
        <w:pStyle w:val="2"/>
        <w:kinsoku/>
        <w:spacing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lang w:eastAsia="zh-CN"/>
        </w:rPr>
        <w:t>3.</w:t>
      </w:r>
      <w:r>
        <w:rPr>
          <w:rFonts w:hint="eastAsia" w:ascii="仿宋" w:hAnsi="仿宋" w:eastAsia="仿宋" w:cs="仿宋"/>
          <w:color w:val="auto"/>
          <w:sz w:val="24"/>
          <w:szCs w:val="24"/>
          <w:highlight w:val="none"/>
        </w:rPr>
        <w:t>根据《关于调整网络安全专用产品安全管理有关事项的公告》（2023年1号）规定，本项目采购需求中的产品如果包括《网络关键设备和网络安全专用产品目录》的网络安全专用产品，供应商在投标文件中应主动列明供货范围中属于网络安全专用产品的投标产品，并在投标文件（商务及技术文件）中提供由中共中央网络安全和信息化委员会办公室网站（</w:t>
      </w:r>
      <w:r>
        <w:rPr>
          <w:rFonts w:hint="eastAsia" w:ascii="仿宋" w:hAnsi="仿宋" w:eastAsia="仿宋" w:cs="仿宋"/>
          <w:color w:val="auto"/>
          <w:spacing w:val="-2"/>
          <w:sz w:val="24"/>
          <w:szCs w:val="24"/>
          <w:highlight w:val="none"/>
        </w:rPr>
        <w:t>http://www.cac.gov.cn/index.htm</w:t>
      </w:r>
      <w:r>
        <w:rPr>
          <w:rFonts w:hint="eastAsia" w:ascii="仿宋" w:hAnsi="仿宋" w:eastAsia="仿宋" w:cs="仿宋"/>
          <w:color w:val="auto"/>
          <w:sz w:val="24"/>
          <w:szCs w:val="24"/>
          <w:highlight w:val="none"/>
        </w:rPr>
        <w:t>）最新发布的《网络关键设备和网络安全专用产品安全认证和安全检测结果》截图证明材料，不在《网络关键设备和网络安全专用产品安全认证和安全检测结果》中或不在有效期内或未提供有效的《计算机信息系统安全专用产品销售许可证》的，投标无效。如属于《网络关键设备和网络安全专用产品目录》中网络安全专用产品的类别，但不符合目录中所列“产品描述”的产品，应提供相应的说明及证明材料。</w:t>
      </w:r>
    </w:p>
    <w:p w14:paraId="08846B22">
      <w:pPr>
        <w:pStyle w:val="2"/>
        <w:kinsoku/>
        <w:spacing w:before="120" w:beforeLines="50" w:after="120" w:afterLines="50"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三、</w:t>
      </w:r>
      <w:r>
        <w:rPr>
          <w:rFonts w:hint="eastAsia" w:ascii="仿宋" w:hAnsi="仿宋" w:eastAsia="仿宋" w:cs="仿宋"/>
          <w:b/>
          <w:color w:val="auto"/>
          <w:sz w:val="24"/>
          <w:szCs w:val="24"/>
          <w:highlight w:val="none"/>
        </w:rPr>
        <w:t>是否接受进口产品</w:t>
      </w:r>
    </w:p>
    <w:p w14:paraId="2C45D60E">
      <w:pPr>
        <w:pStyle w:val="2"/>
        <w:kinsoku/>
        <w:spacing w:line="400" w:lineRule="exact"/>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本项目</w:t>
      </w:r>
      <w:r>
        <w:rPr>
          <w:rFonts w:hint="eastAsia" w:ascii="仿宋" w:hAnsi="仿宋" w:eastAsia="仿宋" w:cs="仿宋"/>
          <w:b/>
          <w:bCs/>
          <w:color w:val="auto"/>
          <w:sz w:val="24"/>
          <w:szCs w:val="24"/>
          <w:highlight w:val="none"/>
          <w:lang w:eastAsia="zh-CN"/>
        </w:rPr>
        <w:t>不</w:t>
      </w:r>
      <w:r>
        <w:rPr>
          <w:rFonts w:hint="eastAsia" w:ascii="仿宋" w:hAnsi="仿宋" w:eastAsia="仿宋" w:cs="仿宋"/>
          <w:b/>
          <w:bCs/>
          <w:color w:val="auto"/>
          <w:sz w:val="24"/>
          <w:szCs w:val="24"/>
          <w:highlight w:val="none"/>
        </w:rPr>
        <w:t>接受进口产品参与投标。</w:t>
      </w:r>
    </w:p>
    <w:p w14:paraId="3948BC52">
      <w:pPr>
        <w:widowControl w:val="0"/>
        <w:kinsoku/>
        <w:spacing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备注：1.允许接受进口产品的，投标人可以选用进口产品参与投标，但不排斥国内产品。</w:t>
      </w:r>
    </w:p>
    <w:p w14:paraId="083F902A">
      <w:pPr>
        <w:widowControl w:val="0"/>
        <w:kinsoku/>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2.如本项目接受进口产品，投标人选择提供进口产品的，则提供的必须为全套全新原装进口产品，报价中应包括关税等所有进口环节费用并由</w:t>
      </w:r>
      <w:r>
        <w:rPr>
          <w:rFonts w:hint="eastAsia" w:ascii="仿宋" w:hAnsi="仿宋" w:eastAsia="仿宋" w:cs="仿宋"/>
          <w:color w:val="auto"/>
          <w:sz w:val="24"/>
          <w:szCs w:val="24"/>
          <w:highlight w:val="none"/>
          <w:lang w:eastAsia="zh-CN"/>
        </w:rPr>
        <w:t>中标人</w:t>
      </w:r>
      <w:r>
        <w:rPr>
          <w:rFonts w:hint="eastAsia" w:ascii="仿宋" w:hAnsi="仿宋" w:eastAsia="仿宋" w:cs="仿宋"/>
          <w:color w:val="auto"/>
          <w:sz w:val="24"/>
          <w:szCs w:val="24"/>
          <w:highlight w:val="none"/>
        </w:rPr>
        <w:t>办理进口相关手续，投标人报价中应自行考虑海关关税政策变化带来的风险，招标人不承担该政策变化所造成的费用增加。</w:t>
      </w:r>
    </w:p>
    <w:p w14:paraId="030D4DD6">
      <w:pPr>
        <w:pStyle w:val="2"/>
        <w:widowControl w:val="0"/>
        <w:kinsoku/>
        <w:spacing w:line="400" w:lineRule="exact"/>
        <w:ind w:firstLine="480" w:firstLineChars="200"/>
        <w:rPr>
          <w:rFonts w:hint="eastAsia" w:ascii="仿宋" w:hAnsi="仿宋" w:eastAsia="仿宋" w:cs="仿宋"/>
          <w:b/>
          <w:color w:val="auto"/>
          <w:sz w:val="24"/>
          <w:szCs w:val="24"/>
          <w:highlight w:val="none"/>
          <w:lang w:eastAsia="zh-CN"/>
        </w:rPr>
      </w:pPr>
      <w:r>
        <w:rPr>
          <w:rFonts w:hint="eastAsia" w:ascii="仿宋" w:hAnsi="仿宋" w:eastAsia="仿宋" w:cs="仿宋"/>
          <w:color w:val="auto"/>
          <w:sz w:val="24"/>
          <w:szCs w:val="24"/>
          <w:highlight w:val="none"/>
        </w:rPr>
        <w:t>3.进口产品是指通过中国海关报关验放进入中国境内且产自关境外的产品。即所谓进口产品是指制造过程均在国外，如果产品在国内组装，其中的零部件（包括核心部件）是进口产品，则应当视为非进口产品。</w:t>
      </w:r>
    </w:p>
    <w:p w14:paraId="7C69E20D">
      <w:pPr>
        <w:pStyle w:val="2"/>
        <w:widowControl w:val="0"/>
        <w:kinsoku/>
        <w:spacing w:line="400" w:lineRule="exact"/>
        <w:ind w:firstLine="480" w:firstLineChars="200"/>
        <w:rPr>
          <w:rFonts w:hint="eastAsia" w:ascii="仿宋" w:hAnsi="仿宋" w:eastAsia="仿宋" w:cs="仿宋"/>
          <w:b/>
          <w:color w:val="auto"/>
          <w:sz w:val="24"/>
          <w:szCs w:val="24"/>
          <w:highlight w:val="none"/>
          <w:lang w:eastAsia="zh-CN"/>
        </w:rPr>
      </w:pPr>
      <w:r>
        <w:rPr>
          <w:rFonts w:hint="eastAsia" w:ascii="仿宋" w:hAnsi="仿宋" w:eastAsia="仿宋" w:cs="仿宋"/>
          <w:color w:val="auto"/>
          <w:sz w:val="24"/>
          <w:szCs w:val="24"/>
          <w:highlight w:val="none"/>
        </w:rPr>
        <w:t>4.其余内容以《政府采购进口产品管理办法》（财库〔2007〕119 号）和《关于政府采购进口产品管理有关问题的通知财办库》（财库[2008]248号）的相关规定为准。</w:t>
      </w:r>
    </w:p>
    <w:p w14:paraId="25DFB772">
      <w:pPr>
        <w:pStyle w:val="2"/>
        <w:kinsoku/>
        <w:spacing w:before="120" w:beforeLines="50" w:after="120" w:afterLines="50" w:line="400" w:lineRule="exact"/>
        <w:ind w:firstLine="482" w:firstLineChars="200"/>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四、其他</w:t>
      </w:r>
      <w:r>
        <w:rPr>
          <w:rFonts w:hint="eastAsia" w:ascii="仿宋" w:hAnsi="仿宋" w:eastAsia="仿宋" w:cs="仿宋"/>
          <w:b/>
          <w:color w:val="auto"/>
          <w:sz w:val="24"/>
          <w:szCs w:val="24"/>
          <w:highlight w:val="none"/>
        </w:rPr>
        <w:t>说明</w:t>
      </w:r>
    </w:p>
    <w:p w14:paraId="292C2298">
      <w:pPr>
        <w:widowControl w:val="0"/>
        <w:kinsoku/>
        <w:autoSpaceDE/>
        <w:autoSpaceDN/>
        <w:adjustRightInd/>
        <w:snapToGrid/>
        <w:spacing w:line="400" w:lineRule="exact"/>
        <w:ind w:firstLine="480" w:firstLineChars="200"/>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Cs/>
          <w:color w:val="auto"/>
          <w:sz w:val="24"/>
          <w:szCs w:val="24"/>
          <w:highlight w:val="none"/>
          <w:lang w:eastAsia="zh-CN"/>
        </w:rPr>
        <w:t>1.</w:t>
      </w:r>
      <w:r>
        <w:rPr>
          <w:rFonts w:hint="eastAsia" w:ascii="仿宋" w:hAnsi="仿宋" w:eastAsia="仿宋" w:cs="仿宋"/>
          <w:bCs/>
          <w:color w:val="auto"/>
          <w:sz w:val="24"/>
          <w:szCs w:val="24"/>
          <w:highlight w:val="none"/>
        </w:rPr>
        <w:t>“实质性要求”是指招标文件中已经指明不满足则投标无效的条款，或者不能负偏离的条款，或者采购需求中带“▲”的条款</w:t>
      </w:r>
      <w:r>
        <w:rPr>
          <w:rFonts w:hint="eastAsia" w:ascii="仿宋" w:hAnsi="仿宋" w:eastAsia="仿宋" w:cs="仿宋"/>
          <w:bCs/>
          <w:color w:val="auto"/>
          <w:sz w:val="24"/>
          <w:szCs w:val="24"/>
          <w:highlight w:val="none"/>
          <w:lang w:val="en-US" w:eastAsia="zh-CN"/>
        </w:rPr>
        <w:t>(如有)</w:t>
      </w:r>
      <w:r>
        <w:rPr>
          <w:rFonts w:hint="eastAsia" w:ascii="仿宋" w:hAnsi="仿宋" w:eastAsia="仿宋" w:cs="仿宋"/>
          <w:bCs/>
          <w:color w:val="auto"/>
          <w:sz w:val="24"/>
          <w:szCs w:val="24"/>
          <w:highlight w:val="none"/>
        </w:rPr>
        <w:t>，</w:t>
      </w:r>
      <w:r>
        <w:rPr>
          <w:rFonts w:hint="eastAsia" w:ascii="仿宋" w:hAnsi="仿宋" w:eastAsia="仿宋" w:cs="仿宋"/>
          <w:b/>
          <w:bCs w:val="0"/>
          <w:color w:val="auto"/>
          <w:sz w:val="24"/>
          <w:szCs w:val="24"/>
          <w:highlight w:val="none"/>
        </w:rPr>
        <w:t>不满足将作投标文件无效处理。</w:t>
      </w:r>
      <w:r>
        <w:rPr>
          <w:rFonts w:hint="eastAsia" w:ascii="仿宋" w:hAnsi="仿宋" w:eastAsia="仿宋" w:cs="仿宋"/>
          <w:bCs/>
          <w:color w:val="auto"/>
          <w:sz w:val="24"/>
          <w:szCs w:val="24"/>
          <w:highlight w:val="none"/>
        </w:rPr>
        <w:t>标注“●”的条款或要求（如有）系指重要技术参数或条款，未标注“▲”及“●”的条款或要求系指一般技术参数或条款，均允许负偏离，如存在负偏离将导致被扣分，具体详见“第四章 评分办法”。</w:t>
      </w:r>
    </w:p>
    <w:p w14:paraId="65E2335F">
      <w:pPr>
        <w:kinsoku/>
        <w:adjustRightInd/>
        <w:snapToGrid/>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2.本表中如提及品牌型号，仅起参考作用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bidi="ar"/>
        </w:rPr>
        <w:t>不属于指定品牌、型号或者生产厂家的情形。</w:t>
      </w:r>
      <w:r>
        <w:rPr>
          <w:rFonts w:hint="eastAsia" w:ascii="仿宋" w:hAnsi="仿宋" w:eastAsia="仿宋" w:cs="仿宋"/>
          <w:color w:val="auto"/>
          <w:sz w:val="24"/>
          <w:szCs w:val="24"/>
          <w:highlight w:val="none"/>
        </w:rPr>
        <w:t>供应商可选用其他品牌型号替代，但这些替代的品牌型号要实质上参照或相当于或优于参考品牌型号及其技术参数性能（配置）要求。</w:t>
      </w:r>
    </w:p>
    <w:p w14:paraId="495CD22B">
      <w:pPr>
        <w:kinsoku/>
        <w:adjustRightInd/>
        <w:snapToGrid/>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bidi="ar"/>
        </w:rPr>
        <w:t xml:space="preserve">3.投标人必须对投标文件中提供的证明材料和资质文件真实性负责，如出现虚假应标情况，投标人除了应接受有关部门的处罚外，还应依据《中华人民共和国民法典》的相关条款来确定赔偿金额。 </w:t>
      </w:r>
    </w:p>
    <w:p w14:paraId="30475155">
      <w:pPr>
        <w:tabs>
          <w:tab w:val="left" w:pos="1305"/>
        </w:tabs>
        <w:kinsoku/>
        <w:adjustRightInd/>
        <w:snapToGrid/>
        <w:spacing w:line="400" w:lineRule="exact"/>
        <w:ind w:firstLine="480" w:firstLineChars="200"/>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4.投标人应对投标内容所涉及的专利承担法律责任，并负责保护采购人的利益不受任何损害。一切由于文字、商标、技术和软件专利授权引起的法律裁决、诉讼和赔偿费用均由中标人负责。</w:t>
      </w:r>
    </w:p>
    <w:p w14:paraId="05306A3D">
      <w:pPr>
        <w:kinsoku/>
        <w:spacing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bidi="ar"/>
        </w:rPr>
        <w:t>5.</w:t>
      </w:r>
      <w:r>
        <w:rPr>
          <w:rFonts w:hint="eastAsia" w:ascii="仿宋" w:hAnsi="仿宋" w:eastAsia="仿宋" w:cs="仿宋"/>
          <w:color w:val="auto"/>
          <w:sz w:val="24"/>
          <w:szCs w:val="24"/>
          <w:highlight w:val="none"/>
        </w:rPr>
        <w:t>投标人应根据自身实际情况如实响应招标文件，对招标文件提出的要求和条件作出明确响应，</w:t>
      </w:r>
      <w:r>
        <w:rPr>
          <w:rFonts w:hint="eastAsia" w:ascii="仿宋" w:hAnsi="仿宋" w:eastAsia="仿宋" w:cs="仿宋"/>
          <w:b/>
          <w:bCs/>
          <w:color w:val="auto"/>
          <w:sz w:val="24"/>
          <w:szCs w:val="24"/>
          <w:highlight w:val="none"/>
        </w:rPr>
        <w:t>否则将作无效响应处理</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招标文件的技术参数如要求投标文件</w:t>
      </w:r>
      <w:r>
        <w:rPr>
          <w:rFonts w:hint="eastAsia" w:ascii="仿宋" w:hAnsi="仿宋" w:eastAsia="仿宋" w:cs="仿宋"/>
          <w:color w:val="auto"/>
          <w:sz w:val="24"/>
          <w:szCs w:val="24"/>
          <w:highlight w:val="none"/>
        </w:rPr>
        <w:t>提供技术支持资料</w:t>
      </w:r>
      <w:r>
        <w:rPr>
          <w:rFonts w:hint="eastAsia" w:ascii="仿宋" w:hAnsi="仿宋" w:eastAsia="仿宋" w:cs="仿宋"/>
          <w:color w:val="auto"/>
          <w:sz w:val="24"/>
          <w:szCs w:val="24"/>
          <w:highlight w:val="none"/>
          <w:lang w:eastAsia="zh-CN"/>
        </w:rPr>
        <w:t>的，</w:t>
      </w:r>
      <w:r>
        <w:rPr>
          <w:rFonts w:hint="eastAsia" w:ascii="仿宋" w:hAnsi="仿宋" w:eastAsia="仿宋" w:cs="仿宋"/>
          <w:color w:val="auto"/>
          <w:sz w:val="24"/>
          <w:szCs w:val="24"/>
          <w:highlight w:val="none"/>
        </w:rPr>
        <w:t>技术支持资料以招标文件中规定的形式为准</w:t>
      </w:r>
      <w:r>
        <w:rPr>
          <w:rFonts w:hint="eastAsia" w:ascii="仿宋" w:hAnsi="仿宋" w:eastAsia="仿宋" w:cs="仿宋"/>
          <w:b/>
          <w:color w:val="auto"/>
          <w:sz w:val="24"/>
          <w:szCs w:val="24"/>
          <w:highlight w:val="none"/>
        </w:rPr>
        <w:t>，</w:t>
      </w:r>
      <w:r>
        <w:rPr>
          <w:rFonts w:hint="eastAsia" w:ascii="仿宋" w:hAnsi="仿宋" w:eastAsia="仿宋" w:cs="仿宋"/>
          <w:b/>
          <w:bCs/>
          <w:color w:val="auto"/>
          <w:sz w:val="24"/>
          <w:szCs w:val="24"/>
          <w:highlight w:val="none"/>
        </w:rPr>
        <w:t>否则将视为无效技术支持资料</w:t>
      </w:r>
      <w:r>
        <w:rPr>
          <w:rFonts w:hint="eastAsia" w:ascii="仿宋" w:hAnsi="仿宋" w:eastAsia="仿宋" w:cs="仿宋"/>
          <w:color w:val="auto"/>
          <w:sz w:val="24"/>
          <w:szCs w:val="24"/>
          <w:highlight w:val="none"/>
        </w:rPr>
        <w:t>。</w:t>
      </w:r>
    </w:p>
    <w:p w14:paraId="6A2FFB48">
      <w:pPr>
        <w:pStyle w:val="2"/>
        <w:kinsoku/>
        <w:spacing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rPr>
        <w:t>.招标文件如要求提供检测报告、认证证书的</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检测报告或认证报告内容中若涉及外文说明</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必须同时提供对应中文翻译说明</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评标依据以中文翻译内容为准，外文说明仅供参考</w:t>
      </w:r>
      <w:r>
        <w:rPr>
          <w:rFonts w:hint="eastAsia" w:ascii="仿宋" w:hAnsi="仿宋" w:eastAsia="仿宋" w:cs="仿宋"/>
          <w:color w:val="auto"/>
          <w:sz w:val="24"/>
          <w:szCs w:val="24"/>
          <w:highlight w:val="none"/>
          <w:lang w:eastAsia="zh-CN"/>
        </w:rPr>
        <w:t>，如未提供中文翻译件，</w:t>
      </w:r>
      <w:r>
        <w:rPr>
          <w:rFonts w:hint="eastAsia" w:ascii="仿宋" w:hAnsi="仿宋" w:eastAsia="仿宋" w:cs="仿宋"/>
          <w:color w:val="auto"/>
          <w:sz w:val="24"/>
          <w:szCs w:val="24"/>
          <w:highlight w:val="none"/>
        </w:rPr>
        <w:t>其不利后果由</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自行承担。</w:t>
      </w:r>
    </w:p>
    <w:p w14:paraId="7EF13D31">
      <w:pPr>
        <w:pStyle w:val="2"/>
        <w:kinsoku/>
        <w:spacing w:before="120" w:beforeLines="50" w:after="120" w:afterLines="50" w:line="400" w:lineRule="exact"/>
        <w:ind w:firstLine="482" w:firstLineChars="200"/>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sz w:val="24"/>
          <w:szCs w:val="24"/>
          <w:highlight w:val="none"/>
          <w:lang w:eastAsia="zh-CN"/>
        </w:rPr>
        <w:t>五</w:t>
      </w:r>
      <w:r>
        <w:rPr>
          <w:rFonts w:hint="eastAsia" w:ascii="仿宋" w:hAnsi="仿宋" w:eastAsia="仿宋" w:cs="仿宋"/>
          <w:b/>
          <w:bCs/>
          <w:color w:val="auto"/>
          <w:sz w:val="24"/>
          <w:szCs w:val="24"/>
          <w:highlight w:val="none"/>
        </w:rPr>
        <w:t>、</w:t>
      </w:r>
      <w:r>
        <w:rPr>
          <w:rFonts w:hint="eastAsia" w:ascii="仿宋" w:hAnsi="仿宋" w:eastAsia="仿宋" w:cs="仿宋"/>
          <w:b/>
          <w:bCs/>
          <w:color w:val="auto"/>
          <w:kern w:val="0"/>
          <w:sz w:val="24"/>
          <w:szCs w:val="24"/>
          <w:highlight w:val="none"/>
        </w:rPr>
        <w:t>促进中小企业发展政策</w:t>
      </w:r>
    </w:p>
    <w:p w14:paraId="22E26765">
      <w:pPr>
        <w:pStyle w:val="46"/>
        <w:kinsoku/>
        <w:autoSpaceDE/>
        <w:autoSpaceDN/>
        <w:ind w:firstLine="42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本项目为</w:t>
      </w:r>
      <w:r>
        <w:rPr>
          <w:rFonts w:hint="eastAsia" w:ascii="仿宋" w:hAnsi="仿宋" w:eastAsia="仿宋" w:cs="仿宋"/>
          <w:b w:val="0"/>
          <w:bCs w:val="0"/>
          <w:color w:val="auto"/>
          <w:sz w:val="24"/>
          <w:szCs w:val="24"/>
          <w:highlight w:val="none"/>
          <w:u w:val="single"/>
        </w:rPr>
        <w:t>非专门面向中小企业采购的项目</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color w:val="auto"/>
          <w:sz w:val="24"/>
          <w:szCs w:val="24"/>
          <w:highlight w:val="none"/>
          <w:lang w:eastAsia="zh-CN"/>
        </w:rPr>
        <w:t>本项目中小企业划分标准所属为：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eastAsia="zh-CN"/>
        </w:rPr>
        <w:t xml:space="preserve">工业 </w:t>
      </w:r>
      <w:r>
        <w:rPr>
          <w:rFonts w:hint="eastAsia" w:ascii="仿宋" w:hAnsi="仿宋" w:eastAsia="仿宋" w:cs="仿宋"/>
          <w:color w:val="auto"/>
          <w:sz w:val="24"/>
          <w:szCs w:val="24"/>
          <w:highlight w:val="none"/>
        </w:rPr>
        <w:t>。</w:t>
      </w:r>
      <w:r>
        <w:rPr>
          <w:rFonts w:hint="eastAsia" w:ascii="仿宋" w:hAnsi="仿宋" w:eastAsia="仿宋" w:cs="仿宋"/>
          <w:b w:val="0"/>
          <w:color w:val="auto"/>
          <w:sz w:val="24"/>
          <w:szCs w:val="24"/>
          <w:highlight w:val="none"/>
        </w:rPr>
        <w:t>根据《政府采购促进中小企业发展管理办法》（财库〔2020〕46号）第九条以及《广西壮族自治区财政厅广西壮族自治区工业和信息化厅转发财政部工业和信息化部政府采购促进中小企业发展管理办法的通知》（桂财采〔2021〕70号）规定，价格评审优惠</w:t>
      </w:r>
      <w:r>
        <w:rPr>
          <w:rFonts w:hint="eastAsia" w:ascii="仿宋" w:hAnsi="仿宋" w:eastAsia="仿宋" w:cs="仿宋"/>
          <w:b w:val="0"/>
          <w:color w:val="auto"/>
          <w:sz w:val="24"/>
          <w:szCs w:val="24"/>
          <w:highlight w:val="none"/>
          <w:lang w:eastAsia="zh-CN"/>
        </w:rPr>
        <w:t>(</w:t>
      </w:r>
      <w:r>
        <w:rPr>
          <w:rFonts w:hint="eastAsia" w:ascii="仿宋" w:hAnsi="仿宋" w:eastAsia="仿宋" w:cs="仿宋"/>
          <w:b w:val="0"/>
          <w:color w:val="auto"/>
          <w:sz w:val="24"/>
          <w:szCs w:val="24"/>
          <w:highlight w:val="none"/>
        </w:rPr>
        <w:t>价格扣除比例</w:t>
      </w:r>
      <w:r>
        <w:rPr>
          <w:rFonts w:hint="eastAsia" w:ascii="仿宋" w:hAnsi="仿宋" w:eastAsia="仿宋" w:cs="仿宋"/>
          <w:b w:val="0"/>
          <w:color w:val="auto"/>
          <w:sz w:val="24"/>
          <w:szCs w:val="24"/>
          <w:highlight w:val="none"/>
          <w:lang w:eastAsia="zh-CN"/>
        </w:rPr>
        <w:t>)</w:t>
      </w:r>
      <w:r>
        <w:rPr>
          <w:rFonts w:hint="eastAsia" w:ascii="仿宋" w:hAnsi="仿宋" w:eastAsia="仿宋" w:cs="仿宋"/>
          <w:b w:val="0"/>
          <w:color w:val="auto"/>
          <w:sz w:val="24"/>
          <w:szCs w:val="24"/>
          <w:highlight w:val="none"/>
        </w:rPr>
        <w:t>在第四章评审方法及标准中规定，对小型企业和微型企业同等对待，不作区分。</w:t>
      </w:r>
    </w:p>
    <w:p w14:paraId="30FDE436">
      <w:pPr>
        <w:pStyle w:val="2"/>
        <w:kinsoku/>
        <w:spacing w:before="120" w:beforeLines="50" w:after="120" w:afterLines="50" w:line="400" w:lineRule="exact"/>
        <w:ind w:firstLine="482" w:firstLineChars="200"/>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六</w:t>
      </w:r>
      <w:r>
        <w:rPr>
          <w:rFonts w:hint="eastAsia" w:ascii="仿宋" w:hAnsi="仿宋" w:eastAsia="仿宋" w:cs="仿宋"/>
          <w:b/>
          <w:color w:val="auto"/>
          <w:sz w:val="24"/>
          <w:szCs w:val="24"/>
          <w:highlight w:val="none"/>
        </w:rPr>
        <w:t>、</w:t>
      </w:r>
      <w:r>
        <w:rPr>
          <w:rFonts w:hint="eastAsia" w:ascii="仿宋" w:hAnsi="仿宋" w:eastAsia="仿宋" w:cs="仿宋"/>
          <w:b/>
          <w:bCs/>
          <w:color w:val="auto"/>
          <w:sz w:val="24"/>
          <w:szCs w:val="24"/>
          <w:highlight w:val="none"/>
        </w:rPr>
        <w:t>本国产品的支持政策</w:t>
      </w:r>
      <w:r>
        <w:rPr>
          <w:rFonts w:hint="eastAsia" w:ascii="仿宋" w:hAnsi="仿宋" w:eastAsia="仿宋" w:cs="仿宋"/>
          <w:b/>
          <w:color w:val="auto"/>
          <w:sz w:val="24"/>
          <w:szCs w:val="24"/>
          <w:highlight w:val="none"/>
        </w:rPr>
        <w:t xml:space="preserve"> </w:t>
      </w:r>
    </w:p>
    <w:p w14:paraId="4007FAED">
      <w:pPr>
        <w:pStyle w:val="2"/>
        <w:kinsoku/>
        <w:spacing w:before="120" w:beforeLines="50" w:after="120" w:afterLines="5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w:t>
      </w: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u w:val="single"/>
        </w:rPr>
        <w:t>适用</w:t>
      </w: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u w:val="single"/>
        </w:rPr>
        <w:t>不适用</w:t>
      </w:r>
      <w:r>
        <w:rPr>
          <w:rFonts w:hint="eastAsia" w:ascii="仿宋" w:hAnsi="仿宋" w:eastAsia="仿宋" w:cs="仿宋"/>
          <w:color w:val="auto"/>
          <w:sz w:val="24"/>
          <w:szCs w:val="24"/>
          <w:highlight w:val="none"/>
          <w:lang w:eastAsia="zh-CN"/>
        </w:rPr>
        <w:t xml:space="preserve"> </w:t>
      </w:r>
      <w:r>
        <w:rPr>
          <w:rFonts w:hint="eastAsia" w:ascii="仿宋" w:hAnsi="仿宋" w:eastAsia="仿宋" w:cs="仿宋"/>
          <w:bCs/>
          <w:color w:val="auto"/>
          <w:sz w:val="24"/>
          <w:szCs w:val="24"/>
          <w:highlight w:val="none"/>
        </w:rPr>
        <w:t>本国产品的支持政策</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适用本国产品支持政策的项目</w:t>
      </w:r>
      <w:r>
        <w:rPr>
          <w:rFonts w:hint="eastAsia" w:ascii="仿宋" w:hAnsi="仿宋" w:eastAsia="仿宋" w:cs="仿宋"/>
          <w:color w:val="auto"/>
          <w:sz w:val="24"/>
          <w:szCs w:val="24"/>
          <w:highlight w:val="none"/>
        </w:rPr>
        <w:t>价格评审优惠扣除比例在第四章评审方法及标准中规定</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w:t>
      </w:r>
    </w:p>
    <w:p w14:paraId="17A18A93">
      <w:pPr>
        <w:pStyle w:val="2"/>
        <w:kinsoku/>
        <w:spacing w:before="120" w:beforeLines="50" w:after="120" w:afterLines="50" w:line="400" w:lineRule="exact"/>
        <w:ind w:firstLine="482" w:firstLineChars="200"/>
        <w:rPr>
          <w:rFonts w:hint="eastAsia" w:ascii="仿宋" w:hAnsi="仿宋" w:eastAsia="仿宋" w:cs="仿宋"/>
          <w:bCs/>
          <w:color w:val="auto"/>
          <w:sz w:val="24"/>
          <w:szCs w:val="24"/>
          <w:highlight w:val="none"/>
          <w:lang w:eastAsia="zh-CN"/>
        </w:rPr>
      </w:pPr>
      <w:r>
        <w:rPr>
          <w:rFonts w:hint="eastAsia" w:ascii="仿宋" w:hAnsi="仿宋" w:eastAsia="仿宋" w:cs="仿宋"/>
          <w:b/>
          <w:bCs/>
          <w:color w:val="auto"/>
          <w:sz w:val="24"/>
          <w:szCs w:val="24"/>
          <w:highlight w:val="none"/>
          <w:lang w:eastAsia="zh-CN"/>
        </w:rPr>
        <w:t>七、标项划分：</w:t>
      </w:r>
    </w:p>
    <w:p w14:paraId="042B03A1">
      <w:pPr>
        <w:pStyle w:val="2"/>
        <w:spacing w:line="400" w:lineRule="exact"/>
        <w:ind w:firstLine="480" w:firstLineChars="20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val="en-US" w:eastAsia="zh-CN"/>
        </w:rPr>
        <w:t>分标一：</w:t>
      </w:r>
      <w:r>
        <w:rPr>
          <w:rFonts w:hint="eastAsia" w:ascii="仿宋" w:hAnsi="仿宋" w:eastAsia="仿宋" w:cs="仿宋"/>
          <w:b w:val="0"/>
          <w:bCs/>
          <w:color w:val="auto"/>
          <w:sz w:val="24"/>
          <w:szCs w:val="24"/>
          <w:highlight w:val="none"/>
          <w:lang w:eastAsia="zh-CN"/>
        </w:rPr>
        <w:t>高清腹腔镜系统</w:t>
      </w:r>
    </w:p>
    <w:p w14:paraId="3A2A3C2C">
      <w:pPr>
        <w:pStyle w:val="2"/>
        <w:spacing w:line="400" w:lineRule="exact"/>
        <w:ind w:firstLine="480" w:firstLineChars="200"/>
        <w:rPr>
          <w:rFonts w:hint="eastAsia" w:ascii="仿宋" w:hAnsi="仿宋" w:eastAsia="仿宋" w:cs="仿宋"/>
          <w:b/>
          <w:bCs/>
          <w:color w:val="auto"/>
          <w:sz w:val="24"/>
          <w:szCs w:val="24"/>
          <w:highlight w:val="none"/>
          <w:lang w:eastAsia="zh-CN"/>
        </w:rPr>
      </w:pPr>
      <w:r>
        <w:rPr>
          <w:rFonts w:hint="eastAsia" w:ascii="仿宋" w:hAnsi="仿宋" w:eastAsia="仿宋" w:cs="仿宋"/>
          <w:b w:val="0"/>
          <w:bCs/>
          <w:color w:val="auto"/>
          <w:sz w:val="24"/>
          <w:szCs w:val="24"/>
          <w:highlight w:val="none"/>
          <w:lang w:val="en-US" w:eastAsia="zh-CN"/>
        </w:rPr>
        <w:t>分标二：胃肠机</w:t>
      </w:r>
    </w:p>
    <w:p w14:paraId="44A3E22C">
      <w:pPr>
        <w:pStyle w:val="2"/>
        <w:kinsoku/>
        <w:spacing w:before="120" w:beforeLines="50" w:after="120" w:afterLines="50" w:line="400" w:lineRule="exact"/>
        <w:ind w:firstLine="482" w:firstLineChars="200"/>
        <w:rPr>
          <w:rFonts w:hint="eastAsia" w:ascii="仿宋" w:hAnsi="仿宋" w:eastAsia="仿宋" w:cs="仿宋"/>
          <w:bCs/>
          <w:color w:val="auto"/>
          <w:sz w:val="24"/>
          <w:szCs w:val="24"/>
          <w:highlight w:val="none"/>
          <w:lang w:eastAsia="zh-CN"/>
        </w:rPr>
      </w:pPr>
      <w:r>
        <w:rPr>
          <w:rFonts w:hint="eastAsia" w:ascii="仿宋" w:hAnsi="仿宋" w:eastAsia="仿宋" w:cs="仿宋"/>
          <w:b/>
          <w:bCs/>
          <w:color w:val="auto"/>
          <w:sz w:val="24"/>
          <w:szCs w:val="24"/>
          <w:highlight w:val="none"/>
          <w:lang w:eastAsia="zh-CN"/>
        </w:rPr>
        <w:t>八、本项目核心产品</w:t>
      </w:r>
    </w:p>
    <w:p w14:paraId="4E182B5B">
      <w:pPr>
        <w:pStyle w:val="2"/>
        <w:spacing w:line="400" w:lineRule="exact"/>
        <w:ind w:firstLine="480" w:firstLineChars="20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val="en-US" w:eastAsia="zh-CN"/>
        </w:rPr>
        <w:t>分标一：</w:t>
      </w:r>
      <w:r>
        <w:rPr>
          <w:rFonts w:hint="eastAsia" w:ascii="仿宋" w:hAnsi="仿宋" w:eastAsia="仿宋" w:cs="仿宋"/>
          <w:b w:val="0"/>
          <w:bCs/>
          <w:color w:val="auto"/>
          <w:sz w:val="24"/>
          <w:szCs w:val="24"/>
          <w:highlight w:val="none"/>
          <w:lang w:eastAsia="zh-CN"/>
        </w:rPr>
        <w:t>序号1“高清腹腔镜系统”</w:t>
      </w:r>
    </w:p>
    <w:p w14:paraId="32DF88CF">
      <w:pPr>
        <w:pStyle w:val="2"/>
        <w:spacing w:line="400" w:lineRule="exact"/>
        <w:ind w:firstLine="480" w:firstLineChars="200"/>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分标二：序号1“胃肠机”</w:t>
      </w:r>
    </w:p>
    <w:p w14:paraId="5E9F361B">
      <w:pPr>
        <w:pStyle w:val="7"/>
        <w:keepNext w:val="0"/>
        <w:keepLines w:val="0"/>
        <w:spacing w:before="0" w:after="0"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b w:val="0"/>
          <w:color w:val="auto"/>
          <w:sz w:val="24"/>
          <w:szCs w:val="24"/>
          <w:highlight w:val="none"/>
          <w:lang w:eastAsia="zh-CN"/>
        </w:rPr>
        <w:t>注：根据《政府采购货物和服务招标投标管理办法》财政部令第87号第三十一条第二款规定，</w:t>
      </w:r>
      <w:r>
        <w:rPr>
          <w:rFonts w:hint="eastAsia" w:ascii="仿宋" w:hAnsi="仿宋" w:eastAsia="仿宋" w:cs="仿宋"/>
          <w:b w:val="0"/>
          <w:color w:val="auto"/>
          <w:sz w:val="24"/>
          <w:szCs w:val="24"/>
          <w:highlight w:val="none"/>
        </w:rPr>
        <w:t>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其他同品牌投标人不作为中标候选人。</w:t>
      </w:r>
    </w:p>
    <w:p w14:paraId="38897DAB">
      <w:pPr>
        <w:pStyle w:val="2"/>
        <w:spacing w:before="120" w:beforeLines="50" w:after="120" w:afterLines="50" w:line="400" w:lineRule="exact"/>
        <w:ind w:firstLine="482" w:firstLineChars="200"/>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九、产品的注册与备案</w:t>
      </w:r>
    </w:p>
    <w:p w14:paraId="7D22BDA6">
      <w:pPr>
        <w:keepNext w:val="0"/>
        <w:keepLines w:val="0"/>
        <w:pageBreakBefore w:val="0"/>
        <w:widowControl/>
        <w:tabs>
          <w:tab w:val="left" w:pos="1305"/>
        </w:tabs>
        <w:kinsoku w:val="0"/>
        <w:wordWrap/>
        <w:overflowPunct/>
        <w:topLinePunct w:val="0"/>
        <w:autoSpaceDE w:val="0"/>
        <w:autoSpaceDN w:val="0"/>
        <w:bidi w:val="0"/>
        <w:adjustRightInd/>
        <w:snapToGrid/>
        <w:spacing w:line="400" w:lineRule="exact"/>
        <w:ind w:firstLine="480"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w:t>
      </w:r>
      <w:r>
        <w:rPr>
          <w:rFonts w:hint="eastAsia" w:ascii="仿宋" w:hAnsi="仿宋" w:eastAsia="仿宋" w:cs="仿宋"/>
          <w:b/>
          <w:bCs/>
          <w:color w:val="auto"/>
          <w:sz w:val="24"/>
          <w:szCs w:val="24"/>
          <w:highlight w:val="none"/>
        </w:rPr>
        <w:t>如投标产品中属</w:t>
      </w:r>
      <w:r>
        <w:rPr>
          <w:rFonts w:hint="eastAsia" w:ascii="仿宋" w:hAnsi="仿宋" w:eastAsia="仿宋" w:cs="仿宋"/>
          <w:b/>
          <w:bCs/>
          <w:color w:val="auto"/>
          <w:sz w:val="24"/>
          <w:szCs w:val="24"/>
          <w:highlight w:val="none"/>
          <w:lang w:eastAsia="zh-CN"/>
        </w:rPr>
        <w:t>于</w:t>
      </w:r>
      <w:r>
        <w:rPr>
          <w:rFonts w:hint="eastAsia" w:ascii="仿宋" w:hAnsi="仿宋" w:eastAsia="仿宋" w:cs="仿宋"/>
          <w:b/>
          <w:bCs/>
          <w:color w:val="auto"/>
          <w:sz w:val="24"/>
          <w:szCs w:val="24"/>
          <w:highlight w:val="none"/>
        </w:rPr>
        <w:t>医疗器械产品的，</w:t>
      </w:r>
      <w:r>
        <w:rPr>
          <w:rFonts w:hint="eastAsia" w:ascii="仿宋" w:hAnsi="仿宋" w:eastAsia="仿宋" w:cs="仿宋"/>
          <w:b/>
          <w:color w:val="auto"/>
          <w:sz w:val="24"/>
          <w:szCs w:val="24"/>
          <w:highlight w:val="none"/>
          <w:lang w:eastAsia="zh-CN"/>
        </w:rPr>
        <w:t>投标人须按以下要求</w:t>
      </w:r>
      <w:r>
        <w:rPr>
          <w:rFonts w:hint="eastAsia" w:ascii="仿宋" w:hAnsi="仿宋" w:eastAsia="仿宋" w:cs="仿宋"/>
          <w:b/>
          <w:color w:val="auto"/>
          <w:sz w:val="24"/>
          <w:szCs w:val="24"/>
          <w:highlight w:val="none"/>
        </w:rPr>
        <w:t>提供所投产品的医疗器械注册或备案有关证明材料复印件（或扫描件）</w:t>
      </w:r>
      <w:r>
        <w:rPr>
          <w:rFonts w:hint="eastAsia" w:ascii="仿宋" w:hAnsi="仿宋" w:eastAsia="仿宋" w:cs="仿宋"/>
          <w:b/>
          <w:color w:val="auto"/>
          <w:sz w:val="24"/>
          <w:szCs w:val="24"/>
          <w:highlight w:val="none"/>
          <w:lang w:eastAsia="zh-CN"/>
        </w:rPr>
        <w:t>，否则投标无效</w:t>
      </w:r>
      <w:r>
        <w:rPr>
          <w:rFonts w:hint="eastAsia" w:ascii="仿宋" w:hAnsi="仿宋" w:eastAsia="仿宋" w:cs="仿宋"/>
          <w:b/>
          <w:color w:val="auto"/>
          <w:sz w:val="24"/>
          <w:szCs w:val="24"/>
          <w:highlight w:val="none"/>
        </w:rPr>
        <w:t>：</w:t>
      </w:r>
    </w:p>
    <w:p w14:paraId="34DDA8AD">
      <w:pPr>
        <w:pStyle w:val="2"/>
        <w:keepNext w:val="0"/>
        <w:keepLines w:val="0"/>
        <w:pageBreakBefore w:val="0"/>
        <w:widowControl w:val="0"/>
        <w:kinsoku/>
        <w:wordWrap w:val="0"/>
        <w:overflowPunct/>
        <w:topLinePunct w:val="0"/>
        <w:autoSpaceDE w:val="0"/>
        <w:autoSpaceDN w:val="0"/>
        <w:bidi w:val="0"/>
        <w:adjustRightInd/>
        <w:snapToGrid/>
        <w:spacing w:line="400" w:lineRule="exact"/>
        <w:ind w:firstLine="480" w:firstLineChars="200"/>
        <w:textAlignment w:val="baseline"/>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lang w:eastAsia="zh-CN"/>
        </w:rPr>
        <w:t>1.</w:t>
      </w:r>
      <w:r>
        <w:rPr>
          <w:rFonts w:hint="eastAsia" w:ascii="仿宋" w:hAnsi="仿宋" w:eastAsia="仿宋" w:cs="仿宋"/>
          <w:bCs/>
          <w:color w:val="auto"/>
          <w:sz w:val="24"/>
          <w:szCs w:val="24"/>
          <w:highlight w:val="none"/>
        </w:rPr>
        <w:t>投标产品中属第一类医疗器械产品的，投标文件中须按《医疗器械注册与备案管理办法》（国家市场监督管理总局令第47号）提供该</w:t>
      </w:r>
      <w:r>
        <w:rPr>
          <w:rFonts w:hint="eastAsia" w:ascii="仿宋" w:hAnsi="仿宋" w:eastAsia="仿宋" w:cs="仿宋"/>
          <w:bCs/>
          <w:color w:val="auto"/>
          <w:sz w:val="24"/>
          <w:szCs w:val="24"/>
          <w:highlight w:val="none"/>
          <w:lang w:eastAsia="zh-CN"/>
        </w:rPr>
        <w:t>货物</w:t>
      </w:r>
      <w:r>
        <w:rPr>
          <w:rFonts w:hint="eastAsia" w:ascii="仿宋" w:hAnsi="仿宋" w:eastAsia="仿宋" w:cs="仿宋"/>
          <w:bCs/>
          <w:color w:val="auto"/>
          <w:sz w:val="24"/>
          <w:szCs w:val="24"/>
          <w:highlight w:val="none"/>
        </w:rPr>
        <w:t>有效的备案资料证明材料复印件（或扫描件）；</w:t>
      </w:r>
    </w:p>
    <w:p w14:paraId="35005E54">
      <w:pPr>
        <w:pStyle w:val="2"/>
        <w:keepNext w:val="0"/>
        <w:keepLines w:val="0"/>
        <w:pageBreakBefore w:val="0"/>
        <w:widowControl w:val="0"/>
        <w:kinsoku/>
        <w:wordWrap w:val="0"/>
        <w:overflowPunct/>
        <w:topLinePunct w:val="0"/>
        <w:autoSpaceDE w:val="0"/>
        <w:autoSpaceDN w:val="0"/>
        <w:bidi w:val="0"/>
        <w:adjustRightInd/>
        <w:snapToGrid/>
        <w:spacing w:line="400" w:lineRule="exact"/>
        <w:ind w:firstLine="480" w:firstLineChars="200"/>
        <w:textAlignment w:val="baseline"/>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2.</w:t>
      </w:r>
      <w:r>
        <w:rPr>
          <w:rFonts w:hint="eastAsia" w:ascii="仿宋" w:hAnsi="仿宋" w:eastAsia="仿宋" w:cs="仿宋"/>
          <w:bCs/>
          <w:color w:val="auto"/>
          <w:sz w:val="24"/>
          <w:szCs w:val="24"/>
          <w:highlight w:val="none"/>
        </w:rPr>
        <w:t>投标产品中属第二、三类医疗器械产品的，投标文件中须按《医疗器械注册与备案管理办法》（国家市场监督管理总局令第47号）提供该</w:t>
      </w:r>
      <w:r>
        <w:rPr>
          <w:rFonts w:hint="eastAsia" w:ascii="仿宋" w:hAnsi="仿宋" w:eastAsia="仿宋" w:cs="仿宋"/>
          <w:bCs/>
          <w:color w:val="auto"/>
          <w:sz w:val="24"/>
          <w:szCs w:val="24"/>
          <w:highlight w:val="none"/>
          <w:lang w:eastAsia="zh-CN"/>
        </w:rPr>
        <w:t>货物</w:t>
      </w:r>
      <w:r>
        <w:rPr>
          <w:rFonts w:hint="eastAsia" w:ascii="仿宋" w:hAnsi="仿宋" w:eastAsia="仿宋" w:cs="仿宋"/>
          <w:bCs/>
          <w:color w:val="auto"/>
          <w:sz w:val="24"/>
          <w:szCs w:val="24"/>
          <w:highlight w:val="none"/>
        </w:rPr>
        <w:t>有效的医疗器械注册证复印件（或扫描件）。</w:t>
      </w:r>
    </w:p>
    <w:p w14:paraId="59840159">
      <w:pPr>
        <w:pStyle w:val="2"/>
        <w:keepNext w:val="0"/>
        <w:keepLines w:val="0"/>
        <w:pageBreakBefore w:val="0"/>
        <w:widowControl w:val="0"/>
        <w:kinsoku/>
        <w:wordWrap w:val="0"/>
        <w:overflowPunct/>
        <w:topLinePunct w:val="0"/>
        <w:autoSpaceDE w:val="0"/>
        <w:autoSpaceDN w:val="0"/>
        <w:bidi w:val="0"/>
        <w:spacing w:line="400" w:lineRule="exact"/>
        <w:ind w:firstLine="480" w:firstLineChars="200"/>
        <w:textAlignment w:val="baseline"/>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eastAsia="zh-CN"/>
        </w:rPr>
        <w:t>注：</w:t>
      </w:r>
      <w:r>
        <w:rPr>
          <w:rFonts w:hint="eastAsia" w:ascii="仿宋" w:hAnsi="仿宋" w:eastAsia="仿宋" w:cs="仿宋"/>
          <w:bCs/>
          <w:color w:val="auto"/>
          <w:sz w:val="24"/>
          <w:szCs w:val="24"/>
          <w:highlight w:val="none"/>
        </w:rPr>
        <w:t>标的名称与医疗器械注册与备案凭证名称不符的，以所投产品医疗器械注册与备案凭证名称为准。</w:t>
      </w:r>
    </w:p>
    <w:p w14:paraId="0FBBDE44">
      <w:pPr>
        <w:pStyle w:val="4"/>
        <w:bidi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分标一：</w:t>
      </w:r>
      <w:bookmarkEnd w:id="55"/>
      <w:r>
        <w:rPr>
          <w:rFonts w:hint="eastAsia" w:ascii="仿宋" w:hAnsi="仿宋" w:eastAsia="仿宋" w:cs="仿宋"/>
          <w:color w:val="auto"/>
          <w:sz w:val="24"/>
          <w:szCs w:val="24"/>
          <w:highlight w:val="none"/>
          <w:lang w:eastAsia="zh-CN"/>
        </w:rPr>
        <w:t>高清腹腔镜系统</w:t>
      </w:r>
    </w:p>
    <w:tbl>
      <w:tblPr>
        <w:tblStyle w:val="50"/>
        <w:tblW w:w="10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1123"/>
        <w:gridCol w:w="993"/>
        <w:gridCol w:w="5928"/>
        <w:gridCol w:w="1491"/>
      </w:tblGrid>
      <w:tr w14:paraId="65C2E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0218" w:type="dxa"/>
            <w:gridSpan w:val="5"/>
            <w:tcBorders>
              <w:top w:val="single" w:color="auto" w:sz="4" w:space="0"/>
              <w:left w:val="single" w:color="auto" w:sz="4" w:space="0"/>
              <w:bottom w:val="single" w:color="auto" w:sz="4" w:space="0"/>
              <w:right w:val="single" w:color="auto" w:sz="4" w:space="0"/>
            </w:tcBorders>
            <w:noWrap w:val="0"/>
            <w:vAlign w:val="center"/>
          </w:tcPr>
          <w:p w14:paraId="3E965625">
            <w:pPr>
              <w:keepNext w:val="0"/>
              <w:keepLines w:val="0"/>
              <w:pageBreakBefore w:val="0"/>
              <w:overflowPunct/>
              <w:topLinePunct w:val="0"/>
              <w:bidi w:val="0"/>
              <w:spacing w:line="400" w:lineRule="exact"/>
              <w:jc w:val="center"/>
              <w:rPr>
                <w:rStyle w:val="53"/>
                <w:rFonts w:hint="eastAsia" w:ascii="仿宋" w:hAnsi="仿宋" w:eastAsia="仿宋" w:cs="仿宋"/>
                <w:b w:val="0"/>
                <w:bCs w:val="0"/>
                <w:i w:val="0"/>
                <w:caps w:val="0"/>
                <w:color w:val="auto"/>
                <w:spacing w:val="0"/>
                <w:sz w:val="24"/>
                <w:szCs w:val="24"/>
                <w:highlight w:val="none"/>
                <w:lang w:val="en-US" w:eastAsia="zh-CN"/>
              </w:rPr>
            </w:pPr>
            <w:bookmarkStart w:id="56" w:name="_Toc9857"/>
            <w:bookmarkStart w:id="57" w:name="_Toc181632181"/>
            <w:bookmarkStart w:id="58" w:name="_Toc17189"/>
            <w:bookmarkStart w:id="59" w:name="_Toc12065"/>
            <w:bookmarkStart w:id="60" w:name="_Toc10285"/>
            <w:bookmarkStart w:id="61" w:name="_Toc8886"/>
            <w:bookmarkStart w:id="62" w:name="_Toc20487"/>
            <w:bookmarkStart w:id="63" w:name="_Toc1663"/>
            <w:bookmarkStart w:id="64" w:name="_Toc11441"/>
            <w:r>
              <w:rPr>
                <w:rStyle w:val="53"/>
                <w:rFonts w:hint="eastAsia" w:ascii="仿宋" w:hAnsi="仿宋" w:eastAsia="仿宋" w:cs="仿宋"/>
                <w:b/>
                <w:bCs/>
                <w:i w:val="0"/>
                <w:caps w:val="0"/>
                <w:color w:val="auto"/>
                <w:spacing w:val="0"/>
                <w:sz w:val="24"/>
                <w:szCs w:val="24"/>
                <w:highlight w:val="none"/>
                <w:lang w:eastAsia="zh-CN"/>
              </w:rPr>
              <w:t>（</w:t>
            </w:r>
            <w:r>
              <w:rPr>
                <w:rStyle w:val="53"/>
                <w:rFonts w:hint="eastAsia" w:ascii="仿宋" w:hAnsi="仿宋" w:eastAsia="仿宋" w:cs="仿宋"/>
                <w:b/>
                <w:bCs/>
                <w:i w:val="0"/>
                <w:caps w:val="0"/>
                <w:color w:val="auto"/>
                <w:spacing w:val="0"/>
                <w:sz w:val="24"/>
                <w:szCs w:val="24"/>
                <w:highlight w:val="none"/>
                <w:lang w:val="en-US" w:eastAsia="zh-CN"/>
              </w:rPr>
              <w:t xml:space="preserve">一）技术参数 </w:t>
            </w:r>
          </w:p>
        </w:tc>
      </w:tr>
      <w:tr w14:paraId="59248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3" w:type="dxa"/>
            <w:tcBorders>
              <w:top w:val="single" w:color="auto" w:sz="4" w:space="0"/>
              <w:left w:val="single" w:color="auto" w:sz="4" w:space="0"/>
              <w:bottom w:val="single" w:color="auto" w:sz="4" w:space="0"/>
              <w:right w:val="single" w:color="auto" w:sz="4" w:space="0"/>
            </w:tcBorders>
            <w:noWrap w:val="0"/>
            <w:vAlign w:val="center"/>
          </w:tcPr>
          <w:p w14:paraId="494A8712">
            <w:pPr>
              <w:keepNext w:val="0"/>
              <w:keepLines w:val="0"/>
              <w:pageBreakBefore w:val="0"/>
              <w:overflowPunct/>
              <w:topLinePunct w:val="0"/>
              <w:bidi w:val="0"/>
              <w:spacing w:line="400" w:lineRule="exact"/>
              <w:jc w:val="center"/>
              <w:rPr>
                <w:rStyle w:val="53"/>
                <w:rFonts w:hint="eastAsia" w:ascii="仿宋" w:hAnsi="仿宋" w:eastAsia="仿宋" w:cs="仿宋"/>
                <w:b/>
                <w:bCs/>
                <w:i w:val="0"/>
                <w:caps w:val="0"/>
                <w:color w:val="auto"/>
                <w:spacing w:val="0"/>
                <w:sz w:val="24"/>
                <w:szCs w:val="24"/>
                <w:highlight w:val="none"/>
              </w:rPr>
            </w:pPr>
            <w:r>
              <w:rPr>
                <w:rStyle w:val="53"/>
                <w:rFonts w:hint="eastAsia" w:ascii="仿宋" w:hAnsi="仿宋" w:eastAsia="仿宋" w:cs="仿宋"/>
                <w:b/>
                <w:bCs/>
                <w:i w:val="0"/>
                <w:caps w:val="0"/>
                <w:color w:val="auto"/>
                <w:spacing w:val="0"/>
                <w:sz w:val="24"/>
                <w:szCs w:val="24"/>
                <w:highlight w:val="none"/>
              </w:rPr>
              <w:t>序号</w:t>
            </w:r>
          </w:p>
        </w:tc>
        <w:tc>
          <w:tcPr>
            <w:tcW w:w="1123" w:type="dxa"/>
            <w:tcBorders>
              <w:top w:val="single" w:color="auto" w:sz="4" w:space="0"/>
              <w:left w:val="single" w:color="auto" w:sz="4" w:space="0"/>
              <w:bottom w:val="single" w:color="auto" w:sz="4" w:space="0"/>
              <w:right w:val="single" w:color="auto" w:sz="4" w:space="0"/>
            </w:tcBorders>
            <w:noWrap w:val="0"/>
            <w:vAlign w:val="center"/>
          </w:tcPr>
          <w:p w14:paraId="5CC63825">
            <w:pPr>
              <w:keepNext w:val="0"/>
              <w:keepLines w:val="0"/>
              <w:pageBreakBefore w:val="0"/>
              <w:overflowPunct/>
              <w:topLinePunct w:val="0"/>
              <w:bidi w:val="0"/>
              <w:spacing w:line="400" w:lineRule="exact"/>
              <w:jc w:val="center"/>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货物名称</w:t>
            </w:r>
          </w:p>
        </w:tc>
        <w:tc>
          <w:tcPr>
            <w:tcW w:w="993" w:type="dxa"/>
            <w:tcBorders>
              <w:top w:val="single" w:color="auto" w:sz="4" w:space="0"/>
              <w:left w:val="single" w:color="auto" w:sz="4" w:space="0"/>
              <w:bottom w:val="single" w:color="auto" w:sz="4" w:space="0"/>
              <w:right w:val="single" w:color="auto" w:sz="4" w:space="0"/>
            </w:tcBorders>
            <w:noWrap w:val="0"/>
            <w:vAlign w:val="center"/>
          </w:tcPr>
          <w:p w14:paraId="484A8715">
            <w:pPr>
              <w:keepNext w:val="0"/>
              <w:keepLines w:val="0"/>
              <w:pageBreakBefore w:val="0"/>
              <w:overflowPunct/>
              <w:topLinePunct w:val="0"/>
              <w:bidi w:val="0"/>
              <w:spacing w:line="400" w:lineRule="exact"/>
              <w:jc w:val="center"/>
              <w:rPr>
                <w:rFonts w:hint="eastAsia" w:ascii="仿宋" w:hAnsi="仿宋" w:eastAsia="仿宋" w:cs="仿宋"/>
                <w:b/>
                <w:bCs/>
                <w:i w:val="0"/>
                <w:iCs w:val="0"/>
                <w:caps w:val="0"/>
                <w:color w:val="auto"/>
                <w:spacing w:val="0"/>
                <w:sz w:val="24"/>
                <w:szCs w:val="24"/>
                <w:highlight w:val="none"/>
                <w:shd w:val="clear" w:color="auto" w:fill="FFFFFF"/>
              </w:rPr>
            </w:pPr>
            <w:r>
              <w:rPr>
                <w:rFonts w:hint="eastAsia" w:ascii="仿宋" w:hAnsi="仿宋" w:eastAsia="仿宋" w:cs="仿宋"/>
                <w:b/>
                <w:bCs/>
                <w:i w:val="0"/>
                <w:iCs w:val="0"/>
                <w:caps w:val="0"/>
                <w:color w:val="auto"/>
                <w:spacing w:val="0"/>
                <w:sz w:val="24"/>
                <w:szCs w:val="24"/>
                <w:highlight w:val="none"/>
                <w:shd w:val="clear" w:color="auto" w:fill="FFFFFF"/>
              </w:rPr>
              <w:t>数量及单位</w:t>
            </w:r>
          </w:p>
        </w:tc>
        <w:tc>
          <w:tcPr>
            <w:tcW w:w="5928" w:type="dxa"/>
            <w:tcBorders>
              <w:top w:val="single" w:color="auto" w:sz="4" w:space="0"/>
              <w:left w:val="single" w:color="auto" w:sz="4" w:space="0"/>
              <w:bottom w:val="single" w:color="auto" w:sz="4" w:space="0"/>
              <w:right w:val="single" w:color="auto" w:sz="4" w:space="0"/>
            </w:tcBorders>
            <w:noWrap w:val="0"/>
            <w:vAlign w:val="center"/>
          </w:tcPr>
          <w:p w14:paraId="18310C8F">
            <w:pPr>
              <w:keepNext w:val="0"/>
              <w:keepLines w:val="0"/>
              <w:pageBreakBefore w:val="0"/>
              <w:overflowPunct/>
              <w:topLinePunct w:val="0"/>
              <w:bidi w:val="0"/>
              <w:spacing w:line="400" w:lineRule="exact"/>
              <w:jc w:val="center"/>
              <w:rPr>
                <w:rStyle w:val="53"/>
                <w:rFonts w:hint="eastAsia" w:ascii="仿宋" w:hAnsi="仿宋" w:eastAsia="仿宋" w:cs="仿宋"/>
                <w:b/>
                <w:bCs/>
                <w:i w:val="0"/>
                <w:caps w:val="0"/>
                <w:color w:val="auto"/>
                <w:spacing w:val="0"/>
                <w:sz w:val="24"/>
                <w:szCs w:val="24"/>
                <w:highlight w:val="none"/>
              </w:rPr>
            </w:pPr>
            <w:r>
              <w:rPr>
                <w:rStyle w:val="53"/>
                <w:rFonts w:hint="eastAsia" w:ascii="仿宋" w:hAnsi="仿宋" w:eastAsia="仿宋" w:cs="仿宋"/>
                <w:b/>
                <w:bCs/>
                <w:i w:val="0"/>
                <w:caps w:val="0"/>
                <w:color w:val="auto"/>
                <w:spacing w:val="0"/>
                <w:sz w:val="24"/>
                <w:szCs w:val="24"/>
                <w:highlight w:val="none"/>
              </w:rPr>
              <w:t>技术参数、性能（配置）及其他要求</w:t>
            </w:r>
          </w:p>
        </w:tc>
        <w:tc>
          <w:tcPr>
            <w:tcW w:w="1491" w:type="dxa"/>
            <w:tcBorders>
              <w:top w:val="single" w:color="auto" w:sz="4" w:space="0"/>
              <w:left w:val="single" w:color="auto" w:sz="4" w:space="0"/>
              <w:bottom w:val="single" w:color="auto" w:sz="4" w:space="0"/>
              <w:right w:val="single" w:color="auto" w:sz="4" w:space="0"/>
            </w:tcBorders>
            <w:noWrap w:val="0"/>
            <w:vAlign w:val="center"/>
          </w:tcPr>
          <w:p w14:paraId="29FBF38D">
            <w:pPr>
              <w:keepNext w:val="0"/>
              <w:keepLines w:val="0"/>
              <w:pageBreakBefore w:val="0"/>
              <w:overflowPunct/>
              <w:topLinePunct w:val="0"/>
              <w:bidi w:val="0"/>
              <w:spacing w:line="400" w:lineRule="exact"/>
              <w:jc w:val="cente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各分项</w:t>
            </w:r>
            <w:r>
              <w:rPr>
                <w:rFonts w:hint="eastAsia" w:ascii="仿宋" w:hAnsi="仿宋" w:eastAsia="仿宋" w:cs="仿宋"/>
                <w:b/>
                <w:bCs/>
                <w:color w:val="auto"/>
                <w:sz w:val="24"/>
                <w:szCs w:val="24"/>
                <w:highlight w:val="none"/>
              </w:rPr>
              <w:t>最高限价</w:t>
            </w:r>
            <w:r>
              <w:rPr>
                <w:rFonts w:hint="eastAsia" w:ascii="仿宋" w:hAnsi="仿宋" w:eastAsia="仿宋" w:cs="仿宋"/>
                <w:b/>
                <w:bCs/>
                <w:color w:val="auto"/>
                <w:sz w:val="24"/>
                <w:szCs w:val="24"/>
                <w:highlight w:val="none"/>
                <w:lang w:val="en-US" w:eastAsia="zh-CN"/>
              </w:rPr>
              <w:t>合计</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元）</w:t>
            </w:r>
          </w:p>
        </w:tc>
      </w:tr>
      <w:tr w14:paraId="00364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683" w:type="dxa"/>
            <w:tcBorders>
              <w:top w:val="single" w:color="auto" w:sz="4" w:space="0"/>
              <w:left w:val="single" w:color="auto" w:sz="4" w:space="0"/>
              <w:right w:val="single" w:color="auto" w:sz="4" w:space="0"/>
            </w:tcBorders>
            <w:noWrap w:val="0"/>
            <w:vAlign w:val="center"/>
          </w:tcPr>
          <w:p w14:paraId="41BC7148">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w:t>
            </w:r>
          </w:p>
        </w:tc>
        <w:tc>
          <w:tcPr>
            <w:tcW w:w="1123" w:type="dxa"/>
            <w:tcBorders>
              <w:top w:val="single" w:color="auto" w:sz="4" w:space="0"/>
              <w:left w:val="single" w:color="auto" w:sz="4" w:space="0"/>
              <w:right w:val="single" w:color="auto" w:sz="4" w:space="0"/>
            </w:tcBorders>
            <w:noWrap w:val="0"/>
            <w:vAlign w:val="center"/>
          </w:tcPr>
          <w:p w14:paraId="1F3A9827">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b w:val="0"/>
                <w:bCs w:val="0"/>
                <w:color w:val="auto"/>
                <w:kern w:val="0"/>
                <w:sz w:val="24"/>
                <w:szCs w:val="24"/>
                <w:highlight w:val="none"/>
                <w:lang w:eastAsia="zh-CN" w:bidi="ar"/>
              </w:rPr>
              <w:t>高清腹腔镜系统</w:t>
            </w:r>
          </w:p>
        </w:tc>
        <w:tc>
          <w:tcPr>
            <w:tcW w:w="993" w:type="dxa"/>
            <w:tcBorders>
              <w:top w:val="single" w:color="auto" w:sz="4" w:space="0"/>
              <w:left w:val="single" w:color="auto" w:sz="4" w:space="0"/>
              <w:right w:val="single" w:color="auto" w:sz="4" w:space="0"/>
            </w:tcBorders>
            <w:noWrap w:val="0"/>
            <w:vAlign w:val="center"/>
          </w:tcPr>
          <w:p w14:paraId="3A2DF159">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1套</w:t>
            </w:r>
          </w:p>
        </w:tc>
        <w:tc>
          <w:tcPr>
            <w:tcW w:w="5928" w:type="dxa"/>
            <w:tcBorders>
              <w:top w:val="single" w:color="auto" w:sz="4" w:space="0"/>
              <w:left w:val="single" w:color="auto" w:sz="4" w:space="0"/>
              <w:bottom w:val="single" w:color="auto" w:sz="4" w:space="0"/>
              <w:right w:val="single" w:color="auto" w:sz="4" w:space="0"/>
            </w:tcBorders>
            <w:noWrap w:val="0"/>
            <w:vAlign w:val="center"/>
          </w:tcPr>
          <w:p w14:paraId="40AB4B72">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sz w:val="24"/>
                <w:szCs w:val="24"/>
                <w:highlight w:val="none"/>
                <w:u w:val="none"/>
                <w:vertAlign w:val="baseline"/>
                <w:lang w:val="en-US" w:eastAsia="zh-CN"/>
              </w:rPr>
            </w:pPr>
            <w:r>
              <w:rPr>
                <w:rFonts w:hint="eastAsia" w:ascii="仿宋" w:hAnsi="仿宋" w:eastAsia="仿宋" w:cs="仿宋"/>
                <w:b/>
                <w:bCs/>
                <w:color w:val="auto"/>
                <w:sz w:val="24"/>
                <w:szCs w:val="24"/>
                <w:highlight w:val="none"/>
                <w:u w:val="none"/>
                <w:vertAlign w:val="baseline"/>
                <w:lang w:val="en-US" w:eastAsia="zh-CN"/>
              </w:rPr>
              <w:t>一、摄像主机</w:t>
            </w:r>
          </w:p>
          <w:p w14:paraId="3FC2FF9F">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1. 4K超高清，支持 3840×2160、4096×2160 输出，适配 ICG 荧光成像；</w:t>
            </w:r>
          </w:p>
          <w:p w14:paraId="3E41A440">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2.预期用途：与医用内窥镜、荧光造影剂吲哚菁绿（ICG）配合使用，适用于在微创内窥镜手术中提供实时的可见光影像及近红外荧光影像；</w:t>
            </w:r>
          </w:p>
          <w:p w14:paraId="138DAEA8">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rPr>
              <w:t>●</w:t>
            </w:r>
            <w:r>
              <w:rPr>
                <w:rFonts w:hint="eastAsia" w:ascii="仿宋" w:hAnsi="仿宋" w:eastAsia="仿宋" w:cs="仿宋"/>
                <w:color w:val="auto"/>
                <w:sz w:val="24"/>
                <w:szCs w:val="24"/>
                <w:highlight w:val="none"/>
              </w:rPr>
              <w:t>3.防电击程度分类为：</w:t>
            </w:r>
            <w:r>
              <w:rPr>
                <w:rFonts w:hint="eastAsia" w:ascii="仿宋" w:hAnsi="仿宋" w:eastAsia="仿宋" w:cs="仿宋"/>
                <w:color w:val="auto"/>
                <w:sz w:val="24"/>
                <w:szCs w:val="24"/>
                <w:highlight w:val="none"/>
                <w:lang w:val="en-US" w:eastAsia="zh-CN"/>
              </w:rPr>
              <w:t>I</w:t>
            </w:r>
            <w:r>
              <w:rPr>
                <w:rFonts w:hint="eastAsia" w:ascii="仿宋" w:hAnsi="仿宋" w:eastAsia="仿宋" w:cs="仿宋"/>
                <w:color w:val="auto"/>
                <w:sz w:val="24"/>
                <w:szCs w:val="24"/>
                <w:highlight w:val="none"/>
              </w:rPr>
              <w:t>类防除颤CF型</w:t>
            </w:r>
            <w:r>
              <w:rPr>
                <w:rFonts w:hint="eastAsia" w:ascii="仿宋" w:hAnsi="仿宋" w:eastAsia="仿宋" w:cs="仿宋"/>
                <w:color w:val="auto"/>
                <w:sz w:val="24"/>
                <w:szCs w:val="24"/>
                <w:highlight w:val="none"/>
                <w:lang w:eastAsia="zh-CN"/>
              </w:rPr>
              <w:t>。</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投标时提供有效证明文件，包括但不限于官方可查询彩页或技术说明书或技术白皮书或具有资质的第三方检测报告等</w:t>
            </w:r>
            <w:r>
              <w:rPr>
                <w:rFonts w:hint="eastAsia" w:ascii="仿宋" w:hAnsi="仿宋" w:eastAsia="仿宋" w:cs="仿宋"/>
                <w:b/>
                <w:bCs/>
                <w:color w:val="auto"/>
                <w:sz w:val="24"/>
                <w:szCs w:val="24"/>
                <w:highlight w:val="none"/>
                <w:lang w:eastAsia="zh-CN"/>
              </w:rPr>
              <w:t>）</w:t>
            </w:r>
          </w:p>
          <w:p w14:paraId="411528C3">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4.图像模式≥10 种，荧光支持绿/ 蓝双色；</w:t>
            </w:r>
          </w:p>
          <w:p w14:paraId="74E37A8D">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5.支持实时AI增强、细节增强、HDR、智能去雾、动态降噪；</w:t>
            </w:r>
          </w:p>
          <w:p w14:paraId="76716702">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6.触控屏≥7.8 英寸，荧光亮度调节≥28 档；</w:t>
            </w:r>
          </w:p>
          <w:p w14:paraId="57A16789">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rPr>
              <w:t>●</w:t>
            </w:r>
            <w:r>
              <w:rPr>
                <w:rFonts w:hint="eastAsia" w:ascii="仿宋" w:hAnsi="仿宋" w:eastAsia="仿宋" w:cs="仿宋"/>
                <w:b w:val="0"/>
                <w:bCs w:val="0"/>
                <w:color w:val="auto"/>
                <w:sz w:val="24"/>
                <w:szCs w:val="24"/>
                <w:highlight w:val="none"/>
                <w:u w:val="none"/>
                <w:vertAlign w:val="baseline"/>
                <w:lang w:val="en-US" w:eastAsia="zh-CN"/>
              </w:rPr>
              <w:t>7.主机自带内置 USB3.0 刻录系统，并内置容量≥2T的硬盘用于视频和图像储存。同时支持外接 U 盘、移动硬盘存储设备即插即用。录像储存有动画提示，并在触摸屏上显示移动设备状态和可录制剩余时间。支持手术录像无缝续录。</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投标时提供有效证明文件，包括但不限于官方可查询彩页或技术说明书或技术白皮书或具有资质的第三方检测报告等</w:t>
            </w:r>
            <w:r>
              <w:rPr>
                <w:rFonts w:hint="eastAsia" w:ascii="仿宋" w:hAnsi="仿宋" w:eastAsia="仿宋" w:cs="仿宋"/>
                <w:b/>
                <w:bCs/>
                <w:color w:val="auto"/>
                <w:sz w:val="24"/>
                <w:szCs w:val="24"/>
                <w:highlight w:val="none"/>
                <w:lang w:eastAsia="zh-CN"/>
              </w:rPr>
              <w:t>）</w:t>
            </w:r>
          </w:p>
          <w:p w14:paraId="63C39E80">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color w:val="auto"/>
                <w:sz w:val="24"/>
                <w:szCs w:val="24"/>
                <w:highlight w:val="none"/>
              </w:rPr>
              <w:t>●</w:t>
            </w:r>
            <w:r>
              <w:rPr>
                <w:rFonts w:hint="eastAsia" w:ascii="仿宋" w:hAnsi="仿宋" w:eastAsia="仿宋" w:cs="仿宋"/>
                <w:b w:val="0"/>
                <w:bCs w:val="0"/>
                <w:color w:val="auto"/>
                <w:sz w:val="24"/>
                <w:szCs w:val="24"/>
                <w:highlight w:val="none"/>
                <w:u w:val="none"/>
                <w:vertAlign w:val="baseline"/>
                <w:lang w:val="en-US" w:eastAsia="zh-CN"/>
              </w:rPr>
              <w:t>8.录像 H.265 编码，4K /高清可选，码率最高120Mbps；配置 12G</w:t>
            </w:r>
            <w:r>
              <w:rPr>
                <w:rFonts w:hint="eastAsia" w:ascii="仿宋" w:hAnsi="仿宋" w:eastAsia="仿宋" w:cs="仿宋"/>
                <w:b w:val="0"/>
                <w:bCs w:val="0"/>
                <w:color w:val="auto"/>
                <w:sz w:val="24"/>
                <w:szCs w:val="24"/>
                <w:highlight w:val="none"/>
                <w:u w:val="none"/>
                <w:vertAlign w:val="baseline"/>
                <w:lang w:val="en-US" w:eastAsia="zh-CN"/>
              </w:rPr>
              <w:noBreakHyphen/>
            </w:r>
            <w:r>
              <w:rPr>
                <w:rFonts w:hint="eastAsia" w:ascii="仿宋" w:hAnsi="仿宋" w:eastAsia="仿宋" w:cs="仿宋"/>
                <w:b w:val="0"/>
                <w:bCs w:val="0"/>
                <w:color w:val="auto"/>
                <w:sz w:val="24"/>
                <w:szCs w:val="24"/>
                <w:highlight w:val="none"/>
                <w:u w:val="none"/>
                <w:vertAlign w:val="baseline"/>
                <w:lang w:val="en-US" w:eastAsia="zh-CN"/>
              </w:rPr>
              <w:t>SDI、HDMI 接口，4K 输出≥2 路；</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投标时提供有效证明文件，包括但不限于官方可查询彩页或技术说明书或技术白皮书或具有资质的第三方检测报告等</w:t>
            </w:r>
            <w:r>
              <w:rPr>
                <w:rFonts w:hint="eastAsia" w:ascii="仿宋" w:hAnsi="仿宋" w:eastAsia="仿宋" w:cs="仿宋"/>
                <w:b/>
                <w:bCs/>
                <w:color w:val="auto"/>
                <w:sz w:val="24"/>
                <w:szCs w:val="24"/>
                <w:highlight w:val="none"/>
                <w:lang w:eastAsia="zh-CN"/>
              </w:rPr>
              <w:t>）</w:t>
            </w:r>
          </w:p>
          <w:p w14:paraId="37B09864">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9.具备病人信息管理、自定义模式、手术计时、双重光谱染色/电子染色功能；</w:t>
            </w:r>
          </w:p>
          <w:p w14:paraId="18561DE3">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10.信噪比≥48dB，峰值信噪比≥82dB。最小照度≤1.0lux；</w:t>
            </w:r>
          </w:p>
          <w:p w14:paraId="3EBD8BDF">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11.主机具有画幅自适应调控功能开关，可实现腹腔镜自动全屏和小镜种自动内切圆；</w:t>
            </w:r>
          </w:p>
          <w:p w14:paraId="0412048A">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12.</w:t>
            </w:r>
            <w:r>
              <w:rPr>
                <w:rFonts w:hint="eastAsia" w:ascii="仿宋" w:hAnsi="仿宋" w:eastAsia="仿宋" w:cs="仿宋"/>
                <w:color w:val="auto"/>
                <w:sz w:val="24"/>
                <w:szCs w:val="24"/>
                <w:highlight w:val="none"/>
                <w:lang w:eastAsia="zh-CN"/>
              </w:rPr>
              <w:t>可搭配选择≥7种非电子摄像头，≥4种电子内窥镜。</w:t>
            </w:r>
          </w:p>
          <w:p w14:paraId="1D9F82CA">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▲13.可连接3D电子内窥镜。</w:t>
            </w:r>
          </w:p>
          <w:p w14:paraId="391CF485">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14.</w:t>
            </w:r>
            <w:r>
              <w:rPr>
                <w:rFonts w:hint="eastAsia" w:ascii="仿宋" w:hAnsi="仿宋" w:eastAsia="仿宋" w:cs="仿宋"/>
                <w:color w:val="auto"/>
                <w:sz w:val="24"/>
                <w:szCs w:val="24"/>
                <w:highlight w:val="none"/>
              </w:rPr>
              <w:t>具有用户</w:t>
            </w:r>
            <w:r>
              <w:rPr>
                <w:rFonts w:hint="eastAsia" w:ascii="仿宋" w:hAnsi="仿宋" w:eastAsia="仿宋" w:cs="仿宋"/>
                <w:color w:val="auto"/>
                <w:sz w:val="24"/>
                <w:szCs w:val="24"/>
                <w:highlight w:val="none"/>
                <w:lang w:val="en-US" w:eastAsia="zh-CN"/>
              </w:rPr>
              <w:t>自定义</w:t>
            </w:r>
            <w:r>
              <w:rPr>
                <w:rFonts w:hint="eastAsia" w:ascii="仿宋" w:hAnsi="仿宋" w:eastAsia="仿宋" w:cs="仿宋"/>
                <w:color w:val="auto"/>
                <w:sz w:val="24"/>
                <w:szCs w:val="24"/>
                <w:highlight w:val="none"/>
              </w:rPr>
              <w:t>配置功能，可自定义≥12种参数模式保存。</w:t>
            </w:r>
          </w:p>
          <w:p w14:paraId="133C50D5">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支持外部图像信号源输入，支持双屏异显和画中画，可实现声镜联合、双镜联合、三维重建融合显示等功能。</w:t>
            </w:r>
          </w:p>
          <w:p w14:paraId="2A64790E">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color w:val="auto"/>
                <w:sz w:val="24"/>
                <w:szCs w:val="24"/>
                <w:highlight w:val="none"/>
                <w:lang w:val="en-US" w:eastAsia="zh-CN"/>
              </w:rPr>
              <w:t>16.</w:t>
            </w:r>
            <w:r>
              <w:rPr>
                <w:rFonts w:hint="eastAsia" w:ascii="仿宋" w:hAnsi="仿宋" w:eastAsia="仿宋" w:cs="仿宋"/>
                <w:color w:val="auto"/>
                <w:sz w:val="24"/>
                <w:szCs w:val="24"/>
                <w:highlight w:val="none"/>
              </w:rPr>
              <w:t>设计光学工作距≤49mm</w:t>
            </w:r>
            <w:r>
              <w:rPr>
                <w:rFonts w:hint="eastAsia" w:ascii="仿宋" w:hAnsi="仿宋" w:eastAsia="仿宋" w:cs="仿宋"/>
                <w:color w:val="auto"/>
                <w:sz w:val="24"/>
                <w:szCs w:val="24"/>
                <w:highlight w:val="none"/>
                <w:lang w:eastAsia="zh-CN"/>
              </w:rPr>
              <w:t>。</w:t>
            </w:r>
          </w:p>
          <w:p w14:paraId="745F3C49">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sz w:val="24"/>
                <w:szCs w:val="24"/>
                <w:highlight w:val="none"/>
                <w:u w:val="none"/>
                <w:vertAlign w:val="baseline"/>
                <w:lang w:val="en-US" w:eastAsia="zh-CN"/>
              </w:rPr>
            </w:pPr>
            <w:r>
              <w:rPr>
                <w:rFonts w:hint="eastAsia" w:ascii="仿宋" w:hAnsi="仿宋" w:eastAsia="仿宋" w:cs="仿宋"/>
                <w:b/>
                <w:bCs/>
                <w:color w:val="auto"/>
                <w:sz w:val="24"/>
                <w:szCs w:val="24"/>
                <w:highlight w:val="none"/>
                <w:u w:val="none"/>
                <w:vertAlign w:val="baseline"/>
                <w:lang w:val="en-US" w:eastAsia="zh-CN"/>
              </w:rPr>
              <w:t>二、2D 荧光摄像头</w:t>
            </w:r>
          </w:p>
          <w:p w14:paraId="30761443">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1.≤2 个CMOS，分别针对白光和荧光独立成像，互不干扰。感光波段 800–880nm；</w:t>
            </w:r>
          </w:p>
          <w:p w14:paraId="42A1840C">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color w:val="auto"/>
                <w:sz w:val="24"/>
                <w:szCs w:val="24"/>
                <w:highlight w:val="none"/>
              </w:rPr>
              <w:t>●</w:t>
            </w:r>
            <w:r>
              <w:rPr>
                <w:rFonts w:hint="eastAsia" w:ascii="仿宋" w:hAnsi="仿宋" w:eastAsia="仿宋" w:cs="仿宋"/>
                <w:b w:val="0"/>
                <w:bCs w:val="0"/>
                <w:color w:val="auto"/>
                <w:sz w:val="24"/>
                <w:szCs w:val="24"/>
                <w:highlight w:val="none"/>
                <w:u w:val="none"/>
                <w:vertAlign w:val="baseline"/>
                <w:lang w:val="en-US" w:eastAsia="zh-CN"/>
              </w:rPr>
              <w:t>2.手自一体一键自动对焦和连续对焦功能。自定义按键≥3 个，快捷功能≥20 种；</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投标时提供有效证明文件，包括但不限于官方可查询彩页或技术说明书或技术白皮书或具有资质的第三方检测报告等</w:t>
            </w:r>
            <w:r>
              <w:rPr>
                <w:rFonts w:hint="eastAsia" w:ascii="仿宋" w:hAnsi="仿宋" w:eastAsia="仿宋" w:cs="仿宋"/>
                <w:b/>
                <w:bCs/>
                <w:color w:val="auto"/>
                <w:sz w:val="24"/>
                <w:szCs w:val="24"/>
                <w:highlight w:val="none"/>
                <w:lang w:eastAsia="zh-CN"/>
              </w:rPr>
              <w:t>）</w:t>
            </w:r>
          </w:p>
          <w:p w14:paraId="7F7DC985">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3.防护等级≥IPX7，适配 31.75mm 标准卡口，重量≤240g。</w:t>
            </w:r>
          </w:p>
          <w:p w14:paraId="162FF3AA">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sz w:val="24"/>
                <w:szCs w:val="24"/>
                <w:highlight w:val="none"/>
                <w:u w:val="none"/>
                <w:vertAlign w:val="baseline"/>
                <w:lang w:val="en-US" w:eastAsia="zh-CN"/>
              </w:rPr>
            </w:pPr>
            <w:r>
              <w:rPr>
                <w:rFonts w:hint="eastAsia" w:ascii="仿宋" w:hAnsi="仿宋" w:eastAsia="仿宋" w:cs="仿宋"/>
                <w:b/>
                <w:bCs/>
                <w:color w:val="auto"/>
                <w:sz w:val="24"/>
                <w:szCs w:val="24"/>
                <w:highlight w:val="none"/>
                <w:u w:val="none"/>
                <w:vertAlign w:val="baseline"/>
                <w:lang w:val="en-US" w:eastAsia="zh-CN"/>
              </w:rPr>
              <w:t>三、光学内窥镜</w:t>
            </w:r>
          </w:p>
          <w:p w14:paraId="59388521">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1.与主机同厂配套，支持高温高压、环氧乙烷、低温等离子灭菌；</w:t>
            </w:r>
          </w:p>
          <w:p w14:paraId="55D70B2E">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color w:val="auto"/>
                <w:sz w:val="24"/>
                <w:szCs w:val="24"/>
                <w:highlight w:val="none"/>
              </w:rPr>
              <w:t>●</w:t>
            </w:r>
            <w:r>
              <w:rPr>
                <w:rFonts w:hint="eastAsia" w:ascii="仿宋" w:hAnsi="仿宋" w:eastAsia="仿宋" w:cs="仿宋"/>
                <w:b w:val="0"/>
                <w:bCs w:val="0"/>
                <w:color w:val="auto"/>
                <w:sz w:val="24"/>
                <w:szCs w:val="24"/>
                <w:highlight w:val="none"/>
                <w:u w:val="none"/>
                <w:vertAlign w:val="baseline"/>
                <w:lang w:val="en-US" w:eastAsia="zh-CN"/>
              </w:rPr>
              <w:t>2.有效景深 5–200mm；</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投标时提供有效证明文件，包括但不限于官方可查询彩页或技术说明书或技术白皮书或具有资质的第三方检测报告等</w:t>
            </w:r>
            <w:r>
              <w:rPr>
                <w:rFonts w:hint="eastAsia" w:ascii="仿宋" w:hAnsi="仿宋" w:eastAsia="仿宋" w:cs="仿宋"/>
                <w:b/>
                <w:bCs/>
                <w:color w:val="auto"/>
                <w:sz w:val="24"/>
                <w:szCs w:val="24"/>
                <w:highlight w:val="none"/>
                <w:lang w:eastAsia="zh-CN"/>
              </w:rPr>
              <w:t>）</w:t>
            </w:r>
          </w:p>
          <w:p w14:paraId="491BEC2A">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3.规格φ10mm/30°，视场角≥80°，工作长度≥320mm；显色指数≥90，中心角分辨力≥7.0C。</w:t>
            </w:r>
          </w:p>
          <w:p w14:paraId="29C30D15">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sz w:val="24"/>
                <w:szCs w:val="24"/>
                <w:highlight w:val="none"/>
                <w:u w:val="none"/>
                <w:vertAlign w:val="baseline"/>
                <w:lang w:val="en-US" w:eastAsia="zh-CN"/>
              </w:rPr>
            </w:pPr>
            <w:r>
              <w:rPr>
                <w:rFonts w:hint="eastAsia" w:ascii="仿宋" w:hAnsi="仿宋" w:eastAsia="仿宋" w:cs="仿宋"/>
                <w:b/>
                <w:bCs/>
                <w:color w:val="auto"/>
                <w:sz w:val="24"/>
                <w:szCs w:val="24"/>
                <w:highlight w:val="none"/>
                <w:u w:val="none"/>
                <w:vertAlign w:val="baseline"/>
                <w:lang w:val="en-US" w:eastAsia="zh-CN"/>
              </w:rPr>
              <w:t>四、LED 冷光源</w:t>
            </w:r>
          </w:p>
          <w:p w14:paraId="49BAC5A0">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1.支持主机联动调光，白光 + 近红外荧光光源同步输出；</w:t>
            </w:r>
          </w:p>
          <w:p w14:paraId="7D3D4B41">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2.具备光纤插入自动检测功能；</w:t>
            </w:r>
          </w:p>
          <w:p w14:paraId="17C21D66">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color w:val="auto"/>
                <w:sz w:val="24"/>
                <w:szCs w:val="24"/>
                <w:highlight w:val="none"/>
              </w:rPr>
              <w:t>●</w:t>
            </w:r>
            <w:r>
              <w:rPr>
                <w:rFonts w:hint="eastAsia" w:ascii="仿宋" w:hAnsi="仿宋" w:eastAsia="仿宋" w:cs="仿宋"/>
                <w:b w:val="0"/>
                <w:bCs w:val="0"/>
                <w:color w:val="auto"/>
                <w:sz w:val="24"/>
                <w:szCs w:val="24"/>
                <w:highlight w:val="none"/>
                <w:u w:val="none"/>
                <w:vertAlign w:val="baseline"/>
                <w:lang w:val="en-US" w:eastAsia="zh-CN"/>
              </w:rPr>
              <w:t>3.白光总光通量≥2000lm。</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投标时提供有效证明文件，包括但不限于官方可查询彩页或技术说明书或技术白皮书或具有资质的第三方检测报告等</w:t>
            </w:r>
            <w:r>
              <w:rPr>
                <w:rFonts w:hint="eastAsia" w:ascii="仿宋" w:hAnsi="仿宋" w:eastAsia="仿宋" w:cs="仿宋"/>
                <w:b/>
                <w:bCs/>
                <w:color w:val="auto"/>
                <w:sz w:val="24"/>
                <w:szCs w:val="24"/>
                <w:highlight w:val="none"/>
                <w:lang w:eastAsia="zh-CN"/>
              </w:rPr>
              <w:t>）</w:t>
            </w:r>
          </w:p>
          <w:p w14:paraId="7FE3DB39">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color w:val="auto"/>
                <w:sz w:val="24"/>
                <w:szCs w:val="24"/>
                <w:highlight w:val="none"/>
                <w:lang w:val="en-US" w:eastAsia="zh-CN"/>
              </w:rPr>
              <w:t>▲</w:t>
            </w:r>
            <w:r>
              <w:rPr>
                <w:rFonts w:hint="eastAsia" w:ascii="仿宋" w:hAnsi="仿宋" w:eastAsia="仿宋" w:cs="仿宋"/>
                <w:b w:val="0"/>
                <w:bCs w:val="0"/>
                <w:color w:val="auto"/>
                <w:sz w:val="24"/>
                <w:szCs w:val="24"/>
                <w:highlight w:val="none"/>
                <w:u w:val="none"/>
                <w:vertAlign w:val="baseline"/>
                <w:lang w:val="en-US" w:eastAsia="zh-CN"/>
              </w:rPr>
              <w:t>4.光源寿命≥55000 小时；</w:t>
            </w:r>
          </w:p>
          <w:p w14:paraId="538656BD">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5.亮度调节≥12 档，运行噪音≤55dB (A)；</w:t>
            </w:r>
          </w:p>
          <w:p w14:paraId="60CF5E48">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6. 防电击为 I 类防除颤 CF 型，触摸屏设计，具备高温报警、光源寿命预警。</w:t>
            </w:r>
          </w:p>
          <w:p w14:paraId="3CE17B14">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sz w:val="24"/>
                <w:szCs w:val="24"/>
                <w:highlight w:val="none"/>
                <w:u w:val="none"/>
                <w:vertAlign w:val="baseline"/>
                <w:lang w:val="en-US" w:eastAsia="zh-CN"/>
              </w:rPr>
            </w:pPr>
            <w:r>
              <w:rPr>
                <w:rFonts w:hint="eastAsia" w:ascii="仿宋" w:hAnsi="仿宋" w:eastAsia="仿宋" w:cs="仿宋"/>
                <w:b/>
                <w:bCs/>
                <w:color w:val="auto"/>
                <w:sz w:val="24"/>
                <w:szCs w:val="24"/>
                <w:highlight w:val="none"/>
                <w:u w:val="none"/>
                <w:vertAlign w:val="baseline"/>
                <w:lang w:val="en-US" w:eastAsia="zh-CN"/>
              </w:rPr>
              <w:t>五、气腹机</w:t>
            </w:r>
          </w:p>
          <w:p w14:paraId="3E9F720E">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1.流量调节范围 0.1–50L/min，具备气体加热、术中排烟功能；</w:t>
            </w:r>
          </w:p>
          <w:p w14:paraId="2F524BE8">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2.压力范围 1–30mmHg。支持多模式选择，声光双重报警，气压过高自动排气。</w:t>
            </w:r>
          </w:p>
          <w:p w14:paraId="6BB4154F">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sz w:val="24"/>
                <w:szCs w:val="24"/>
                <w:highlight w:val="none"/>
                <w:u w:val="none"/>
                <w:vertAlign w:val="baseline"/>
                <w:lang w:val="en-US" w:eastAsia="zh-CN"/>
              </w:rPr>
            </w:pPr>
            <w:r>
              <w:rPr>
                <w:rFonts w:hint="eastAsia" w:ascii="仿宋" w:hAnsi="仿宋" w:eastAsia="仿宋" w:cs="仿宋"/>
                <w:b/>
                <w:bCs/>
                <w:color w:val="auto"/>
                <w:sz w:val="24"/>
                <w:szCs w:val="24"/>
                <w:highlight w:val="none"/>
                <w:u w:val="none"/>
                <w:vertAlign w:val="baseline"/>
                <w:lang w:val="en-US" w:eastAsia="zh-CN"/>
              </w:rPr>
              <w:t>六、医用台车</w:t>
            </w:r>
          </w:p>
          <w:p w14:paraId="26CBAA7E">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1.配备一键总控开关，带线缆管理设计；</w:t>
            </w:r>
          </w:p>
          <w:p w14:paraId="09430154">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2.支持安装 ＞41 英寸 4K 医用监视器。</w:t>
            </w:r>
          </w:p>
          <w:p w14:paraId="483743E0">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sz w:val="24"/>
                <w:szCs w:val="24"/>
                <w:highlight w:val="none"/>
                <w:u w:val="none"/>
                <w:vertAlign w:val="baseline"/>
                <w:lang w:val="en-US" w:eastAsia="zh-CN"/>
              </w:rPr>
            </w:pPr>
            <w:r>
              <w:rPr>
                <w:rFonts w:hint="eastAsia" w:ascii="仿宋" w:hAnsi="仿宋" w:eastAsia="仿宋" w:cs="仿宋"/>
                <w:b/>
                <w:bCs/>
                <w:color w:val="auto"/>
                <w:sz w:val="24"/>
                <w:szCs w:val="24"/>
                <w:highlight w:val="none"/>
                <w:u w:val="none"/>
                <w:vertAlign w:val="baseline"/>
                <w:lang w:val="en-US" w:eastAsia="zh-CN"/>
              </w:rPr>
              <w:t>七、4K 医用监视器</w:t>
            </w:r>
          </w:p>
          <w:p w14:paraId="754DE445">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1.尺寸＞41英寸4K LCD，支持 4K@60Hz；</w:t>
            </w:r>
          </w:p>
          <w:p w14:paraId="1E691F68">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2.高亮度、宽视角，具备节能环保认证。</w:t>
            </w:r>
          </w:p>
          <w:p w14:paraId="3D04A9BC">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sz w:val="24"/>
                <w:szCs w:val="24"/>
                <w:highlight w:val="none"/>
                <w:u w:val="none"/>
                <w:vertAlign w:val="baseline"/>
                <w:lang w:val="en-US" w:eastAsia="zh-CN"/>
              </w:rPr>
            </w:pPr>
            <w:r>
              <w:rPr>
                <w:rFonts w:hint="eastAsia" w:ascii="仿宋" w:hAnsi="仿宋" w:eastAsia="仿宋" w:cs="仿宋"/>
                <w:b/>
                <w:bCs/>
                <w:color w:val="auto"/>
                <w:sz w:val="24"/>
                <w:szCs w:val="24"/>
                <w:highlight w:val="none"/>
                <w:u w:val="none"/>
                <w:vertAlign w:val="baseline"/>
                <w:lang w:val="en-US" w:eastAsia="zh-CN"/>
              </w:rPr>
              <w:t>八、能量平台</w:t>
            </w:r>
          </w:p>
          <w:p w14:paraId="28F4FF5C">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1.可同时连接超声刀、单极、双极器械；</w:t>
            </w:r>
          </w:p>
          <w:p w14:paraId="33109006">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2.支持手控 / 脚踏双触发；</w:t>
            </w:r>
          </w:p>
          <w:p w14:paraId="50526EF9">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3.可凝闭≤7mm 血管，具备智能组织感应与增强凝血功能，多模式可调；</w:t>
            </w:r>
          </w:p>
          <w:p w14:paraId="14CF8C5D">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4.高频双极功能时主机可通过刀头感应组织阻抗变化，自动控制能量输出直至凝闭完成。</w:t>
            </w:r>
          </w:p>
          <w:p w14:paraId="74BF4154">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color w:val="auto"/>
                <w:sz w:val="24"/>
                <w:szCs w:val="24"/>
                <w:highlight w:val="none"/>
                <w:lang w:val="en-US" w:eastAsia="zh-CN"/>
              </w:rPr>
              <w:t>5.与内窥镜摄像系统为同一品牌。</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投标时提供有效证明文件，包括但不限于官方可查询彩页或技术说明书或技术白皮书或具有资质的第三方检测报告等</w:t>
            </w:r>
            <w:r>
              <w:rPr>
                <w:rFonts w:hint="eastAsia" w:ascii="仿宋" w:hAnsi="仿宋" w:eastAsia="仿宋" w:cs="仿宋"/>
                <w:b/>
                <w:bCs/>
                <w:color w:val="auto"/>
                <w:sz w:val="24"/>
                <w:szCs w:val="24"/>
                <w:highlight w:val="none"/>
                <w:lang w:eastAsia="zh-CN"/>
              </w:rPr>
              <w:t>）</w:t>
            </w:r>
          </w:p>
          <w:p w14:paraId="4A01D2D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九、</w:t>
            </w:r>
            <w:r>
              <w:rPr>
                <w:rFonts w:hint="eastAsia" w:ascii="仿宋" w:hAnsi="仿宋" w:eastAsia="仿宋" w:cs="仿宋"/>
                <w:b/>
                <w:bCs/>
                <w:color w:val="auto"/>
                <w:kern w:val="0"/>
                <w:sz w:val="24"/>
                <w:szCs w:val="24"/>
                <w:highlight w:val="none"/>
              </w:rPr>
              <w:t>配置清单</w:t>
            </w:r>
          </w:p>
          <w:p w14:paraId="54AC6A92">
            <w:pPr>
              <w:keepNext w:val="0"/>
              <w:keepLines w:val="0"/>
              <w:pageBreakBefore w:val="0"/>
              <w:numPr>
                <w:ilvl w:val="0"/>
                <w:numId w:val="5"/>
              </w:numPr>
              <w:kinsoku/>
              <w:wordWrap/>
              <w:overflowPunct/>
              <w:topLinePunct w:val="0"/>
              <w:autoSpaceDE/>
              <w:autoSpaceDN/>
              <w:bidi w:val="0"/>
              <w:adjustRightInd/>
              <w:snapToGrid/>
              <w:spacing w:line="400" w:lineRule="exact"/>
              <w:ind w:left="425" w:leftChars="0" w:hanging="425"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4K荧光内窥镜摄像主机 1台</w:t>
            </w:r>
          </w:p>
          <w:p w14:paraId="183161F4">
            <w:pPr>
              <w:keepNext w:val="0"/>
              <w:keepLines w:val="0"/>
              <w:pageBreakBefore w:val="0"/>
              <w:numPr>
                <w:ilvl w:val="0"/>
                <w:numId w:val="5"/>
              </w:numPr>
              <w:kinsoku/>
              <w:wordWrap/>
              <w:overflowPunct/>
              <w:topLinePunct w:val="0"/>
              <w:autoSpaceDE/>
              <w:autoSpaceDN/>
              <w:bidi w:val="0"/>
              <w:adjustRightInd/>
              <w:snapToGrid/>
              <w:spacing w:line="400" w:lineRule="exact"/>
              <w:ind w:left="425" w:leftChars="0" w:hanging="425"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4K荧光摄像头 1个</w:t>
            </w:r>
          </w:p>
          <w:p w14:paraId="50449D94">
            <w:pPr>
              <w:keepNext w:val="0"/>
              <w:keepLines w:val="0"/>
              <w:pageBreakBefore w:val="0"/>
              <w:numPr>
                <w:ilvl w:val="0"/>
                <w:numId w:val="5"/>
              </w:numPr>
              <w:kinsoku/>
              <w:wordWrap/>
              <w:overflowPunct/>
              <w:topLinePunct w:val="0"/>
              <w:autoSpaceDE/>
              <w:autoSpaceDN/>
              <w:bidi w:val="0"/>
              <w:adjustRightInd/>
              <w:snapToGrid/>
              <w:spacing w:line="400" w:lineRule="exact"/>
              <w:ind w:left="425" w:leftChars="0" w:hanging="425"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医用LED冷光源 1台</w:t>
            </w:r>
          </w:p>
          <w:p w14:paraId="0094697C">
            <w:pPr>
              <w:keepNext w:val="0"/>
              <w:keepLines w:val="0"/>
              <w:pageBreakBefore w:val="0"/>
              <w:numPr>
                <w:ilvl w:val="0"/>
                <w:numId w:val="5"/>
              </w:numPr>
              <w:kinsoku/>
              <w:wordWrap/>
              <w:overflowPunct/>
              <w:topLinePunct w:val="0"/>
              <w:autoSpaceDE/>
              <w:autoSpaceDN/>
              <w:bidi w:val="0"/>
              <w:adjustRightInd/>
              <w:snapToGrid/>
              <w:spacing w:line="400" w:lineRule="exact"/>
              <w:ind w:left="425" w:leftChars="0" w:hanging="425"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医用导光束 1根</w:t>
            </w:r>
          </w:p>
          <w:p w14:paraId="25DC10F8">
            <w:pPr>
              <w:keepNext w:val="0"/>
              <w:keepLines w:val="0"/>
              <w:pageBreakBefore w:val="0"/>
              <w:numPr>
                <w:ilvl w:val="0"/>
                <w:numId w:val="5"/>
              </w:numPr>
              <w:kinsoku/>
              <w:wordWrap/>
              <w:overflowPunct/>
              <w:topLinePunct w:val="0"/>
              <w:autoSpaceDE/>
              <w:autoSpaceDN/>
              <w:bidi w:val="0"/>
              <w:adjustRightInd/>
              <w:snapToGrid/>
              <w:spacing w:line="400" w:lineRule="exact"/>
              <w:ind w:left="425" w:leftChars="0" w:hanging="425" w:firstLineChars="0"/>
              <w:textAlignment w:val="auto"/>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u w:val="none"/>
                <w:vertAlign w:val="baseline"/>
                <w:lang w:val="en-US" w:eastAsia="zh-CN"/>
              </w:rPr>
              <w:t>≥</w:t>
            </w:r>
            <w:r>
              <w:rPr>
                <w:rFonts w:hint="eastAsia" w:ascii="仿宋" w:hAnsi="仿宋" w:eastAsia="仿宋" w:cs="仿宋"/>
                <w:color w:val="auto"/>
                <w:sz w:val="24"/>
                <w:szCs w:val="24"/>
                <w:highlight w:val="none"/>
              </w:rPr>
              <w:t>32</w:t>
            </w:r>
            <w:r>
              <w:rPr>
                <w:rFonts w:hint="eastAsia" w:ascii="仿宋" w:hAnsi="仿宋" w:eastAsia="仿宋" w:cs="仿宋"/>
                <w:color w:val="auto"/>
                <w:sz w:val="24"/>
                <w:szCs w:val="24"/>
                <w:highlight w:val="none"/>
                <w:lang w:val="en-US" w:eastAsia="zh-CN"/>
              </w:rPr>
              <w:t>英</w:t>
            </w:r>
            <w:r>
              <w:rPr>
                <w:rFonts w:hint="eastAsia" w:ascii="仿宋" w:hAnsi="仿宋" w:eastAsia="仿宋" w:cs="仿宋"/>
                <w:color w:val="auto"/>
                <w:sz w:val="24"/>
                <w:szCs w:val="24"/>
                <w:highlight w:val="none"/>
              </w:rPr>
              <w:t>寸4K医用监视器 1台</w:t>
            </w:r>
          </w:p>
          <w:p w14:paraId="3F01FBEF">
            <w:pPr>
              <w:keepNext w:val="0"/>
              <w:keepLines w:val="0"/>
              <w:pageBreakBefore w:val="0"/>
              <w:numPr>
                <w:ilvl w:val="0"/>
                <w:numId w:val="5"/>
              </w:numPr>
              <w:kinsoku/>
              <w:wordWrap/>
              <w:overflowPunct/>
              <w:topLinePunct w:val="0"/>
              <w:autoSpaceDE/>
              <w:autoSpaceDN/>
              <w:bidi w:val="0"/>
              <w:adjustRightInd/>
              <w:snapToGrid/>
              <w:spacing w:line="400" w:lineRule="exact"/>
              <w:ind w:left="425" w:leftChars="0" w:hanging="425"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硬性光学腹腔内窥镜2根</w:t>
            </w:r>
          </w:p>
          <w:p w14:paraId="05D5DC8F">
            <w:pPr>
              <w:keepNext w:val="0"/>
              <w:keepLines w:val="0"/>
              <w:pageBreakBefore w:val="0"/>
              <w:numPr>
                <w:ilvl w:val="0"/>
                <w:numId w:val="5"/>
              </w:numPr>
              <w:kinsoku/>
              <w:wordWrap/>
              <w:overflowPunct/>
              <w:topLinePunct w:val="0"/>
              <w:autoSpaceDE/>
              <w:autoSpaceDN/>
              <w:bidi w:val="0"/>
              <w:adjustRightInd/>
              <w:snapToGrid/>
              <w:spacing w:line="400" w:lineRule="exact"/>
              <w:ind w:left="425" w:leftChars="0" w:hanging="425"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气腹机 1台</w:t>
            </w:r>
          </w:p>
          <w:p w14:paraId="6FCFD73C">
            <w:pPr>
              <w:keepNext w:val="0"/>
              <w:keepLines w:val="0"/>
              <w:pageBreakBefore w:val="0"/>
              <w:numPr>
                <w:ilvl w:val="0"/>
                <w:numId w:val="5"/>
              </w:numPr>
              <w:kinsoku/>
              <w:wordWrap/>
              <w:overflowPunct/>
              <w:topLinePunct w:val="0"/>
              <w:autoSpaceDE/>
              <w:autoSpaceDN/>
              <w:bidi w:val="0"/>
              <w:adjustRightInd/>
              <w:snapToGrid/>
              <w:spacing w:line="400" w:lineRule="exact"/>
              <w:ind w:left="425" w:leftChars="0" w:hanging="425"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医用集成台车 1台</w:t>
            </w:r>
          </w:p>
          <w:p w14:paraId="44019434">
            <w:pPr>
              <w:keepNext w:val="0"/>
              <w:keepLines w:val="0"/>
              <w:pageBreakBefore w:val="0"/>
              <w:numPr>
                <w:ilvl w:val="0"/>
                <w:numId w:val="5"/>
              </w:numPr>
              <w:kinsoku/>
              <w:wordWrap/>
              <w:overflowPunct/>
              <w:topLinePunct w:val="0"/>
              <w:autoSpaceDE/>
              <w:autoSpaceDN/>
              <w:bidi w:val="0"/>
              <w:adjustRightInd/>
              <w:snapToGrid/>
              <w:spacing w:line="400" w:lineRule="exact"/>
              <w:ind w:left="425" w:leftChars="0" w:hanging="425"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多功能能量平台 1台</w:t>
            </w:r>
          </w:p>
          <w:p w14:paraId="349BEAD6">
            <w:pPr>
              <w:keepNext w:val="0"/>
              <w:keepLines w:val="0"/>
              <w:pageBreakBefore w:val="0"/>
              <w:numPr>
                <w:ilvl w:val="0"/>
                <w:numId w:val="5"/>
              </w:numPr>
              <w:kinsoku/>
              <w:wordWrap/>
              <w:overflowPunct/>
              <w:topLinePunct w:val="0"/>
              <w:autoSpaceDE/>
              <w:autoSpaceDN/>
              <w:bidi w:val="0"/>
              <w:adjustRightInd/>
              <w:snapToGrid/>
              <w:spacing w:line="400" w:lineRule="exact"/>
              <w:ind w:left="425" w:leftChars="0" w:hanging="425" w:firstLineChars="0"/>
              <w:textAlignment w:val="auto"/>
              <w:rPr>
                <w:rFonts w:hint="eastAsia" w:ascii="仿宋" w:hAnsi="仿宋" w:eastAsia="仿宋" w:cs="仿宋"/>
                <w:color w:val="auto"/>
                <w:sz w:val="24"/>
                <w:szCs w:val="24"/>
                <w:highlight w:val="none"/>
                <w:vertAlign w:val="baseline"/>
                <w:lang w:eastAsia="zh-CN"/>
              </w:rPr>
            </w:pPr>
            <w:r>
              <w:rPr>
                <w:rFonts w:hint="eastAsia" w:ascii="仿宋" w:hAnsi="仿宋" w:eastAsia="仿宋" w:cs="仿宋"/>
                <w:color w:val="auto"/>
                <w:sz w:val="24"/>
                <w:szCs w:val="24"/>
                <w:highlight w:val="none"/>
              </w:rPr>
              <w:t>内窥镜消毒盒 1个</w:t>
            </w:r>
          </w:p>
          <w:p w14:paraId="68A1BC63">
            <w:pPr>
              <w:keepNext w:val="0"/>
              <w:keepLines w:val="0"/>
              <w:pageBreakBefore w:val="0"/>
              <w:numPr>
                <w:ilvl w:val="0"/>
                <w:numId w:val="5"/>
              </w:numPr>
              <w:kinsoku/>
              <w:wordWrap/>
              <w:overflowPunct/>
              <w:topLinePunct w:val="0"/>
              <w:autoSpaceDE/>
              <w:autoSpaceDN/>
              <w:bidi w:val="0"/>
              <w:adjustRightInd/>
              <w:snapToGrid/>
              <w:spacing w:line="400" w:lineRule="exact"/>
              <w:ind w:left="425" w:leftChars="0" w:hanging="425" w:firstLineChars="0"/>
              <w:textAlignment w:val="auto"/>
              <w:rPr>
                <w:rFonts w:hint="eastAsia" w:ascii="仿宋" w:hAnsi="仿宋" w:eastAsia="仿宋" w:cs="仿宋"/>
                <w:color w:val="auto"/>
                <w:sz w:val="24"/>
                <w:szCs w:val="24"/>
                <w:highlight w:val="none"/>
                <w:vertAlign w:val="baseline"/>
                <w:lang w:eastAsia="zh-CN"/>
              </w:rPr>
            </w:pPr>
            <w:r>
              <w:rPr>
                <w:rFonts w:hint="eastAsia" w:ascii="仿宋" w:hAnsi="仿宋" w:eastAsia="仿宋" w:cs="仿宋"/>
                <w:color w:val="auto"/>
                <w:sz w:val="24"/>
                <w:szCs w:val="24"/>
                <w:highlight w:val="none"/>
                <w:lang w:val="en-US" w:eastAsia="zh-CN"/>
              </w:rPr>
              <w:t>超声互联系统1套</w:t>
            </w:r>
          </w:p>
        </w:tc>
        <w:tc>
          <w:tcPr>
            <w:tcW w:w="1491" w:type="dxa"/>
            <w:tcBorders>
              <w:top w:val="single" w:color="auto" w:sz="4" w:space="0"/>
              <w:left w:val="single" w:color="auto" w:sz="4" w:space="0"/>
              <w:right w:val="single" w:color="auto" w:sz="4" w:space="0"/>
            </w:tcBorders>
            <w:noWrap w:val="0"/>
            <w:vAlign w:val="center"/>
          </w:tcPr>
          <w:p w14:paraId="6BA5AC9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1700000</w:t>
            </w:r>
          </w:p>
        </w:tc>
      </w:tr>
      <w:tr w14:paraId="413F5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0218" w:type="dxa"/>
            <w:gridSpan w:val="5"/>
            <w:tcBorders>
              <w:top w:val="single" w:color="auto" w:sz="4" w:space="0"/>
              <w:left w:val="single" w:color="auto" w:sz="4" w:space="0"/>
              <w:bottom w:val="single" w:color="auto" w:sz="4" w:space="0"/>
              <w:right w:val="single" w:color="auto" w:sz="4" w:space="0"/>
            </w:tcBorders>
            <w:noWrap w:val="0"/>
            <w:vAlign w:val="center"/>
          </w:tcPr>
          <w:p w14:paraId="338FF97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二、商务条款</w:t>
            </w:r>
          </w:p>
        </w:tc>
      </w:tr>
      <w:tr w14:paraId="7EC83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06" w:type="dxa"/>
            <w:gridSpan w:val="2"/>
            <w:tcBorders>
              <w:top w:val="single" w:color="auto" w:sz="4" w:space="0"/>
              <w:left w:val="single" w:color="auto" w:sz="4" w:space="0"/>
              <w:bottom w:val="single" w:color="auto" w:sz="4" w:space="0"/>
              <w:right w:val="single" w:color="auto" w:sz="4" w:space="0"/>
            </w:tcBorders>
            <w:noWrap w:val="0"/>
            <w:vAlign w:val="center"/>
          </w:tcPr>
          <w:p w14:paraId="4512292D">
            <w:pPr>
              <w:keepNext w:val="0"/>
              <w:keepLines w:val="0"/>
              <w:pageBreakBefore w:val="0"/>
              <w:tabs>
                <w:tab w:val="center" w:pos="4153"/>
                <w:tab w:val="right" w:pos="8306"/>
              </w:tabs>
              <w:kinsoku w:val="0"/>
              <w:overflowPunct/>
              <w:topLinePunct w:val="0"/>
              <w:autoSpaceDE w:val="0"/>
              <w:autoSpaceDN w:val="0"/>
              <w:bidi w:val="0"/>
              <w:adjustRightInd w:val="0"/>
              <w:snapToGrid w:val="0"/>
              <w:spacing w:line="400" w:lineRule="exact"/>
              <w:jc w:val="center"/>
              <w:textAlignment w:val="baseline"/>
              <w:rPr>
                <w:rFonts w:hint="eastAsia" w:ascii="仿宋" w:hAnsi="仿宋" w:eastAsia="仿宋" w:cs="仿宋"/>
                <w:b w:val="0"/>
                <w:bCs w:val="0"/>
                <w:color w:val="auto"/>
                <w:kern w:val="0"/>
                <w:sz w:val="24"/>
                <w:szCs w:val="24"/>
                <w:highlight w:val="none"/>
                <w:lang w:eastAsia="zh-CN" w:bidi="ar"/>
              </w:rPr>
            </w:pPr>
            <w:r>
              <w:rPr>
                <w:rFonts w:hint="eastAsia" w:ascii="仿宋" w:hAnsi="仿宋" w:eastAsia="仿宋" w:cs="仿宋"/>
                <w:b/>
                <w:color w:val="auto"/>
                <w:kern w:val="21"/>
                <w:sz w:val="24"/>
                <w:szCs w:val="24"/>
                <w:highlight w:val="none"/>
                <w:lang w:val="en-US" w:eastAsia="zh-CN" w:bidi="ar"/>
              </w:rPr>
              <w:t>交货期及地点</w:t>
            </w:r>
          </w:p>
        </w:tc>
        <w:tc>
          <w:tcPr>
            <w:tcW w:w="8412" w:type="dxa"/>
            <w:gridSpan w:val="3"/>
            <w:tcBorders>
              <w:top w:val="single" w:color="auto" w:sz="4" w:space="0"/>
              <w:left w:val="single" w:color="auto" w:sz="4" w:space="0"/>
              <w:bottom w:val="single" w:color="auto" w:sz="4" w:space="0"/>
              <w:right w:val="single" w:color="auto" w:sz="4" w:space="0"/>
            </w:tcBorders>
            <w:noWrap w:val="0"/>
            <w:vAlign w:val="center"/>
          </w:tcPr>
          <w:p w14:paraId="774CAF9C">
            <w:pPr>
              <w:keepNext w:val="0"/>
              <w:keepLines w:val="0"/>
              <w:pageBreakBefore w:val="0"/>
              <w:widowControl/>
              <w:wordWrap/>
              <w:overflowPunct/>
              <w:topLinePunct w:val="0"/>
              <w:bidi w:val="0"/>
              <w:spacing w:line="40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1.交货期：</w:t>
            </w:r>
            <w:r>
              <w:rPr>
                <w:rFonts w:hint="eastAsia" w:ascii="仿宋" w:hAnsi="仿宋" w:eastAsia="仿宋" w:cs="仿宋"/>
                <w:color w:val="auto"/>
                <w:sz w:val="24"/>
                <w:szCs w:val="24"/>
                <w:highlight w:val="none"/>
                <w:lang w:eastAsia="zh-CN"/>
              </w:rPr>
              <w:t>采购合同签订后</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lang w:eastAsia="zh-CN"/>
              </w:rPr>
              <w:t>个</w:t>
            </w:r>
            <w:r>
              <w:rPr>
                <w:rFonts w:hint="eastAsia" w:ascii="仿宋" w:hAnsi="仿宋" w:eastAsia="仿宋" w:cs="仿宋"/>
                <w:color w:val="auto"/>
                <w:sz w:val="24"/>
                <w:szCs w:val="24"/>
                <w:highlight w:val="none"/>
                <w:lang w:val="en-US" w:eastAsia="zh-CN"/>
              </w:rPr>
              <w:t>日历</w:t>
            </w:r>
            <w:r>
              <w:rPr>
                <w:rFonts w:hint="eastAsia" w:ascii="仿宋" w:hAnsi="仿宋" w:eastAsia="仿宋" w:cs="仿宋"/>
                <w:color w:val="auto"/>
                <w:sz w:val="24"/>
                <w:szCs w:val="24"/>
                <w:highlight w:val="none"/>
                <w:lang w:eastAsia="zh-CN"/>
              </w:rPr>
              <w:t>日内交货并完成安装调试</w:t>
            </w:r>
            <w:r>
              <w:rPr>
                <w:rFonts w:hint="eastAsia" w:ascii="仿宋" w:hAnsi="仿宋" w:eastAsia="仿宋" w:cs="仿宋"/>
                <w:bCs/>
                <w:color w:val="auto"/>
                <w:sz w:val="24"/>
                <w:szCs w:val="24"/>
                <w:highlight w:val="none"/>
              </w:rPr>
              <w:t>。</w:t>
            </w:r>
          </w:p>
          <w:p w14:paraId="1D7D846A">
            <w:pPr>
              <w:keepNext w:val="0"/>
              <w:keepLines w:val="0"/>
              <w:pageBreakBefore w:val="0"/>
              <w:widowControl/>
              <w:wordWrap/>
              <w:overflowPunct/>
              <w:topLinePunct w:val="0"/>
              <w:bidi w:val="0"/>
              <w:spacing w:line="40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2.交付地点：采购人指定地点。</w:t>
            </w:r>
          </w:p>
          <w:p w14:paraId="720287E8">
            <w:pPr>
              <w:keepNext w:val="0"/>
              <w:keepLines w:val="0"/>
              <w:pageBreakBefore w:val="0"/>
              <w:widowControl/>
              <w:wordWrap/>
              <w:overflowPunct/>
              <w:topLinePunct w:val="0"/>
              <w:bidi w:val="0"/>
              <w:spacing w:line="400" w:lineRule="exact"/>
              <w:ind w:firstLine="14" w:firstLineChars="6"/>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3.交货方式：现场交货</w:t>
            </w:r>
          </w:p>
          <w:p w14:paraId="7FB3544D">
            <w:pPr>
              <w:keepNext w:val="0"/>
              <w:keepLines w:val="0"/>
              <w:pageBreakBefore w:val="0"/>
              <w:widowControl/>
              <w:wordWrap/>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包括：</w:t>
            </w:r>
          </w:p>
          <w:p w14:paraId="2371D486">
            <w:pPr>
              <w:keepNext w:val="0"/>
              <w:keepLines w:val="0"/>
              <w:pageBreakBefore w:val="0"/>
              <w:widowControl/>
              <w:numPr>
                <w:ilvl w:val="0"/>
                <w:numId w:val="6"/>
              </w:numPr>
              <w:wordWrap/>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货物的价格；</w:t>
            </w:r>
          </w:p>
          <w:p w14:paraId="6F2D7FBC">
            <w:pPr>
              <w:keepNext w:val="0"/>
              <w:keepLines w:val="0"/>
              <w:pageBreakBefore w:val="0"/>
              <w:widowControl/>
              <w:numPr>
                <w:ilvl w:val="0"/>
                <w:numId w:val="6"/>
              </w:numPr>
              <w:wordWrap/>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货物的标准附件、备品备件、专用工具的价格、产品说明书；</w:t>
            </w:r>
          </w:p>
          <w:p w14:paraId="7E546BF0">
            <w:pPr>
              <w:keepNext w:val="0"/>
              <w:keepLines w:val="0"/>
              <w:pageBreakBefore w:val="0"/>
              <w:widowControl/>
              <w:numPr>
                <w:ilvl w:val="0"/>
                <w:numId w:val="6"/>
              </w:numPr>
              <w:wordWrap/>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运输、装卸、调试、培训、技术支持、售后服务等费用；</w:t>
            </w:r>
          </w:p>
          <w:p w14:paraId="3AF2911C">
            <w:pPr>
              <w:keepNext w:val="0"/>
              <w:keepLines w:val="0"/>
              <w:pageBreakBefore w:val="0"/>
              <w:widowControl/>
              <w:numPr>
                <w:ilvl w:val="0"/>
                <w:numId w:val="6"/>
              </w:numPr>
              <w:wordWrap/>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必要的保险费用和和各项税费；</w:t>
            </w:r>
          </w:p>
          <w:p w14:paraId="264D76EE">
            <w:pPr>
              <w:keepNext w:val="0"/>
              <w:keepLines w:val="0"/>
              <w:pageBreakBefore w:val="0"/>
              <w:widowControl/>
              <w:tabs>
                <w:tab w:val="center" w:pos="4153"/>
                <w:tab w:val="right" w:pos="8306"/>
              </w:tabs>
              <w:kinsoku w:val="0"/>
              <w:wordWrap/>
              <w:overflowPunct/>
              <w:topLinePunct w:val="0"/>
              <w:autoSpaceDE w:val="0"/>
              <w:autoSpaceDN w:val="0"/>
              <w:bidi w:val="0"/>
              <w:adjustRightInd w:val="0"/>
              <w:snapToGrid w:val="0"/>
              <w:spacing w:line="400" w:lineRule="exact"/>
              <w:jc w:val="left"/>
              <w:textAlignment w:val="baseline"/>
              <w:rPr>
                <w:rFonts w:hint="eastAsia" w:ascii="仿宋" w:hAnsi="仿宋" w:eastAsia="仿宋" w:cs="仿宋"/>
                <w:color w:val="auto"/>
                <w:kern w:val="0"/>
                <w:sz w:val="24"/>
                <w:szCs w:val="24"/>
                <w:highlight w:val="none"/>
              </w:rPr>
            </w:pPr>
            <w:r>
              <w:rPr>
                <w:rFonts w:hint="eastAsia" w:ascii="仿宋" w:hAnsi="仿宋" w:eastAsia="仿宋" w:cs="仿宋"/>
                <w:color w:val="auto"/>
                <w:kern w:val="21"/>
                <w:sz w:val="24"/>
                <w:szCs w:val="24"/>
                <w:highlight w:val="none"/>
                <w:lang w:val="en-US" w:eastAsia="en-US" w:bidi="ar-SA"/>
              </w:rPr>
              <w:t>（5）安装至调试正常使用发生所有费用，由供应商自行承担。</w:t>
            </w:r>
          </w:p>
        </w:tc>
      </w:tr>
      <w:tr w14:paraId="0FE7B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06" w:type="dxa"/>
            <w:gridSpan w:val="2"/>
            <w:tcBorders>
              <w:top w:val="single" w:color="auto" w:sz="4" w:space="0"/>
              <w:left w:val="single" w:color="auto" w:sz="4" w:space="0"/>
              <w:bottom w:val="single" w:color="auto" w:sz="4" w:space="0"/>
              <w:right w:val="single" w:color="auto" w:sz="4" w:space="0"/>
            </w:tcBorders>
            <w:noWrap w:val="0"/>
            <w:vAlign w:val="center"/>
          </w:tcPr>
          <w:p w14:paraId="1CF59DBB">
            <w:pPr>
              <w:keepNext w:val="0"/>
              <w:keepLines w:val="0"/>
              <w:pageBreakBefore w:val="0"/>
              <w:kinsoku/>
              <w:overflowPunct/>
              <w:topLinePunct w:val="0"/>
              <w:bidi w:val="0"/>
              <w:spacing w:line="400" w:lineRule="exact"/>
              <w:ind w:firstLine="14" w:firstLineChars="6"/>
              <w:jc w:val="center"/>
              <w:outlineLvl w:val="0"/>
              <w:rPr>
                <w:rFonts w:hint="eastAsia" w:ascii="仿宋" w:hAnsi="仿宋" w:eastAsia="仿宋" w:cs="仿宋"/>
                <w:b w:val="0"/>
                <w:bCs w:val="0"/>
                <w:color w:val="auto"/>
                <w:kern w:val="0"/>
                <w:sz w:val="24"/>
                <w:szCs w:val="24"/>
                <w:highlight w:val="none"/>
                <w:lang w:eastAsia="zh-CN" w:bidi="ar"/>
              </w:rPr>
            </w:pPr>
            <w:r>
              <w:rPr>
                <w:rFonts w:hint="eastAsia" w:ascii="仿宋" w:hAnsi="仿宋" w:eastAsia="仿宋" w:cs="仿宋"/>
                <w:b/>
                <w:color w:val="auto"/>
                <w:sz w:val="24"/>
                <w:szCs w:val="24"/>
                <w:highlight w:val="none"/>
                <w:lang w:eastAsia="zh-CN" w:bidi="ar"/>
              </w:rPr>
              <w:t>投标报价</w:t>
            </w:r>
          </w:p>
        </w:tc>
        <w:tc>
          <w:tcPr>
            <w:tcW w:w="8412" w:type="dxa"/>
            <w:gridSpan w:val="3"/>
            <w:tcBorders>
              <w:top w:val="single" w:color="auto" w:sz="4" w:space="0"/>
              <w:left w:val="single" w:color="auto" w:sz="4" w:space="0"/>
              <w:bottom w:val="single" w:color="auto" w:sz="4" w:space="0"/>
              <w:right w:val="single" w:color="auto" w:sz="4" w:space="0"/>
            </w:tcBorders>
            <w:noWrap w:val="0"/>
            <w:vAlign w:val="center"/>
          </w:tcPr>
          <w:p w14:paraId="58FC31F5">
            <w:pPr>
              <w:keepNext w:val="0"/>
              <w:keepLines w:val="0"/>
              <w:pageBreakBefore w:val="0"/>
              <w:widowControl/>
              <w:kinsoku/>
              <w:wordWrap/>
              <w:overflowPunct/>
              <w:topLinePunct w:val="0"/>
              <w:bidi w:val="0"/>
              <w:spacing w:line="400" w:lineRule="exact"/>
              <w:ind w:firstLine="15" w:firstLineChars="6"/>
              <w:jc w:val="both"/>
              <w:outlineLvl w:val="0"/>
              <w:rPr>
                <w:rFonts w:hint="eastAsia" w:ascii="仿宋" w:hAnsi="仿宋" w:eastAsia="仿宋" w:cs="仿宋"/>
                <w:color w:val="auto"/>
                <w:kern w:val="0"/>
                <w:sz w:val="24"/>
                <w:szCs w:val="24"/>
                <w:highlight w:val="none"/>
              </w:rPr>
            </w:pPr>
            <w:r>
              <w:rPr>
                <w:rFonts w:hint="eastAsia" w:ascii="仿宋" w:hAnsi="仿宋" w:eastAsia="仿宋" w:cs="仿宋"/>
                <w:color w:val="auto"/>
                <w:spacing w:val="6"/>
                <w:sz w:val="24"/>
                <w:szCs w:val="24"/>
                <w:highlight w:val="none"/>
                <w:lang w:eastAsia="zh-CN" w:bidi="ar"/>
              </w:rPr>
              <w:t>项目实行总承包报价，投标报价包含货物、货物标准附件、备品备件、专用工具、设备安装辅材、施工辅材、包装、运输、装卸、保险、货到就位的各种费用以及安装、调试等本招标文件所列设备材料需进行补充完善才能完成本项目的功能配置或实际采购中产品材料有任何遗漏的费用（含本项目需要但本文件中未列出的设备材料、功能配置）、税金、售后服务、技术培训及其他所有成本费用，以及合同明示或暗示的所有责任、义务和一般风险等一切费用。投标人综合考虑在报价中。</w:t>
            </w:r>
          </w:p>
        </w:tc>
      </w:tr>
      <w:tr w14:paraId="3208B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06" w:type="dxa"/>
            <w:gridSpan w:val="2"/>
            <w:tcBorders>
              <w:top w:val="single" w:color="auto" w:sz="4" w:space="0"/>
              <w:left w:val="single" w:color="auto" w:sz="4" w:space="0"/>
              <w:bottom w:val="single" w:color="auto" w:sz="4" w:space="0"/>
              <w:right w:val="single" w:color="auto" w:sz="4" w:space="0"/>
            </w:tcBorders>
            <w:noWrap w:val="0"/>
            <w:vAlign w:val="center"/>
          </w:tcPr>
          <w:p w14:paraId="15CFAF00">
            <w:pPr>
              <w:keepNext w:val="0"/>
              <w:keepLines w:val="0"/>
              <w:pageBreakBefore w:val="0"/>
              <w:kinsoku w:val="0"/>
              <w:overflowPunct/>
              <w:topLinePunct w:val="0"/>
              <w:autoSpaceDE w:val="0"/>
              <w:autoSpaceDN w:val="0"/>
              <w:bidi w:val="0"/>
              <w:adjustRightInd w:val="0"/>
              <w:snapToGrid w:val="0"/>
              <w:spacing w:line="400" w:lineRule="exact"/>
              <w:jc w:val="center"/>
              <w:textAlignment w:val="baseline"/>
              <w:rPr>
                <w:rFonts w:hint="eastAsia" w:ascii="仿宋" w:hAnsi="仿宋" w:eastAsia="仿宋" w:cs="仿宋"/>
                <w:b w:val="0"/>
                <w:bCs w:val="0"/>
                <w:color w:val="auto"/>
                <w:kern w:val="0"/>
                <w:sz w:val="24"/>
                <w:szCs w:val="24"/>
                <w:highlight w:val="none"/>
                <w:lang w:eastAsia="zh-CN" w:bidi="ar"/>
              </w:rPr>
            </w:pPr>
            <w:r>
              <w:rPr>
                <w:rFonts w:hint="eastAsia" w:ascii="仿宋" w:hAnsi="仿宋" w:eastAsia="仿宋" w:cs="仿宋"/>
                <w:b/>
                <w:color w:val="auto"/>
                <w:kern w:val="21"/>
                <w:sz w:val="24"/>
                <w:szCs w:val="24"/>
                <w:highlight w:val="none"/>
                <w:lang w:val="en-US" w:eastAsia="zh-CN" w:bidi="ar"/>
              </w:rPr>
              <w:t>付款方式</w:t>
            </w:r>
          </w:p>
        </w:tc>
        <w:tc>
          <w:tcPr>
            <w:tcW w:w="8412" w:type="dxa"/>
            <w:gridSpan w:val="3"/>
            <w:tcBorders>
              <w:top w:val="single" w:color="auto" w:sz="4" w:space="0"/>
              <w:left w:val="single" w:color="auto" w:sz="4" w:space="0"/>
              <w:bottom w:val="single" w:color="auto" w:sz="4" w:space="0"/>
              <w:right w:val="single" w:color="auto" w:sz="4" w:space="0"/>
            </w:tcBorders>
            <w:noWrap w:val="0"/>
            <w:vAlign w:val="center"/>
          </w:tcPr>
          <w:p w14:paraId="1B7717EC">
            <w:pPr>
              <w:keepNext w:val="0"/>
              <w:keepLines w:val="0"/>
              <w:pageBreakBefore w:val="0"/>
              <w:widowControl/>
              <w:kinsoku/>
              <w:wordWrap w:val="0"/>
              <w:overflowPunct/>
              <w:topLinePunct w:val="0"/>
              <w:autoSpaceDE w:val="0"/>
              <w:autoSpaceDN w:val="0"/>
              <w:bidi w:val="0"/>
              <w:adjustRightInd w:val="0"/>
              <w:snapToGrid w:val="0"/>
              <w:spacing w:line="400" w:lineRule="exact"/>
              <w:textAlignment w:val="baseline"/>
              <w:rPr>
                <w:rFonts w:hint="eastAsia" w:ascii="仿宋" w:hAnsi="仿宋" w:eastAsia="仿宋" w:cs="仿宋"/>
                <w:color w:val="auto"/>
                <w:kern w:val="21"/>
                <w:sz w:val="24"/>
                <w:szCs w:val="24"/>
                <w:highlight w:val="none"/>
                <w:lang w:val="en-US" w:eastAsia="zh-CN" w:bidi="ar"/>
              </w:rPr>
            </w:pPr>
            <w:r>
              <w:rPr>
                <w:rFonts w:hint="eastAsia" w:ascii="仿宋" w:hAnsi="仿宋" w:eastAsia="仿宋" w:cs="仿宋"/>
                <w:color w:val="auto"/>
                <w:kern w:val="21"/>
                <w:sz w:val="24"/>
                <w:szCs w:val="24"/>
                <w:highlight w:val="none"/>
                <w:lang w:val="en-US" w:eastAsia="zh-CN" w:bidi="ar"/>
              </w:rPr>
              <w:t>1.付款进度安排:签订合同后30个工作日内，支付合同价款的30%，设备安装验收合格正常使用后30个工作日内，支付合同价款的70%。乙方须在设备验收合格后及时向甲方提供符合国家规定及甲方要求的全额有效的税务发票，甲方未收到发票的，有权不予支付相应款项直至乙方提供合格发票，并不承担延迟付款责任。发票认证通过是付款的必要前提之一。</w:t>
            </w:r>
          </w:p>
          <w:p w14:paraId="5EFBEEA5">
            <w:pPr>
              <w:keepNext w:val="0"/>
              <w:keepLines w:val="0"/>
              <w:pageBreakBefore w:val="0"/>
              <w:widowControl/>
              <w:kinsoku/>
              <w:wordWrap w:val="0"/>
              <w:overflowPunct/>
              <w:topLinePunct w:val="0"/>
              <w:autoSpaceDE w:val="0"/>
              <w:autoSpaceDN w:val="0"/>
              <w:bidi w:val="0"/>
              <w:adjustRightInd w:val="0"/>
              <w:snapToGrid w:val="0"/>
              <w:spacing w:line="400" w:lineRule="exact"/>
              <w:textAlignment w:val="baseline"/>
              <w:rPr>
                <w:rFonts w:hint="eastAsia" w:ascii="仿宋" w:hAnsi="仿宋" w:eastAsia="仿宋" w:cs="仿宋"/>
                <w:color w:val="auto"/>
                <w:kern w:val="21"/>
                <w:sz w:val="24"/>
                <w:szCs w:val="24"/>
                <w:highlight w:val="none"/>
                <w:lang w:val="en-US" w:eastAsia="zh-CN" w:bidi="ar"/>
              </w:rPr>
            </w:pPr>
            <w:r>
              <w:rPr>
                <w:rFonts w:hint="eastAsia" w:ascii="仿宋" w:hAnsi="仿宋" w:eastAsia="仿宋" w:cs="仿宋"/>
                <w:color w:val="auto"/>
                <w:kern w:val="21"/>
                <w:sz w:val="24"/>
                <w:szCs w:val="24"/>
                <w:highlight w:val="none"/>
                <w:lang w:val="en-US" w:eastAsia="zh-CN" w:bidi="ar"/>
              </w:rPr>
              <w:t>2．本合同执行中相关的一切税费均由乙方负担。</w:t>
            </w:r>
          </w:p>
          <w:p w14:paraId="5D0C4AB2">
            <w:pPr>
              <w:keepNext w:val="0"/>
              <w:keepLines w:val="0"/>
              <w:pageBreakBefore w:val="0"/>
              <w:widowControl/>
              <w:kinsoku/>
              <w:wordWrap w:val="0"/>
              <w:overflowPunct/>
              <w:topLinePunct w:val="0"/>
              <w:autoSpaceDE w:val="0"/>
              <w:autoSpaceDN w:val="0"/>
              <w:bidi w:val="0"/>
              <w:adjustRightInd w:val="0"/>
              <w:snapToGrid w:val="0"/>
              <w:spacing w:line="400" w:lineRule="exact"/>
              <w:textAlignment w:val="baseline"/>
              <w:rPr>
                <w:rFonts w:hint="eastAsia" w:ascii="仿宋" w:hAnsi="仿宋" w:eastAsia="仿宋" w:cs="仿宋"/>
                <w:color w:val="auto"/>
                <w:sz w:val="24"/>
                <w:szCs w:val="24"/>
                <w:highlight w:val="none"/>
              </w:rPr>
            </w:pPr>
            <w:r>
              <w:rPr>
                <w:rFonts w:hint="eastAsia" w:ascii="仿宋" w:hAnsi="仿宋" w:eastAsia="仿宋" w:cs="仿宋"/>
                <w:color w:val="auto"/>
                <w:kern w:val="21"/>
                <w:sz w:val="24"/>
                <w:szCs w:val="24"/>
                <w:highlight w:val="none"/>
                <w:lang w:val="en-US" w:eastAsia="zh-CN" w:bidi="ar"/>
              </w:rPr>
              <w:t>3.资金支付方式：银行转账</w:t>
            </w:r>
          </w:p>
        </w:tc>
      </w:tr>
      <w:tr w14:paraId="129C4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806" w:type="dxa"/>
            <w:gridSpan w:val="2"/>
            <w:tcBorders>
              <w:top w:val="single" w:color="auto" w:sz="4" w:space="0"/>
              <w:left w:val="single" w:color="auto" w:sz="4" w:space="0"/>
              <w:bottom w:val="single" w:color="auto" w:sz="4" w:space="0"/>
              <w:right w:val="single" w:color="auto" w:sz="4" w:space="0"/>
            </w:tcBorders>
            <w:noWrap w:val="0"/>
            <w:vAlign w:val="center"/>
          </w:tcPr>
          <w:p w14:paraId="11973DDB">
            <w:pPr>
              <w:keepNext w:val="0"/>
              <w:keepLines w:val="0"/>
              <w:pageBreakBefore w:val="0"/>
              <w:kinsoku/>
              <w:overflowPunct/>
              <w:topLinePunct w:val="0"/>
              <w:bidi w:val="0"/>
              <w:spacing w:line="400" w:lineRule="exact"/>
              <w:ind w:firstLine="14" w:firstLineChars="6"/>
              <w:jc w:val="center"/>
              <w:rPr>
                <w:rFonts w:hint="eastAsia" w:ascii="仿宋" w:hAnsi="仿宋" w:eastAsia="仿宋" w:cs="仿宋"/>
                <w:b w:val="0"/>
                <w:bCs w:val="0"/>
                <w:color w:val="auto"/>
                <w:kern w:val="0"/>
                <w:sz w:val="24"/>
                <w:szCs w:val="24"/>
                <w:highlight w:val="none"/>
                <w:lang w:eastAsia="zh-CN" w:bidi="ar"/>
              </w:rPr>
            </w:pPr>
            <w:r>
              <w:rPr>
                <w:rFonts w:hint="eastAsia" w:ascii="仿宋" w:hAnsi="仿宋" w:eastAsia="仿宋" w:cs="仿宋"/>
                <w:b/>
                <w:color w:val="auto"/>
                <w:sz w:val="24"/>
                <w:szCs w:val="24"/>
                <w:highlight w:val="none"/>
                <w:lang w:eastAsia="zh-CN" w:bidi="ar"/>
              </w:rPr>
              <w:t>售后服务要求</w:t>
            </w:r>
          </w:p>
        </w:tc>
        <w:tc>
          <w:tcPr>
            <w:tcW w:w="8412" w:type="dxa"/>
            <w:gridSpan w:val="3"/>
            <w:tcBorders>
              <w:top w:val="single" w:color="auto" w:sz="4" w:space="0"/>
              <w:left w:val="single" w:color="auto" w:sz="4" w:space="0"/>
              <w:bottom w:val="single" w:color="auto" w:sz="4" w:space="0"/>
              <w:right w:val="single" w:color="auto" w:sz="4" w:space="0"/>
            </w:tcBorders>
            <w:noWrap w:val="0"/>
            <w:vAlign w:val="center"/>
          </w:tcPr>
          <w:p w14:paraId="4B7658D8">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1.中标人应按照国家有关法律法规规定以及投标文件承诺，为采购人提供售后服务。</w:t>
            </w:r>
          </w:p>
          <w:p w14:paraId="481B06D7">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2.质量保修范围:</w:t>
            </w:r>
            <w:r>
              <w:rPr>
                <w:rFonts w:hint="eastAsia" w:ascii="仿宋" w:hAnsi="仿宋" w:eastAsia="仿宋" w:cs="仿宋"/>
                <w:color w:val="auto"/>
                <w:sz w:val="24"/>
                <w:szCs w:val="24"/>
                <w:highlight w:val="none"/>
                <w:u w:val="single"/>
                <w:lang w:eastAsia="zh-CN" w:bidi="ar"/>
              </w:rPr>
              <w:t>本项目采购范围内的所有设备</w:t>
            </w:r>
            <w:r>
              <w:rPr>
                <w:rFonts w:hint="eastAsia" w:ascii="仿宋" w:hAnsi="仿宋" w:eastAsia="仿宋" w:cs="仿宋"/>
                <w:color w:val="auto"/>
                <w:sz w:val="24"/>
                <w:szCs w:val="24"/>
                <w:highlight w:val="none"/>
                <w:lang w:eastAsia="zh-CN" w:bidi="ar"/>
              </w:rPr>
              <w:t>。免费保修期内上门维修（维修费和元器件费包含在投标报价中）、更换零部件，软件终身免费升级服务，设备生产厂家提供远程联机维护服务，能对设备进行软件升级及故障分析；保修期：按中标人投标文件承诺（且不低于采购文件要求）执行。</w:t>
            </w:r>
          </w:p>
          <w:p w14:paraId="303D9B21">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eastAsia="zh-CN" w:bidi="ar"/>
              </w:rPr>
              <w:t>3.免费保修期：按国家有关产品“三包”规定执行“三包”；免费保修期为不少于5年（免费保修期从设备验收合格之日起计算），免费保修期内上门维修不收取任何费用，提供备用机。</w:t>
            </w:r>
            <w:r>
              <w:rPr>
                <w:rFonts w:hint="eastAsia" w:ascii="仿宋" w:hAnsi="仿宋" w:eastAsia="仿宋" w:cs="仿宋"/>
                <w:color w:val="auto"/>
                <w:sz w:val="24"/>
                <w:szCs w:val="24"/>
                <w:highlight w:val="none"/>
                <w:lang w:val="en-US" w:eastAsia="zh-CN" w:bidi="ar"/>
              </w:rPr>
              <w:t>质保期后主机主机延保≤3万元/年，光源延保≤1万元/年，气腹机延保≤1万元/年。</w:t>
            </w:r>
          </w:p>
          <w:p w14:paraId="31ADAE90">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4.在免费保修期内因货物本身的质量问题发生故障，中标人应负责免费修理和更换零部件。对达不到技术要求者，根据实际情况，采购人有权按以下办法处理：</w:t>
            </w:r>
          </w:p>
          <w:p w14:paraId="109D03B5">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（1）更换：由中标人承担所发生的全部费用。</w:t>
            </w:r>
          </w:p>
          <w:p w14:paraId="5765902E">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（2）贬值处理：由采购人与中标人双方合议定价。</w:t>
            </w:r>
          </w:p>
          <w:p w14:paraId="775FE160">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（3）退货处理：中标人应退还采购人支付的合同款，同时应承担该货物的直接费用（运输、保险、检验、货款利息及银行手续费等）。</w:t>
            </w:r>
          </w:p>
          <w:p w14:paraId="582EF41D">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5.如在使用过程中发生质量问题，中标人在接到采购人通知后</w:t>
            </w:r>
            <w:r>
              <w:rPr>
                <w:rFonts w:hint="eastAsia" w:ascii="仿宋" w:hAnsi="仿宋" w:eastAsia="仿宋" w:cs="仿宋"/>
                <w:color w:val="auto"/>
                <w:sz w:val="24"/>
                <w:szCs w:val="24"/>
                <w:highlight w:val="none"/>
                <w:u w:val="single"/>
                <w:lang w:val="en-US" w:eastAsia="zh-CN" w:bidi="ar"/>
              </w:rPr>
              <w:t>4</w:t>
            </w:r>
            <w:r>
              <w:rPr>
                <w:rFonts w:hint="eastAsia" w:ascii="仿宋" w:hAnsi="仿宋" w:eastAsia="仿宋" w:cs="仿宋"/>
                <w:color w:val="auto"/>
                <w:sz w:val="24"/>
                <w:szCs w:val="24"/>
                <w:highlight w:val="none"/>
                <w:lang w:eastAsia="zh-CN" w:bidi="ar"/>
              </w:rPr>
              <w:t>小时内响应，</w:t>
            </w:r>
            <w:r>
              <w:rPr>
                <w:rFonts w:hint="eastAsia" w:ascii="仿宋" w:hAnsi="仿宋" w:eastAsia="仿宋" w:cs="仿宋"/>
                <w:color w:val="auto"/>
                <w:sz w:val="24"/>
                <w:szCs w:val="24"/>
                <w:highlight w:val="none"/>
                <w:u w:val="single"/>
                <w:lang w:eastAsia="zh-CN" w:bidi="ar"/>
              </w:rPr>
              <w:t>2</w:t>
            </w:r>
            <w:r>
              <w:rPr>
                <w:rFonts w:hint="eastAsia" w:ascii="仿宋" w:hAnsi="仿宋" w:eastAsia="仿宋" w:cs="仿宋"/>
                <w:color w:val="auto"/>
                <w:sz w:val="24"/>
                <w:szCs w:val="24"/>
                <w:highlight w:val="none"/>
                <w:u w:val="single"/>
                <w:lang w:val="en-US" w:eastAsia="zh-CN" w:bidi="ar"/>
              </w:rPr>
              <w:t>4</w:t>
            </w:r>
            <w:r>
              <w:rPr>
                <w:rFonts w:hint="eastAsia" w:ascii="仿宋" w:hAnsi="仿宋" w:eastAsia="仿宋" w:cs="仿宋"/>
                <w:color w:val="auto"/>
                <w:sz w:val="24"/>
                <w:szCs w:val="24"/>
                <w:highlight w:val="none"/>
                <w:lang w:eastAsia="zh-CN" w:bidi="ar"/>
              </w:rPr>
              <w:t>小时内到达现场进行处理，恢复正常使用。中标人逾期响应、到达现场、排除故障或者无法排除故障的，采购人有权自行或寻找第三方机构获得维修、维护等售后服务，全部费用由中标人承担，且无需经过中标人同意、确认。</w:t>
            </w:r>
          </w:p>
          <w:p w14:paraId="250978EA">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6.在免费保修期内，中标人应对货物出现的质量及安全问题负责处理解决并承担一切费用。</w:t>
            </w:r>
          </w:p>
          <w:p w14:paraId="0727DDE5">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7.本项目采购范围内的货物因人为因素出现的故障不在免费保修范围内。超过免费保修期的机器设备，提供终生维修服务。</w:t>
            </w:r>
          </w:p>
          <w:p w14:paraId="1CD000AB">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8.中标人提供的货物在免费保修期内，因设计、工艺或材料的缺陷和其它质量原因造成的问题，由中标人负责，费用从最后一笔支付的合同价款当中扣除，不足以扣除的，由中标人另行支付。</w:t>
            </w:r>
          </w:p>
          <w:p w14:paraId="36D6F570">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eastAsia="zh-CN" w:bidi="ar"/>
              </w:rPr>
              <w:t>9.中标人提供的服务承诺和售后服务及免费保修期责任等其它具体约定事项。</w:t>
            </w:r>
          </w:p>
        </w:tc>
      </w:tr>
      <w:tr w14:paraId="3298F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3" w:hRule="atLeast"/>
          <w:jc w:val="center"/>
        </w:trPr>
        <w:tc>
          <w:tcPr>
            <w:tcW w:w="1806" w:type="dxa"/>
            <w:gridSpan w:val="2"/>
            <w:tcBorders>
              <w:top w:val="single" w:color="auto" w:sz="4" w:space="0"/>
              <w:left w:val="single" w:color="auto" w:sz="4" w:space="0"/>
              <w:bottom w:val="single" w:color="auto" w:sz="4" w:space="0"/>
              <w:right w:val="single" w:color="auto" w:sz="4" w:space="0"/>
            </w:tcBorders>
            <w:noWrap w:val="0"/>
            <w:vAlign w:val="center"/>
          </w:tcPr>
          <w:p w14:paraId="31B4DA6F">
            <w:pPr>
              <w:keepNext w:val="0"/>
              <w:keepLines w:val="0"/>
              <w:pageBreakBefore w:val="0"/>
              <w:overflowPunct/>
              <w:topLinePunct w:val="0"/>
              <w:bidi w:val="0"/>
              <w:spacing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b/>
                <w:color w:val="auto"/>
                <w:sz w:val="24"/>
                <w:szCs w:val="24"/>
                <w:highlight w:val="none"/>
                <w:lang w:eastAsia="zh-CN" w:bidi="ar"/>
              </w:rPr>
              <w:t>合同签订时间及地点</w:t>
            </w:r>
          </w:p>
        </w:tc>
        <w:tc>
          <w:tcPr>
            <w:tcW w:w="8412" w:type="dxa"/>
            <w:gridSpan w:val="3"/>
            <w:tcBorders>
              <w:top w:val="single" w:color="auto" w:sz="4" w:space="0"/>
              <w:left w:val="single" w:color="auto" w:sz="4" w:space="0"/>
              <w:bottom w:val="single" w:color="auto" w:sz="4" w:space="0"/>
              <w:right w:val="single" w:color="auto" w:sz="4" w:space="0"/>
            </w:tcBorders>
            <w:noWrap w:val="0"/>
            <w:vAlign w:val="center"/>
          </w:tcPr>
          <w:p w14:paraId="38C92BBC">
            <w:pPr>
              <w:keepNext w:val="0"/>
              <w:keepLines w:val="0"/>
              <w:pageBreakBefore w:val="0"/>
              <w:widowControl/>
              <w:kinsoku/>
              <w:wordWrap/>
              <w:overflowPunct/>
              <w:topLinePunct w:val="0"/>
              <w:autoSpaceDE/>
              <w:autoSpaceDN/>
              <w:bidi w:val="0"/>
              <w:adjustRightInd/>
              <w:snapToGrid/>
              <w:spacing w:line="400" w:lineRule="exact"/>
              <w:ind w:firstLine="14" w:firstLineChars="6"/>
              <w:jc w:val="both"/>
              <w:textAlignment w:val="auto"/>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1</w:t>
            </w:r>
            <w:r>
              <w:rPr>
                <w:rFonts w:hint="eastAsia" w:ascii="仿宋" w:hAnsi="仿宋" w:eastAsia="仿宋" w:cs="仿宋"/>
                <w:color w:val="auto"/>
                <w:sz w:val="24"/>
                <w:szCs w:val="24"/>
                <w:highlight w:val="none"/>
                <w:lang w:val="en-US" w:eastAsia="zh-CN" w:bidi="ar"/>
              </w:rPr>
              <w:t>.</w:t>
            </w:r>
            <w:r>
              <w:rPr>
                <w:rFonts w:hint="eastAsia" w:ascii="仿宋" w:hAnsi="仿宋" w:eastAsia="仿宋" w:cs="仿宋"/>
                <w:color w:val="auto"/>
                <w:sz w:val="24"/>
                <w:szCs w:val="24"/>
                <w:highlight w:val="none"/>
                <w:lang w:eastAsia="zh-CN" w:bidi="ar"/>
              </w:rPr>
              <w:t>签订合同时间：自中标通知书发出之日25日内。</w:t>
            </w:r>
          </w:p>
          <w:p w14:paraId="45FDA96B">
            <w:pPr>
              <w:keepNext w:val="0"/>
              <w:keepLines w:val="0"/>
              <w:pageBreakBefore w:val="0"/>
              <w:widowControl/>
              <w:kinsoku/>
              <w:wordWrap/>
              <w:overflowPunct/>
              <w:topLinePunct w:val="0"/>
              <w:autoSpaceDE/>
              <w:autoSpaceDN/>
              <w:bidi w:val="0"/>
              <w:adjustRightInd/>
              <w:snapToGrid/>
              <w:spacing w:line="400" w:lineRule="exact"/>
              <w:ind w:firstLine="14" w:firstLineChars="6"/>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bidi="ar"/>
              </w:rPr>
              <w:t>2</w:t>
            </w:r>
            <w:r>
              <w:rPr>
                <w:rFonts w:hint="eastAsia" w:ascii="仿宋" w:hAnsi="仿宋" w:eastAsia="仿宋" w:cs="仿宋"/>
                <w:color w:val="auto"/>
                <w:sz w:val="24"/>
                <w:szCs w:val="24"/>
                <w:highlight w:val="none"/>
                <w:lang w:val="en-US" w:eastAsia="zh-CN" w:bidi="ar"/>
              </w:rPr>
              <w:t>.</w:t>
            </w:r>
            <w:r>
              <w:rPr>
                <w:rFonts w:hint="eastAsia" w:ascii="仿宋" w:hAnsi="仿宋" w:eastAsia="仿宋" w:cs="仿宋"/>
                <w:color w:val="auto"/>
                <w:sz w:val="24"/>
                <w:szCs w:val="24"/>
                <w:highlight w:val="none"/>
                <w:lang w:eastAsia="zh-CN" w:bidi="ar"/>
              </w:rPr>
              <w:t>签订合同地点：广西壮族自治区南溪山医院（广西壮族自治区第二人民医院）指定地点。</w:t>
            </w:r>
          </w:p>
        </w:tc>
      </w:tr>
      <w:tr w14:paraId="31EFC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06" w:type="dxa"/>
            <w:gridSpan w:val="2"/>
            <w:tcBorders>
              <w:top w:val="single" w:color="auto" w:sz="4" w:space="0"/>
              <w:left w:val="single" w:color="auto" w:sz="4" w:space="0"/>
              <w:bottom w:val="single" w:color="auto" w:sz="4" w:space="0"/>
              <w:right w:val="single" w:color="auto" w:sz="4" w:space="0"/>
            </w:tcBorders>
            <w:noWrap w:val="0"/>
            <w:vAlign w:val="center"/>
          </w:tcPr>
          <w:p w14:paraId="160DB0DF">
            <w:pPr>
              <w:keepNext w:val="0"/>
              <w:keepLines w:val="0"/>
              <w:pageBreakBefore w:val="0"/>
              <w:kinsoku/>
              <w:overflowPunct/>
              <w:topLinePunct w:val="0"/>
              <w:bidi w:val="0"/>
              <w:spacing w:line="400" w:lineRule="exact"/>
              <w:ind w:left="13" w:leftChars="6"/>
              <w:jc w:val="center"/>
              <w:rPr>
                <w:rFonts w:hint="eastAsia" w:ascii="仿宋" w:hAnsi="仿宋" w:eastAsia="仿宋" w:cs="仿宋"/>
                <w:b w:val="0"/>
                <w:bCs w:val="0"/>
                <w:color w:val="auto"/>
                <w:kern w:val="0"/>
                <w:sz w:val="24"/>
                <w:szCs w:val="24"/>
                <w:highlight w:val="none"/>
                <w:lang w:eastAsia="zh-CN" w:bidi="ar"/>
              </w:rPr>
            </w:pPr>
            <w:r>
              <w:rPr>
                <w:rFonts w:hint="eastAsia" w:ascii="仿宋" w:hAnsi="仿宋" w:eastAsia="仿宋" w:cs="仿宋"/>
                <w:b/>
                <w:color w:val="auto"/>
                <w:sz w:val="24"/>
                <w:szCs w:val="24"/>
                <w:highlight w:val="none"/>
                <w:lang w:eastAsia="zh-CN" w:bidi="ar"/>
              </w:rPr>
              <w:t>包装和运输</w:t>
            </w:r>
          </w:p>
        </w:tc>
        <w:tc>
          <w:tcPr>
            <w:tcW w:w="8412" w:type="dxa"/>
            <w:gridSpan w:val="3"/>
            <w:tcBorders>
              <w:top w:val="single" w:color="auto" w:sz="4" w:space="0"/>
              <w:left w:val="single" w:color="auto" w:sz="4" w:space="0"/>
              <w:bottom w:val="single" w:color="auto" w:sz="4" w:space="0"/>
              <w:right w:val="single" w:color="auto" w:sz="4" w:space="0"/>
            </w:tcBorders>
            <w:noWrap w:val="0"/>
            <w:vAlign w:val="center"/>
          </w:tcPr>
          <w:p w14:paraId="594995CF">
            <w:pPr>
              <w:keepNext w:val="0"/>
              <w:keepLines w:val="0"/>
              <w:pageBreakBefore w:val="0"/>
              <w:widowControl/>
              <w:kinsoku/>
              <w:wordWrap/>
              <w:overflowPunct/>
              <w:topLinePunct w:val="0"/>
              <w:bidi w:val="0"/>
              <w:spacing w:line="400" w:lineRule="exact"/>
              <w:ind w:left="13" w:left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1.原厂原包装，包装完好、完整无破损、未开封。</w:t>
            </w:r>
          </w:p>
          <w:p w14:paraId="62E1B8D9">
            <w:pPr>
              <w:keepNext w:val="0"/>
              <w:keepLines w:val="0"/>
              <w:pageBreakBefore w:val="0"/>
              <w:widowControl/>
              <w:kinsoku/>
              <w:wordWrap/>
              <w:overflowPunct/>
              <w:topLinePunct w:val="0"/>
              <w:bidi w:val="0"/>
              <w:spacing w:line="400" w:lineRule="exact"/>
              <w:ind w:left="13" w:left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2.包装及运输方式应综合考虑运输距离、防潮、防震、防锈和防破损装卸等要求。</w:t>
            </w:r>
          </w:p>
          <w:p w14:paraId="2DA03F80">
            <w:pPr>
              <w:keepNext w:val="0"/>
              <w:keepLines w:val="0"/>
              <w:pageBreakBefore w:val="0"/>
              <w:widowControl/>
              <w:kinsoku/>
              <w:wordWrap/>
              <w:overflowPunct/>
              <w:topLinePunct w:val="0"/>
              <w:bidi w:val="0"/>
              <w:spacing w:line="400" w:lineRule="exact"/>
              <w:ind w:left="13" w:left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3.国家对包装及运输有相关强制性标准或要求的，中标人应当执行。</w:t>
            </w:r>
          </w:p>
          <w:p w14:paraId="5404BF2A">
            <w:pPr>
              <w:keepNext w:val="0"/>
              <w:keepLines w:val="0"/>
              <w:pageBreakBefore w:val="0"/>
              <w:widowControl/>
              <w:kinsoku/>
              <w:wordWrap/>
              <w:overflowPunct/>
              <w:topLinePunct w:val="0"/>
              <w:bidi w:val="0"/>
              <w:spacing w:line="400" w:lineRule="exact"/>
              <w:ind w:left="13" w:leftChars="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bidi="ar"/>
              </w:rPr>
              <w:t>4.产品（含包装）运抵采购人指定交付地点前发生损坏的，相关损失由中标人自行承担。</w:t>
            </w:r>
          </w:p>
        </w:tc>
      </w:tr>
      <w:tr w14:paraId="174CA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806" w:type="dxa"/>
            <w:gridSpan w:val="2"/>
            <w:tcBorders>
              <w:top w:val="single" w:color="auto" w:sz="4" w:space="0"/>
              <w:left w:val="single" w:color="auto" w:sz="4" w:space="0"/>
              <w:bottom w:val="single" w:color="auto" w:sz="4" w:space="0"/>
              <w:right w:val="single" w:color="auto" w:sz="4" w:space="0"/>
            </w:tcBorders>
            <w:noWrap w:val="0"/>
            <w:vAlign w:val="center"/>
          </w:tcPr>
          <w:p w14:paraId="339B2DA9">
            <w:pPr>
              <w:keepNext w:val="0"/>
              <w:keepLines w:val="0"/>
              <w:pageBreakBefore w:val="0"/>
              <w:kinsoku/>
              <w:overflowPunct/>
              <w:topLinePunct w:val="0"/>
              <w:bidi w:val="0"/>
              <w:spacing w:line="400" w:lineRule="exact"/>
              <w:jc w:val="center"/>
              <w:rPr>
                <w:rFonts w:hint="eastAsia" w:ascii="仿宋" w:hAnsi="仿宋" w:eastAsia="仿宋" w:cs="仿宋"/>
                <w:b w:val="0"/>
                <w:bCs w:val="0"/>
                <w:color w:val="auto"/>
                <w:kern w:val="0"/>
                <w:sz w:val="24"/>
                <w:szCs w:val="24"/>
                <w:highlight w:val="none"/>
                <w:lang w:eastAsia="zh-CN" w:bidi="ar"/>
              </w:rPr>
            </w:pPr>
            <w:r>
              <w:rPr>
                <w:rFonts w:hint="eastAsia" w:ascii="仿宋" w:hAnsi="仿宋" w:eastAsia="仿宋" w:cs="仿宋"/>
                <w:b/>
                <w:color w:val="auto"/>
                <w:sz w:val="24"/>
                <w:szCs w:val="24"/>
                <w:highlight w:val="none"/>
                <w:lang w:eastAsia="zh-CN" w:bidi="ar"/>
              </w:rPr>
              <w:t>保险</w:t>
            </w:r>
          </w:p>
        </w:tc>
        <w:tc>
          <w:tcPr>
            <w:tcW w:w="8412" w:type="dxa"/>
            <w:gridSpan w:val="3"/>
            <w:tcBorders>
              <w:top w:val="single" w:color="auto" w:sz="4" w:space="0"/>
              <w:left w:val="single" w:color="auto" w:sz="4" w:space="0"/>
              <w:bottom w:val="single" w:color="auto" w:sz="4" w:space="0"/>
              <w:right w:val="single" w:color="auto" w:sz="4" w:space="0"/>
            </w:tcBorders>
            <w:noWrap w:val="0"/>
            <w:vAlign w:val="center"/>
          </w:tcPr>
          <w:p w14:paraId="5B5F86CD">
            <w:pPr>
              <w:keepNext w:val="0"/>
              <w:keepLines w:val="0"/>
              <w:pageBreakBefore w:val="0"/>
              <w:widowControl/>
              <w:kinsoku/>
              <w:wordWrap/>
              <w:overflowPunct/>
              <w:topLinePunct w:val="0"/>
              <w:bidi w:val="0"/>
              <w:spacing w:line="400" w:lineRule="exact"/>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lang w:eastAsia="zh-CN" w:bidi="ar"/>
              </w:rPr>
              <w:t>若投标人为本项目标的及标的涉及的相关材料、设备、人员、运输等购买保险的，相关费用由投标人自行承担。</w:t>
            </w:r>
          </w:p>
        </w:tc>
      </w:tr>
      <w:tr w14:paraId="15854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806" w:type="dxa"/>
            <w:gridSpan w:val="2"/>
            <w:tcBorders>
              <w:top w:val="single" w:color="auto" w:sz="4" w:space="0"/>
              <w:left w:val="single" w:color="auto" w:sz="4" w:space="0"/>
              <w:bottom w:val="single" w:color="auto" w:sz="4" w:space="0"/>
              <w:right w:val="single" w:color="auto" w:sz="4" w:space="0"/>
            </w:tcBorders>
            <w:noWrap w:val="0"/>
            <w:vAlign w:val="center"/>
          </w:tcPr>
          <w:p w14:paraId="272A464F">
            <w:pPr>
              <w:keepNext w:val="0"/>
              <w:keepLines w:val="0"/>
              <w:pageBreakBefore w:val="0"/>
              <w:kinsoku/>
              <w:overflowPunct/>
              <w:topLinePunct w:val="0"/>
              <w:bidi w:val="0"/>
              <w:spacing w:line="400" w:lineRule="exact"/>
              <w:ind w:firstLine="14" w:firstLineChars="6"/>
              <w:jc w:val="center"/>
              <w:rPr>
                <w:rFonts w:hint="eastAsia" w:ascii="仿宋" w:hAnsi="仿宋" w:eastAsia="仿宋" w:cs="仿宋"/>
                <w:color w:val="auto"/>
                <w:kern w:val="0"/>
                <w:sz w:val="24"/>
                <w:szCs w:val="24"/>
                <w:highlight w:val="none"/>
              </w:rPr>
            </w:pPr>
            <w:r>
              <w:rPr>
                <w:rFonts w:hint="eastAsia" w:ascii="仿宋" w:hAnsi="仿宋" w:eastAsia="仿宋" w:cs="仿宋"/>
                <w:b/>
                <w:color w:val="auto"/>
                <w:sz w:val="24"/>
                <w:szCs w:val="24"/>
                <w:highlight w:val="none"/>
                <w:lang w:eastAsia="zh-CN" w:bidi="ar"/>
              </w:rPr>
              <w:t>验收标准</w:t>
            </w:r>
          </w:p>
        </w:tc>
        <w:tc>
          <w:tcPr>
            <w:tcW w:w="8412" w:type="dxa"/>
            <w:gridSpan w:val="3"/>
            <w:tcBorders>
              <w:top w:val="single" w:color="auto" w:sz="4" w:space="0"/>
              <w:left w:val="single" w:color="auto" w:sz="4" w:space="0"/>
              <w:bottom w:val="single" w:color="auto" w:sz="4" w:space="0"/>
              <w:right w:val="single" w:color="auto" w:sz="4" w:space="0"/>
            </w:tcBorders>
            <w:noWrap w:val="0"/>
            <w:vAlign w:val="center"/>
          </w:tcPr>
          <w:p w14:paraId="688E8C34">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（1）初步验收：</w:t>
            </w:r>
          </w:p>
          <w:p w14:paraId="7AA01BB8">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标的在规定的时间内到货，标的（含包装）完整、完好，与</w:t>
            </w:r>
            <w:r>
              <w:rPr>
                <w:rFonts w:hint="eastAsia" w:ascii="仿宋" w:hAnsi="仿宋" w:eastAsia="仿宋" w:cs="仿宋"/>
                <w:bCs/>
                <w:color w:val="auto"/>
                <w:sz w:val="24"/>
                <w:szCs w:val="24"/>
                <w:highlight w:val="none"/>
                <w:lang w:eastAsia="zh-CN"/>
              </w:rPr>
              <w:t>投标</w:t>
            </w:r>
            <w:r>
              <w:rPr>
                <w:rFonts w:hint="eastAsia" w:ascii="仿宋" w:hAnsi="仿宋" w:eastAsia="仿宋" w:cs="仿宋"/>
                <w:bCs/>
                <w:color w:val="auto"/>
                <w:sz w:val="24"/>
                <w:szCs w:val="24"/>
                <w:highlight w:val="none"/>
              </w:rPr>
              <w:t>承诺的产品（制造商、品牌、规格型号等）一致，标的无明显瑕疵、无损坏，装箱清单、用户手册、原厂保修卡、安装操作使用和维护手册、随机资料等所有技术资料、工具和备品、备件齐全。全部满足以上情形的，视为初步验收合格，标的不符合上述情形的，采购人在初步验收后七个工作日内以书面形式向</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提出，</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应自收到采购人书面异议后七个工作日内及时予以解决，否则，视为初步验收不合格，不予进行交付验收。</w:t>
            </w:r>
          </w:p>
          <w:p w14:paraId="1BA8A37D">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（2）交付验收：</w:t>
            </w:r>
          </w:p>
          <w:p w14:paraId="1ABEFD85">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标的的技术指标与</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的</w:t>
            </w:r>
            <w:r>
              <w:rPr>
                <w:rFonts w:hint="eastAsia" w:ascii="仿宋" w:hAnsi="仿宋" w:eastAsia="仿宋" w:cs="仿宋"/>
                <w:bCs/>
                <w:color w:val="auto"/>
                <w:sz w:val="24"/>
                <w:szCs w:val="24"/>
                <w:highlight w:val="none"/>
                <w:lang w:eastAsia="zh-CN"/>
              </w:rPr>
              <w:t>投标</w:t>
            </w:r>
            <w:r>
              <w:rPr>
                <w:rFonts w:hint="eastAsia" w:ascii="仿宋" w:hAnsi="仿宋" w:eastAsia="仿宋" w:cs="仿宋"/>
                <w:bCs/>
                <w:color w:val="auto"/>
                <w:sz w:val="24"/>
                <w:szCs w:val="24"/>
                <w:highlight w:val="none"/>
              </w:rPr>
              <w:t>承诺一致或更高，且满足采购文件全部实质性要求，视为交付验收合格。标的不符合上述情形的，采购人在交付验收后七个工作日内以书面形式向</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提出，</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应自收到采购人书面异议后七个工作日内及时予以解决，否则，视为交付验收不合格。</w:t>
            </w:r>
          </w:p>
          <w:p w14:paraId="4DD16804">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（3）最终验收：</w:t>
            </w:r>
          </w:p>
          <w:p w14:paraId="070E2798">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标的交付验收合格投入使用后，</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提供的售后服务与其</w:t>
            </w:r>
            <w:r>
              <w:rPr>
                <w:rFonts w:hint="eastAsia" w:ascii="仿宋" w:hAnsi="仿宋" w:eastAsia="仿宋" w:cs="仿宋"/>
                <w:bCs/>
                <w:color w:val="auto"/>
                <w:sz w:val="24"/>
                <w:szCs w:val="24"/>
                <w:highlight w:val="none"/>
                <w:lang w:eastAsia="zh-CN"/>
              </w:rPr>
              <w:t>投标</w:t>
            </w:r>
            <w:r>
              <w:rPr>
                <w:rFonts w:hint="eastAsia" w:ascii="仿宋" w:hAnsi="仿宋" w:eastAsia="仿宋" w:cs="仿宋"/>
                <w:bCs/>
                <w:color w:val="auto"/>
                <w:sz w:val="24"/>
                <w:szCs w:val="24"/>
                <w:highlight w:val="none"/>
              </w:rPr>
              <w:t>承诺一致或更优，且</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履行完合同约定的应当由</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履行的全部事项之，视为最终验收合格。</w:t>
            </w:r>
          </w:p>
          <w:p w14:paraId="0EE65D07">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（4）其他事项：</w:t>
            </w:r>
          </w:p>
          <w:p w14:paraId="2D658AAA">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1）验收时，双方应当派员在场，并对验收结果签署意见，否则视为其同意验收结果。</w:t>
            </w:r>
          </w:p>
          <w:p w14:paraId="0B0E134E">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2）由于</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的原因造成采购人验收不合格、影响采购人正常使用的，由此造成的损失由</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承担。初步验收或交付验收不合格的，采购人有权终止合同并全部退货，同时报相关监督管理部门处理，由此造成甲方经济损失的由</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负责承担全部赔偿责任。</w:t>
            </w:r>
          </w:p>
          <w:p w14:paraId="57E6DAEE">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3）对技术复杂的货物，采购人可请国家认可的专业检测机构参与初步验收及交付验收，并由其出具质量检测报告，费用由</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承担。</w:t>
            </w:r>
          </w:p>
          <w:p w14:paraId="73ED86A3">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4）验收过程中所产生的一切费用均由</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承担，</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在</w:t>
            </w:r>
            <w:r>
              <w:rPr>
                <w:rFonts w:hint="eastAsia" w:ascii="仿宋" w:hAnsi="仿宋" w:eastAsia="仿宋" w:cs="仿宋"/>
                <w:bCs/>
                <w:color w:val="auto"/>
                <w:sz w:val="24"/>
                <w:szCs w:val="24"/>
                <w:highlight w:val="none"/>
                <w:lang w:eastAsia="zh-CN"/>
              </w:rPr>
              <w:t>投标报价</w:t>
            </w:r>
            <w:r>
              <w:rPr>
                <w:rFonts w:hint="eastAsia" w:ascii="仿宋" w:hAnsi="仿宋" w:eastAsia="仿宋" w:cs="仿宋"/>
                <w:bCs/>
                <w:color w:val="auto"/>
                <w:sz w:val="24"/>
                <w:szCs w:val="24"/>
                <w:highlight w:val="none"/>
              </w:rPr>
              <w:t>时应综合考虑相关费用。</w:t>
            </w:r>
          </w:p>
          <w:p w14:paraId="6920A774">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5）采购人对产品的验收不免除</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的质量保证责任。</w:t>
            </w:r>
          </w:p>
          <w:p w14:paraId="32F89DA3">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6）其他未尽事宜应严格按照《关于印发广西壮族自治区政府采购项目履约验收管理办法的通知》[桂财采〔2015〕22号]以及《财政部关于进一步加强政府采购需求和履约验收管理的指导意见》[财库〔2016〕205号]规定执行。</w:t>
            </w:r>
          </w:p>
          <w:p w14:paraId="544A89FC">
            <w:pPr>
              <w:keepNext w:val="0"/>
              <w:keepLines w:val="0"/>
              <w:pageBreakBefore w:val="0"/>
              <w:widowControl/>
              <w:kinsoku/>
              <w:wordWrap/>
              <w:overflowPunct/>
              <w:topLinePunct w:val="0"/>
              <w:bidi w:val="0"/>
              <w:spacing w:line="40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7）验收产生的费用</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负责。</w:t>
            </w:r>
          </w:p>
        </w:tc>
      </w:tr>
      <w:tr w14:paraId="28676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0" w:hRule="atLeast"/>
          <w:jc w:val="center"/>
        </w:trPr>
        <w:tc>
          <w:tcPr>
            <w:tcW w:w="1806" w:type="dxa"/>
            <w:gridSpan w:val="2"/>
            <w:tcBorders>
              <w:top w:val="single" w:color="auto" w:sz="4" w:space="0"/>
              <w:left w:val="single" w:color="auto" w:sz="4" w:space="0"/>
              <w:bottom w:val="single" w:color="auto" w:sz="4" w:space="0"/>
              <w:right w:val="single" w:color="auto" w:sz="4" w:space="0"/>
            </w:tcBorders>
            <w:noWrap w:val="0"/>
            <w:vAlign w:val="center"/>
          </w:tcPr>
          <w:p w14:paraId="65FA14DC">
            <w:pPr>
              <w:keepNext w:val="0"/>
              <w:keepLines w:val="0"/>
              <w:pageBreakBefore w:val="0"/>
              <w:kinsoku/>
              <w:overflowPunct/>
              <w:topLinePunct w:val="0"/>
              <w:bidi w:val="0"/>
              <w:spacing w:line="400" w:lineRule="exact"/>
              <w:ind w:firstLine="14" w:firstLineChars="6"/>
              <w:jc w:val="center"/>
              <w:outlineLvl w:val="0"/>
              <w:rPr>
                <w:rFonts w:hint="eastAsia" w:ascii="仿宋" w:hAnsi="仿宋" w:eastAsia="仿宋" w:cs="仿宋"/>
                <w:color w:val="auto"/>
                <w:kern w:val="0"/>
                <w:sz w:val="24"/>
                <w:szCs w:val="24"/>
                <w:highlight w:val="none"/>
              </w:rPr>
            </w:pPr>
            <w:r>
              <w:rPr>
                <w:rFonts w:hint="eastAsia" w:ascii="仿宋" w:hAnsi="仿宋" w:eastAsia="仿宋" w:cs="仿宋"/>
                <w:b/>
                <w:color w:val="auto"/>
                <w:sz w:val="24"/>
                <w:szCs w:val="24"/>
                <w:highlight w:val="none"/>
                <w:lang w:eastAsia="zh-CN" w:bidi="ar"/>
              </w:rPr>
              <w:t>知识产权</w:t>
            </w:r>
          </w:p>
        </w:tc>
        <w:tc>
          <w:tcPr>
            <w:tcW w:w="8412" w:type="dxa"/>
            <w:gridSpan w:val="3"/>
            <w:tcBorders>
              <w:top w:val="single" w:color="auto" w:sz="4" w:space="0"/>
              <w:left w:val="single" w:color="auto" w:sz="4" w:space="0"/>
              <w:bottom w:val="single" w:color="auto" w:sz="4" w:space="0"/>
              <w:right w:val="single" w:color="auto" w:sz="4" w:space="0"/>
            </w:tcBorders>
            <w:noWrap w:val="0"/>
            <w:vAlign w:val="center"/>
          </w:tcPr>
          <w:p w14:paraId="06314E6D">
            <w:pPr>
              <w:keepNext w:val="0"/>
              <w:keepLines w:val="0"/>
              <w:pageBreakBefore w:val="0"/>
              <w:widowControl/>
              <w:kinsoku/>
              <w:wordWrap/>
              <w:overflowPunct/>
              <w:topLinePunct w:val="0"/>
              <w:bidi w:val="0"/>
              <w:spacing w:line="400" w:lineRule="exact"/>
              <w:ind w:firstLine="15" w:firstLineChars="6"/>
              <w:jc w:val="both"/>
              <w:outlineLvl w:val="0"/>
              <w:rPr>
                <w:rFonts w:hint="eastAsia" w:ascii="仿宋" w:hAnsi="仿宋" w:eastAsia="仿宋" w:cs="仿宋"/>
                <w:color w:val="auto"/>
                <w:spacing w:val="6"/>
                <w:sz w:val="24"/>
                <w:szCs w:val="24"/>
                <w:highlight w:val="none"/>
                <w:lang w:eastAsia="zh-CN" w:bidi="ar"/>
              </w:rPr>
            </w:pPr>
            <w:r>
              <w:rPr>
                <w:rFonts w:hint="eastAsia" w:ascii="仿宋" w:hAnsi="仿宋" w:eastAsia="仿宋" w:cs="仿宋"/>
                <w:color w:val="auto"/>
                <w:spacing w:val="6"/>
                <w:sz w:val="24"/>
                <w:szCs w:val="24"/>
                <w:highlight w:val="none"/>
                <w:lang w:eastAsia="zh-CN" w:bidi="ar"/>
              </w:rPr>
              <w:t>1.采购人在履行合同过程中提供给中标人的全部图纸、文件和其他含有数据和信息的资料，其知识产权属于采购人。</w:t>
            </w:r>
          </w:p>
          <w:p w14:paraId="77EF14A9">
            <w:pPr>
              <w:keepNext w:val="0"/>
              <w:keepLines w:val="0"/>
              <w:pageBreakBefore w:val="0"/>
              <w:widowControl/>
              <w:kinsoku/>
              <w:wordWrap/>
              <w:overflowPunct/>
              <w:topLinePunct w:val="0"/>
              <w:bidi w:val="0"/>
              <w:spacing w:line="400" w:lineRule="exact"/>
              <w:ind w:firstLine="15" w:firstLineChars="6"/>
              <w:jc w:val="both"/>
              <w:outlineLvl w:val="0"/>
              <w:rPr>
                <w:rFonts w:hint="eastAsia" w:ascii="仿宋" w:hAnsi="仿宋" w:eastAsia="仿宋" w:cs="仿宋"/>
                <w:bCs/>
                <w:color w:val="auto"/>
                <w:sz w:val="24"/>
                <w:szCs w:val="24"/>
                <w:highlight w:val="none"/>
              </w:rPr>
            </w:pPr>
            <w:r>
              <w:rPr>
                <w:rFonts w:hint="eastAsia" w:ascii="仿宋" w:hAnsi="仿宋" w:eastAsia="仿宋" w:cs="仿宋"/>
                <w:color w:val="auto"/>
                <w:spacing w:val="6"/>
                <w:sz w:val="24"/>
                <w:szCs w:val="24"/>
                <w:highlight w:val="none"/>
                <w:lang w:eastAsia="zh-CN" w:bidi="ar"/>
              </w:rPr>
              <w:t>2.中标人应保证所提供货物在使用时不会侵犯任何第三方的知识产权或者其他权利。如合同货物涉及知识产权，则中标人保证采购人在使用合同货物过程中免于受到第三方提出的有关知识产权侵权的主张、索赔或诉讼的伤害。</w:t>
            </w:r>
          </w:p>
        </w:tc>
      </w:tr>
      <w:tr w14:paraId="69580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806" w:type="dxa"/>
            <w:gridSpan w:val="2"/>
            <w:tcBorders>
              <w:top w:val="single" w:color="auto" w:sz="4" w:space="0"/>
              <w:left w:val="single" w:color="auto" w:sz="4" w:space="0"/>
              <w:bottom w:val="single" w:color="auto" w:sz="4" w:space="0"/>
              <w:right w:val="single" w:color="auto" w:sz="4" w:space="0"/>
            </w:tcBorders>
            <w:noWrap w:val="0"/>
            <w:vAlign w:val="center"/>
          </w:tcPr>
          <w:p w14:paraId="60D8BBFF">
            <w:pPr>
              <w:keepNext w:val="0"/>
              <w:keepLines w:val="0"/>
              <w:pageBreakBefore w:val="0"/>
              <w:kinsoku/>
              <w:overflowPunct/>
              <w:topLinePunct w:val="0"/>
              <w:bidi w:val="0"/>
              <w:spacing w:line="400" w:lineRule="exact"/>
              <w:ind w:firstLine="14" w:firstLineChars="6"/>
              <w:jc w:val="center"/>
              <w:outlineLvl w:val="0"/>
              <w:rPr>
                <w:rFonts w:hint="eastAsia" w:ascii="仿宋" w:hAnsi="仿宋" w:eastAsia="仿宋" w:cs="仿宋"/>
                <w:color w:val="auto"/>
                <w:kern w:val="0"/>
                <w:sz w:val="24"/>
                <w:szCs w:val="24"/>
                <w:highlight w:val="none"/>
              </w:rPr>
            </w:pPr>
            <w:r>
              <w:rPr>
                <w:rFonts w:hint="eastAsia" w:ascii="仿宋" w:hAnsi="仿宋" w:eastAsia="仿宋" w:cs="仿宋"/>
                <w:b/>
                <w:color w:val="auto"/>
                <w:sz w:val="24"/>
                <w:szCs w:val="24"/>
                <w:highlight w:val="none"/>
                <w:lang w:eastAsia="zh-CN" w:bidi="ar"/>
              </w:rPr>
              <w:t>其他要求</w:t>
            </w:r>
          </w:p>
        </w:tc>
        <w:tc>
          <w:tcPr>
            <w:tcW w:w="8412" w:type="dxa"/>
            <w:gridSpan w:val="3"/>
            <w:tcBorders>
              <w:top w:val="single" w:color="auto" w:sz="4" w:space="0"/>
              <w:left w:val="single" w:color="auto" w:sz="4" w:space="0"/>
              <w:bottom w:val="single" w:color="auto" w:sz="4" w:space="0"/>
              <w:right w:val="single" w:color="auto" w:sz="4" w:space="0"/>
            </w:tcBorders>
            <w:noWrap w:val="0"/>
            <w:vAlign w:val="center"/>
          </w:tcPr>
          <w:p w14:paraId="5722A408">
            <w:pPr>
              <w:keepNext w:val="0"/>
              <w:keepLines w:val="0"/>
              <w:pageBreakBefore w:val="0"/>
              <w:widowControl/>
              <w:wordWrap/>
              <w:overflowPunct/>
              <w:topLinePunct w:val="0"/>
              <w:bidi w:val="0"/>
              <w:adjustRightInd/>
              <w:snapToGrid/>
              <w:spacing w:line="400" w:lineRule="exact"/>
              <w:rPr>
                <w:rFonts w:hint="eastAsia" w:ascii="仿宋" w:hAnsi="仿宋" w:eastAsia="仿宋" w:cs="仿宋"/>
                <w:b w:val="0"/>
                <w:bCs/>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本分标最高限价金额：1700000元</w:t>
            </w:r>
            <w:r>
              <w:rPr>
                <w:rFonts w:hint="eastAsia" w:ascii="仿宋" w:hAnsi="仿宋" w:eastAsia="仿宋" w:cs="仿宋"/>
                <w:color w:val="auto"/>
                <w:sz w:val="24"/>
                <w:szCs w:val="24"/>
                <w:highlight w:val="none"/>
                <w:lang w:val="en-US" w:eastAsia="zh-CN"/>
              </w:rPr>
              <w:t>，</w:t>
            </w:r>
            <w:r>
              <w:rPr>
                <w:rFonts w:hint="eastAsia" w:ascii="仿宋" w:hAnsi="仿宋" w:eastAsia="仿宋" w:cs="仿宋"/>
                <w:b/>
                <w:bCs/>
                <w:color w:val="auto"/>
                <w:sz w:val="24"/>
                <w:szCs w:val="24"/>
                <w:highlight w:val="none"/>
              </w:rPr>
              <w:t>投标报价超出最高限价金额的，投标文件作无效处理。</w:t>
            </w:r>
          </w:p>
          <w:p w14:paraId="442B0D2F">
            <w:pPr>
              <w:keepNext w:val="0"/>
              <w:keepLines w:val="0"/>
              <w:pageBreakBefore w:val="0"/>
              <w:widowControl/>
              <w:kinsoku/>
              <w:wordWrap/>
              <w:overflowPunct/>
              <w:topLinePunct w:val="0"/>
              <w:bidi w:val="0"/>
              <w:spacing w:line="400" w:lineRule="exact"/>
              <w:ind w:firstLine="14" w:firstLineChars="6"/>
              <w:jc w:val="both"/>
              <w:outlineLvl w:val="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eastAsia="zh-CN"/>
              </w:rPr>
              <w:t>1</w:t>
            </w:r>
            <w:r>
              <w:rPr>
                <w:rFonts w:hint="eastAsia" w:ascii="仿宋" w:hAnsi="仿宋" w:eastAsia="仿宋" w:cs="仿宋"/>
                <w:b w:val="0"/>
                <w:bCs/>
                <w:color w:val="auto"/>
                <w:sz w:val="24"/>
                <w:szCs w:val="24"/>
                <w:highlight w:val="none"/>
                <w:lang w:val="en-US" w:eastAsia="zh-CN"/>
              </w:rPr>
              <w:t>.</w:t>
            </w:r>
            <w:r>
              <w:rPr>
                <w:rFonts w:hint="eastAsia" w:ascii="仿宋" w:hAnsi="仿宋" w:eastAsia="仿宋" w:cs="仿宋"/>
                <w:b w:val="0"/>
                <w:bCs/>
                <w:color w:val="auto"/>
                <w:sz w:val="24"/>
                <w:szCs w:val="24"/>
                <w:highlight w:val="none"/>
                <w:lang w:eastAsia="zh-CN"/>
              </w:rPr>
              <w:t>投标报价必须包括设备的所有费用，包括采购、运输、劳务、管理、利润、税金、保险、协调、布线、安装、调试、进场安装配合费、连接信息系统接口费、培训、售后服务以及所有的不定因素的风险等。</w:t>
            </w:r>
          </w:p>
          <w:p w14:paraId="097AD41A">
            <w:pPr>
              <w:keepNext w:val="0"/>
              <w:keepLines w:val="0"/>
              <w:pageBreakBefore w:val="0"/>
              <w:widowControl/>
              <w:kinsoku/>
              <w:wordWrap/>
              <w:overflowPunct/>
              <w:topLinePunct w:val="0"/>
              <w:bidi w:val="0"/>
              <w:spacing w:line="400" w:lineRule="exact"/>
              <w:ind w:firstLine="14" w:firstLineChars="6"/>
              <w:jc w:val="both"/>
              <w:outlineLvl w:val="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val="en-US" w:eastAsia="zh-CN"/>
              </w:rPr>
              <w:t>2.</w:t>
            </w:r>
            <w:r>
              <w:rPr>
                <w:rFonts w:hint="eastAsia" w:ascii="仿宋" w:hAnsi="仿宋" w:eastAsia="仿宋" w:cs="仿宋"/>
                <w:b w:val="0"/>
                <w:bCs/>
                <w:color w:val="auto"/>
                <w:sz w:val="24"/>
                <w:szCs w:val="24"/>
                <w:highlight w:val="none"/>
                <w:lang w:eastAsia="zh-CN"/>
              </w:rPr>
              <w:t>投标人必须承诺设备验收合格后免费对采购人的使用人员进行操作及相关知识的培训，并确保设备有1～2人能熟练使用设备，并能排除简单的软硬件故障。</w:t>
            </w:r>
          </w:p>
          <w:p w14:paraId="6BA942D9">
            <w:pPr>
              <w:keepNext w:val="0"/>
              <w:keepLines w:val="0"/>
              <w:pageBreakBefore w:val="0"/>
              <w:widowControl/>
              <w:kinsoku/>
              <w:wordWrap/>
              <w:overflowPunct/>
              <w:topLinePunct w:val="0"/>
              <w:bidi w:val="0"/>
              <w:spacing w:line="400" w:lineRule="exact"/>
              <w:ind w:firstLine="14" w:firstLineChars="6"/>
              <w:jc w:val="both"/>
              <w:outlineLvl w:val="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val="en-US" w:eastAsia="zh-CN"/>
              </w:rPr>
              <w:t>3.</w:t>
            </w:r>
            <w:r>
              <w:rPr>
                <w:rFonts w:hint="eastAsia" w:ascii="仿宋" w:hAnsi="仿宋" w:eastAsia="仿宋" w:cs="仿宋"/>
                <w:b w:val="0"/>
                <w:bCs/>
                <w:color w:val="auto"/>
                <w:sz w:val="24"/>
                <w:szCs w:val="24"/>
                <w:highlight w:val="none"/>
                <w:lang w:eastAsia="zh-CN"/>
              </w:rPr>
              <w:t>设备必须是全新、完整、未使用过的产品；设备到货后，供应商和购买方应在现场进行清点；清点过程中如果发现因包装或运输不当引起的仪器外观或内部的损坏，供应商应负责更换；若发现错发/漏发情况，供应商应负责更换和补发。</w:t>
            </w:r>
          </w:p>
          <w:p w14:paraId="526D30A0">
            <w:pPr>
              <w:keepNext w:val="0"/>
              <w:keepLines w:val="0"/>
              <w:pageBreakBefore w:val="0"/>
              <w:widowControl/>
              <w:kinsoku/>
              <w:wordWrap/>
              <w:overflowPunct/>
              <w:topLinePunct w:val="0"/>
              <w:bidi w:val="0"/>
              <w:spacing w:line="400" w:lineRule="exact"/>
              <w:ind w:firstLine="14" w:firstLineChars="6"/>
              <w:jc w:val="both"/>
              <w:outlineLvl w:val="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val="en-US" w:eastAsia="zh-CN"/>
              </w:rPr>
              <w:t>4.</w:t>
            </w:r>
            <w:r>
              <w:rPr>
                <w:rFonts w:hint="eastAsia" w:ascii="仿宋" w:hAnsi="仿宋" w:eastAsia="仿宋" w:cs="仿宋"/>
                <w:b w:val="0"/>
                <w:bCs/>
                <w:color w:val="auto"/>
                <w:sz w:val="24"/>
                <w:szCs w:val="24"/>
                <w:highlight w:val="none"/>
                <w:lang w:eastAsia="zh-CN"/>
              </w:rPr>
              <w:t>安装标准及验收标准：符合我国国家有关技术规范和技术标准；设备安装后，医院按国际和国家标准及厂方标准进行质量验收；卖方应向买方提供详细的验收标准、验收手册。</w:t>
            </w:r>
          </w:p>
          <w:p w14:paraId="14F5D598">
            <w:pPr>
              <w:keepNext w:val="0"/>
              <w:keepLines w:val="0"/>
              <w:pageBreakBefore w:val="0"/>
              <w:widowControl/>
              <w:kinsoku/>
              <w:wordWrap/>
              <w:overflowPunct/>
              <w:topLinePunct w:val="0"/>
              <w:bidi w:val="0"/>
              <w:spacing w:line="400" w:lineRule="exact"/>
              <w:ind w:firstLine="14" w:firstLineChars="6"/>
              <w:jc w:val="both"/>
              <w:outlineLvl w:val="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val="en-US" w:eastAsia="zh-CN"/>
              </w:rPr>
              <w:t>5.</w:t>
            </w:r>
            <w:r>
              <w:rPr>
                <w:rFonts w:hint="eastAsia" w:ascii="仿宋" w:hAnsi="仿宋" w:eastAsia="仿宋" w:cs="仿宋"/>
                <w:b w:val="0"/>
                <w:bCs/>
                <w:color w:val="auto"/>
                <w:sz w:val="24"/>
                <w:szCs w:val="24"/>
                <w:highlight w:val="none"/>
                <w:lang w:eastAsia="zh-CN"/>
              </w:rPr>
              <w:t>采购人在中华人民共和国境内使用中标人提供的产品及服务时免受第三方提出的侵犯其专利权或其它知识产权的起诉。如果第三方提出侵权指控，中标人应承担由此而引起的一切法律责任和费用。</w:t>
            </w:r>
          </w:p>
          <w:p w14:paraId="03B3256F">
            <w:pPr>
              <w:keepNext w:val="0"/>
              <w:keepLines w:val="0"/>
              <w:pageBreakBefore w:val="0"/>
              <w:widowControl/>
              <w:kinsoku/>
              <w:wordWrap/>
              <w:overflowPunct/>
              <w:topLinePunct w:val="0"/>
              <w:bidi w:val="0"/>
              <w:spacing w:line="400" w:lineRule="exact"/>
              <w:ind w:firstLine="14" w:firstLineChars="6"/>
              <w:jc w:val="both"/>
              <w:outlineLvl w:val="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val="en-US" w:eastAsia="zh-CN"/>
              </w:rPr>
              <w:t>6.</w:t>
            </w:r>
            <w:r>
              <w:rPr>
                <w:rFonts w:hint="eastAsia" w:ascii="仿宋" w:hAnsi="仿宋" w:eastAsia="仿宋" w:cs="仿宋"/>
                <w:b w:val="0"/>
                <w:bCs/>
                <w:color w:val="auto"/>
                <w:sz w:val="24"/>
                <w:szCs w:val="24"/>
                <w:highlight w:val="none"/>
                <w:lang w:eastAsia="zh-CN"/>
              </w:rPr>
              <w:t>在货物验收时候，如发现存在虚假响应，采购人将终止合同，并上报监督管理部门进行处罚。</w:t>
            </w:r>
          </w:p>
          <w:p w14:paraId="482E4EC4">
            <w:pPr>
              <w:keepNext w:val="0"/>
              <w:keepLines w:val="0"/>
              <w:pageBreakBefore w:val="0"/>
              <w:widowControl/>
              <w:kinsoku/>
              <w:wordWrap/>
              <w:overflowPunct/>
              <w:topLinePunct w:val="0"/>
              <w:bidi w:val="0"/>
              <w:spacing w:line="400" w:lineRule="exact"/>
              <w:ind w:firstLine="14" w:firstLineChars="6"/>
              <w:jc w:val="both"/>
              <w:outlineLvl w:val="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val="en-US" w:eastAsia="zh-CN"/>
              </w:rPr>
              <w:t>7.</w:t>
            </w:r>
            <w:r>
              <w:rPr>
                <w:rFonts w:hint="eastAsia" w:ascii="仿宋" w:hAnsi="仿宋" w:eastAsia="仿宋" w:cs="仿宋"/>
                <w:b w:val="0"/>
                <w:bCs/>
                <w:color w:val="auto"/>
                <w:sz w:val="24"/>
                <w:szCs w:val="24"/>
                <w:highlight w:val="none"/>
                <w:lang w:eastAsia="zh-CN"/>
              </w:rPr>
              <w:t>交钥匙工程：中标人负责全部产品的安装调试后直接交付运行。在保修期内，中标人保证采购人能够合法应用该器械/服务。在此过程中，采购人应当提供一切必要支持。若可能出现的后续证件、手续，中标人必须提供办理的流程及方法。</w:t>
            </w:r>
          </w:p>
          <w:p w14:paraId="5C7DE2AE">
            <w:pPr>
              <w:keepNext w:val="0"/>
              <w:keepLines w:val="0"/>
              <w:pageBreakBefore w:val="0"/>
              <w:widowControl/>
              <w:kinsoku/>
              <w:wordWrap/>
              <w:overflowPunct/>
              <w:topLinePunct w:val="0"/>
              <w:bidi w:val="0"/>
              <w:spacing w:line="400" w:lineRule="exact"/>
              <w:ind w:firstLine="14" w:firstLineChars="6"/>
              <w:jc w:val="both"/>
              <w:outlineLvl w:val="0"/>
              <w:rPr>
                <w:rFonts w:hint="eastAsia" w:ascii="仿宋" w:hAnsi="仿宋" w:eastAsia="仿宋" w:cs="仿宋"/>
                <w:bCs/>
                <w:color w:val="auto"/>
                <w:sz w:val="24"/>
                <w:szCs w:val="24"/>
                <w:highlight w:val="none"/>
              </w:rPr>
            </w:pPr>
            <w:r>
              <w:rPr>
                <w:rFonts w:hint="eastAsia" w:ascii="仿宋" w:hAnsi="仿宋" w:eastAsia="仿宋" w:cs="仿宋"/>
                <w:b w:val="0"/>
                <w:bCs/>
                <w:color w:val="auto"/>
                <w:sz w:val="24"/>
                <w:szCs w:val="24"/>
                <w:highlight w:val="none"/>
                <w:lang w:val="en-US" w:eastAsia="zh-CN"/>
              </w:rPr>
              <w:t>8.</w:t>
            </w:r>
            <w:r>
              <w:rPr>
                <w:rFonts w:hint="eastAsia" w:ascii="仿宋" w:hAnsi="仿宋" w:eastAsia="仿宋" w:cs="仿宋"/>
                <w:b w:val="0"/>
                <w:bCs/>
                <w:color w:val="auto"/>
                <w:sz w:val="24"/>
                <w:szCs w:val="24"/>
                <w:highlight w:val="none"/>
                <w:lang w:eastAsia="zh-CN"/>
              </w:rPr>
              <w:t>本项目采购标的需执行的国家相关标准、行业标准、地方标准或其他强制性标准、规范等要求。</w:t>
            </w:r>
          </w:p>
        </w:tc>
      </w:tr>
    </w:tbl>
    <w:p w14:paraId="0FE38EF4">
      <w:pPr>
        <w:bidi w:val="0"/>
        <w:rPr>
          <w:rFonts w:hint="eastAsia" w:ascii="仿宋" w:hAnsi="仿宋" w:eastAsia="仿宋" w:cs="仿宋"/>
          <w:color w:val="auto"/>
          <w:sz w:val="24"/>
          <w:szCs w:val="24"/>
          <w:highlight w:val="none"/>
          <w:lang w:val="en-US" w:eastAsia="zh-CN"/>
        </w:rPr>
      </w:pPr>
      <w:bookmarkStart w:id="65" w:name="_Toc21324"/>
    </w:p>
    <w:p w14:paraId="535B2B18">
      <w:pPr>
        <w:pStyle w:val="4"/>
        <w:bidi w:val="0"/>
        <w:ind w:left="0" w:leftChars="0" w:firstLine="241"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分标二：</w:t>
      </w:r>
      <w:bookmarkEnd w:id="65"/>
      <w:r>
        <w:rPr>
          <w:rFonts w:hint="eastAsia" w:ascii="仿宋" w:hAnsi="仿宋" w:eastAsia="仿宋" w:cs="仿宋"/>
          <w:color w:val="auto"/>
          <w:sz w:val="24"/>
          <w:szCs w:val="24"/>
          <w:highlight w:val="none"/>
          <w:lang w:eastAsia="zh-CN"/>
        </w:rPr>
        <w:t>胃肠机</w:t>
      </w:r>
    </w:p>
    <w:tbl>
      <w:tblPr>
        <w:tblStyle w:val="50"/>
        <w:tblW w:w="102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1313"/>
        <w:gridCol w:w="893"/>
        <w:gridCol w:w="5918"/>
        <w:gridCol w:w="1389"/>
        <w:gridCol w:w="4"/>
      </w:tblGrid>
      <w:tr w14:paraId="00002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0232" w:type="dxa"/>
            <w:gridSpan w:val="6"/>
            <w:noWrap w:val="0"/>
            <w:vAlign w:val="center"/>
          </w:tcPr>
          <w:p w14:paraId="5E285EF4">
            <w:pPr>
              <w:keepNext w:val="0"/>
              <w:keepLines w:val="0"/>
              <w:pageBreakBefore w:val="0"/>
              <w:overflowPunct/>
              <w:topLinePunct w:val="0"/>
              <w:bidi w:val="0"/>
              <w:spacing w:line="440" w:lineRule="exact"/>
              <w:jc w:val="center"/>
              <w:rPr>
                <w:rStyle w:val="53"/>
                <w:rFonts w:hint="eastAsia" w:ascii="仿宋" w:hAnsi="仿宋" w:eastAsia="仿宋" w:cs="仿宋"/>
                <w:b w:val="0"/>
                <w:bCs/>
                <w:color w:val="auto"/>
                <w:sz w:val="24"/>
                <w:szCs w:val="24"/>
                <w:highlight w:val="none"/>
              </w:rPr>
            </w:pPr>
            <w:r>
              <w:rPr>
                <w:rStyle w:val="53"/>
                <w:rFonts w:hint="eastAsia" w:ascii="仿宋" w:hAnsi="仿宋" w:eastAsia="仿宋" w:cs="仿宋"/>
                <w:b/>
                <w:bCs w:val="0"/>
                <w:color w:val="auto"/>
                <w:sz w:val="24"/>
                <w:szCs w:val="24"/>
                <w:highlight w:val="none"/>
                <w:lang w:eastAsia="zh-CN"/>
              </w:rPr>
              <w:t>（</w:t>
            </w:r>
            <w:r>
              <w:rPr>
                <w:rStyle w:val="53"/>
                <w:rFonts w:hint="eastAsia" w:ascii="仿宋" w:hAnsi="仿宋" w:eastAsia="仿宋" w:cs="仿宋"/>
                <w:b/>
                <w:bCs w:val="0"/>
                <w:color w:val="auto"/>
                <w:sz w:val="24"/>
                <w:szCs w:val="24"/>
                <w:highlight w:val="none"/>
                <w:lang w:val="en-US" w:eastAsia="zh-CN"/>
              </w:rPr>
              <w:t>一）</w:t>
            </w:r>
            <w:r>
              <w:rPr>
                <w:rStyle w:val="53"/>
                <w:rFonts w:hint="eastAsia" w:ascii="仿宋" w:hAnsi="仿宋" w:eastAsia="仿宋" w:cs="仿宋"/>
                <w:b/>
                <w:bCs w:val="0"/>
                <w:color w:val="auto"/>
                <w:sz w:val="24"/>
                <w:szCs w:val="24"/>
                <w:highlight w:val="none"/>
              </w:rPr>
              <w:t>技术参数</w:t>
            </w:r>
          </w:p>
        </w:tc>
      </w:tr>
      <w:tr w14:paraId="7F1A3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715" w:type="dxa"/>
            <w:noWrap w:val="0"/>
            <w:vAlign w:val="center"/>
          </w:tcPr>
          <w:p w14:paraId="6E532120">
            <w:pPr>
              <w:keepNext w:val="0"/>
              <w:keepLines w:val="0"/>
              <w:pageBreakBefore w:val="0"/>
              <w:overflowPunct/>
              <w:topLinePunct w:val="0"/>
              <w:bidi w:val="0"/>
              <w:spacing w:line="440" w:lineRule="exact"/>
              <w:jc w:val="center"/>
              <w:rPr>
                <w:rStyle w:val="53"/>
                <w:rFonts w:hint="eastAsia" w:ascii="仿宋" w:hAnsi="仿宋" w:eastAsia="仿宋" w:cs="仿宋"/>
                <w:b/>
                <w:bCs w:val="0"/>
                <w:color w:val="auto"/>
                <w:sz w:val="24"/>
                <w:szCs w:val="24"/>
                <w:highlight w:val="none"/>
              </w:rPr>
            </w:pPr>
            <w:r>
              <w:rPr>
                <w:rStyle w:val="53"/>
                <w:rFonts w:hint="eastAsia" w:ascii="仿宋" w:hAnsi="仿宋" w:eastAsia="仿宋" w:cs="仿宋"/>
                <w:b/>
                <w:bCs w:val="0"/>
                <w:color w:val="auto"/>
                <w:sz w:val="24"/>
                <w:szCs w:val="24"/>
                <w:highlight w:val="none"/>
              </w:rPr>
              <w:t>序号</w:t>
            </w:r>
          </w:p>
        </w:tc>
        <w:tc>
          <w:tcPr>
            <w:tcW w:w="1313" w:type="dxa"/>
            <w:noWrap w:val="0"/>
            <w:vAlign w:val="center"/>
          </w:tcPr>
          <w:p w14:paraId="073FB6E9">
            <w:pPr>
              <w:keepNext w:val="0"/>
              <w:keepLines w:val="0"/>
              <w:pageBreakBefore w:val="0"/>
              <w:overflowPunct/>
              <w:topLinePunct w:val="0"/>
              <w:bidi w:val="0"/>
              <w:spacing w:line="440" w:lineRule="exact"/>
              <w:jc w:val="center"/>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货物名称</w:t>
            </w:r>
          </w:p>
        </w:tc>
        <w:tc>
          <w:tcPr>
            <w:tcW w:w="893" w:type="dxa"/>
            <w:noWrap w:val="0"/>
            <w:vAlign w:val="center"/>
          </w:tcPr>
          <w:p w14:paraId="249E2933">
            <w:pPr>
              <w:keepNext w:val="0"/>
              <w:keepLines w:val="0"/>
              <w:pageBreakBefore w:val="0"/>
              <w:overflowPunct/>
              <w:topLinePunct w:val="0"/>
              <w:bidi w:val="0"/>
              <w:spacing w:line="440" w:lineRule="exact"/>
              <w:jc w:val="center"/>
              <w:rPr>
                <w:rFonts w:hint="eastAsia" w:ascii="仿宋" w:hAnsi="仿宋" w:eastAsia="仿宋" w:cs="仿宋"/>
                <w:b/>
                <w:bCs w:val="0"/>
                <w:color w:val="auto"/>
                <w:sz w:val="24"/>
                <w:szCs w:val="24"/>
                <w:highlight w:val="none"/>
                <w:shd w:val="clear" w:color="auto" w:fill="FFFFFF"/>
              </w:rPr>
            </w:pPr>
            <w:r>
              <w:rPr>
                <w:rFonts w:hint="eastAsia" w:ascii="仿宋" w:hAnsi="仿宋" w:eastAsia="仿宋" w:cs="仿宋"/>
                <w:b/>
                <w:bCs w:val="0"/>
                <w:color w:val="auto"/>
                <w:sz w:val="24"/>
                <w:szCs w:val="24"/>
                <w:highlight w:val="none"/>
                <w:shd w:val="clear" w:color="auto" w:fill="FFFFFF"/>
              </w:rPr>
              <w:t>数量及单位</w:t>
            </w:r>
          </w:p>
        </w:tc>
        <w:tc>
          <w:tcPr>
            <w:tcW w:w="5918" w:type="dxa"/>
            <w:noWrap w:val="0"/>
            <w:vAlign w:val="center"/>
          </w:tcPr>
          <w:p w14:paraId="6FDEF6C7">
            <w:pPr>
              <w:keepNext w:val="0"/>
              <w:keepLines w:val="0"/>
              <w:pageBreakBefore w:val="0"/>
              <w:overflowPunct/>
              <w:topLinePunct w:val="0"/>
              <w:bidi w:val="0"/>
              <w:spacing w:line="440" w:lineRule="exact"/>
              <w:jc w:val="center"/>
              <w:rPr>
                <w:rStyle w:val="53"/>
                <w:rFonts w:hint="eastAsia" w:ascii="仿宋" w:hAnsi="仿宋" w:eastAsia="仿宋" w:cs="仿宋"/>
                <w:b/>
                <w:bCs w:val="0"/>
                <w:color w:val="auto"/>
                <w:sz w:val="24"/>
                <w:szCs w:val="24"/>
                <w:highlight w:val="none"/>
              </w:rPr>
            </w:pPr>
            <w:r>
              <w:rPr>
                <w:rStyle w:val="53"/>
                <w:rFonts w:hint="eastAsia" w:ascii="仿宋" w:hAnsi="仿宋" w:eastAsia="仿宋" w:cs="仿宋"/>
                <w:b/>
                <w:bCs w:val="0"/>
                <w:color w:val="auto"/>
                <w:sz w:val="24"/>
                <w:szCs w:val="24"/>
                <w:highlight w:val="none"/>
              </w:rPr>
              <w:t>技术参数、性能（配置）及其他要求</w:t>
            </w:r>
          </w:p>
        </w:tc>
        <w:tc>
          <w:tcPr>
            <w:tcW w:w="1393" w:type="dxa"/>
            <w:gridSpan w:val="2"/>
            <w:noWrap w:val="0"/>
            <w:vAlign w:val="center"/>
          </w:tcPr>
          <w:p w14:paraId="0D82202D">
            <w:pPr>
              <w:keepNext w:val="0"/>
              <w:keepLines w:val="0"/>
              <w:pageBreakBefore w:val="0"/>
              <w:overflowPunct/>
              <w:topLinePunct w:val="0"/>
              <w:bidi w:val="0"/>
              <w:spacing w:line="440" w:lineRule="exact"/>
              <w:jc w:val="center"/>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各分项最高限价合计（元）</w:t>
            </w:r>
          </w:p>
        </w:tc>
      </w:tr>
      <w:tr w14:paraId="3E6F0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715" w:type="dxa"/>
            <w:noWrap w:val="0"/>
            <w:vAlign w:val="center"/>
          </w:tcPr>
          <w:p w14:paraId="5732CC3C">
            <w:pPr>
              <w:keepNext w:val="0"/>
              <w:keepLines w:val="0"/>
              <w:pageBreakBefore w:val="0"/>
              <w:overflowPunct/>
              <w:topLinePunct w:val="0"/>
              <w:bidi w:val="0"/>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313" w:type="dxa"/>
            <w:noWrap w:val="0"/>
            <w:vAlign w:val="center"/>
          </w:tcPr>
          <w:p w14:paraId="2CE6E9CB">
            <w:pPr>
              <w:keepNext w:val="0"/>
              <w:keepLines w:val="0"/>
              <w:pageBreakBefore w:val="0"/>
              <w:overflowPunct/>
              <w:topLinePunct w:val="0"/>
              <w:bidi w:val="0"/>
              <w:spacing w:line="440" w:lineRule="exact"/>
              <w:jc w:val="center"/>
              <w:rPr>
                <w:rFonts w:hint="eastAsia" w:ascii="仿宋" w:hAnsi="仿宋" w:eastAsia="仿宋" w:cs="仿宋"/>
                <w:color w:val="auto"/>
                <w:kern w:val="0"/>
                <w:sz w:val="24"/>
                <w:szCs w:val="24"/>
                <w:highlight w:val="none"/>
                <w:lang w:eastAsia="zh-CN" w:bidi="ar"/>
              </w:rPr>
            </w:pPr>
            <w:r>
              <w:rPr>
                <w:rFonts w:hint="eastAsia" w:ascii="仿宋" w:hAnsi="仿宋" w:eastAsia="仿宋" w:cs="仿宋"/>
                <w:color w:val="auto"/>
                <w:kern w:val="0"/>
                <w:sz w:val="24"/>
                <w:szCs w:val="24"/>
                <w:highlight w:val="none"/>
                <w:lang w:bidi="ar"/>
              </w:rPr>
              <w:t xml:space="preserve"> </w:t>
            </w:r>
            <w:r>
              <w:rPr>
                <w:rFonts w:hint="eastAsia" w:ascii="仿宋" w:hAnsi="仿宋" w:eastAsia="仿宋" w:cs="仿宋"/>
                <w:color w:val="auto"/>
                <w:sz w:val="24"/>
                <w:szCs w:val="24"/>
                <w:highlight w:val="none"/>
                <w:lang w:eastAsia="zh-CN"/>
              </w:rPr>
              <w:t>胃肠机</w:t>
            </w:r>
          </w:p>
        </w:tc>
        <w:tc>
          <w:tcPr>
            <w:tcW w:w="893" w:type="dxa"/>
            <w:noWrap w:val="0"/>
            <w:vAlign w:val="center"/>
          </w:tcPr>
          <w:p w14:paraId="42E7017E">
            <w:pPr>
              <w:keepNext w:val="0"/>
              <w:keepLines w:val="0"/>
              <w:pageBreakBefore w:val="0"/>
              <w:overflowPunct/>
              <w:topLinePunct w:val="0"/>
              <w:bidi w:val="0"/>
              <w:spacing w:line="440" w:lineRule="exact"/>
              <w:jc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sz w:val="24"/>
                <w:szCs w:val="24"/>
                <w:highlight w:val="none"/>
                <w:lang w:val="en-US" w:eastAsia="zh-CN"/>
              </w:rPr>
              <w:t>1套</w:t>
            </w:r>
          </w:p>
        </w:tc>
        <w:tc>
          <w:tcPr>
            <w:tcW w:w="5918" w:type="dxa"/>
            <w:noWrap w:val="0"/>
            <w:vAlign w:val="center"/>
          </w:tcPr>
          <w:p w14:paraId="1ED7A628">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u w:val="none"/>
                <w:vertAlign w:val="baseline"/>
                <w:lang w:val="en-US" w:eastAsia="zh-CN"/>
              </w:rPr>
            </w:pPr>
            <w:r>
              <w:rPr>
                <w:rFonts w:hint="eastAsia" w:ascii="仿宋" w:hAnsi="仿宋" w:eastAsia="仿宋" w:cs="仿宋"/>
                <w:b/>
                <w:bCs/>
                <w:color w:val="auto"/>
                <w:sz w:val="24"/>
                <w:szCs w:val="24"/>
                <w:highlight w:val="none"/>
                <w:u w:val="none"/>
                <w:vertAlign w:val="baseline"/>
                <w:lang w:val="en-US" w:eastAsia="zh-CN"/>
              </w:rPr>
              <w:t>1.动态数字探测器</w:t>
            </w:r>
          </w:p>
          <w:p w14:paraId="1B8A58A3">
            <w:pPr>
              <w:keepNext w:val="0"/>
              <w:keepLines w:val="0"/>
              <w:pageBreakBefore w:val="0"/>
              <w:widowControl/>
              <w:kinsoku/>
              <w:wordWrap/>
              <w:overflowPunct/>
              <w:topLinePunct w:val="0"/>
              <w:bidi w:val="0"/>
              <w:spacing w:line="400" w:lineRule="exact"/>
              <w:ind w:firstLine="14" w:firstLineChars="6"/>
              <w:jc w:val="both"/>
              <w:outlineLvl w:val="0"/>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1.1探测器类型：动态平板探测器</w:t>
            </w:r>
          </w:p>
          <w:p w14:paraId="0966B42A">
            <w:pPr>
              <w:keepNext w:val="0"/>
              <w:keepLines w:val="0"/>
              <w:pageBreakBefore w:val="0"/>
              <w:widowControl/>
              <w:kinsoku/>
              <w:wordWrap/>
              <w:overflowPunct/>
              <w:topLinePunct w:val="0"/>
              <w:bidi w:val="0"/>
              <w:spacing w:line="400" w:lineRule="exact"/>
              <w:ind w:firstLine="14" w:firstLineChars="6"/>
              <w:jc w:val="both"/>
              <w:outlineLvl w:val="0"/>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1.2视野范围：≥17×17英寸</w:t>
            </w:r>
          </w:p>
          <w:p w14:paraId="7CFDE7C0">
            <w:pPr>
              <w:keepNext w:val="0"/>
              <w:keepLines w:val="0"/>
              <w:pageBreakBefore w:val="0"/>
              <w:widowControl/>
              <w:kinsoku/>
              <w:wordWrap/>
              <w:overflowPunct/>
              <w:topLinePunct w:val="0"/>
              <w:bidi w:val="0"/>
              <w:spacing w:line="400" w:lineRule="exact"/>
              <w:ind w:firstLine="14" w:firstLineChars="6"/>
              <w:jc w:val="both"/>
              <w:outlineLvl w:val="0"/>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1.3摄影像素：≥900万</w:t>
            </w:r>
          </w:p>
          <w:p w14:paraId="73B62FE6">
            <w:pPr>
              <w:keepNext w:val="0"/>
              <w:keepLines w:val="0"/>
              <w:pageBreakBefore w:val="0"/>
              <w:widowControl/>
              <w:kinsoku/>
              <w:wordWrap/>
              <w:overflowPunct/>
              <w:topLinePunct w:val="0"/>
              <w:bidi w:val="0"/>
              <w:spacing w:line="400" w:lineRule="exact"/>
              <w:ind w:firstLine="14" w:firstLineChars="6"/>
              <w:jc w:val="both"/>
              <w:outlineLvl w:val="0"/>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1.4透视最大像素：≥200万</w:t>
            </w:r>
          </w:p>
          <w:p w14:paraId="316CC461">
            <w:pPr>
              <w:keepNext w:val="0"/>
              <w:keepLines w:val="0"/>
              <w:pageBreakBefore w:val="0"/>
              <w:widowControl/>
              <w:kinsoku/>
              <w:wordWrap/>
              <w:overflowPunct/>
              <w:topLinePunct w:val="0"/>
              <w:bidi w:val="0"/>
              <w:spacing w:line="400" w:lineRule="exact"/>
              <w:ind w:firstLine="14" w:firstLineChars="6"/>
              <w:jc w:val="both"/>
              <w:outlineLvl w:val="0"/>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1.5连续点片最大采集矩阵：≥1500×1500</w:t>
            </w:r>
          </w:p>
          <w:p w14:paraId="044F9C6E">
            <w:pPr>
              <w:keepNext w:val="0"/>
              <w:keepLines w:val="0"/>
              <w:pageBreakBefore w:val="0"/>
              <w:widowControl/>
              <w:kinsoku/>
              <w:wordWrap/>
              <w:overflowPunct/>
              <w:topLinePunct w:val="0"/>
              <w:bidi w:val="0"/>
              <w:spacing w:line="400" w:lineRule="exact"/>
              <w:ind w:firstLine="14" w:firstLineChars="6"/>
              <w:jc w:val="both"/>
              <w:outlineLvl w:val="0"/>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1.6最高帧率：≥30f/s</w:t>
            </w:r>
          </w:p>
          <w:p w14:paraId="219CC00E">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u w:val="none"/>
                <w:vertAlign w:val="baseline"/>
                <w:lang w:val="en-US" w:eastAsia="zh-CN"/>
              </w:rPr>
            </w:pPr>
            <w:r>
              <w:rPr>
                <w:rFonts w:hint="eastAsia" w:ascii="仿宋" w:hAnsi="仿宋" w:eastAsia="仿宋" w:cs="仿宋"/>
                <w:b/>
                <w:bCs/>
                <w:color w:val="auto"/>
                <w:sz w:val="24"/>
                <w:szCs w:val="24"/>
                <w:highlight w:val="none"/>
                <w:u w:val="none"/>
                <w:vertAlign w:val="baseline"/>
                <w:lang w:val="en-US" w:eastAsia="zh-CN"/>
              </w:rPr>
              <w:t>2.高频高压发生器</w:t>
            </w:r>
          </w:p>
          <w:p w14:paraId="75F2B301">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2.1最大输出功率：≥80kW</w:t>
            </w:r>
          </w:p>
          <w:p w14:paraId="723E2D71">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2.2摄影最大管电压：≥150kV</w:t>
            </w:r>
          </w:p>
          <w:p w14:paraId="485D3896">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2.3透视最小管电流：≤1mA</w:t>
            </w:r>
          </w:p>
          <w:p w14:paraId="6A454401">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Cs/>
                <w:color w:val="auto"/>
                <w:kern w:val="0"/>
                <w:sz w:val="24"/>
                <w:szCs w:val="24"/>
                <w:highlight w:val="none"/>
              </w:rPr>
              <w:t>▲</w:t>
            </w:r>
            <w:r>
              <w:rPr>
                <w:rFonts w:hint="eastAsia" w:ascii="仿宋" w:hAnsi="仿宋" w:eastAsia="仿宋" w:cs="仿宋"/>
                <w:b w:val="0"/>
                <w:bCs w:val="0"/>
                <w:color w:val="auto"/>
                <w:sz w:val="24"/>
                <w:szCs w:val="24"/>
                <w:highlight w:val="none"/>
                <w:u w:val="none"/>
                <w:vertAlign w:val="baseline"/>
                <w:lang w:val="en-US" w:eastAsia="zh-CN"/>
              </w:rPr>
              <w:t>2.4连续透视管电流调节范围：最小≤0.5mA，最大≥20mA</w:t>
            </w:r>
            <w:r>
              <w:rPr>
                <w:rFonts w:hint="eastAsia" w:ascii="仿宋" w:hAnsi="仿宋" w:eastAsia="仿宋" w:cs="仿宋"/>
                <w:b/>
                <w:bCs/>
                <w:color w:val="auto"/>
                <w:kern w:val="2"/>
                <w:sz w:val="24"/>
                <w:szCs w:val="24"/>
                <w:highlight w:val="none"/>
                <w:lang w:eastAsia="zh-CN"/>
              </w:rPr>
              <w:t>（投标时提供技术参数说明书或产品彩页</w:t>
            </w:r>
            <w:r>
              <w:rPr>
                <w:rFonts w:hint="eastAsia" w:ascii="仿宋" w:hAnsi="仿宋" w:eastAsia="仿宋" w:cs="仿宋"/>
                <w:b/>
                <w:bCs/>
                <w:color w:val="auto"/>
                <w:kern w:val="2"/>
                <w:sz w:val="24"/>
                <w:szCs w:val="24"/>
                <w:highlight w:val="none"/>
                <w:lang w:val="en-US" w:eastAsia="zh-CN"/>
              </w:rPr>
              <w:t>的</w:t>
            </w:r>
            <w:r>
              <w:rPr>
                <w:rFonts w:hint="eastAsia" w:ascii="仿宋" w:hAnsi="仿宋" w:eastAsia="仿宋" w:cs="仿宋"/>
                <w:b/>
                <w:bCs/>
                <w:color w:val="auto"/>
                <w:kern w:val="2"/>
                <w:sz w:val="24"/>
                <w:szCs w:val="24"/>
                <w:highlight w:val="none"/>
                <w:lang w:eastAsia="zh-CN"/>
              </w:rPr>
              <w:t>证明材料并加盖投标人公章）</w:t>
            </w:r>
            <w:r>
              <w:rPr>
                <w:rFonts w:hint="eastAsia" w:ascii="仿宋" w:hAnsi="仿宋" w:eastAsia="仿宋" w:cs="仿宋"/>
                <w:b/>
                <w:bCs/>
                <w:color w:val="auto"/>
                <w:sz w:val="24"/>
                <w:szCs w:val="24"/>
                <w:highlight w:val="none"/>
                <w:u w:val="none"/>
                <w:vertAlign w:val="baseline"/>
                <w:lang w:val="en-US" w:eastAsia="zh-CN"/>
              </w:rPr>
              <w:t>；</w:t>
            </w:r>
            <w:r>
              <w:rPr>
                <w:rFonts w:hint="eastAsia" w:ascii="仿宋" w:hAnsi="仿宋" w:eastAsia="仿宋" w:cs="仿宋"/>
                <w:b w:val="0"/>
                <w:bCs w:val="0"/>
                <w:color w:val="auto"/>
                <w:sz w:val="24"/>
                <w:szCs w:val="24"/>
                <w:highlight w:val="none"/>
                <w:u w:val="none"/>
                <w:vertAlign w:val="baseline"/>
                <w:lang w:val="en-US" w:eastAsia="zh-CN"/>
              </w:rPr>
              <w:t>验收时需提供第三方检测机构出具的</w:t>
            </w:r>
            <w:r>
              <w:rPr>
                <w:rFonts w:hint="eastAsia" w:ascii="仿宋" w:hAnsi="仿宋" w:eastAsia="仿宋" w:cs="仿宋"/>
                <w:b w:val="0"/>
                <w:bCs w:val="0"/>
                <w:color w:val="auto"/>
                <w:kern w:val="2"/>
                <w:sz w:val="24"/>
                <w:szCs w:val="24"/>
                <w:highlight w:val="none"/>
                <w:lang w:val="en-US" w:eastAsia="zh-CN" w:bidi="ar-SA"/>
              </w:rPr>
              <w:t>有效</w:t>
            </w:r>
            <w:r>
              <w:rPr>
                <w:rFonts w:hint="eastAsia" w:ascii="仿宋" w:hAnsi="仿宋" w:eastAsia="仿宋" w:cs="仿宋"/>
                <w:b w:val="0"/>
                <w:bCs w:val="0"/>
                <w:color w:val="auto"/>
                <w:sz w:val="24"/>
                <w:szCs w:val="24"/>
                <w:highlight w:val="none"/>
                <w:u w:val="none"/>
                <w:vertAlign w:val="baseline"/>
                <w:lang w:val="en-US" w:eastAsia="zh-CN"/>
              </w:rPr>
              <w:t>产品检验报告。</w:t>
            </w:r>
          </w:p>
          <w:p w14:paraId="740690CA">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Cs/>
                <w:color w:val="auto"/>
                <w:kern w:val="0"/>
                <w:sz w:val="24"/>
                <w:szCs w:val="24"/>
                <w:highlight w:val="none"/>
              </w:rPr>
              <w:t>▲</w:t>
            </w:r>
            <w:r>
              <w:rPr>
                <w:rFonts w:hint="eastAsia" w:ascii="仿宋" w:hAnsi="仿宋" w:eastAsia="仿宋" w:cs="仿宋"/>
                <w:b w:val="0"/>
                <w:bCs w:val="0"/>
                <w:color w:val="auto"/>
                <w:sz w:val="24"/>
                <w:szCs w:val="24"/>
                <w:highlight w:val="none"/>
                <w:u w:val="none"/>
                <w:vertAlign w:val="baseline"/>
                <w:lang w:val="en-US" w:eastAsia="zh-CN"/>
              </w:rPr>
              <w:t>2.5脉冲透视最大管电流：≥50mA</w:t>
            </w:r>
            <w:r>
              <w:rPr>
                <w:rFonts w:hint="eastAsia" w:ascii="仿宋" w:hAnsi="仿宋" w:eastAsia="仿宋" w:cs="仿宋"/>
                <w:b/>
                <w:bCs/>
                <w:color w:val="auto"/>
                <w:kern w:val="2"/>
                <w:sz w:val="24"/>
                <w:szCs w:val="24"/>
                <w:highlight w:val="none"/>
                <w:lang w:eastAsia="zh-CN"/>
              </w:rPr>
              <w:t>（投标时提供技术参数说明书或产品彩页</w:t>
            </w:r>
            <w:r>
              <w:rPr>
                <w:rFonts w:hint="eastAsia" w:ascii="仿宋" w:hAnsi="仿宋" w:eastAsia="仿宋" w:cs="仿宋"/>
                <w:b/>
                <w:bCs/>
                <w:color w:val="auto"/>
                <w:kern w:val="2"/>
                <w:sz w:val="24"/>
                <w:szCs w:val="24"/>
                <w:highlight w:val="none"/>
                <w:lang w:val="en-US" w:eastAsia="zh-CN"/>
              </w:rPr>
              <w:t>的</w:t>
            </w:r>
            <w:r>
              <w:rPr>
                <w:rFonts w:hint="eastAsia" w:ascii="仿宋" w:hAnsi="仿宋" w:eastAsia="仿宋" w:cs="仿宋"/>
                <w:b/>
                <w:bCs/>
                <w:color w:val="auto"/>
                <w:kern w:val="2"/>
                <w:sz w:val="24"/>
                <w:szCs w:val="24"/>
                <w:highlight w:val="none"/>
                <w:lang w:eastAsia="zh-CN"/>
              </w:rPr>
              <w:t>证明材料并加盖投标人公章）</w:t>
            </w:r>
            <w:r>
              <w:rPr>
                <w:rFonts w:hint="eastAsia" w:ascii="仿宋" w:hAnsi="仿宋" w:eastAsia="仿宋" w:cs="仿宋"/>
                <w:b/>
                <w:bCs/>
                <w:color w:val="auto"/>
                <w:sz w:val="24"/>
                <w:szCs w:val="24"/>
                <w:highlight w:val="none"/>
                <w:u w:val="none"/>
                <w:vertAlign w:val="baseline"/>
                <w:lang w:val="en-US" w:eastAsia="zh-CN"/>
              </w:rPr>
              <w:t>；</w:t>
            </w:r>
            <w:r>
              <w:rPr>
                <w:rFonts w:hint="eastAsia" w:ascii="仿宋" w:hAnsi="仿宋" w:eastAsia="仿宋" w:cs="仿宋"/>
                <w:b w:val="0"/>
                <w:bCs w:val="0"/>
                <w:color w:val="auto"/>
                <w:sz w:val="24"/>
                <w:szCs w:val="24"/>
                <w:highlight w:val="none"/>
                <w:u w:val="none"/>
                <w:vertAlign w:val="baseline"/>
                <w:lang w:val="en-US" w:eastAsia="zh-CN"/>
              </w:rPr>
              <w:t>验收时需提供第三方检测机构出具的有效产品检验报告。</w:t>
            </w:r>
          </w:p>
          <w:p w14:paraId="1B7FC63A">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2.6最大逆变频率：≥480kHz</w:t>
            </w:r>
          </w:p>
          <w:p w14:paraId="54E49CD7">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2.7摄影最大mAS值：≥1000mAS</w:t>
            </w:r>
          </w:p>
          <w:p w14:paraId="06373377">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u w:val="none"/>
                <w:vertAlign w:val="baseline"/>
                <w:lang w:val="en-US" w:eastAsia="zh-CN"/>
              </w:rPr>
            </w:pPr>
            <w:r>
              <w:rPr>
                <w:rFonts w:hint="eastAsia" w:ascii="仿宋" w:hAnsi="仿宋" w:eastAsia="仿宋" w:cs="仿宋"/>
                <w:b/>
                <w:bCs/>
                <w:color w:val="auto"/>
                <w:sz w:val="24"/>
                <w:szCs w:val="24"/>
                <w:highlight w:val="none"/>
                <w:u w:val="none"/>
                <w:vertAlign w:val="baseline"/>
                <w:lang w:val="en-US" w:eastAsia="zh-CN"/>
              </w:rPr>
              <w:t>3.X射线管组件</w:t>
            </w:r>
          </w:p>
          <w:p w14:paraId="1049F154">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3.1双焦点设计：小焦≥0.6×0.6mm、大焦≤1.2×1.2mm</w:t>
            </w:r>
          </w:p>
          <w:p w14:paraId="5A835248">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3.2球管热容量：≥400KHU</w:t>
            </w:r>
          </w:p>
          <w:p w14:paraId="1FB442FC">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3.3球管最大功率：≥100KW</w:t>
            </w:r>
          </w:p>
          <w:p w14:paraId="322E93DC">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color w:val="auto"/>
                <w:kern w:val="0"/>
                <w:sz w:val="24"/>
                <w:szCs w:val="24"/>
                <w:highlight w:val="none"/>
                <w:lang w:val="en-US" w:eastAsia="zh-CN" w:bidi="ar"/>
              </w:rPr>
              <w:t>●</w:t>
            </w:r>
            <w:r>
              <w:rPr>
                <w:rFonts w:hint="eastAsia" w:ascii="仿宋" w:hAnsi="仿宋" w:eastAsia="仿宋" w:cs="仿宋"/>
                <w:b w:val="0"/>
                <w:bCs w:val="0"/>
                <w:color w:val="auto"/>
                <w:sz w:val="24"/>
                <w:szCs w:val="24"/>
                <w:highlight w:val="none"/>
                <w:u w:val="none"/>
                <w:vertAlign w:val="baseline"/>
                <w:lang w:val="en-US" w:eastAsia="zh-CN"/>
              </w:rPr>
              <w:t>3.4旋转阳极最高转速：≥10000 r/min</w:t>
            </w:r>
          </w:p>
          <w:p w14:paraId="5BCD64D2">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u w:val="none"/>
                <w:vertAlign w:val="baseline"/>
                <w:lang w:val="en-US" w:eastAsia="zh-CN"/>
              </w:rPr>
            </w:pPr>
            <w:r>
              <w:rPr>
                <w:rFonts w:hint="eastAsia" w:ascii="仿宋" w:hAnsi="仿宋" w:eastAsia="仿宋" w:cs="仿宋"/>
                <w:b/>
                <w:bCs/>
                <w:color w:val="auto"/>
                <w:sz w:val="24"/>
                <w:szCs w:val="24"/>
                <w:highlight w:val="none"/>
                <w:u w:val="none"/>
                <w:vertAlign w:val="baseline"/>
                <w:lang w:val="en-US" w:eastAsia="zh-CN"/>
              </w:rPr>
              <w:t>4.动态遥控床</w:t>
            </w:r>
          </w:p>
          <w:p w14:paraId="255FF05C">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4.1一体化可倾斜床面遥控检查床，带有消化系统造影专用压迫装置，可进行遥控操作，可实现动态成像及全数字化成像功能。</w:t>
            </w:r>
          </w:p>
          <w:p w14:paraId="28A6681F">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4.2床面横向移动距离：≥250mm</w:t>
            </w:r>
          </w:p>
          <w:p w14:paraId="09BC05AC">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4.3探测器移动行程：≥1250mm</w:t>
            </w:r>
          </w:p>
          <w:p w14:paraId="6DB40511">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color w:val="auto"/>
                <w:kern w:val="0"/>
                <w:sz w:val="24"/>
                <w:szCs w:val="24"/>
                <w:highlight w:val="none"/>
                <w:lang w:val="en-US" w:eastAsia="zh-CN" w:bidi="ar"/>
              </w:rPr>
              <w:t>●</w:t>
            </w:r>
            <w:r>
              <w:rPr>
                <w:rFonts w:hint="eastAsia" w:ascii="仿宋" w:hAnsi="仿宋" w:eastAsia="仿宋" w:cs="仿宋"/>
                <w:b w:val="0"/>
                <w:bCs w:val="0"/>
                <w:color w:val="auto"/>
                <w:sz w:val="24"/>
                <w:szCs w:val="24"/>
                <w:highlight w:val="none"/>
                <w:u w:val="none"/>
                <w:vertAlign w:val="baseline"/>
                <w:lang w:val="en-US" w:eastAsia="zh-CN"/>
              </w:rPr>
              <w:t>4.4床体90°时，照射野中心（照射野中心要和床下平板探测器中心一致）距离地面的最低高度≤450mm</w:t>
            </w:r>
            <w:r>
              <w:rPr>
                <w:rFonts w:hint="eastAsia" w:ascii="仿宋" w:hAnsi="仿宋" w:eastAsia="仿宋" w:cs="仿宋"/>
                <w:b/>
                <w:bCs/>
                <w:color w:val="auto"/>
                <w:kern w:val="2"/>
                <w:sz w:val="24"/>
                <w:szCs w:val="24"/>
                <w:highlight w:val="none"/>
                <w:lang w:eastAsia="zh-CN"/>
              </w:rPr>
              <w:t>（投标时提供技术参数说明书或产品彩页</w:t>
            </w:r>
            <w:r>
              <w:rPr>
                <w:rFonts w:hint="eastAsia" w:ascii="仿宋" w:hAnsi="仿宋" w:eastAsia="仿宋" w:cs="仿宋"/>
                <w:b/>
                <w:bCs/>
                <w:color w:val="auto"/>
                <w:kern w:val="2"/>
                <w:sz w:val="24"/>
                <w:szCs w:val="24"/>
                <w:highlight w:val="none"/>
                <w:lang w:val="en-US" w:eastAsia="zh-CN"/>
              </w:rPr>
              <w:t>的</w:t>
            </w:r>
            <w:r>
              <w:rPr>
                <w:rFonts w:hint="eastAsia" w:ascii="仿宋" w:hAnsi="仿宋" w:eastAsia="仿宋" w:cs="仿宋"/>
                <w:b/>
                <w:bCs/>
                <w:color w:val="auto"/>
                <w:kern w:val="2"/>
                <w:sz w:val="24"/>
                <w:szCs w:val="24"/>
                <w:highlight w:val="none"/>
                <w:lang w:eastAsia="zh-CN"/>
              </w:rPr>
              <w:t>证明材料并加盖投标人公章）；</w:t>
            </w:r>
            <w:r>
              <w:rPr>
                <w:rFonts w:hint="eastAsia" w:ascii="仿宋" w:hAnsi="仿宋" w:eastAsia="仿宋" w:cs="仿宋"/>
                <w:b/>
                <w:bCs/>
                <w:color w:val="auto"/>
                <w:kern w:val="2"/>
                <w:sz w:val="24"/>
                <w:szCs w:val="24"/>
                <w:highlight w:val="none"/>
                <w:lang w:val="en-US" w:eastAsia="zh-CN"/>
              </w:rPr>
              <w:t xml:space="preserve"> </w:t>
            </w:r>
            <w:r>
              <w:rPr>
                <w:rFonts w:hint="eastAsia" w:ascii="仿宋" w:hAnsi="仿宋" w:eastAsia="仿宋" w:cs="仿宋"/>
                <w:b w:val="0"/>
                <w:bCs w:val="0"/>
                <w:color w:val="auto"/>
                <w:sz w:val="24"/>
                <w:szCs w:val="24"/>
                <w:highlight w:val="none"/>
                <w:u w:val="none"/>
                <w:vertAlign w:val="baseline"/>
                <w:lang w:val="en-US" w:eastAsia="zh-CN"/>
              </w:rPr>
              <w:t>验收时需提供第三方检测机构出具的</w:t>
            </w:r>
            <w:r>
              <w:rPr>
                <w:rFonts w:hint="eastAsia" w:ascii="仿宋" w:hAnsi="仿宋" w:eastAsia="仿宋" w:cs="仿宋"/>
                <w:b w:val="0"/>
                <w:bCs w:val="0"/>
                <w:color w:val="auto"/>
                <w:kern w:val="2"/>
                <w:sz w:val="24"/>
                <w:szCs w:val="24"/>
                <w:highlight w:val="none"/>
                <w:lang w:val="en-US" w:eastAsia="zh-CN" w:bidi="ar-SA"/>
              </w:rPr>
              <w:t>有效</w:t>
            </w:r>
            <w:r>
              <w:rPr>
                <w:rFonts w:hint="eastAsia" w:ascii="仿宋" w:hAnsi="仿宋" w:eastAsia="仿宋" w:cs="仿宋"/>
                <w:b w:val="0"/>
                <w:bCs w:val="0"/>
                <w:color w:val="auto"/>
                <w:sz w:val="24"/>
                <w:szCs w:val="24"/>
                <w:highlight w:val="none"/>
                <w:u w:val="none"/>
                <w:vertAlign w:val="baseline"/>
                <w:lang w:val="en-US" w:eastAsia="zh-CN"/>
              </w:rPr>
              <w:t>产品检验报告。</w:t>
            </w:r>
          </w:p>
          <w:p w14:paraId="22A7C9C0">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4.5床高：≤730mm</w:t>
            </w:r>
          </w:p>
          <w:p w14:paraId="7140676C">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4.6床身转动活动区间大于等于-15°～90°</w:t>
            </w:r>
          </w:p>
          <w:p w14:paraId="5E95774D">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4.7承重：≥200kg</w:t>
            </w:r>
          </w:p>
          <w:p w14:paraId="489F74B0">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4.8具有一键到位功能：一键控制床体运动到胸片位或卧位</w:t>
            </w:r>
          </w:p>
          <w:p w14:paraId="2777DB38">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4.9球管可随立柱旋转角度活动区间大于等于-35°～35°</w:t>
            </w:r>
          </w:p>
          <w:p w14:paraId="39F3272F">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color w:val="auto"/>
                <w:kern w:val="0"/>
                <w:sz w:val="24"/>
                <w:szCs w:val="24"/>
                <w:highlight w:val="none"/>
                <w:lang w:val="en-US" w:eastAsia="zh-CN" w:bidi="ar"/>
              </w:rPr>
              <w:t>●</w:t>
            </w:r>
            <w:r>
              <w:rPr>
                <w:rFonts w:hint="eastAsia" w:ascii="仿宋" w:hAnsi="仿宋" w:eastAsia="仿宋" w:cs="仿宋"/>
                <w:b w:val="0"/>
                <w:bCs w:val="0"/>
                <w:color w:val="auto"/>
                <w:sz w:val="24"/>
                <w:szCs w:val="24"/>
                <w:highlight w:val="none"/>
                <w:u w:val="none"/>
                <w:vertAlign w:val="baseline"/>
                <w:lang w:val="en-US" w:eastAsia="zh-CN"/>
              </w:rPr>
              <w:t>4.10球管可独立旋转：球管可旋转到0°，90°和180°三种体位</w:t>
            </w:r>
            <w:r>
              <w:rPr>
                <w:rFonts w:hint="eastAsia" w:ascii="仿宋" w:hAnsi="仿宋" w:eastAsia="仿宋" w:cs="仿宋"/>
                <w:b/>
                <w:bCs/>
                <w:color w:val="auto"/>
                <w:kern w:val="2"/>
                <w:sz w:val="24"/>
                <w:szCs w:val="24"/>
                <w:highlight w:val="none"/>
                <w:lang w:eastAsia="zh-CN"/>
              </w:rPr>
              <w:t>（投标时提供技术参数说明书或产品彩页</w:t>
            </w:r>
            <w:r>
              <w:rPr>
                <w:rFonts w:hint="eastAsia" w:ascii="仿宋" w:hAnsi="仿宋" w:eastAsia="仿宋" w:cs="仿宋"/>
                <w:b/>
                <w:bCs/>
                <w:color w:val="auto"/>
                <w:kern w:val="2"/>
                <w:sz w:val="24"/>
                <w:szCs w:val="24"/>
                <w:highlight w:val="none"/>
                <w:lang w:val="en-US" w:eastAsia="zh-CN"/>
              </w:rPr>
              <w:t>的</w:t>
            </w:r>
            <w:r>
              <w:rPr>
                <w:rFonts w:hint="eastAsia" w:ascii="仿宋" w:hAnsi="仿宋" w:eastAsia="仿宋" w:cs="仿宋"/>
                <w:b/>
                <w:bCs/>
                <w:color w:val="auto"/>
                <w:kern w:val="2"/>
                <w:sz w:val="24"/>
                <w:szCs w:val="24"/>
                <w:highlight w:val="none"/>
                <w:lang w:eastAsia="zh-CN"/>
              </w:rPr>
              <w:t>证明材料并加盖投标人公章）</w:t>
            </w:r>
            <w:r>
              <w:rPr>
                <w:rFonts w:hint="eastAsia" w:ascii="仿宋" w:hAnsi="仿宋" w:eastAsia="仿宋" w:cs="仿宋"/>
                <w:b/>
                <w:bCs/>
                <w:color w:val="auto"/>
                <w:sz w:val="24"/>
                <w:szCs w:val="24"/>
                <w:highlight w:val="none"/>
                <w:u w:val="none"/>
                <w:vertAlign w:val="baseline"/>
                <w:lang w:val="en-US" w:eastAsia="zh-CN"/>
              </w:rPr>
              <w:t>；</w:t>
            </w:r>
            <w:r>
              <w:rPr>
                <w:rFonts w:hint="eastAsia" w:ascii="仿宋" w:hAnsi="仿宋" w:eastAsia="仿宋" w:cs="仿宋"/>
                <w:b w:val="0"/>
                <w:bCs w:val="0"/>
                <w:color w:val="auto"/>
                <w:sz w:val="24"/>
                <w:szCs w:val="24"/>
                <w:highlight w:val="none"/>
                <w:u w:val="none"/>
                <w:vertAlign w:val="baseline"/>
                <w:lang w:val="en-US" w:eastAsia="zh-CN"/>
              </w:rPr>
              <w:t>验收时需提供第三方检测机构出具的</w:t>
            </w:r>
            <w:r>
              <w:rPr>
                <w:rFonts w:hint="eastAsia" w:ascii="仿宋" w:hAnsi="仿宋" w:eastAsia="仿宋" w:cs="仿宋"/>
                <w:b w:val="0"/>
                <w:bCs w:val="0"/>
                <w:color w:val="auto"/>
                <w:kern w:val="2"/>
                <w:sz w:val="24"/>
                <w:szCs w:val="24"/>
                <w:highlight w:val="none"/>
                <w:lang w:val="en-US" w:eastAsia="zh-CN" w:bidi="ar-SA"/>
              </w:rPr>
              <w:t>有效</w:t>
            </w:r>
            <w:r>
              <w:rPr>
                <w:rFonts w:hint="eastAsia" w:ascii="仿宋" w:hAnsi="仿宋" w:eastAsia="仿宋" w:cs="仿宋"/>
                <w:b w:val="0"/>
                <w:bCs w:val="0"/>
                <w:color w:val="auto"/>
                <w:sz w:val="24"/>
                <w:szCs w:val="24"/>
                <w:highlight w:val="none"/>
                <w:u w:val="none"/>
                <w:vertAlign w:val="baseline"/>
                <w:lang w:val="en-US" w:eastAsia="zh-CN"/>
              </w:rPr>
              <w:t>产品检验报告。</w:t>
            </w:r>
          </w:p>
          <w:p w14:paraId="4DCFDE17">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color w:val="auto"/>
                <w:kern w:val="0"/>
                <w:sz w:val="24"/>
                <w:szCs w:val="24"/>
                <w:highlight w:val="none"/>
                <w:lang w:val="en-US" w:eastAsia="zh-CN" w:bidi="ar"/>
              </w:rPr>
              <w:t>●</w:t>
            </w:r>
            <w:r>
              <w:rPr>
                <w:rFonts w:hint="eastAsia" w:ascii="仿宋" w:hAnsi="仿宋" w:eastAsia="仿宋" w:cs="仿宋"/>
                <w:b w:val="0"/>
                <w:bCs w:val="0"/>
                <w:color w:val="auto"/>
                <w:sz w:val="24"/>
                <w:szCs w:val="24"/>
                <w:highlight w:val="none"/>
                <w:u w:val="none"/>
                <w:vertAlign w:val="baseline"/>
                <w:lang w:val="en-US" w:eastAsia="zh-CN"/>
              </w:rPr>
              <w:t>4.11球管机头具备控制机架运动功能</w:t>
            </w:r>
            <w:r>
              <w:rPr>
                <w:rFonts w:hint="eastAsia" w:ascii="仿宋" w:hAnsi="仿宋" w:eastAsia="仿宋" w:cs="仿宋"/>
                <w:b/>
                <w:bCs/>
                <w:color w:val="auto"/>
                <w:kern w:val="2"/>
                <w:sz w:val="24"/>
                <w:szCs w:val="24"/>
                <w:highlight w:val="none"/>
                <w:lang w:eastAsia="zh-CN"/>
              </w:rPr>
              <w:t>（投标时提供技术参数说明书或产品彩页</w:t>
            </w:r>
            <w:r>
              <w:rPr>
                <w:rFonts w:hint="eastAsia" w:ascii="仿宋" w:hAnsi="仿宋" w:eastAsia="仿宋" w:cs="仿宋"/>
                <w:b/>
                <w:bCs/>
                <w:color w:val="auto"/>
                <w:kern w:val="2"/>
                <w:sz w:val="24"/>
                <w:szCs w:val="24"/>
                <w:highlight w:val="none"/>
                <w:lang w:val="en-US" w:eastAsia="zh-CN"/>
              </w:rPr>
              <w:t>的</w:t>
            </w:r>
            <w:r>
              <w:rPr>
                <w:rFonts w:hint="eastAsia" w:ascii="仿宋" w:hAnsi="仿宋" w:eastAsia="仿宋" w:cs="仿宋"/>
                <w:b/>
                <w:bCs/>
                <w:color w:val="auto"/>
                <w:kern w:val="2"/>
                <w:sz w:val="24"/>
                <w:szCs w:val="24"/>
                <w:highlight w:val="none"/>
                <w:lang w:eastAsia="zh-CN"/>
              </w:rPr>
              <w:t>证明材料并加盖投标人公章）；</w:t>
            </w:r>
            <w:r>
              <w:rPr>
                <w:rFonts w:hint="eastAsia" w:ascii="仿宋" w:hAnsi="仿宋" w:eastAsia="仿宋" w:cs="仿宋"/>
                <w:b w:val="0"/>
                <w:bCs w:val="0"/>
                <w:color w:val="auto"/>
                <w:sz w:val="24"/>
                <w:szCs w:val="24"/>
                <w:highlight w:val="none"/>
                <w:u w:val="none"/>
                <w:vertAlign w:val="baseline"/>
                <w:lang w:val="en-US" w:eastAsia="zh-CN"/>
              </w:rPr>
              <w:t>验收时需提供第三方检测机构出具的</w:t>
            </w:r>
            <w:r>
              <w:rPr>
                <w:rFonts w:hint="eastAsia" w:ascii="仿宋" w:hAnsi="仿宋" w:eastAsia="仿宋" w:cs="仿宋"/>
                <w:b w:val="0"/>
                <w:bCs w:val="0"/>
                <w:color w:val="auto"/>
                <w:kern w:val="2"/>
                <w:sz w:val="24"/>
                <w:szCs w:val="24"/>
                <w:highlight w:val="none"/>
                <w:lang w:val="en-US" w:eastAsia="zh-CN" w:bidi="ar-SA"/>
              </w:rPr>
              <w:t>有效</w:t>
            </w:r>
            <w:r>
              <w:rPr>
                <w:rFonts w:hint="eastAsia" w:ascii="仿宋" w:hAnsi="仿宋" w:eastAsia="仿宋" w:cs="仿宋"/>
                <w:b w:val="0"/>
                <w:bCs w:val="0"/>
                <w:color w:val="auto"/>
                <w:sz w:val="24"/>
                <w:szCs w:val="24"/>
                <w:highlight w:val="none"/>
                <w:u w:val="none"/>
                <w:vertAlign w:val="baseline"/>
                <w:lang w:val="en-US" w:eastAsia="zh-CN"/>
              </w:rPr>
              <w:t>产品检验报告。</w:t>
            </w:r>
          </w:p>
          <w:p w14:paraId="1ED5054D">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color w:val="auto"/>
                <w:kern w:val="0"/>
                <w:sz w:val="24"/>
                <w:szCs w:val="24"/>
                <w:highlight w:val="none"/>
                <w:lang w:val="en-US" w:eastAsia="zh-CN" w:bidi="ar"/>
              </w:rPr>
              <w:t>●</w:t>
            </w:r>
            <w:r>
              <w:rPr>
                <w:rFonts w:hint="eastAsia" w:ascii="仿宋" w:hAnsi="仿宋" w:eastAsia="仿宋" w:cs="仿宋"/>
                <w:b w:val="0"/>
                <w:bCs w:val="0"/>
                <w:color w:val="auto"/>
                <w:sz w:val="24"/>
                <w:szCs w:val="24"/>
                <w:highlight w:val="none"/>
                <w:u w:val="none"/>
                <w:vertAlign w:val="baseline"/>
                <w:lang w:val="en-US" w:eastAsia="zh-CN"/>
              </w:rPr>
              <w:t>4.12限束器具备触摸屏控制功能</w:t>
            </w:r>
            <w:r>
              <w:rPr>
                <w:rFonts w:hint="eastAsia" w:ascii="仿宋" w:hAnsi="仿宋" w:eastAsia="仿宋" w:cs="仿宋"/>
                <w:b/>
                <w:bCs/>
                <w:color w:val="auto"/>
                <w:kern w:val="2"/>
                <w:sz w:val="24"/>
                <w:szCs w:val="24"/>
                <w:highlight w:val="none"/>
                <w:lang w:eastAsia="zh-CN"/>
              </w:rPr>
              <w:t>（投标时提供技术参数说明书或产品彩页</w:t>
            </w:r>
            <w:r>
              <w:rPr>
                <w:rFonts w:hint="eastAsia" w:ascii="仿宋" w:hAnsi="仿宋" w:eastAsia="仿宋" w:cs="仿宋"/>
                <w:b/>
                <w:bCs/>
                <w:color w:val="auto"/>
                <w:kern w:val="2"/>
                <w:sz w:val="24"/>
                <w:szCs w:val="24"/>
                <w:highlight w:val="none"/>
                <w:lang w:val="en-US" w:eastAsia="zh-CN"/>
              </w:rPr>
              <w:t>的</w:t>
            </w:r>
            <w:r>
              <w:rPr>
                <w:rFonts w:hint="eastAsia" w:ascii="仿宋" w:hAnsi="仿宋" w:eastAsia="仿宋" w:cs="仿宋"/>
                <w:b/>
                <w:bCs/>
                <w:color w:val="auto"/>
                <w:kern w:val="2"/>
                <w:sz w:val="24"/>
                <w:szCs w:val="24"/>
                <w:highlight w:val="none"/>
                <w:lang w:eastAsia="zh-CN"/>
              </w:rPr>
              <w:t>证明材料并加盖投标人公章）</w:t>
            </w:r>
            <w:r>
              <w:rPr>
                <w:rFonts w:hint="eastAsia" w:ascii="仿宋" w:hAnsi="仿宋" w:eastAsia="仿宋" w:cs="仿宋"/>
                <w:b/>
                <w:bCs/>
                <w:color w:val="auto"/>
                <w:sz w:val="24"/>
                <w:szCs w:val="24"/>
                <w:highlight w:val="none"/>
                <w:u w:val="none"/>
                <w:vertAlign w:val="baseline"/>
                <w:lang w:val="en-US" w:eastAsia="zh-CN"/>
              </w:rPr>
              <w:t>；</w:t>
            </w:r>
            <w:r>
              <w:rPr>
                <w:rFonts w:hint="eastAsia" w:ascii="仿宋" w:hAnsi="仿宋" w:eastAsia="仿宋" w:cs="仿宋"/>
                <w:b w:val="0"/>
                <w:bCs w:val="0"/>
                <w:color w:val="auto"/>
                <w:sz w:val="24"/>
                <w:szCs w:val="24"/>
                <w:highlight w:val="none"/>
                <w:u w:val="none"/>
                <w:vertAlign w:val="baseline"/>
                <w:lang w:val="en-US" w:eastAsia="zh-CN"/>
              </w:rPr>
              <w:t>验收时需提供第三方检测机构出具的</w:t>
            </w:r>
            <w:r>
              <w:rPr>
                <w:rFonts w:hint="eastAsia" w:ascii="仿宋" w:hAnsi="仿宋" w:eastAsia="仿宋" w:cs="仿宋"/>
                <w:b w:val="0"/>
                <w:bCs w:val="0"/>
                <w:color w:val="auto"/>
                <w:kern w:val="2"/>
                <w:sz w:val="24"/>
                <w:szCs w:val="24"/>
                <w:highlight w:val="none"/>
                <w:lang w:val="en-US" w:eastAsia="zh-CN" w:bidi="ar-SA"/>
              </w:rPr>
              <w:t>有效</w:t>
            </w:r>
            <w:r>
              <w:rPr>
                <w:rFonts w:hint="eastAsia" w:ascii="仿宋" w:hAnsi="仿宋" w:eastAsia="仿宋" w:cs="仿宋"/>
                <w:b w:val="0"/>
                <w:bCs w:val="0"/>
                <w:color w:val="auto"/>
                <w:sz w:val="24"/>
                <w:szCs w:val="24"/>
                <w:highlight w:val="none"/>
                <w:u w:val="none"/>
                <w:vertAlign w:val="baseline"/>
                <w:lang w:val="en-US" w:eastAsia="zh-CN"/>
              </w:rPr>
              <w:t>产品检验报告。</w:t>
            </w:r>
          </w:p>
          <w:p w14:paraId="035A23DB">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4.13限束器近病人端具备防撞结构</w:t>
            </w:r>
          </w:p>
          <w:p w14:paraId="7A989C0B">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4.14最大SID：≥1800mm</w:t>
            </w:r>
          </w:p>
          <w:p w14:paraId="018262CE">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 xml:space="preserve">4.15可手动移除式滤线栅 </w:t>
            </w:r>
          </w:p>
          <w:p w14:paraId="1505EE25">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4.16一体化操控台支持系统一键开关机，床身近控按键具有防病人误触功能</w:t>
            </w:r>
          </w:p>
          <w:p w14:paraId="78BC1B4B">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color w:val="auto"/>
                <w:kern w:val="0"/>
                <w:sz w:val="24"/>
                <w:szCs w:val="24"/>
                <w:highlight w:val="none"/>
                <w:lang w:val="en-US" w:eastAsia="zh-CN" w:bidi="ar"/>
              </w:rPr>
              <w:t>●</w:t>
            </w:r>
            <w:r>
              <w:rPr>
                <w:rFonts w:hint="eastAsia" w:ascii="仿宋" w:hAnsi="仿宋" w:eastAsia="仿宋" w:cs="仿宋"/>
                <w:b w:val="0"/>
                <w:bCs w:val="0"/>
                <w:color w:val="auto"/>
                <w:sz w:val="24"/>
                <w:szCs w:val="24"/>
                <w:highlight w:val="none"/>
                <w:u w:val="none"/>
                <w:vertAlign w:val="baseline"/>
                <w:lang w:val="en-US" w:eastAsia="zh-CN"/>
              </w:rPr>
              <w:t>4.17遥控台曝光透视开关：在遥控台上有防误触开关</w:t>
            </w:r>
            <w:r>
              <w:rPr>
                <w:rFonts w:hint="eastAsia" w:ascii="仿宋" w:hAnsi="仿宋" w:eastAsia="仿宋" w:cs="仿宋"/>
                <w:b/>
                <w:bCs/>
                <w:color w:val="auto"/>
                <w:kern w:val="2"/>
                <w:sz w:val="24"/>
                <w:szCs w:val="24"/>
                <w:highlight w:val="none"/>
                <w:lang w:eastAsia="zh-CN"/>
              </w:rPr>
              <w:t>（投标时提供技术参数说明书或产品彩页</w:t>
            </w:r>
            <w:r>
              <w:rPr>
                <w:rFonts w:hint="eastAsia" w:ascii="仿宋" w:hAnsi="仿宋" w:eastAsia="仿宋" w:cs="仿宋"/>
                <w:b/>
                <w:bCs/>
                <w:color w:val="auto"/>
                <w:kern w:val="2"/>
                <w:sz w:val="24"/>
                <w:szCs w:val="24"/>
                <w:highlight w:val="none"/>
                <w:lang w:val="en-US" w:eastAsia="zh-CN"/>
              </w:rPr>
              <w:t>的</w:t>
            </w:r>
            <w:r>
              <w:rPr>
                <w:rFonts w:hint="eastAsia" w:ascii="仿宋" w:hAnsi="仿宋" w:eastAsia="仿宋" w:cs="仿宋"/>
                <w:b/>
                <w:bCs/>
                <w:color w:val="auto"/>
                <w:kern w:val="2"/>
                <w:sz w:val="24"/>
                <w:szCs w:val="24"/>
                <w:highlight w:val="none"/>
                <w:lang w:eastAsia="zh-CN"/>
              </w:rPr>
              <w:t>证明材料并加盖投标人公章）</w:t>
            </w:r>
            <w:r>
              <w:rPr>
                <w:rFonts w:hint="eastAsia" w:ascii="仿宋" w:hAnsi="仿宋" w:eastAsia="仿宋" w:cs="仿宋"/>
                <w:b/>
                <w:bCs/>
                <w:color w:val="auto"/>
                <w:sz w:val="24"/>
                <w:szCs w:val="24"/>
                <w:highlight w:val="none"/>
                <w:u w:val="none"/>
                <w:vertAlign w:val="baseline"/>
                <w:lang w:val="en-US" w:eastAsia="zh-CN"/>
              </w:rPr>
              <w:t>；</w:t>
            </w:r>
            <w:r>
              <w:rPr>
                <w:rFonts w:hint="eastAsia" w:ascii="仿宋" w:hAnsi="仿宋" w:eastAsia="仿宋" w:cs="仿宋"/>
                <w:b w:val="0"/>
                <w:bCs w:val="0"/>
                <w:color w:val="auto"/>
                <w:sz w:val="24"/>
                <w:szCs w:val="24"/>
                <w:highlight w:val="none"/>
                <w:u w:val="none"/>
                <w:vertAlign w:val="baseline"/>
                <w:lang w:val="en-US" w:eastAsia="zh-CN"/>
              </w:rPr>
              <w:t>验收时需提供第三方检测机构出具的</w:t>
            </w:r>
            <w:r>
              <w:rPr>
                <w:rFonts w:hint="eastAsia" w:ascii="仿宋" w:hAnsi="仿宋" w:eastAsia="仿宋" w:cs="仿宋"/>
                <w:b w:val="0"/>
                <w:bCs w:val="0"/>
                <w:color w:val="auto"/>
                <w:kern w:val="2"/>
                <w:sz w:val="24"/>
                <w:szCs w:val="24"/>
                <w:highlight w:val="none"/>
                <w:lang w:val="en-US" w:eastAsia="zh-CN" w:bidi="ar-SA"/>
              </w:rPr>
              <w:t>有效</w:t>
            </w:r>
            <w:r>
              <w:rPr>
                <w:rFonts w:hint="eastAsia" w:ascii="仿宋" w:hAnsi="仿宋" w:eastAsia="仿宋" w:cs="仿宋"/>
                <w:b w:val="0"/>
                <w:bCs w:val="0"/>
                <w:color w:val="auto"/>
                <w:sz w:val="24"/>
                <w:szCs w:val="24"/>
                <w:highlight w:val="none"/>
                <w:u w:val="none"/>
                <w:vertAlign w:val="baseline"/>
                <w:lang w:val="en-US" w:eastAsia="zh-CN"/>
              </w:rPr>
              <w:t>产品检验报告。</w:t>
            </w:r>
          </w:p>
          <w:p w14:paraId="5E93982E">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4.18限束器装备有视频监控系统，室外可清晰观察摆位及照射野情况</w:t>
            </w:r>
          </w:p>
          <w:p w14:paraId="5D1D9711">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4.19限束器支持一键关闭监控保护患者隐私</w:t>
            </w:r>
          </w:p>
          <w:p w14:paraId="00B174CA">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color w:val="auto"/>
                <w:kern w:val="0"/>
                <w:sz w:val="24"/>
                <w:szCs w:val="24"/>
                <w:highlight w:val="none"/>
                <w:lang w:val="en-US" w:eastAsia="zh-CN" w:bidi="ar"/>
              </w:rPr>
              <w:t>●</w:t>
            </w:r>
            <w:r>
              <w:rPr>
                <w:rFonts w:hint="eastAsia" w:ascii="仿宋" w:hAnsi="仿宋" w:eastAsia="仿宋" w:cs="仿宋"/>
                <w:b w:val="0"/>
                <w:bCs w:val="0"/>
                <w:color w:val="auto"/>
                <w:sz w:val="24"/>
                <w:szCs w:val="24"/>
                <w:highlight w:val="none"/>
                <w:u w:val="none"/>
                <w:vertAlign w:val="baseline"/>
                <w:lang w:val="en-US" w:eastAsia="zh-CN"/>
              </w:rPr>
              <w:t>4.20具备自定义双向语音对讲系统，并支持不少于3组语音的实时录音和播放功能</w:t>
            </w:r>
            <w:r>
              <w:rPr>
                <w:rFonts w:hint="eastAsia" w:ascii="仿宋" w:hAnsi="仿宋" w:eastAsia="仿宋" w:cs="仿宋"/>
                <w:b/>
                <w:bCs/>
                <w:color w:val="auto"/>
                <w:kern w:val="2"/>
                <w:sz w:val="24"/>
                <w:szCs w:val="24"/>
                <w:highlight w:val="none"/>
                <w:lang w:eastAsia="zh-CN"/>
              </w:rPr>
              <w:t>（投标时提供技术参数说明书或产品彩页</w:t>
            </w:r>
            <w:r>
              <w:rPr>
                <w:rFonts w:hint="eastAsia" w:ascii="仿宋" w:hAnsi="仿宋" w:eastAsia="仿宋" w:cs="仿宋"/>
                <w:b/>
                <w:bCs/>
                <w:color w:val="auto"/>
                <w:kern w:val="2"/>
                <w:sz w:val="24"/>
                <w:szCs w:val="24"/>
                <w:highlight w:val="none"/>
                <w:lang w:val="en-US" w:eastAsia="zh-CN"/>
              </w:rPr>
              <w:t>的</w:t>
            </w:r>
            <w:r>
              <w:rPr>
                <w:rFonts w:hint="eastAsia" w:ascii="仿宋" w:hAnsi="仿宋" w:eastAsia="仿宋" w:cs="仿宋"/>
                <w:b/>
                <w:bCs/>
                <w:color w:val="auto"/>
                <w:kern w:val="2"/>
                <w:sz w:val="24"/>
                <w:szCs w:val="24"/>
                <w:highlight w:val="none"/>
                <w:lang w:eastAsia="zh-CN"/>
              </w:rPr>
              <w:t>证明材料并加盖投标人公章）</w:t>
            </w:r>
            <w:r>
              <w:rPr>
                <w:rFonts w:hint="eastAsia" w:ascii="仿宋" w:hAnsi="仿宋" w:eastAsia="仿宋" w:cs="仿宋"/>
                <w:b/>
                <w:bCs/>
                <w:color w:val="auto"/>
                <w:sz w:val="24"/>
                <w:szCs w:val="24"/>
                <w:highlight w:val="none"/>
                <w:u w:val="none"/>
                <w:vertAlign w:val="baseline"/>
                <w:lang w:val="en-US" w:eastAsia="zh-CN"/>
              </w:rPr>
              <w:t>；</w:t>
            </w:r>
            <w:r>
              <w:rPr>
                <w:rFonts w:hint="eastAsia" w:ascii="仿宋" w:hAnsi="仿宋" w:eastAsia="仿宋" w:cs="仿宋"/>
                <w:b w:val="0"/>
                <w:bCs w:val="0"/>
                <w:color w:val="auto"/>
                <w:sz w:val="24"/>
                <w:szCs w:val="24"/>
                <w:highlight w:val="none"/>
                <w:u w:val="none"/>
                <w:vertAlign w:val="baseline"/>
                <w:lang w:val="en-US" w:eastAsia="zh-CN"/>
              </w:rPr>
              <w:t>验收时需提供第三方检测机构出具的</w:t>
            </w:r>
            <w:r>
              <w:rPr>
                <w:rFonts w:hint="eastAsia" w:ascii="仿宋" w:hAnsi="仿宋" w:eastAsia="仿宋" w:cs="仿宋"/>
                <w:b w:val="0"/>
                <w:bCs w:val="0"/>
                <w:color w:val="auto"/>
                <w:kern w:val="2"/>
                <w:sz w:val="24"/>
                <w:szCs w:val="24"/>
                <w:highlight w:val="none"/>
                <w:lang w:val="en-US" w:eastAsia="zh-CN" w:bidi="ar-SA"/>
              </w:rPr>
              <w:t>有效</w:t>
            </w:r>
            <w:r>
              <w:rPr>
                <w:rFonts w:hint="eastAsia" w:ascii="仿宋" w:hAnsi="仿宋" w:eastAsia="仿宋" w:cs="仿宋"/>
                <w:b w:val="0"/>
                <w:bCs w:val="0"/>
                <w:color w:val="auto"/>
                <w:sz w:val="24"/>
                <w:szCs w:val="24"/>
                <w:highlight w:val="none"/>
                <w:u w:val="none"/>
                <w:vertAlign w:val="baseline"/>
                <w:lang w:val="en-US" w:eastAsia="zh-CN"/>
              </w:rPr>
              <w:t>产品检验报告。</w:t>
            </w:r>
          </w:p>
          <w:p w14:paraId="3E8F1BF5">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u w:val="none"/>
                <w:vertAlign w:val="baseline"/>
                <w:lang w:val="en-US" w:eastAsia="zh-CN"/>
              </w:rPr>
            </w:pPr>
            <w:r>
              <w:rPr>
                <w:rFonts w:hint="eastAsia" w:ascii="仿宋" w:hAnsi="仿宋" w:eastAsia="仿宋" w:cs="仿宋"/>
                <w:b/>
                <w:bCs/>
                <w:color w:val="auto"/>
                <w:sz w:val="24"/>
                <w:szCs w:val="24"/>
                <w:highlight w:val="none"/>
                <w:u w:val="none"/>
                <w:vertAlign w:val="baseline"/>
                <w:lang w:val="en-US" w:eastAsia="zh-CN"/>
              </w:rPr>
              <w:t>5.图像处理系统:</w:t>
            </w:r>
          </w:p>
          <w:p w14:paraId="57906739">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5.1CPU≥四核3.2GHz，内存≥16G，硬盘≥2T，显示器像素：≥1280*1024像素</w:t>
            </w:r>
          </w:p>
          <w:p w14:paraId="72001AA4">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5.2具有透视视频的录制、保存、截取、抽帧和回放功能，且视频支持发送PACS、具备病人管理、病历报告、胶片打印、图像采集功能</w:t>
            </w:r>
          </w:p>
          <w:p w14:paraId="5E2DAD61">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5.3DICOM传输：可发送图像和透视视频到任何遵循DICOM3.0标准的PACS服务器</w:t>
            </w:r>
          </w:p>
          <w:p w14:paraId="2B4D8F82">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color w:val="auto"/>
                <w:kern w:val="0"/>
                <w:sz w:val="24"/>
                <w:szCs w:val="24"/>
                <w:highlight w:val="none"/>
                <w:lang w:val="en-US" w:eastAsia="zh-CN" w:bidi="ar"/>
              </w:rPr>
              <w:t>●</w:t>
            </w:r>
            <w:r>
              <w:rPr>
                <w:rFonts w:hint="eastAsia" w:ascii="仿宋" w:hAnsi="仿宋" w:eastAsia="仿宋" w:cs="仿宋"/>
                <w:b w:val="0"/>
                <w:bCs w:val="0"/>
                <w:color w:val="auto"/>
                <w:sz w:val="24"/>
                <w:szCs w:val="24"/>
                <w:highlight w:val="none"/>
                <w:u w:val="none"/>
                <w:vertAlign w:val="baseline"/>
                <w:lang w:val="en-US" w:eastAsia="zh-CN"/>
              </w:rPr>
              <w:t>5.4具备全自动狭缝拼接功能，且狭缝拼接扫描最大成像范围的图像数≥24张</w:t>
            </w:r>
            <w:r>
              <w:rPr>
                <w:rFonts w:hint="eastAsia" w:ascii="仿宋" w:hAnsi="仿宋" w:eastAsia="仿宋" w:cs="仿宋"/>
                <w:b/>
                <w:bCs/>
                <w:color w:val="auto"/>
                <w:kern w:val="2"/>
                <w:sz w:val="24"/>
                <w:szCs w:val="24"/>
                <w:highlight w:val="none"/>
                <w:lang w:eastAsia="zh-CN"/>
              </w:rPr>
              <w:t>（投标时提供技术参数说明书或产品彩页</w:t>
            </w:r>
            <w:r>
              <w:rPr>
                <w:rFonts w:hint="eastAsia" w:ascii="仿宋" w:hAnsi="仿宋" w:eastAsia="仿宋" w:cs="仿宋"/>
                <w:b/>
                <w:bCs/>
                <w:color w:val="auto"/>
                <w:kern w:val="2"/>
                <w:sz w:val="24"/>
                <w:szCs w:val="24"/>
                <w:highlight w:val="none"/>
                <w:lang w:val="en-US" w:eastAsia="zh-CN"/>
              </w:rPr>
              <w:t>的</w:t>
            </w:r>
            <w:r>
              <w:rPr>
                <w:rFonts w:hint="eastAsia" w:ascii="仿宋" w:hAnsi="仿宋" w:eastAsia="仿宋" w:cs="仿宋"/>
                <w:b/>
                <w:bCs/>
                <w:color w:val="auto"/>
                <w:kern w:val="2"/>
                <w:sz w:val="24"/>
                <w:szCs w:val="24"/>
                <w:highlight w:val="none"/>
                <w:lang w:eastAsia="zh-CN"/>
              </w:rPr>
              <w:t>证明材料并加盖投标人公章）</w:t>
            </w:r>
            <w:r>
              <w:rPr>
                <w:rFonts w:hint="eastAsia" w:ascii="仿宋" w:hAnsi="仿宋" w:eastAsia="仿宋" w:cs="仿宋"/>
                <w:b/>
                <w:bCs/>
                <w:color w:val="auto"/>
                <w:sz w:val="24"/>
                <w:szCs w:val="24"/>
                <w:highlight w:val="none"/>
                <w:u w:val="none"/>
                <w:vertAlign w:val="baseline"/>
                <w:lang w:val="en-US" w:eastAsia="zh-CN"/>
              </w:rPr>
              <w:t>；</w:t>
            </w:r>
            <w:r>
              <w:rPr>
                <w:rFonts w:hint="eastAsia" w:ascii="仿宋" w:hAnsi="仿宋" w:eastAsia="仿宋" w:cs="仿宋"/>
                <w:b w:val="0"/>
                <w:bCs w:val="0"/>
                <w:color w:val="auto"/>
                <w:sz w:val="24"/>
                <w:szCs w:val="24"/>
                <w:highlight w:val="none"/>
                <w:u w:val="none"/>
                <w:vertAlign w:val="baseline"/>
                <w:lang w:val="en-US" w:eastAsia="zh-CN"/>
              </w:rPr>
              <w:t>验收时需提供第三方检测机构出具的</w:t>
            </w:r>
            <w:r>
              <w:rPr>
                <w:rFonts w:hint="eastAsia" w:ascii="仿宋" w:hAnsi="仿宋" w:eastAsia="仿宋" w:cs="仿宋"/>
                <w:b w:val="0"/>
                <w:bCs w:val="0"/>
                <w:color w:val="auto"/>
                <w:kern w:val="2"/>
                <w:sz w:val="24"/>
                <w:szCs w:val="24"/>
                <w:highlight w:val="none"/>
                <w:lang w:val="en-US" w:eastAsia="zh-CN" w:bidi="ar-SA"/>
              </w:rPr>
              <w:t>有效</w:t>
            </w:r>
            <w:r>
              <w:rPr>
                <w:rFonts w:hint="eastAsia" w:ascii="仿宋" w:hAnsi="仿宋" w:eastAsia="仿宋" w:cs="仿宋"/>
                <w:b w:val="0"/>
                <w:bCs w:val="0"/>
                <w:color w:val="auto"/>
                <w:sz w:val="24"/>
                <w:szCs w:val="24"/>
                <w:highlight w:val="none"/>
                <w:u w:val="none"/>
                <w:vertAlign w:val="baseline"/>
                <w:lang w:val="en-US" w:eastAsia="zh-CN"/>
              </w:rPr>
              <w:t>产品检验报告。</w:t>
            </w:r>
          </w:p>
          <w:p w14:paraId="361930F0">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5.5全自动狭缝拼接功能必须与设备同一品牌</w:t>
            </w:r>
          </w:p>
          <w:p w14:paraId="1104ED83">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5.6透视过程中图像局部放大显示功能，可三档放大。</w:t>
            </w:r>
          </w:p>
          <w:p w14:paraId="0029AD98">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5.7具备组织均衡处理功能、自动增强功能、数字信号改进去噪功能和校正功能</w:t>
            </w:r>
          </w:p>
          <w:p w14:paraId="754BB2DB">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5.8具备配备尘肺专用软件</w:t>
            </w:r>
          </w:p>
          <w:p w14:paraId="4A728015">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u w:val="none"/>
                <w:vertAlign w:val="baseline"/>
                <w:lang w:val="en-US" w:eastAsia="zh-CN"/>
              </w:rPr>
            </w:pPr>
            <w:r>
              <w:rPr>
                <w:rFonts w:hint="eastAsia" w:ascii="仿宋" w:hAnsi="仿宋" w:eastAsia="仿宋" w:cs="仿宋"/>
                <w:b w:val="0"/>
                <w:bCs w:val="0"/>
                <w:color w:val="auto"/>
                <w:sz w:val="24"/>
                <w:szCs w:val="24"/>
                <w:highlight w:val="none"/>
                <w:u w:val="none"/>
                <w:vertAlign w:val="baseline"/>
                <w:lang w:val="en-US" w:eastAsia="zh-CN"/>
              </w:rPr>
              <w:t>5.9具备虚拟限束器功能，配合透视末帧保持功能使用有效降低检查中不必要的X光剂量</w:t>
            </w:r>
          </w:p>
          <w:p w14:paraId="4F86E215">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u w:val="none"/>
                <w:vertAlign w:val="baseline"/>
                <w:lang w:val="en-US" w:eastAsia="zh-CN"/>
              </w:rPr>
            </w:pPr>
            <w:r>
              <w:rPr>
                <w:rFonts w:hint="eastAsia" w:ascii="仿宋" w:hAnsi="仿宋" w:eastAsia="仿宋" w:cs="仿宋"/>
                <w:b/>
                <w:bCs/>
                <w:color w:val="auto"/>
                <w:sz w:val="24"/>
                <w:szCs w:val="24"/>
                <w:highlight w:val="none"/>
                <w:u w:val="none"/>
                <w:vertAlign w:val="baseline"/>
                <w:lang w:val="en-US" w:eastAsia="zh-CN"/>
              </w:rPr>
              <w:t>6.医用辐射防护用品</w:t>
            </w:r>
          </w:p>
          <w:p w14:paraId="6BCFB088">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u w:val="none"/>
                <w:vertAlign w:val="baseline"/>
                <w:lang w:val="en-US" w:eastAsia="zh-CN"/>
              </w:rPr>
              <w:t>铅衣、铅围脖、铅帽、长方巾、铅眼镜、短裙（性腺防护裙）共5套。</w:t>
            </w:r>
          </w:p>
        </w:tc>
        <w:tc>
          <w:tcPr>
            <w:tcW w:w="1393" w:type="dxa"/>
            <w:gridSpan w:val="2"/>
            <w:noWrap w:val="0"/>
            <w:vAlign w:val="center"/>
          </w:tcPr>
          <w:p w14:paraId="22E3641F">
            <w:pPr>
              <w:keepNext w:val="0"/>
              <w:keepLines w:val="0"/>
              <w:pageBreakBefore w:val="0"/>
              <w:tabs>
                <w:tab w:val="left" w:pos="3570"/>
              </w:tabs>
              <w:overflowPunct/>
              <w:topLinePunct w:val="0"/>
              <w:bidi w:val="0"/>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1450000</w:t>
            </w:r>
          </w:p>
        </w:tc>
      </w:tr>
      <w:tr w14:paraId="3FE43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545" w:hRule="atLeast"/>
          <w:jc w:val="center"/>
        </w:trPr>
        <w:tc>
          <w:tcPr>
            <w:tcW w:w="10228" w:type="dxa"/>
            <w:gridSpan w:val="5"/>
            <w:noWrap w:val="0"/>
            <w:vAlign w:val="center"/>
          </w:tcPr>
          <w:p w14:paraId="787411AC">
            <w:pPr>
              <w:pStyle w:val="24"/>
              <w:keepNext w:val="0"/>
              <w:keepLines w:val="0"/>
              <w:pageBreakBefore w:val="0"/>
              <w:overflowPunct/>
              <w:topLinePunct w:val="0"/>
              <w:bidi w:val="0"/>
              <w:spacing w:line="440" w:lineRule="exact"/>
              <w:ind w:left="0" w:leftChars="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二、商务条款</w:t>
            </w:r>
          </w:p>
        </w:tc>
      </w:tr>
      <w:tr w14:paraId="6FE15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545" w:hRule="atLeast"/>
          <w:jc w:val="center"/>
        </w:trPr>
        <w:tc>
          <w:tcPr>
            <w:tcW w:w="2028" w:type="dxa"/>
            <w:gridSpan w:val="2"/>
            <w:noWrap w:val="0"/>
            <w:vAlign w:val="center"/>
          </w:tcPr>
          <w:p w14:paraId="46C34768">
            <w:pPr>
              <w:keepNext w:val="0"/>
              <w:keepLines w:val="0"/>
              <w:pageBreakBefore w:val="0"/>
              <w:tabs>
                <w:tab w:val="center" w:pos="4153"/>
                <w:tab w:val="right" w:pos="8306"/>
              </w:tabs>
              <w:kinsoku w:val="0"/>
              <w:overflowPunct/>
              <w:topLinePunct w:val="0"/>
              <w:autoSpaceDE w:val="0"/>
              <w:autoSpaceDN w:val="0"/>
              <w:bidi w:val="0"/>
              <w:adjustRightInd w:val="0"/>
              <w:snapToGrid w:val="0"/>
              <w:spacing w:line="440" w:lineRule="exact"/>
              <w:jc w:val="center"/>
              <w:textAlignment w:val="baseline"/>
              <w:rPr>
                <w:rFonts w:hint="eastAsia" w:ascii="仿宋" w:hAnsi="仿宋" w:eastAsia="仿宋" w:cs="仿宋"/>
                <w:b/>
                <w:bCs/>
                <w:color w:val="auto"/>
                <w:sz w:val="24"/>
                <w:szCs w:val="24"/>
                <w:highlight w:val="none"/>
              </w:rPr>
            </w:pPr>
            <w:r>
              <w:rPr>
                <w:rFonts w:hint="eastAsia" w:ascii="仿宋" w:hAnsi="仿宋" w:eastAsia="仿宋" w:cs="仿宋"/>
                <w:b/>
                <w:color w:val="auto"/>
                <w:kern w:val="21"/>
                <w:sz w:val="24"/>
                <w:szCs w:val="24"/>
                <w:highlight w:val="none"/>
                <w:lang w:val="en-US" w:eastAsia="zh-CN" w:bidi="ar"/>
              </w:rPr>
              <w:t>交货期及地点</w:t>
            </w:r>
          </w:p>
        </w:tc>
        <w:tc>
          <w:tcPr>
            <w:tcW w:w="8200" w:type="dxa"/>
            <w:gridSpan w:val="3"/>
            <w:noWrap w:val="0"/>
            <w:vAlign w:val="center"/>
          </w:tcPr>
          <w:p w14:paraId="74A89321">
            <w:pPr>
              <w:keepNext w:val="0"/>
              <w:keepLines w:val="0"/>
              <w:pageBreakBefore w:val="0"/>
              <w:widowControl/>
              <w:wordWrap/>
              <w:overflowPunct/>
              <w:topLinePunct w:val="0"/>
              <w:bidi w:val="0"/>
              <w:spacing w:line="44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1.交货期：</w:t>
            </w:r>
            <w:r>
              <w:rPr>
                <w:rFonts w:hint="eastAsia" w:ascii="仿宋" w:hAnsi="仿宋" w:eastAsia="仿宋" w:cs="仿宋"/>
                <w:color w:val="auto"/>
                <w:sz w:val="24"/>
                <w:szCs w:val="24"/>
                <w:highlight w:val="none"/>
                <w:lang w:eastAsia="zh-CN"/>
              </w:rPr>
              <w:t>采购合同签订后</w:t>
            </w:r>
            <w:r>
              <w:rPr>
                <w:rFonts w:hint="eastAsia" w:ascii="仿宋" w:hAnsi="仿宋" w:eastAsia="仿宋" w:cs="仿宋"/>
                <w:color w:val="auto"/>
                <w:sz w:val="24"/>
                <w:szCs w:val="24"/>
                <w:highlight w:val="none"/>
                <w:lang w:val="en-US" w:eastAsia="zh-CN"/>
              </w:rPr>
              <w:t>45</w:t>
            </w:r>
            <w:r>
              <w:rPr>
                <w:rFonts w:hint="eastAsia" w:ascii="仿宋" w:hAnsi="仿宋" w:eastAsia="仿宋" w:cs="仿宋"/>
                <w:color w:val="auto"/>
                <w:sz w:val="24"/>
                <w:szCs w:val="24"/>
                <w:highlight w:val="none"/>
                <w:lang w:eastAsia="zh-CN"/>
              </w:rPr>
              <w:t>个</w:t>
            </w:r>
            <w:r>
              <w:rPr>
                <w:rFonts w:hint="eastAsia" w:ascii="仿宋" w:hAnsi="仿宋" w:eastAsia="仿宋" w:cs="仿宋"/>
                <w:color w:val="auto"/>
                <w:sz w:val="24"/>
                <w:szCs w:val="24"/>
                <w:highlight w:val="none"/>
                <w:lang w:val="en-US" w:eastAsia="zh-CN"/>
              </w:rPr>
              <w:t>日历</w:t>
            </w:r>
            <w:r>
              <w:rPr>
                <w:rFonts w:hint="eastAsia" w:ascii="仿宋" w:hAnsi="仿宋" w:eastAsia="仿宋" w:cs="仿宋"/>
                <w:color w:val="auto"/>
                <w:sz w:val="24"/>
                <w:szCs w:val="24"/>
                <w:highlight w:val="none"/>
                <w:lang w:eastAsia="zh-CN"/>
              </w:rPr>
              <w:t>日内交货并完成安装调试</w:t>
            </w:r>
            <w:r>
              <w:rPr>
                <w:rFonts w:hint="eastAsia" w:ascii="仿宋" w:hAnsi="仿宋" w:eastAsia="仿宋" w:cs="仿宋"/>
                <w:bCs/>
                <w:color w:val="auto"/>
                <w:sz w:val="24"/>
                <w:szCs w:val="24"/>
                <w:highlight w:val="none"/>
              </w:rPr>
              <w:t>。</w:t>
            </w:r>
          </w:p>
          <w:p w14:paraId="0BB81374">
            <w:pPr>
              <w:keepNext w:val="0"/>
              <w:keepLines w:val="0"/>
              <w:pageBreakBefore w:val="0"/>
              <w:widowControl/>
              <w:wordWrap/>
              <w:overflowPunct/>
              <w:topLinePunct w:val="0"/>
              <w:bidi w:val="0"/>
              <w:spacing w:line="44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2.交付地点：采购人指定地点。</w:t>
            </w:r>
          </w:p>
          <w:p w14:paraId="1C84B2FC">
            <w:pPr>
              <w:keepNext w:val="0"/>
              <w:keepLines w:val="0"/>
              <w:pageBreakBefore w:val="0"/>
              <w:widowControl/>
              <w:wordWrap/>
              <w:overflowPunct/>
              <w:topLinePunct w:val="0"/>
              <w:bidi w:val="0"/>
              <w:spacing w:line="440" w:lineRule="exact"/>
              <w:ind w:firstLine="14" w:firstLineChars="6"/>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3.交货方式：现场交货</w:t>
            </w:r>
          </w:p>
          <w:p w14:paraId="493EA103">
            <w:pPr>
              <w:keepNext w:val="0"/>
              <w:keepLines w:val="0"/>
              <w:pageBreakBefore w:val="0"/>
              <w:widowControl/>
              <w:wordWrap/>
              <w:overflowPunct/>
              <w:topLinePunct w:val="0"/>
              <w:bidi w:val="0"/>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包括：</w:t>
            </w:r>
          </w:p>
          <w:p w14:paraId="35716728">
            <w:pPr>
              <w:keepNext w:val="0"/>
              <w:keepLines w:val="0"/>
              <w:pageBreakBefore w:val="0"/>
              <w:widowControl/>
              <w:numPr>
                <w:ilvl w:val="0"/>
                <w:numId w:val="6"/>
              </w:numPr>
              <w:wordWrap/>
              <w:overflowPunct/>
              <w:topLinePunct w:val="0"/>
              <w:bidi w:val="0"/>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货物的价格；</w:t>
            </w:r>
          </w:p>
          <w:p w14:paraId="1B39BA38">
            <w:pPr>
              <w:keepNext w:val="0"/>
              <w:keepLines w:val="0"/>
              <w:pageBreakBefore w:val="0"/>
              <w:widowControl/>
              <w:numPr>
                <w:ilvl w:val="0"/>
                <w:numId w:val="6"/>
              </w:numPr>
              <w:wordWrap/>
              <w:overflowPunct/>
              <w:topLinePunct w:val="0"/>
              <w:bidi w:val="0"/>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货物的标准附件、备品备件、专用工具的价格、产品说明书；</w:t>
            </w:r>
          </w:p>
          <w:p w14:paraId="741DBCB9">
            <w:pPr>
              <w:keepNext w:val="0"/>
              <w:keepLines w:val="0"/>
              <w:pageBreakBefore w:val="0"/>
              <w:widowControl/>
              <w:numPr>
                <w:ilvl w:val="0"/>
                <w:numId w:val="6"/>
              </w:numPr>
              <w:wordWrap/>
              <w:overflowPunct/>
              <w:topLinePunct w:val="0"/>
              <w:bidi w:val="0"/>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运输、装卸、调试、培训、技术支持、售后服务等费用；</w:t>
            </w:r>
          </w:p>
          <w:p w14:paraId="50B30289">
            <w:pPr>
              <w:keepNext w:val="0"/>
              <w:keepLines w:val="0"/>
              <w:pageBreakBefore w:val="0"/>
              <w:widowControl/>
              <w:numPr>
                <w:ilvl w:val="0"/>
                <w:numId w:val="6"/>
              </w:numPr>
              <w:wordWrap/>
              <w:overflowPunct/>
              <w:topLinePunct w:val="0"/>
              <w:bidi w:val="0"/>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必要的保险费用和和各项税费；</w:t>
            </w:r>
          </w:p>
          <w:p w14:paraId="6D393B8A">
            <w:pPr>
              <w:keepNext w:val="0"/>
              <w:keepLines w:val="0"/>
              <w:pageBreakBefore w:val="0"/>
              <w:widowControl/>
              <w:tabs>
                <w:tab w:val="center" w:pos="4153"/>
                <w:tab w:val="right" w:pos="8306"/>
              </w:tabs>
              <w:kinsoku w:val="0"/>
              <w:wordWrap/>
              <w:overflowPunct/>
              <w:topLinePunct w:val="0"/>
              <w:autoSpaceDE w:val="0"/>
              <w:autoSpaceDN w:val="0"/>
              <w:bidi w:val="0"/>
              <w:adjustRightInd w:val="0"/>
              <w:snapToGrid w:val="0"/>
              <w:spacing w:line="440" w:lineRule="exact"/>
              <w:jc w:val="left"/>
              <w:textAlignment w:val="baseline"/>
              <w:rPr>
                <w:rFonts w:hint="eastAsia" w:ascii="仿宋" w:hAnsi="仿宋" w:eastAsia="仿宋" w:cs="仿宋"/>
                <w:color w:val="auto"/>
                <w:kern w:val="0"/>
                <w:sz w:val="24"/>
                <w:szCs w:val="24"/>
                <w:highlight w:val="none"/>
              </w:rPr>
            </w:pPr>
            <w:r>
              <w:rPr>
                <w:rFonts w:hint="eastAsia" w:ascii="仿宋" w:hAnsi="仿宋" w:eastAsia="仿宋" w:cs="仿宋"/>
                <w:color w:val="auto"/>
                <w:kern w:val="21"/>
                <w:sz w:val="24"/>
                <w:szCs w:val="24"/>
                <w:highlight w:val="none"/>
                <w:lang w:val="en-US" w:eastAsia="en-US" w:bidi="ar-SA"/>
              </w:rPr>
              <w:t>（5）安装至调试正常使用发生所有费用，由供应商自行承担。</w:t>
            </w:r>
          </w:p>
        </w:tc>
      </w:tr>
      <w:tr w14:paraId="3AFA0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545" w:hRule="atLeast"/>
          <w:jc w:val="center"/>
        </w:trPr>
        <w:tc>
          <w:tcPr>
            <w:tcW w:w="2028" w:type="dxa"/>
            <w:gridSpan w:val="2"/>
            <w:noWrap w:val="0"/>
            <w:vAlign w:val="center"/>
          </w:tcPr>
          <w:p w14:paraId="5AAE1401">
            <w:pPr>
              <w:keepNext w:val="0"/>
              <w:keepLines w:val="0"/>
              <w:pageBreakBefore w:val="0"/>
              <w:kinsoku/>
              <w:overflowPunct/>
              <w:topLinePunct w:val="0"/>
              <w:bidi w:val="0"/>
              <w:spacing w:line="440" w:lineRule="exact"/>
              <w:ind w:firstLine="14" w:firstLineChars="6"/>
              <w:jc w:val="center"/>
              <w:outlineLvl w:val="0"/>
              <w:rPr>
                <w:rFonts w:hint="eastAsia" w:ascii="仿宋" w:hAnsi="仿宋" w:eastAsia="仿宋" w:cs="仿宋"/>
                <w:color w:val="auto"/>
                <w:kern w:val="0"/>
                <w:sz w:val="24"/>
                <w:szCs w:val="24"/>
                <w:highlight w:val="none"/>
              </w:rPr>
            </w:pPr>
            <w:r>
              <w:rPr>
                <w:rFonts w:hint="eastAsia" w:ascii="仿宋" w:hAnsi="仿宋" w:eastAsia="仿宋" w:cs="仿宋"/>
                <w:b/>
                <w:color w:val="auto"/>
                <w:sz w:val="24"/>
                <w:szCs w:val="24"/>
                <w:highlight w:val="none"/>
                <w:lang w:eastAsia="zh-CN" w:bidi="ar"/>
              </w:rPr>
              <w:t>投标报价</w:t>
            </w:r>
          </w:p>
        </w:tc>
        <w:tc>
          <w:tcPr>
            <w:tcW w:w="8200" w:type="dxa"/>
            <w:gridSpan w:val="3"/>
            <w:noWrap w:val="0"/>
            <w:vAlign w:val="center"/>
          </w:tcPr>
          <w:p w14:paraId="7109E04F">
            <w:pPr>
              <w:keepNext w:val="0"/>
              <w:keepLines w:val="0"/>
              <w:pageBreakBefore w:val="0"/>
              <w:widowControl/>
              <w:kinsoku/>
              <w:wordWrap/>
              <w:overflowPunct/>
              <w:topLinePunct w:val="0"/>
              <w:bidi w:val="0"/>
              <w:spacing w:line="440" w:lineRule="exact"/>
              <w:ind w:firstLine="15" w:firstLineChars="6"/>
              <w:jc w:val="both"/>
              <w:outlineLvl w:val="0"/>
              <w:rPr>
                <w:rFonts w:hint="eastAsia" w:ascii="仿宋" w:hAnsi="仿宋" w:eastAsia="仿宋" w:cs="仿宋"/>
                <w:color w:val="auto"/>
                <w:kern w:val="0"/>
                <w:sz w:val="24"/>
                <w:szCs w:val="24"/>
                <w:highlight w:val="none"/>
              </w:rPr>
            </w:pPr>
            <w:r>
              <w:rPr>
                <w:rFonts w:hint="eastAsia" w:ascii="仿宋" w:hAnsi="仿宋" w:eastAsia="仿宋" w:cs="仿宋"/>
                <w:color w:val="auto"/>
                <w:spacing w:val="6"/>
                <w:sz w:val="24"/>
                <w:szCs w:val="24"/>
                <w:highlight w:val="none"/>
                <w:lang w:eastAsia="zh-CN" w:bidi="ar"/>
              </w:rPr>
              <w:t>项目实行总承包报价，投标报价包含货物、货物标准附件、备品备件、专用工具、设备安装辅材、施工辅材、包装、运输、装卸、保险、货到就位的各种费用以及安装、调试等本招标文件所列设备材料需进行补充完善才能完成本项目的功能配置或实际采购中产品材料有任何遗漏的费用（含本项目需要但本文件中未列出的设备材料、功能配置）、税金、售后服务、技术培训及其他所有成本费用，以及合同明示或暗示的所有责任、义务和一般风险等一切费用。投标人综合考虑在报价中。</w:t>
            </w:r>
          </w:p>
        </w:tc>
      </w:tr>
      <w:tr w14:paraId="2F2AD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545" w:hRule="atLeast"/>
          <w:jc w:val="center"/>
        </w:trPr>
        <w:tc>
          <w:tcPr>
            <w:tcW w:w="2028" w:type="dxa"/>
            <w:gridSpan w:val="2"/>
            <w:noWrap w:val="0"/>
            <w:vAlign w:val="center"/>
          </w:tcPr>
          <w:p w14:paraId="4344618D">
            <w:pPr>
              <w:keepNext w:val="0"/>
              <w:keepLines w:val="0"/>
              <w:pageBreakBefore w:val="0"/>
              <w:kinsoku w:val="0"/>
              <w:overflowPunct/>
              <w:topLinePunct w:val="0"/>
              <w:autoSpaceDE w:val="0"/>
              <w:autoSpaceDN w:val="0"/>
              <w:bidi w:val="0"/>
              <w:adjustRightInd w:val="0"/>
              <w:snapToGrid w:val="0"/>
              <w:spacing w:line="440" w:lineRule="exact"/>
              <w:jc w:val="center"/>
              <w:textAlignment w:val="baseline"/>
              <w:rPr>
                <w:rFonts w:hint="eastAsia" w:ascii="仿宋" w:hAnsi="仿宋" w:eastAsia="仿宋" w:cs="仿宋"/>
                <w:color w:val="auto"/>
                <w:kern w:val="0"/>
                <w:sz w:val="24"/>
                <w:szCs w:val="24"/>
                <w:highlight w:val="none"/>
              </w:rPr>
            </w:pPr>
            <w:r>
              <w:rPr>
                <w:rFonts w:hint="eastAsia" w:ascii="仿宋" w:hAnsi="仿宋" w:eastAsia="仿宋" w:cs="仿宋"/>
                <w:b/>
                <w:color w:val="auto"/>
                <w:kern w:val="21"/>
                <w:sz w:val="24"/>
                <w:szCs w:val="24"/>
                <w:highlight w:val="none"/>
                <w:lang w:val="en-US" w:eastAsia="zh-CN" w:bidi="ar"/>
              </w:rPr>
              <w:t>付款方式</w:t>
            </w:r>
          </w:p>
        </w:tc>
        <w:tc>
          <w:tcPr>
            <w:tcW w:w="8200" w:type="dxa"/>
            <w:gridSpan w:val="3"/>
            <w:noWrap w:val="0"/>
            <w:vAlign w:val="center"/>
          </w:tcPr>
          <w:p w14:paraId="7563D032">
            <w:pPr>
              <w:keepNext w:val="0"/>
              <w:keepLines w:val="0"/>
              <w:pageBreakBefore w:val="0"/>
              <w:widowControl/>
              <w:kinsoku/>
              <w:wordWrap w:val="0"/>
              <w:overflowPunct/>
              <w:topLinePunct w:val="0"/>
              <w:autoSpaceDE w:val="0"/>
              <w:autoSpaceDN w:val="0"/>
              <w:bidi w:val="0"/>
              <w:adjustRightInd w:val="0"/>
              <w:snapToGrid w:val="0"/>
              <w:spacing w:line="440" w:lineRule="exact"/>
              <w:textAlignment w:val="baseline"/>
              <w:rPr>
                <w:rFonts w:hint="eastAsia" w:ascii="仿宋" w:hAnsi="仿宋" w:eastAsia="仿宋" w:cs="仿宋"/>
                <w:color w:val="auto"/>
                <w:kern w:val="21"/>
                <w:sz w:val="24"/>
                <w:szCs w:val="24"/>
                <w:highlight w:val="none"/>
                <w:lang w:val="en-US" w:eastAsia="zh-CN" w:bidi="ar"/>
              </w:rPr>
            </w:pPr>
            <w:r>
              <w:rPr>
                <w:rFonts w:hint="eastAsia" w:ascii="仿宋" w:hAnsi="仿宋" w:eastAsia="仿宋" w:cs="仿宋"/>
                <w:color w:val="auto"/>
                <w:kern w:val="21"/>
                <w:sz w:val="24"/>
                <w:szCs w:val="24"/>
                <w:highlight w:val="none"/>
                <w:lang w:val="en-US" w:eastAsia="zh-CN" w:bidi="ar"/>
              </w:rPr>
              <w:t>1.付款进度安排:签订合同后30个工作日内，支付合同价款的30%，设备安装验收合格正常使用后30个工作日内，支付合同价款的70%。乙方须在设备验收合格后及时向甲方提供符合国家规定及甲方要求的全额有效的税务发票，甲方未收到发票的，有权不予支付相应款项直至乙方提供合格发票，并不承担延迟付款责任。发票认证通过是付款的必要前提之一。</w:t>
            </w:r>
          </w:p>
          <w:p w14:paraId="2E56894A">
            <w:pPr>
              <w:keepNext w:val="0"/>
              <w:keepLines w:val="0"/>
              <w:pageBreakBefore w:val="0"/>
              <w:widowControl/>
              <w:kinsoku/>
              <w:wordWrap w:val="0"/>
              <w:overflowPunct/>
              <w:topLinePunct w:val="0"/>
              <w:autoSpaceDE w:val="0"/>
              <w:autoSpaceDN w:val="0"/>
              <w:bidi w:val="0"/>
              <w:adjustRightInd w:val="0"/>
              <w:snapToGrid w:val="0"/>
              <w:spacing w:line="440" w:lineRule="exact"/>
              <w:textAlignment w:val="baseline"/>
              <w:rPr>
                <w:rFonts w:hint="eastAsia" w:ascii="仿宋" w:hAnsi="仿宋" w:eastAsia="仿宋" w:cs="仿宋"/>
                <w:color w:val="auto"/>
                <w:kern w:val="21"/>
                <w:sz w:val="24"/>
                <w:szCs w:val="24"/>
                <w:highlight w:val="none"/>
                <w:lang w:val="en-US" w:eastAsia="zh-CN" w:bidi="ar"/>
              </w:rPr>
            </w:pPr>
            <w:r>
              <w:rPr>
                <w:rFonts w:hint="eastAsia" w:ascii="仿宋" w:hAnsi="仿宋" w:eastAsia="仿宋" w:cs="仿宋"/>
                <w:color w:val="auto"/>
                <w:kern w:val="21"/>
                <w:sz w:val="24"/>
                <w:szCs w:val="24"/>
                <w:highlight w:val="none"/>
                <w:lang w:val="en-US" w:eastAsia="zh-CN" w:bidi="ar"/>
              </w:rPr>
              <w:t>2．本合同执行中相关的一切税费均由乙方负担。</w:t>
            </w:r>
          </w:p>
          <w:p w14:paraId="01E67E4D">
            <w:pPr>
              <w:keepNext w:val="0"/>
              <w:keepLines w:val="0"/>
              <w:pageBreakBefore w:val="0"/>
              <w:widowControl/>
              <w:kinsoku/>
              <w:wordWrap w:val="0"/>
              <w:overflowPunct/>
              <w:topLinePunct w:val="0"/>
              <w:autoSpaceDE w:val="0"/>
              <w:autoSpaceDN w:val="0"/>
              <w:bidi w:val="0"/>
              <w:adjustRightInd w:val="0"/>
              <w:snapToGrid w:val="0"/>
              <w:spacing w:line="440" w:lineRule="exact"/>
              <w:textAlignment w:val="baseline"/>
              <w:rPr>
                <w:rFonts w:hint="eastAsia" w:ascii="仿宋" w:hAnsi="仿宋" w:eastAsia="仿宋" w:cs="仿宋"/>
                <w:color w:val="auto"/>
                <w:kern w:val="0"/>
                <w:sz w:val="24"/>
                <w:szCs w:val="24"/>
                <w:highlight w:val="none"/>
              </w:rPr>
            </w:pPr>
            <w:r>
              <w:rPr>
                <w:rFonts w:hint="eastAsia" w:ascii="仿宋" w:hAnsi="仿宋" w:eastAsia="仿宋" w:cs="仿宋"/>
                <w:color w:val="auto"/>
                <w:kern w:val="21"/>
                <w:sz w:val="24"/>
                <w:szCs w:val="24"/>
                <w:highlight w:val="none"/>
                <w:lang w:val="en-US" w:eastAsia="zh-CN" w:bidi="ar"/>
              </w:rPr>
              <w:t>3.资金支付方式：银行转账</w:t>
            </w:r>
          </w:p>
        </w:tc>
      </w:tr>
      <w:tr w14:paraId="1316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545" w:hRule="atLeast"/>
          <w:jc w:val="center"/>
        </w:trPr>
        <w:tc>
          <w:tcPr>
            <w:tcW w:w="2028" w:type="dxa"/>
            <w:gridSpan w:val="2"/>
            <w:noWrap w:val="0"/>
            <w:vAlign w:val="center"/>
          </w:tcPr>
          <w:p w14:paraId="51B3B0E1">
            <w:pPr>
              <w:keepNext w:val="0"/>
              <w:keepLines w:val="0"/>
              <w:pageBreakBefore w:val="0"/>
              <w:kinsoku/>
              <w:overflowPunct/>
              <w:topLinePunct w:val="0"/>
              <w:bidi w:val="0"/>
              <w:spacing w:line="440" w:lineRule="exact"/>
              <w:ind w:firstLine="14" w:firstLineChars="6"/>
              <w:jc w:val="center"/>
              <w:rPr>
                <w:rFonts w:hint="eastAsia" w:ascii="仿宋" w:hAnsi="仿宋" w:eastAsia="仿宋" w:cs="仿宋"/>
                <w:color w:val="auto"/>
                <w:kern w:val="0"/>
                <w:sz w:val="24"/>
                <w:szCs w:val="24"/>
                <w:highlight w:val="none"/>
              </w:rPr>
            </w:pPr>
            <w:r>
              <w:rPr>
                <w:rFonts w:hint="eastAsia" w:ascii="仿宋" w:hAnsi="仿宋" w:eastAsia="仿宋" w:cs="仿宋"/>
                <w:b/>
                <w:color w:val="auto"/>
                <w:sz w:val="24"/>
                <w:szCs w:val="24"/>
                <w:highlight w:val="none"/>
                <w:lang w:eastAsia="zh-CN" w:bidi="ar"/>
              </w:rPr>
              <w:t>售后服务要求</w:t>
            </w:r>
          </w:p>
        </w:tc>
        <w:tc>
          <w:tcPr>
            <w:tcW w:w="8200" w:type="dxa"/>
            <w:gridSpan w:val="3"/>
            <w:noWrap w:val="0"/>
            <w:vAlign w:val="center"/>
          </w:tcPr>
          <w:p w14:paraId="2E12A226">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1.中标人应按照国家有关法律法规规定以及投标文件承诺，为采购人提供售后服务。</w:t>
            </w:r>
          </w:p>
          <w:p w14:paraId="3E3B6CF6">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2.质量保修范围:</w:t>
            </w:r>
            <w:r>
              <w:rPr>
                <w:rFonts w:hint="eastAsia" w:ascii="仿宋" w:hAnsi="仿宋" w:eastAsia="仿宋" w:cs="仿宋"/>
                <w:color w:val="auto"/>
                <w:sz w:val="24"/>
                <w:szCs w:val="24"/>
                <w:highlight w:val="none"/>
                <w:u w:val="single"/>
                <w:lang w:eastAsia="zh-CN" w:bidi="ar"/>
              </w:rPr>
              <w:t>本项目采购范围内的所有设备</w:t>
            </w:r>
            <w:r>
              <w:rPr>
                <w:rFonts w:hint="eastAsia" w:ascii="仿宋" w:hAnsi="仿宋" w:eastAsia="仿宋" w:cs="仿宋"/>
                <w:color w:val="auto"/>
                <w:sz w:val="24"/>
                <w:szCs w:val="24"/>
                <w:highlight w:val="none"/>
                <w:lang w:eastAsia="zh-CN" w:bidi="ar"/>
              </w:rPr>
              <w:t>。免费保修期内上门维修（维修费和元器件费包含在投标报价中）、更换零部件，软件终身免费升级服务，设备生产厂家提供远程联机维护服务，能对设备进行软件升级及故障分析；保修期：按中标人投标文件承诺（且不低于采购文件要求）执行。</w:t>
            </w:r>
          </w:p>
          <w:p w14:paraId="609A5C25">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eastAsia="zh-CN" w:bidi="ar"/>
              </w:rPr>
              <w:t>3.免费保修期：按国家有关产品“三包”规定执行“三包”；免费保修期为不少于5年（免费保修期从设备验收合格之日起计算），免费保修期内上门维修不收取任何费用；</w:t>
            </w:r>
            <w:r>
              <w:rPr>
                <w:rFonts w:hint="eastAsia" w:ascii="仿宋" w:hAnsi="仿宋" w:eastAsia="仿宋" w:cs="仿宋"/>
                <w:color w:val="auto"/>
                <w:sz w:val="24"/>
                <w:szCs w:val="24"/>
                <w:highlight w:val="none"/>
                <w:lang w:val="en-US" w:eastAsia="zh-CN" w:bidi="ar"/>
              </w:rPr>
              <w:t>维保期后维保费≤6万元/年。</w:t>
            </w:r>
          </w:p>
          <w:p w14:paraId="4B05A1CA">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4.在免费保修期内因货物本身的质量问题发生故障，中标人应负责免费修理和更换零部件。对达不到技术要求者，根据实际情况，采购人有权按以下办法处理：</w:t>
            </w:r>
          </w:p>
          <w:p w14:paraId="67663625">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（1）更换：由中标人承担所发生的全部费用。</w:t>
            </w:r>
          </w:p>
          <w:p w14:paraId="31CA2B68">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（2）贬值处理：由采购人与中标人双方合议定价。</w:t>
            </w:r>
          </w:p>
          <w:p w14:paraId="70D7BAAF">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（3）退货处理：中标人应退还采购人支付的合同款，同时应承担该货物的直接费用（运输、保险、检验、货款利息及银行手续费等）。</w:t>
            </w:r>
          </w:p>
          <w:p w14:paraId="0CA728A0">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5.如在使用过程中发生质量问题，中标人在接到采购人通知后</w:t>
            </w:r>
            <w:r>
              <w:rPr>
                <w:rFonts w:hint="eastAsia" w:ascii="仿宋" w:hAnsi="仿宋" w:eastAsia="仿宋" w:cs="仿宋"/>
                <w:color w:val="auto"/>
                <w:sz w:val="24"/>
                <w:szCs w:val="24"/>
                <w:highlight w:val="none"/>
                <w:u w:val="single"/>
                <w:lang w:val="en-US" w:eastAsia="zh-CN" w:bidi="ar"/>
              </w:rPr>
              <w:t>4</w:t>
            </w:r>
            <w:r>
              <w:rPr>
                <w:rFonts w:hint="eastAsia" w:ascii="仿宋" w:hAnsi="仿宋" w:eastAsia="仿宋" w:cs="仿宋"/>
                <w:color w:val="auto"/>
                <w:sz w:val="24"/>
                <w:szCs w:val="24"/>
                <w:highlight w:val="none"/>
                <w:lang w:eastAsia="zh-CN" w:bidi="ar"/>
              </w:rPr>
              <w:t>小时内响应，</w:t>
            </w:r>
            <w:r>
              <w:rPr>
                <w:rFonts w:hint="eastAsia" w:ascii="仿宋" w:hAnsi="仿宋" w:eastAsia="仿宋" w:cs="仿宋"/>
                <w:color w:val="auto"/>
                <w:sz w:val="24"/>
                <w:szCs w:val="24"/>
                <w:highlight w:val="none"/>
                <w:u w:val="single"/>
                <w:lang w:eastAsia="zh-CN" w:bidi="ar"/>
              </w:rPr>
              <w:t>2</w:t>
            </w:r>
            <w:r>
              <w:rPr>
                <w:rFonts w:hint="eastAsia" w:ascii="仿宋" w:hAnsi="仿宋" w:eastAsia="仿宋" w:cs="仿宋"/>
                <w:color w:val="auto"/>
                <w:sz w:val="24"/>
                <w:szCs w:val="24"/>
                <w:highlight w:val="none"/>
                <w:u w:val="single"/>
                <w:lang w:val="en-US" w:eastAsia="zh-CN" w:bidi="ar"/>
              </w:rPr>
              <w:t>4</w:t>
            </w:r>
            <w:r>
              <w:rPr>
                <w:rFonts w:hint="eastAsia" w:ascii="仿宋" w:hAnsi="仿宋" w:eastAsia="仿宋" w:cs="仿宋"/>
                <w:color w:val="auto"/>
                <w:sz w:val="24"/>
                <w:szCs w:val="24"/>
                <w:highlight w:val="none"/>
                <w:lang w:eastAsia="zh-CN" w:bidi="ar"/>
              </w:rPr>
              <w:t>小时内到达现场进行处理，恢复正常使用。中标人逾期响应、到达现场、排除故障或者无法排除故障的，采购人有权自行或寻找第三方机构获得维修、维护等售后服务，全部费用由中标人承担，且无需经过中标人同意、确认。</w:t>
            </w:r>
          </w:p>
          <w:p w14:paraId="7EDC5C24">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6.在免费保修期内，中标人应对货物出现的质量及安全问题负责处理解决并承担一切费用。</w:t>
            </w:r>
          </w:p>
          <w:p w14:paraId="47419D4F">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7.本项目采购范围内的货物因人为因素出现的故障不在免费保修范围内。超过免费保修期的机器设备，提供终生维修服务。</w:t>
            </w:r>
          </w:p>
          <w:p w14:paraId="5FDC55FB">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8.中标人提供的货物在免费保修期内，因设计、工艺或材料的缺陷和其它质量原因造成的问题，由中标人负责，费用从最后一笔支付的合同价款当中扣除，不足以扣除的，由中标人另行支付。</w:t>
            </w:r>
          </w:p>
          <w:p w14:paraId="7A07C236">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bidi="ar"/>
              </w:rPr>
              <w:t>9.中标人提供的服务承诺和售后服务及免费保修期责任等其它具体约定事项。</w:t>
            </w:r>
          </w:p>
        </w:tc>
      </w:tr>
      <w:tr w14:paraId="51C6B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545" w:hRule="atLeast"/>
          <w:jc w:val="center"/>
        </w:trPr>
        <w:tc>
          <w:tcPr>
            <w:tcW w:w="2028" w:type="dxa"/>
            <w:gridSpan w:val="2"/>
            <w:noWrap w:val="0"/>
            <w:vAlign w:val="center"/>
          </w:tcPr>
          <w:p w14:paraId="682E7E86">
            <w:pPr>
              <w:keepNext w:val="0"/>
              <w:keepLines w:val="0"/>
              <w:pageBreakBefore w:val="0"/>
              <w:overflowPunct/>
              <w:topLinePunct w:val="0"/>
              <w:bidi w:val="0"/>
              <w:spacing w:line="440" w:lineRule="exact"/>
              <w:jc w:val="center"/>
              <w:rPr>
                <w:rFonts w:hint="eastAsia" w:ascii="仿宋" w:hAnsi="仿宋" w:eastAsia="仿宋" w:cs="仿宋"/>
                <w:b/>
                <w:color w:val="auto"/>
                <w:sz w:val="24"/>
                <w:szCs w:val="24"/>
                <w:highlight w:val="none"/>
                <w:lang w:eastAsia="zh-CN" w:bidi="ar"/>
              </w:rPr>
            </w:pPr>
            <w:r>
              <w:rPr>
                <w:rFonts w:hint="eastAsia" w:ascii="仿宋" w:hAnsi="仿宋" w:eastAsia="仿宋" w:cs="仿宋"/>
                <w:b/>
                <w:color w:val="auto"/>
                <w:sz w:val="24"/>
                <w:szCs w:val="24"/>
                <w:highlight w:val="none"/>
                <w:lang w:eastAsia="zh-CN" w:bidi="ar"/>
              </w:rPr>
              <w:t>合同签订时间及</w:t>
            </w:r>
          </w:p>
          <w:p w14:paraId="37C1EBDD">
            <w:pPr>
              <w:keepNext w:val="0"/>
              <w:keepLines w:val="0"/>
              <w:pageBreakBefore w:val="0"/>
              <w:kinsoku/>
              <w:overflowPunct/>
              <w:topLinePunct w:val="0"/>
              <w:autoSpaceDE/>
              <w:autoSpaceDN/>
              <w:bidi w:val="0"/>
              <w:adjustRightInd/>
              <w:snapToGrid/>
              <w:spacing w:line="440" w:lineRule="exact"/>
              <w:ind w:firstLine="14" w:firstLineChars="6"/>
              <w:jc w:val="center"/>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lang w:eastAsia="zh-CN" w:bidi="ar"/>
              </w:rPr>
              <w:t>地点</w:t>
            </w:r>
          </w:p>
        </w:tc>
        <w:tc>
          <w:tcPr>
            <w:tcW w:w="8200" w:type="dxa"/>
            <w:gridSpan w:val="3"/>
            <w:noWrap w:val="0"/>
            <w:vAlign w:val="center"/>
          </w:tcPr>
          <w:p w14:paraId="1519CB10">
            <w:pPr>
              <w:keepNext w:val="0"/>
              <w:keepLines w:val="0"/>
              <w:pageBreakBefore w:val="0"/>
              <w:widowControl/>
              <w:kinsoku/>
              <w:wordWrap/>
              <w:overflowPunct/>
              <w:topLinePunct w:val="0"/>
              <w:autoSpaceDE/>
              <w:autoSpaceDN/>
              <w:bidi w:val="0"/>
              <w:adjustRightInd/>
              <w:snapToGrid/>
              <w:spacing w:line="440" w:lineRule="exact"/>
              <w:ind w:firstLine="14" w:firstLineChars="6"/>
              <w:jc w:val="both"/>
              <w:textAlignment w:val="auto"/>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1</w:t>
            </w:r>
            <w:r>
              <w:rPr>
                <w:rFonts w:hint="eastAsia" w:ascii="仿宋" w:hAnsi="仿宋" w:eastAsia="仿宋" w:cs="仿宋"/>
                <w:color w:val="auto"/>
                <w:sz w:val="24"/>
                <w:szCs w:val="24"/>
                <w:highlight w:val="none"/>
                <w:lang w:val="en-US" w:eastAsia="zh-CN" w:bidi="ar"/>
              </w:rPr>
              <w:t>.</w:t>
            </w:r>
            <w:r>
              <w:rPr>
                <w:rFonts w:hint="eastAsia" w:ascii="仿宋" w:hAnsi="仿宋" w:eastAsia="仿宋" w:cs="仿宋"/>
                <w:color w:val="auto"/>
                <w:sz w:val="24"/>
                <w:szCs w:val="24"/>
                <w:highlight w:val="none"/>
                <w:lang w:eastAsia="zh-CN" w:bidi="ar"/>
              </w:rPr>
              <w:t>签订合同时间：自中标通知书发出之日25日内。</w:t>
            </w:r>
          </w:p>
          <w:p w14:paraId="7FD0B022">
            <w:pPr>
              <w:keepNext w:val="0"/>
              <w:keepLines w:val="0"/>
              <w:pageBreakBefore w:val="0"/>
              <w:widowControl/>
              <w:kinsoku/>
              <w:wordWrap/>
              <w:overflowPunct/>
              <w:topLinePunct w:val="0"/>
              <w:autoSpaceDE/>
              <w:autoSpaceDN/>
              <w:bidi w:val="0"/>
              <w:adjustRightInd/>
              <w:snapToGrid/>
              <w:spacing w:line="440" w:lineRule="exact"/>
              <w:ind w:firstLine="14" w:firstLineChars="6"/>
              <w:jc w:val="both"/>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eastAsia="zh-CN" w:bidi="ar"/>
              </w:rPr>
              <w:t>2</w:t>
            </w:r>
            <w:r>
              <w:rPr>
                <w:rFonts w:hint="eastAsia" w:ascii="仿宋" w:hAnsi="仿宋" w:eastAsia="仿宋" w:cs="仿宋"/>
                <w:color w:val="auto"/>
                <w:sz w:val="24"/>
                <w:szCs w:val="24"/>
                <w:highlight w:val="none"/>
                <w:lang w:val="en-US" w:eastAsia="zh-CN" w:bidi="ar"/>
              </w:rPr>
              <w:t>.</w:t>
            </w:r>
            <w:r>
              <w:rPr>
                <w:rFonts w:hint="eastAsia" w:ascii="仿宋" w:hAnsi="仿宋" w:eastAsia="仿宋" w:cs="仿宋"/>
                <w:color w:val="auto"/>
                <w:sz w:val="24"/>
                <w:szCs w:val="24"/>
                <w:highlight w:val="none"/>
                <w:lang w:eastAsia="zh-CN" w:bidi="ar"/>
              </w:rPr>
              <w:t>签订合同地点：广西壮族自治区南溪山医院（广西壮族自治区第二人民医院）指定地点。</w:t>
            </w:r>
          </w:p>
        </w:tc>
      </w:tr>
      <w:tr w14:paraId="3E017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545" w:hRule="atLeast"/>
          <w:jc w:val="center"/>
        </w:trPr>
        <w:tc>
          <w:tcPr>
            <w:tcW w:w="2028" w:type="dxa"/>
            <w:gridSpan w:val="2"/>
            <w:noWrap w:val="0"/>
            <w:vAlign w:val="center"/>
          </w:tcPr>
          <w:p w14:paraId="52F16E9A">
            <w:pPr>
              <w:keepNext w:val="0"/>
              <w:keepLines w:val="0"/>
              <w:pageBreakBefore w:val="0"/>
              <w:kinsoku/>
              <w:overflowPunct/>
              <w:topLinePunct w:val="0"/>
              <w:bidi w:val="0"/>
              <w:spacing w:line="440" w:lineRule="exact"/>
              <w:ind w:left="13" w:leftChars="6"/>
              <w:jc w:val="center"/>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lang w:eastAsia="zh-CN" w:bidi="ar"/>
              </w:rPr>
              <w:t>包装和运输</w:t>
            </w:r>
          </w:p>
        </w:tc>
        <w:tc>
          <w:tcPr>
            <w:tcW w:w="8200" w:type="dxa"/>
            <w:gridSpan w:val="3"/>
            <w:noWrap w:val="0"/>
            <w:vAlign w:val="center"/>
          </w:tcPr>
          <w:p w14:paraId="7CA05F18">
            <w:pPr>
              <w:keepNext w:val="0"/>
              <w:keepLines w:val="0"/>
              <w:pageBreakBefore w:val="0"/>
              <w:widowControl/>
              <w:kinsoku/>
              <w:wordWrap/>
              <w:overflowPunct/>
              <w:topLinePunct w:val="0"/>
              <w:bidi w:val="0"/>
              <w:spacing w:line="440" w:lineRule="exact"/>
              <w:ind w:left="13" w:left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1.原厂原包装，包装完好、完整无破损、未开封。</w:t>
            </w:r>
          </w:p>
          <w:p w14:paraId="6F52D89D">
            <w:pPr>
              <w:keepNext w:val="0"/>
              <w:keepLines w:val="0"/>
              <w:pageBreakBefore w:val="0"/>
              <w:widowControl/>
              <w:kinsoku/>
              <w:wordWrap/>
              <w:overflowPunct/>
              <w:topLinePunct w:val="0"/>
              <w:bidi w:val="0"/>
              <w:spacing w:line="440" w:lineRule="exact"/>
              <w:ind w:left="13" w:left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2.包装及运输方式应综合考虑运输距离、防潮、防震、防锈和防破损装卸等要求。</w:t>
            </w:r>
          </w:p>
          <w:p w14:paraId="47AEDBEE">
            <w:pPr>
              <w:keepNext w:val="0"/>
              <w:keepLines w:val="0"/>
              <w:pageBreakBefore w:val="0"/>
              <w:widowControl/>
              <w:kinsoku/>
              <w:wordWrap/>
              <w:overflowPunct/>
              <w:topLinePunct w:val="0"/>
              <w:bidi w:val="0"/>
              <w:spacing w:line="440" w:lineRule="exact"/>
              <w:ind w:left="13" w:leftChars="6"/>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3.国家对包装及运输有相关强制性标准或要求的，中标人应当执行。</w:t>
            </w:r>
          </w:p>
          <w:p w14:paraId="29DF494E">
            <w:pPr>
              <w:keepNext w:val="0"/>
              <w:keepLines w:val="0"/>
              <w:pageBreakBefore w:val="0"/>
              <w:widowControl/>
              <w:kinsoku/>
              <w:wordWrap/>
              <w:overflowPunct/>
              <w:topLinePunct w:val="0"/>
              <w:bidi w:val="0"/>
              <w:spacing w:line="440" w:lineRule="exact"/>
              <w:ind w:left="13" w:leftChars="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bidi="ar"/>
              </w:rPr>
              <w:t>4.产品（含包装）运抵采购人指定交付地点前发生损坏的，相关损失由中标人自行承担。</w:t>
            </w:r>
          </w:p>
        </w:tc>
      </w:tr>
      <w:tr w14:paraId="2C91B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545" w:hRule="atLeast"/>
          <w:jc w:val="center"/>
        </w:trPr>
        <w:tc>
          <w:tcPr>
            <w:tcW w:w="2028" w:type="dxa"/>
            <w:gridSpan w:val="2"/>
            <w:noWrap w:val="0"/>
            <w:vAlign w:val="center"/>
          </w:tcPr>
          <w:p w14:paraId="6416694F">
            <w:pPr>
              <w:keepNext w:val="0"/>
              <w:keepLines w:val="0"/>
              <w:pageBreakBefore w:val="0"/>
              <w:kinsoku/>
              <w:overflowPunct/>
              <w:topLinePunct w:val="0"/>
              <w:bidi w:val="0"/>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lang w:eastAsia="zh-CN" w:bidi="ar"/>
              </w:rPr>
              <w:t>保险</w:t>
            </w:r>
          </w:p>
        </w:tc>
        <w:tc>
          <w:tcPr>
            <w:tcW w:w="8200" w:type="dxa"/>
            <w:gridSpan w:val="3"/>
            <w:noWrap w:val="0"/>
            <w:vAlign w:val="center"/>
          </w:tcPr>
          <w:p w14:paraId="3F72C845">
            <w:pPr>
              <w:keepNext w:val="0"/>
              <w:keepLines w:val="0"/>
              <w:pageBreakBefore w:val="0"/>
              <w:widowControl/>
              <w:kinsoku/>
              <w:wordWrap/>
              <w:overflowPunct/>
              <w:topLinePunct w:val="0"/>
              <w:bidi w:val="0"/>
              <w:spacing w:line="440" w:lineRule="exact"/>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lang w:eastAsia="zh-CN" w:bidi="ar"/>
              </w:rPr>
              <w:t>若投标人为本项目标的及标的涉及的相关材料、设备、人员、运输等购买保险的，相关费用由投标人自行承担。</w:t>
            </w:r>
          </w:p>
        </w:tc>
      </w:tr>
      <w:tr w14:paraId="35063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545" w:hRule="atLeast"/>
          <w:jc w:val="center"/>
        </w:trPr>
        <w:tc>
          <w:tcPr>
            <w:tcW w:w="2028" w:type="dxa"/>
            <w:gridSpan w:val="2"/>
            <w:noWrap w:val="0"/>
            <w:vAlign w:val="center"/>
          </w:tcPr>
          <w:p w14:paraId="0AB27FAB">
            <w:pPr>
              <w:keepNext w:val="0"/>
              <w:keepLines w:val="0"/>
              <w:pageBreakBefore w:val="0"/>
              <w:kinsoku/>
              <w:overflowPunct/>
              <w:topLinePunct w:val="0"/>
              <w:bidi w:val="0"/>
              <w:spacing w:line="440" w:lineRule="exact"/>
              <w:ind w:firstLine="14" w:firstLineChars="6"/>
              <w:jc w:val="center"/>
              <w:rPr>
                <w:rFonts w:hint="eastAsia" w:ascii="仿宋" w:hAnsi="仿宋" w:eastAsia="仿宋" w:cs="仿宋"/>
                <w:color w:val="auto"/>
                <w:kern w:val="0"/>
                <w:sz w:val="24"/>
                <w:szCs w:val="24"/>
                <w:highlight w:val="none"/>
              </w:rPr>
            </w:pPr>
            <w:r>
              <w:rPr>
                <w:rFonts w:hint="eastAsia" w:ascii="仿宋" w:hAnsi="仿宋" w:eastAsia="仿宋" w:cs="仿宋"/>
                <w:b/>
                <w:color w:val="auto"/>
                <w:sz w:val="24"/>
                <w:szCs w:val="24"/>
                <w:highlight w:val="none"/>
                <w:lang w:eastAsia="zh-CN" w:bidi="ar"/>
              </w:rPr>
              <w:t>验收标准</w:t>
            </w:r>
          </w:p>
        </w:tc>
        <w:tc>
          <w:tcPr>
            <w:tcW w:w="8200" w:type="dxa"/>
            <w:gridSpan w:val="3"/>
            <w:noWrap w:val="0"/>
            <w:vAlign w:val="center"/>
          </w:tcPr>
          <w:p w14:paraId="750D4C23">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（1）初步验收：</w:t>
            </w:r>
          </w:p>
          <w:p w14:paraId="3D53EB3E">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标的在规定的时间内到货，标的（含包装）完整、完好，与</w:t>
            </w:r>
            <w:r>
              <w:rPr>
                <w:rFonts w:hint="eastAsia" w:ascii="仿宋" w:hAnsi="仿宋" w:eastAsia="仿宋" w:cs="仿宋"/>
                <w:bCs/>
                <w:color w:val="auto"/>
                <w:sz w:val="24"/>
                <w:szCs w:val="24"/>
                <w:highlight w:val="none"/>
                <w:lang w:eastAsia="zh-CN"/>
              </w:rPr>
              <w:t>投标</w:t>
            </w:r>
            <w:r>
              <w:rPr>
                <w:rFonts w:hint="eastAsia" w:ascii="仿宋" w:hAnsi="仿宋" w:eastAsia="仿宋" w:cs="仿宋"/>
                <w:bCs/>
                <w:color w:val="auto"/>
                <w:sz w:val="24"/>
                <w:szCs w:val="24"/>
                <w:highlight w:val="none"/>
              </w:rPr>
              <w:t>承诺的产品（制造商、品牌、规格型号等）一致，标的无明显瑕疵、无损坏，装箱清单、用户手册、原厂保修卡、安装操作使用和维护手册、随机资料等所有技术资料、工具和备品、备件齐全。全部满足以上情形的，视为初步验收合格，标的不符合上述情形的，采购人在初步验收后七个工作日内以书面形式向</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提出，</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应自收到采购人书面异议后七个工作日内及时予以解决，否则，视为初步验收不合格，不予进行交付验收。</w:t>
            </w:r>
          </w:p>
          <w:p w14:paraId="287D9B9C">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（2）交付验收：</w:t>
            </w:r>
          </w:p>
          <w:p w14:paraId="210B1D74">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标的的技术指标与</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的</w:t>
            </w:r>
            <w:r>
              <w:rPr>
                <w:rFonts w:hint="eastAsia" w:ascii="仿宋" w:hAnsi="仿宋" w:eastAsia="仿宋" w:cs="仿宋"/>
                <w:bCs/>
                <w:color w:val="auto"/>
                <w:sz w:val="24"/>
                <w:szCs w:val="24"/>
                <w:highlight w:val="none"/>
                <w:lang w:eastAsia="zh-CN"/>
              </w:rPr>
              <w:t>投标</w:t>
            </w:r>
            <w:r>
              <w:rPr>
                <w:rFonts w:hint="eastAsia" w:ascii="仿宋" w:hAnsi="仿宋" w:eastAsia="仿宋" w:cs="仿宋"/>
                <w:bCs/>
                <w:color w:val="auto"/>
                <w:sz w:val="24"/>
                <w:szCs w:val="24"/>
                <w:highlight w:val="none"/>
              </w:rPr>
              <w:t>承诺一致或更高，且满足采购文件全部实质性要求，视为交付验收合格。标的不符合上述情形的，采购人在交付验收后七个工作日内以书面形式向</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提出，</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应自收到采购人书面异议后七个工作日内及时予以解决，否则，视为交付验收不合格。</w:t>
            </w:r>
          </w:p>
          <w:p w14:paraId="7E54E3A0">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（3）最终验收：</w:t>
            </w:r>
          </w:p>
          <w:p w14:paraId="58D92DB6">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标的交付验收合格投入使用后，</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提供的售后服务与其</w:t>
            </w:r>
            <w:r>
              <w:rPr>
                <w:rFonts w:hint="eastAsia" w:ascii="仿宋" w:hAnsi="仿宋" w:eastAsia="仿宋" w:cs="仿宋"/>
                <w:bCs/>
                <w:color w:val="auto"/>
                <w:sz w:val="24"/>
                <w:szCs w:val="24"/>
                <w:highlight w:val="none"/>
                <w:lang w:eastAsia="zh-CN"/>
              </w:rPr>
              <w:t>投标</w:t>
            </w:r>
            <w:r>
              <w:rPr>
                <w:rFonts w:hint="eastAsia" w:ascii="仿宋" w:hAnsi="仿宋" w:eastAsia="仿宋" w:cs="仿宋"/>
                <w:bCs/>
                <w:color w:val="auto"/>
                <w:sz w:val="24"/>
                <w:szCs w:val="24"/>
                <w:highlight w:val="none"/>
              </w:rPr>
              <w:t>承诺一致或更优，且</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履行完合同约定的应当由</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履行的全部事项之，视为最终验收合格。</w:t>
            </w:r>
          </w:p>
          <w:p w14:paraId="64E2D975">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（4）其他事项：</w:t>
            </w:r>
          </w:p>
          <w:p w14:paraId="3697AF22">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1）验收时，双方应当派员在场，并对验收结果签署意见，否则视为其同意验收结果。</w:t>
            </w:r>
          </w:p>
          <w:p w14:paraId="0AB6A6DA">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2）由于</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的原因造成采购人验收不合格、影响采购人正常使用的，由此造成的损失由</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承担。初步验收或交付验收不合格的，采购人有权终止合同并全部退货，同时报相关监督管理部门处理，由此造成甲方经济损失的由</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负责承担全部赔偿责任。</w:t>
            </w:r>
          </w:p>
          <w:p w14:paraId="0CA7820B">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3）对技术复杂的货物，采购人可请国家认可的专业检测机构参与初步验收及交付验收，并由其出具质量检测报告，费用由</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承担。</w:t>
            </w:r>
          </w:p>
          <w:p w14:paraId="79E2DAE4">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4）验收过程中所产生的一切费用均由</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承担，</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在</w:t>
            </w:r>
            <w:r>
              <w:rPr>
                <w:rFonts w:hint="eastAsia" w:ascii="仿宋" w:hAnsi="仿宋" w:eastAsia="仿宋" w:cs="仿宋"/>
                <w:bCs/>
                <w:color w:val="auto"/>
                <w:sz w:val="24"/>
                <w:szCs w:val="24"/>
                <w:highlight w:val="none"/>
                <w:lang w:eastAsia="zh-CN"/>
              </w:rPr>
              <w:t>投标报价</w:t>
            </w:r>
            <w:r>
              <w:rPr>
                <w:rFonts w:hint="eastAsia" w:ascii="仿宋" w:hAnsi="仿宋" w:eastAsia="仿宋" w:cs="仿宋"/>
                <w:bCs/>
                <w:color w:val="auto"/>
                <w:sz w:val="24"/>
                <w:szCs w:val="24"/>
                <w:highlight w:val="none"/>
              </w:rPr>
              <w:t>时应综合考虑相关费用。</w:t>
            </w:r>
          </w:p>
          <w:p w14:paraId="6323ADD8">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5）采购人对产品的验收不免除</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的质量保证责任。</w:t>
            </w:r>
          </w:p>
          <w:p w14:paraId="7A084447">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6）其他未尽事宜应严格按照《关于印发广西壮族自治区政府采购项目履约验收管理办法的通知》[桂财采〔2015〕22号]以及《财政部关于进一步加强政府采购需求和履约验收管理的指导意见》[财库〔2016〕205号]规定执行。</w:t>
            </w:r>
          </w:p>
          <w:p w14:paraId="7182FFF0">
            <w:pPr>
              <w:keepNext w:val="0"/>
              <w:keepLines w:val="0"/>
              <w:pageBreakBefore w:val="0"/>
              <w:widowControl/>
              <w:kinsoku/>
              <w:wordWrap/>
              <w:overflowPunct/>
              <w:topLinePunct w:val="0"/>
              <w:bidi w:val="0"/>
              <w:spacing w:line="440" w:lineRule="exact"/>
              <w:ind w:firstLine="14" w:firstLineChars="6"/>
              <w:rPr>
                <w:rFonts w:hint="eastAsia" w:ascii="仿宋" w:hAnsi="仿宋" w:eastAsia="仿宋" w:cs="仿宋"/>
                <w:color w:val="auto"/>
                <w:kern w:val="0"/>
                <w:sz w:val="24"/>
                <w:szCs w:val="24"/>
                <w:highlight w:val="none"/>
              </w:rPr>
            </w:pPr>
            <w:r>
              <w:rPr>
                <w:rFonts w:hint="eastAsia" w:ascii="仿宋" w:hAnsi="仿宋" w:eastAsia="仿宋" w:cs="仿宋"/>
                <w:bCs/>
                <w:color w:val="auto"/>
                <w:sz w:val="24"/>
                <w:szCs w:val="24"/>
                <w:highlight w:val="none"/>
              </w:rPr>
              <w:t>7）验收产生的费用</w:t>
            </w:r>
            <w:r>
              <w:rPr>
                <w:rFonts w:hint="eastAsia" w:ascii="仿宋" w:hAnsi="仿宋" w:eastAsia="仿宋" w:cs="仿宋"/>
                <w:bCs/>
                <w:color w:val="auto"/>
                <w:sz w:val="24"/>
                <w:szCs w:val="24"/>
                <w:highlight w:val="none"/>
                <w:lang w:eastAsia="zh-CN"/>
              </w:rPr>
              <w:t>中标人</w:t>
            </w:r>
            <w:r>
              <w:rPr>
                <w:rFonts w:hint="eastAsia" w:ascii="仿宋" w:hAnsi="仿宋" w:eastAsia="仿宋" w:cs="仿宋"/>
                <w:bCs/>
                <w:color w:val="auto"/>
                <w:sz w:val="24"/>
                <w:szCs w:val="24"/>
                <w:highlight w:val="none"/>
              </w:rPr>
              <w:t>负责。</w:t>
            </w:r>
          </w:p>
        </w:tc>
      </w:tr>
      <w:tr w14:paraId="7409B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545" w:hRule="atLeast"/>
          <w:jc w:val="center"/>
        </w:trPr>
        <w:tc>
          <w:tcPr>
            <w:tcW w:w="2028" w:type="dxa"/>
            <w:gridSpan w:val="2"/>
            <w:noWrap w:val="0"/>
            <w:vAlign w:val="center"/>
          </w:tcPr>
          <w:p w14:paraId="0CD13F2D">
            <w:pPr>
              <w:keepNext w:val="0"/>
              <w:keepLines w:val="0"/>
              <w:pageBreakBefore w:val="0"/>
              <w:kinsoku/>
              <w:overflowPunct/>
              <w:topLinePunct w:val="0"/>
              <w:bidi w:val="0"/>
              <w:spacing w:line="440" w:lineRule="exact"/>
              <w:ind w:firstLine="14" w:firstLineChars="6"/>
              <w:jc w:val="center"/>
              <w:outlineLvl w:val="0"/>
              <w:rPr>
                <w:rFonts w:hint="eastAsia" w:ascii="仿宋" w:hAnsi="仿宋" w:eastAsia="仿宋" w:cs="仿宋"/>
                <w:color w:val="auto"/>
                <w:kern w:val="0"/>
                <w:sz w:val="24"/>
                <w:szCs w:val="24"/>
                <w:highlight w:val="none"/>
              </w:rPr>
            </w:pPr>
            <w:r>
              <w:rPr>
                <w:rFonts w:hint="eastAsia" w:ascii="仿宋" w:hAnsi="仿宋" w:eastAsia="仿宋" w:cs="仿宋"/>
                <w:b/>
                <w:color w:val="auto"/>
                <w:sz w:val="24"/>
                <w:szCs w:val="24"/>
                <w:highlight w:val="none"/>
                <w:lang w:eastAsia="zh-CN" w:bidi="ar"/>
              </w:rPr>
              <w:t>知识产权</w:t>
            </w:r>
          </w:p>
        </w:tc>
        <w:tc>
          <w:tcPr>
            <w:tcW w:w="8200" w:type="dxa"/>
            <w:gridSpan w:val="3"/>
            <w:noWrap w:val="0"/>
            <w:vAlign w:val="center"/>
          </w:tcPr>
          <w:p w14:paraId="68DE3A45">
            <w:pPr>
              <w:keepNext w:val="0"/>
              <w:keepLines w:val="0"/>
              <w:pageBreakBefore w:val="0"/>
              <w:widowControl/>
              <w:kinsoku/>
              <w:wordWrap/>
              <w:overflowPunct/>
              <w:topLinePunct w:val="0"/>
              <w:bidi w:val="0"/>
              <w:spacing w:line="440" w:lineRule="exact"/>
              <w:ind w:firstLine="15" w:firstLineChars="6"/>
              <w:jc w:val="both"/>
              <w:outlineLvl w:val="0"/>
              <w:rPr>
                <w:rFonts w:hint="eastAsia" w:ascii="仿宋" w:hAnsi="仿宋" w:eastAsia="仿宋" w:cs="仿宋"/>
                <w:color w:val="auto"/>
                <w:spacing w:val="6"/>
                <w:sz w:val="24"/>
                <w:szCs w:val="24"/>
                <w:highlight w:val="none"/>
                <w:lang w:eastAsia="zh-CN" w:bidi="ar"/>
              </w:rPr>
            </w:pPr>
            <w:r>
              <w:rPr>
                <w:rFonts w:hint="eastAsia" w:ascii="仿宋" w:hAnsi="仿宋" w:eastAsia="仿宋" w:cs="仿宋"/>
                <w:color w:val="auto"/>
                <w:spacing w:val="6"/>
                <w:sz w:val="24"/>
                <w:szCs w:val="24"/>
                <w:highlight w:val="none"/>
                <w:lang w:eastAsia="zh-CN" w:bidi="ar"/>
              </w:rPr>
              <w:t>1.采购人在履行合同过程中提供给中标人的全部图纸、文件和其他含有数据和信息的资料，其知识产权属于采购人。</w:t>
            </w:r>
          </w:p>
          <w:p w14:paraId="757E2D04">
            <w:pPr>
              <w:keepNext w:val="0"/>
              <w:keepLines w:val="0"/>
              <w:pageBreakBefore w:val="0"/>
              <w:widowControl/>
              <w:kinsoku/>
              <w:wordWrap/>
              <w:overflowPunct/>
              <w:topLinePunct w:val="0"/>
              <w:bidi w:val="0"/>
              <w:spacing w:line="440" w:lineRule="exact"/>
              <w:ind w:firstLine="15" w:firstLineChars="6"/>
              <w:jc w:val="both"/>
              <w:outlineLvl w:val="0"/>
              <w:rPr>
                <w:rFonts w:hint="eastAsia" w:ascii="仿宋" w:hAnsi="仿宋" w:eastAsia="仿宋" w:cs="仿宋"/>
                <w:color w:val="auto"/>
                <w:kern w:val="0"/>
                <w:sz w:val="24"/>
                <w:szCs w:val="24"/>
                <w:highlight w:val="none"/>
              </w:rPr>
            </w:pPr>
            <w:r>
              <w:rPr>
                <w:rFonts w:hint="eastAsia" w:ascii="仿宋" w:hAnsi="仿宋" w:eastAsia="仿宋" w:cs="仿宋"/>
                <w:color w:val="auto"/>
                <w:spacing w:val="6"/>
                <w:sz w:val="24"/>
                <w:szCs w:val="24"/>
                <w:highlight w:val="none"/>
                <w:lang w:eastAsia="zh-CN" w:bidi="ar"/>
              </w:rPr>
              <w:t>2.中标人应保证所提供货物在使用时不会侵犯任何第三方的知识产权或者其他权利。如合同货物涉及知识产权，则中标人保证采购人在使用合同货物过程中免于受到第三方提出的有关知识产权侵权的主张、索赔或诉讼的伤害。</w:t>
            </w:r>
          </w:p>
        </w:tc>
      </w:tr>
      <w:tr w14:paraId="1D385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545" w:hRule="atLeast"/>
          <w:jc w:val="center"/>
        </w:trPr>
        <w:tc>
          <w:tcPr>
            <w:tcW w:w="2028" w:type="dxa"/>
            <w:gridSpan w:val="2"/>
            <w:noWrap w:val="0"/>
            <w:vAlign w:val="center"/>
          </w:tcPr>
          <w:p w14:paraId="3E2A0F8E">
            <w:pPr>
              <w:keepNext w:val="0"/>
              <w:keepLines w:val="0"/>
              <w:pageBreakBefore w:val="0"/>
              <w:kinsoku/>
              <w:overflowPunct/>
              <w:topLinePunct w:val="0"/>
              <w:bidi w:val="0"/>
              <w:spacing w:line="440" w:lineRule="exact"/>
              <w:ind w:firstLine="14" w:firstLineChars="6"/>
              <w:jc w:val="center"/>
              <w:outlineLvl w:val="0"/>
              <w:rPr>
                <w:rFonts w:hint="eastAsia" w:ascii="仿宋" w:hAnsi="仿宋" w:eastAsia="仿宋" w:cs="仿宋"/>
                <w:color w:val="auto"/>
                <w:kern w:val="0"/>
                <w:sz w:val="24"/>
                <w:szCs w:val="24"/>
                <w:highlight w:val="none"/>
              </w:rPr>
            </w:pPr>
            <w:r>
              <w:rPr>
                <w:rFonts w:hint="eastAsia" w:ascii="仿宋" w:hAnsi="仿宋" w:eastAsia="仿宋" w:cs="仿宋"/>
                <w:b/>
                <w:color w:val="auto"/>
                <w:sz w:val="24"/>
                <w:szCs w:val="24"/>
                <w:highlight w:val="none"/>
                <w:lang w:eastAsia="zh-CN" w:bidi="ar"/>
              </w:rPr>
              <w:t>其他要求</w:t>
            </w:r>
          </w:p>
        </w:tc>
        <w:tc>
          <w:tcPr>
            <w:tcW w:w="8200" w:type="dxa"/>
            <w:gridSpan w:val="3"/>
            <w:noWrap w:val="0"/>
            <w:vAlign w:val="center"/>
          </w:tcPr>
          <w:p w14:paraId="78E949CC">
            <w:pPr>
              <w:keepNext w:val="0"/>
              <w:keepLines w:val="0"/>
              <w:pageBreakBefore w:val="0"/>
              <w:widowControl/>
              <w:wordWrap/>
              <w:overflowPunct/>
              <w:topLinePunct w:val="0"/>
              <w:bidi w:val="0"/>
              <w:adjustRightInd/>
              <w:snapToGrid/>
              <w:spacing w:line="440" w:lineRule="exact"/>
              <w:rPr>
                <w:rFonts w:hint="eastAsia" w:ascii="仿宋" w:hAnsi="仿宋" w:eastAsia="仿宋" w:cs="仿宋"/>
                <w:b w:val="0"/>
                <w:bCs/>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本分标最高限价金额：1450000元</w:t>
            </w:r>
            <w:r>
              <w:rPr>
                <w:rFonts w:hint="eastAsia" w:ascii="仿宋" w:hAnsi="仿宋" w:eastAsia="仿宋" w:cs="仿宋"/>
                <w:color w:val="auto"/>
                <w:sz w:val="24"/>
                <w:szCs w:val="24"/>
                <w:highlight w:val="none"/>
                <w:lang w:val="en-US" w:eastAsia="zh-CN"/>
              </w:rPr>
              <w:t>，</w:t>
            </w:r>
            <w:r>
              <w:rPr>
                <w:rFonts w:hint="eastAsia" w:ascii="仿宋" w:hAnsi="仿宋" w:eastAsia="仿宋" w:cs="仿宋"/>
                <w:b/>
                <w:bCs/>
                <w:color w:val="auto"/>
                <w:sz w:val="24"/>
                <w:szCs w:val="24"/>
                <w:highlight w:val="none"/>
              </w:rPr>
              <w:t>投标报价超出最高限价金额的，投标文件作无效处理。</w:t>
            </w:r>
          </w:p>
          <w:p w14:paraId="68F656D5">
            <w:pPr>
              <w:keepNext w:val="0"/>
              <w:keepLines w:val="0"/>
              <w:pageBreakBefore w:val="0"/>
              <w:widowControl/>
              <w:kinsoku/>
              <w:wordWrap/>
              <w:overflowPunct/>
              <w:topLinePunct w:val="0"/>
              <w:bidi w:val="0"/>
              <w:spacing w:line="440" w:lineRule="exact"/>
              <w:ind w:firstLine="14" w:firstLineChars="6"/>
              <w:jc w:val="both"/>
              <w:outlineLvl w:val="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eastAsia="zh-CN"/>
              </w:rPr>
              <w:t>1</w:t>
            </w:r>
            <w:r>
              <w:rPr>
                <w:rFonts w:hint="eastAsia" w:ascii="仿宋" w:hAnsi="仿宋" w:eastAsia="仿宋" w:cs="仿宋"/>
                <w:b w:val="0"/>
                <w:bCs/>
                <w:color w:val="auto"/>
                <w:sz w:val="24"/>
                <w:szCs w:val="24"/>
                <w:highlight w:val="none"/>
                <w:lang w:val="en-US" w:eastAsia="zh-CN"/>
              </w:rPr>
              <w:t>.</w:t>
            </w:r>
            <w:r>
              <w:rPr>
                <w:rFonts w:hint="eastAsia" w:ascii="仿宋" w:hAnsi="仿宋" w:eastAsia="仿宋" w:cs="仿宋"/>
                <w:b w:val="0"/>
                <w:bCs/>
                <w:color w:val="auto"/>
                <w:sz w:val="24"/>
                <w:szCs w:val="24"/>
                <w:highlight w:val="none"/>
                <w:lang w:eastAsia="zh-CN"/>
              </w:rPr>
              <w:t>投标报价必须包括设备的所有费用，包括采购、运输、劳务、管理、利润、税金、保险、协调、布线、安装、调试、进场安装配合费、连接信息系统接口费、培训、售后服务以及所有的不定因素的风险等。</w:t>
            </w:r>
          </w:p>
          <w:p w14:paraId="5164FEF3">
            <w:pPr>
              <w:keepNext w:val="0"/>
              <w:keepLines w:val="0"/>
              <w:pageBreakBefore w:val="0"/>
              <w:widowControl/>
              <w:kinsoku/>
              <w:wordWrap/>
              <w:overflowPunct/>
              <w:topLinePunct w:val="0"/>
              <w:bidi w:val="0"/>
              <w:spacing w:line="440" w:lineRule="exact"/>
              <w:ind w:firstLine="14" w:firstLineChars="6"/>
              <w:jc w:val="both"/>
              <w:outlineLvl w:val="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val="en-US" w:eastAsia="zh-CN"/>
              </w:rPr>
              <w:t>2.</w:t>
            </w:r>
            <w:r>
              <w:rPr>
                <w:rFonts w:hint="eastAsia" w:ascii="仿宋" w:hAnsi="仿宋" w:eastAsia="仿宋" w:cs="仿宋"/>
                <w:b w:val="0"/>
                <w:bCs/>
                <w:color w:val="auto"/>
                <w:sz w:val="24"/>
                <w:szCs w:val="24"/>
                <w:highlight w:val="none"/>
                <w:lang w:eastAsia="zh-CN"/>
              </w:rPr>
              <w:t>投标人必须承诺设备验收合格后免费对采购人的使用人员进行操作及相关知识的培训，并确保设备有1～2人能熟练使用设备，并能排除简单的软硬件故障。</w:t>
            </w:r>
          </w:p>
          <w:p w14:paraId="654DF58B">
            <w:pPr>
              <w:keepNext w:val="0"/>
              <w:keepLines w:val="0"/>
              <w:pageBreakBefore w:val="0"/>
              <w:widowControl/>
              <w:kinsoku/>
              <w:wordWrap/>
              <w:overflowPunct/>
              <w:topLinePunct w:val="0"/>
              <w:bidi w:val="0"/>
              <w:spacing w:line="440" w:lineRule="exact"/>
              <w:ind w:firstLine="14" w:firstLineChars="6"/>
              <w:jc w:val="both"/>
              <w:outlineLvl w:val="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val="en-US" w:eastAsia="zh-CN"/>
              </w:rPr>
              <w:t>3.</w:t>
            </w:r>
            <w:r>
              <w:rPr>
                <w:rFonts w:hint="eastAsia" w:ascii="仿宋" w:hAnsi="仿宋" w:eastAsia="仿宋" w:cs="仿宋"/>
                <w:b w:val="0"/>
                <w:bCs/>
                <w:color w:val="auto"/>
                <w:sz w:val="24"/>
                <w:szCs w:val="24"/>
                <w:highlight w:val="none"/>
                <w:lang w:eastAsia="zh-CN"/>
              </w:rPr>
              <w:t>设备必须是全新、完整、未使用过的产品；设备到货后，供应商和购买方应在现场进行清点；清点过程中如果发现因包装或运输不当引起的仪器外观或内部的损坏，供应商应负责更换；若发现错发/漏发情况，供应商应负责更换和补发。</w:t>
            </w:r>
          </w:p>
          <w:p w14:paraId="5844B845">
            <w:pPr>
              <w:keepNext w:val="0"/>
              <w:keepLines w:val="0"/>
              <w:pageBreakBefore w:val="0"/>
              <w:widowControl/>
              <w:kinsoku/>
              <w:wordWrap/>
              <w:overflowPunct/>
              <w:topLinePunct w:val="0"/>
              <w:bidi w:val="0"/>
              <w:spacing w:line="440" w:lineRule="exact"/>
              <w:ind w:firstLine="14" w:firstLineChars="6"/>
              <w:jc w:val="both"/>
              <w:outlineLvl w:val="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val="en-US" w:eastAsia="zh-CN"/>
              </w:rPr>
              <w:t>4.</w:t>
            </w:r>
            <w:r>
              <w:rPr>
                <w:rFonts w:hint="eastAsia" w:ascii="仿宋" w:hAnsi="仿宋" w:eastAsia="仿宋" w:cs="仿宋"/>
                <w:b w:val="0"/>
                <w:bCs/>
                <w:color w:val="auto"/>
                <w:sz w:val="24"/>
                <w:szCs w:val="24"/>
                <w:highlight w:val="none"/>
                <w:lang w:eastAsia="zh-CN"/>
              </w:rPr>
              <w:t>安装标准及验收标准：符合我国国家有关技术规范和技术标准；设备安装后，医院按国际和国家标准及厂方标准进行质量验收；卖方应向买方提供详细的验收标准、验收手册。</w:t>
            </w:r>
          </w:p>
          <w:p w14:paraId="2844684F">
            <w:pPr>
              <w:keepNext w:val="0"/>
              <w:keepLines w:val="0"/>
              <w:pageBreakBefore w:val="0"/>
              <w:widowControl/>
              <w:kinsoku/>
              <w:wordWrap/>
              <w:overflowPunct/>
              <w:topLinePunct w:val="0"/>
              <w:bidi w:val="0"/>
              <w:spacing w:line="440" w:lineRule="exact"/>
              <w:ind w:firstLine="14" w:firstLineChars="6"/>
              <w:jc w:val="both"/>
              <w:outlineLvl w:val="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val="en-US" w:eastAsia="zh-CN"/>
              </w:rPr>
              <w:t>5.</w:t>
            </w:r>
            <w:r>
              <w:rPr>
                <w:rFonts w:hint="eastAsia" w:ascii="仿宋" w:hAnsi="仿宋" w:eastAsia="仿宋" w:cs="仿宋"/>
                <w:b w:val="0"/>
                <w:bCs/>
                <w:color w:val="auto"/>
                <w:sz w:val="24"/>
                <w:szCs w:val="24"/>
                <w:highlight w:val="none"/>
                <w:lang w:eastAsia="zh-CN"/>
              </w:rPr>
              <w:t>采购人在中华人民共和国境内使用中标人提供的产品及服务时免受第三方提出的侵犯其专利权或其它知识产权的起诉。如果第三方提出侵权指控，中标人应承担由此而引起的一切法律责任和费用。</w:t>
            </w:r>
          </w:p>
          <w:p w14:paraId="380EB3B9">
            <w:pPr>
              <w:keepNext w:val="0"/>
              <w:keepLines w:val="0"/>
              <w:pageBreakBefore w:val="0"/>
              <w:widowControl/>
              <w:kinsoku/>
              <w:wordWrap/>
              <w:overflowPunct/>
              <w:topLinePunct w:val="0"/>
              <w:bidi w:val="0"/>
              <w:spacing w:line="440" w:lineRule="exact"/>
              <w:ind w:firstLine="14" w:firstLineChars="6"/>
              <w:jc w:val="both"/>
              <w:outlineLvl w:val="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val="en-US" w:eastAsia="zh-CN"/>
              </w:rPr>
              <w:t>6.</w:t>
            </w:r>
            <w:r>
              <w:rPr>
                <w:rFonts w:hint="eastAsia" w:ascii="仿宋" w:hAnsi="仿宋" w:eastAsia="仿宋" w:cs="仿宋"/>
                <w:b w:val="0"/>
                <w:bCs/>
                <w:color w:val="auto"/>
                <w:sz w:val="24"/>
                <w:szCs w:val="24"/>
                <w:highlight w:val="none"/>
                <w:lang w:eastAsia="zh-CN"/>
              </w:rPr>
              <w:t>在货物验收时候，如发现存在虚假响应，采购人将终止合同，并上报监督管理部门进行处罚。</w:t>
            </w:r>
          </w:p>
          <w:p w14:paraId="6B764152">
            <w:pPr>
              <w:keepNext w:val="0"/>
              <w:keepLines w:val="0"/>
              <w:pageBreakBefore w:val="0"/>
              <w:widowControl/>
              <w:kinsoku/>
              <w:wordWrap/>
              <w:overflowPunct/>
              <w:topLinePunct w:val="0"/>
              <w:bidi w:val="0"/>
              <w:spacing w:line="440" w:lineRule="exact"/>
              <w:ind w:firstLine="14" w:firstLineChars="6"/>
              <w:jc w:val="both"/>
              <w:outlineLvl w:val="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val="en-US" w:eastAsia="zh-CN"/>
              </w:rPr>
              <w:t>7.</w:t>
            </w:r>
            <w:r>
              <w:rPr>
                <w:rFonts w:hint="eastAsia" w:ascii="仿宋" w:hAnsi="仿宋" w:eastAsia="仿宋" w:cs="仿宋"/>
                <w:b w:val="0"/>
                <w:bCs/>
                <w:color w:val="auto"/>
                <w:sz w:val="24"/>
                <w:szCs w:val="24"/>
                <w:highlight w:val="none"/>
                <w:lang w:eastAsia="zh-CN"/>
              </w:rPr>
              <w:t>交钥匙工程：中标人负责全部产品的安装调试后直接交付运行。在保修期内，中标人保证采购人能够合法应用该器械/服务。在此过程中，采购人应当提供一切必要支持。若可能出现的后续证件、手续，中标人必须提供办理的流程及方法。</w:t>
            </w:r>
          </w:p>
          <w:p w14:paraId="0648D0F5">
            <w:pPr>
              <w:keepNext w:val="0"/>
              <w:keepLines w:val="0"/>
              <w:pageBreakBefore w:val="0"/>
              <w:widowControl/>
              <w:kinsoku/>
              <w:wordWrap/>
              <w:overflowPunct/>
              <w:topLinePunct w:val="0"/>
              <w:bidi w:val="0"/>
              <w:spacing w:line="440" w:lineRule="exact"/>
              <w:ind w:firstLine="14" w:firstLineChars="6"/>
              <w:jc w:val="both"/>
              <w:outlineLvl w:val="0"/>
              <w:rPr>
                <w:rFonts w:hint="eastAsia" w:ascii="仿宋" w:hAnsi="仿宋" w:eastAsia="仿宋" w:cs="仿宋"/>
                <w:color w:val="auto"/>
                <w:kern w:val="0"/>
                <w:sz w:val="24"/>
                <w:szCs w:val="24"/>
                <w:highlight w:val="none"/>
              </w:rPr>
            </w:pPr>
            <w:r>
              <w:rPr>
                <w:rFonts w:hint="eastAsia" w:ascii="仿宋" w:hAnsi="仿宋" w:eastAsia="仿宋" w:cs="仿宋"/>
                <w:b w:val="0"/>
                <w:bCs/>
                <w:color w:val="auto"/>
                <w:sz w:val="24"/>
                <w:szCs w:val="24"/>
                <w:highlight w:val="none"/>
                <w:lang w:val="en-US" w:eastAsia="zh-CN"/>
              </w:rPr>
              <w:t>8.</w:t>
            </w:r>
            <w:r>
              <w:rPr>
                <w:rFonts w:hint="eastAsia" w:ascii="仿宋" w:hAnsi="仿宋" w:eastAsia="仿宋" w:cs="仿宋"/>
                <w:b w:val="0"/>
                <w:bCs/>
                <w:color w:val="auto"/>
                <w:sz w:val="24"/>
                <w:szCs w:val="24"/>
                <w:highlight w:val="none"/>
                <w:lang w:eastAsia="zh-CN"/>
              </w:rPr>
              <w:t>本项目采购标的需执行的国家相关标准、行业标准、地方标准或其他强制性标准、规范等要求。</w:t>
            </w:r>
          </w:p>
        </w:tc>
      </w:tr>
      <w:bookmarkEnd w:id="56"/>
      <w:bookmarkEnd w:id="57"/>
      <w:bookmarkEnd w:id="58"/>
      <w:bookmarkEnd w:id="59"/>
      <w:bookmarkEnd w:id="60"/>
      <w:bookmarkEnd w:id="61"/>
      <w:bookmarkEnd w:id="62"/>
      <w:bookmarkEnd w:id="63"/>
      <w:bookmarkEnd w:id="64"/>
    </w:tbl>
    <w:p w14:paraId="5D0A9FE6">
      <w:pPr>
        <w:rPr>
          <w:rFonts w:hint="eastAsia" w:ascii="仿宋" w:hAnsi="仿宋" w:eastAsia="仿宋" w:cs="仿宋"/>
          <w:color w:val="auto"/>
          <w:sz w:val="24"/>
          <w:szCs w:val="24"/>
          <w:highlight w:val="none"/>
        </w:rPr>
      </w:pPr>
    </w:p>
    <w:p w14:paraId="1B4C535F">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color w:val="auto"/>
          <w:sz w:val="32"/>
          <w:szCs w:val="32"/>
          <w:highlight w:val="none"/>
          <w:lang w:val="en-US" w:eastAsia="zh-CN"/>
        </w:rPr>
      </w:pPr>
    </w:p>
    <w:p w14:paraId="5477C54D">
      <w:pPr>
        <w:numPr>
          <w:ilvl w:val="0"/>
          <w:numId w:val="0"/>
        </w:numPr>
        <w:rPr>
          <w:rFonts w:hint="eastAsia" w:ascii="仿宋" w:hAnsi="仿宋" w:eastAsia="仿宋" w:cs="仿宋"/>
          <w:b/>
          <w:bCs/>
          <w:color w:val="auto"/>
          <w:sz w:val="24"/>
          <w:highlight w:val="none"/>
        </w:rPr>
      </w:pPr>
      <w:r>
        <w:rPr>
          <w:rFonts w:hint="eastAsia" w:ascii="仿宋" w:hAnsi="仿宋" w:eastAsia="仿宋" w:cs="仿宋"/>
          <w:b/>
          <w:bCs/>
          <w:color w:val="auto"/>
          <w:sz w:val="24"/>
          <w:szCs w:val="24"/>
          <w:highlight w:val="none"/>
        </w:rPr>
        <w:br w:type="page"/>
      </w:r>
      <w:bookmarkStart w:id="66" w:name="_Toc254970490"/>
      <w:bookmarkStart w:id="67" w:name="_Toc254970631"/>
      <w:r>
        <w:rPr>
          <w:rFonts w:hint="eastAsia" w:ascii="仿宋" w:hAnsi="仿宋" w:eastAsia="仿宋" w:cs="仿宋"/>
          <w:b/>
          <w:bCs/>
          <w:color w:val="auto"/>
          <w:sz w:val="24"/>
          <w:highlight w:val="none"/>
        </w:rPr>
        <w:t>附件1：</w:t>
      </w:r>
    </w:p>
    <w:bookmarkEnd w:id="66"/>
    <w:bookmarkEnd w:id="67"/>
    <w:p w14:paraId="054398E6">
      <w:pPr>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中小微企业划型标准</w:t>
      </w:r>
    </w:p>
    <w:tbl>
      <w:tblPr>
        <w:tblStyle w:val="50"/>
        <w:tblW w:w="103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0"/>
        <w:gridCol w:w="1502"/>
        <w:gridCol w:w="778"/>
        <w:gridCol w:w="1234"/>
        <w:gridCol w:w="1867"/>
        <w:gridCol w:w="1686"/>
        <w:gridCol w:w="966"/>
      </w:tblGrid>
      <w:tr w14:paraId="1D68E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exact"/>
          <w:tblHeader/>
          <w:jc w:val="center"/>
        </w:trPr>
        <w:tc>
          <w:tcPr>
            <w:tcW w:w="2320" w:type="dxa"/>
            <w:shd w:val="clear" w:color="auto" w:fill="FFFFFF"/>
            <w:vAlign w:val="center"/>
          </w:tcPr>
          <w:p w14:paraId="02D3F6BB">
            <w:pPr>
              <w:widowControl/>
              <w:spacing w:line="24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02" w:type="dxa"/>
            <w:shd w:val="clear" w:color="auto" w:fill="FFFFFF"/>
            <w:vAlign w:val="center"/>
          </w:tcPr>
          <w:p w14:paraId="519431DB">
            <w:pPr>
              <w:widowControl/>
              <w:spacing w:line="24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778" w:type="dxa"/>
            <w:shd w:val="clear" w:color="auto" w:fill="FFFFFF"/>
            <w:vAlign w:val="center"/>
          </w:tcPr>
          <w:p w14:paraId="306DA7CD">
            <w:pPr>
              <w:widowControl/>
              <w:spacing w:line="24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w:t>
            </w:r>
            <w:r>
              <w:rPr>
                <w:rFonts w:hint="eastAsia" w:ascii="仿宋" w:hAnsi="仿宋" w:eastAsia="仿宋" w:cs="仿宋"/>
                <w:b/>
                <w:bCs/>
                <w:color w:val="auto"/>
                <w:kern w:val="0"/>
                <w:szCs w:val="21"/>
                <w:highlight w:val="none"/>
              </w:rPr>
              <w:br w:type="textWrapping"/>
            </w:r>
            <w:r>
              <w:rPr>
                <w:rFonts w:hint="eastAsia" w:ascii="仿宋" w:hAnsi="仿宋" w:eastAsia="仿宋" w:cs="仿宋"/>
                <w:b/>
                <w:bCs/>
                <w:color w:val="auto"/>
                <w:kern w:val="0"/>
                <w:szCs w:val="21"/>
                <w:highlight w:val="none"/>
              </w:rPr>
              <w:t>单位</w:t>
            </w:r>
          </w:p>
        </w:tc>
        <w:tc>
          <w:tcPr>
            <w:tcW w:w="1234" w:type="dxa"/>
            <w:shd w:val="clear" w:color="auto" w:fill="FFFFFF"/>
            <w:vAlign w:val="center"/>
          </w:tcPr>
          <w:p w14:paraId="45C0F4DE">
            <w:pPr>
              <w:widowControl/>
              <w:spacing w:line="24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67" w:type="dxa"/>
            <w:shd w:val="clear" w:color="auto" w:fill="FFFFFF"/>
            <w:vAlign w:val="center"/>
          </w:tcPr>
          <w:p w14:paraId="45B40C2C">
            <w:pPr>
              <w:widowControl/>
              <w:spacing w:line="24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686" w:type="dxa"/>
            <w:shd w:val="clear" w:color="auto" w:fill="FFFFFF"/>
            <w:vAlign w:val="center"/>
          </w:tcPr>
          <w:p w14:paraId="4EA51D3D">
            <w:pPr>
              <w:widowControl/>
              <w:spacing w:line="24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966" w:type="dxa"/>
            <w:shd w:val="clear" w:color="auto" w:fill="FFFFFF"/>
            <w:vAlign w:val="center"/>
          </w:tcPr>
          <w:p w14:paraId="7927469E">
            <w:pPr>
              <w:widowControl/>
              <w:spacing w:line="24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0B17F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Align w:val="center"/>
          </w:tcPr>
          <w:p w14:paraId="0F640D49">
            <w:pPr>
              <w:widowControl/>
              <w:spacing w:line="2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农、林、牧、渔业</w:t>
            </w:r>
          </w:p>
        </w:tc>
        <w:tc>
          <w:tcPr>
            <w:tcW w:w="1502" w:type="dxa"/>
            <w:vAlign w:val="center"/>
          </w:tcPr>
          <w:p w14:paraId="32692CCB">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营业收入(Y)</w:t>
            </w:r>
          </w:p>
        </w:tc>
        <w:tc>
          <w:tcPr>
            <w:tcW w:w="778" w:type="dxa"/>
            <w:vAlign w:val="center"/>
          </w:tcPr>
          <w:p w14:paraId="2D03258F">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万元</w:t>
            </w:r>
          </w:p>
        </w:tc>
        <w:tc>
          <w:tcPr>
            <w:tcW w:w="1234" w:type="dxa"/>
            <w:vAlign w:val="center"/>
          </w:tcPr>
          <w:p w14:paraId="4735B7AB">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Y≥20000</w:t>
            </w:r>
          </w:p>
        </w:tc>
        <w:tc>
          <w:tcPr>
            <w:tcW w:w="1867" w:type="dxa"/>
            <w:vAlign w:val="center"/>
          </w:tcPr>
          <w:p w14:paraId="25C83C32">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500≤Y＜20000</w:t>
            </w:r>
          </w:p>
        </w:tc>
        <w:tc>
          <w:tcPr>
            <w:tcW w:w="1686" w:type="dxa"/>
            <w:vAlign w:val="center"/>
          </w:tcPr>
          <w:p w14:paraId="20C7253B">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50≤Y＜500</w:t>
            </w:r>
          </w:p>
        </w:tc>
        <w:tc>
          <w:tcPr>
            <w:tcW w:w="966" w:type="dxa"/>
            <w:vAlign w:val="center"/>
          </w:tcPr>
          <w:p w14:paraId="12267D68">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Y＜50</w:t>
            </w:r>
          </w:p>
        </w:tc>
      </w:tr>
      <w:tr w14:paraId="76F27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restart"/>
            <w:vAlign w:val="center"/>
          </w:tcPr>
          <w:p w14:paraId="74CC51E3">
            <w:pPr>
              <w:widowControl/>
              <w:spacing w:line="2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工业*</w:t>
            </w:r>
          </w:p>
        </w:tc>
        <w:tc>
          <w:tcPr>
            <w:tcW w:w="1502" w:type="dxa"/>
            <w:vAlign w:val="center"/>
          </w:tcPr>
          <w:p w14:paraId="6BF138AC">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从业人员(X)</w:t>
            </w:r>
          </w:p>
        </w:tc>
        <w:tc>
          <w:tcPr>
            <w:tcW w:w="778" w:type="dxa"/>
            <w:vAlign w:val="center"/>
          </w:tcPr>
          <w:p w14:paraId="117BC076">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人</w:t>
            </w:r>
          </w:p>
        </w:tc>
        <w:tc>
          <w:tcPr>
            <w:tcW w:w="1234" w:type="dxa"/>
            <w:vAlign w:val="center"/>
          </w:tcPr>
          <w:p w14:paraId="1AEFCE70">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X≥1000</w:t>
            </w:r>
          </w:p>
        </w:tc>
        <w:tc>
          <w:tcPr>
            <w:tcW w:w="1867" w:type="dxa"/>
            <w:vAlign w:val="center"/>
          </w:tcPr>
          <w:p w14:paraId="3032238F">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300≤X＜1000</w:t>
            </w:r>
          </w:p>
        </w:tc>
        <w:tc>
          <w:tcPr>
            <w:tcW w:w="1686" w:type="dxa"/>
            <w:vAlign w:val="center"/>
          </w:tcPr>
          <w:p w14:paraId="7E741D39">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20≤X＜300</w:t>
            </w:r>
          </w:p>
        </w:tc>
        <w:tc>
          <w:tcPr>
            <w:tcW w:w="966" w:type="dxa"/>
            <w:vAlign w:val="center"/>
          </w:tcPr>
          <w:p w14:paraId="4F298B00">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X＜20</w:t>
            </w:r>
          </w:p>
        </w:tc>
      </w:tr>
      <w:tr w14:paraId="437C8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continue"/>
            <w:vAlign w:val="center"/>
          </w:tcPr>
          <w:p w14:paraId="038310F6">
            <w:pPr>
              <w:widowControl/>
              <w:spacing w:line="240" w:lineRule="exact"/>
              <w:jc w:val="left"/>
              <w:rPr>
                <w:rFonts w:hint="eastAsia" w:ascii="仿宋" w:hAnsi="仿宋" w:eastAsia="仿宋" w:cs="仿宋"/>
                <w:color w:val="auto"/>
                <w:kern w:val="0"/>
                <w:szCs w:val="21"/>
                <w:highlight w:val="none"/>
              </w:rPr>
            </w:pPr>
          </w:p>
        </w:tc>
        <w:tc>
          <w:tcPr>
            <w:tcW w:w="1502" w:type="dxa"/>
            <w:vAlign w:val="center"/>
          </w:tcPr>
          <w:p w14:paraId="6C5F9041">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营业收入(Y)</w:t>
            </w:r>
          </w:p>
        </w:tc>
        <w:tc>
          <w:tcPr>
            <w:tcW w:w="778" w:type="dxa"/>
            <w:vAlign w:val="center"/>
          </w:tcPr>
          <w:p w14:paraId="15504A32">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万元</w:t>
            </w:r>
          </w:p>
        </w:tc>
        <w:tc>
          <w:tcPr>
            <w:tcW w:w="1234" w:type="dxa"/>
            <w:vAlign w:val="center"/>
          </w:tcPr>
          <w:p w14:paraId="22FDA94D">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Y≥40000</w:t>
            </w:r>
          </w:p>
        </w:tc>
        <w:tc>
          <w:tcPr>
            <w:tcW w:w="1867" w:type="dxa"/>
            <w:vAlign w:val="center"/>
          </w:tcPr>
          <w:p w14:paraId="3EAB7DFE">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2000≤Y＜40000</w:t>
            </w:r>
          </w:p>
        </w:tc>
        <w:tc>
          <w:tcPr>
            <w:tcW w:w="1686" w:type="dxa"/>
            <w:vAlign w:val="center"/>
          </w:tcPr>
          <w:p w14:paraId="363F6C14">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300≤Y＜2000</w:t>
            </w:r>
          </w:p>
        </w:tc>
        <w:tc>
          <w:tcPr>
            <w:tcW w:w="966" w:type="dxa"/>
            <w:vAlign w:val="center"/>
          </w:tcPr>
          <w:p w14:paraId="40CE87A8">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Y＜300</w:t>
            </w:r>
          </w:p>
        </w:tc>
      </w:tr>
      <w:tr w14:paraId="5E2FD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restart"/>
            <w:vAlign w:val="center"/>
          </w:tcPr>
          <w:p w14:paraId="5D58A8A9">
            <w:pPr>
              <w:widowControl/>
              <w:spacing w:line="2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建筑业</w:t>
            </w:r>
          </w:p>
        </w:tc>
        <w:tc>
          <w:tcPr>
            <w:tcW w:w="1502" w:type="dxa"/>
            <w:vAlign w:val="center"/>
          </w:tcPr>
          <w:p w14:paraId="726F6ADC">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营业收入(Y)</w:t>
            </w:r>
          </w:p>
        </w:tc>
        <w:tc>
          <w:tcPr>
            <w:tcW w:w="778" w:type="dxa"/>
            <w:vAlign w:val="center"/>
          </w:tcPr>
          <w:p w14:paraId="221940B5">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万元</w:t>
            </w:r>
          </w:p>
        </w:tc>
        <w:tc>
          <w:tcPr>
            <w:tcW w:w="1234" w:type="dxa"/>
            <w:vAlign w:val="center"/>
          </w:tcPr>
          <w:p w14:paraId="63E72756">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Y≥80000</w:t>
            </w:r>
          </w:p>
        </w:tc>
        <w:tc>
          <w:tcPr>
            <w:tcW w:w="1867" w:type="dxa"/>
            <w:vAlign w:val="center"/>
          </w:tcPr>
          <w:p w14:paraId="6BD12706">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6000≤Y＜80000</w:t>
            </w:r>
          </w:p>
        </w:tc>
        <w:tc>
          <w:tcPr>
            <w:tcW w:w="1686" w:type="dxa"/>
            <w:vAlign w:val="center"/>
          </w:tcPr>
          <w:p w14:paraId="5B9444DB">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300≤Y＜6000</w:t>
            </w:r>
          </w:p>
        </w:tc>
        <w:tc>
          <w:tcPr>
            <w:tcW w:w="966" w:type="dxa"/>
            <w:vAlign w:val="center"/>
          </w:tcPr>
          <w:p w14:paraId="48FC084B">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Y＜300</w:t>
            </w:r>
          </w:p>
        </w:tc>
      </w:tr>
      <w:tr w14:paraId="0824A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continue"/>
            <w:vAlign w:val="center"/>
          </w:tcPr>
          <w:p w14:paraId="09DD5A96">
            <w:pPr>
              <w:widowControl/>
              <w:spacing w:line="240" w:lineRule="exact"/>
              <w:jc w:val="left"/>
              <w:rPr>
                <w:rFonts w:hint="eastAsia" w:ascii="仿宋" w:hAnsi="仿宋" w:eastAsia="仿宋" w:cs="仿宋"/>
                <w:color w:val="auto"/>
                <w:kern w:val="0"/>
                <w:szCs w:val="21"/>
                <w:highlight w:val="none"/>
              </w:rPr>
            </w:pPr>
          </w:p>
        </w:tc>
        <w:tc>
          <w:tcPr>
            <w:tcW w:w="1502" w:type="dxa"/>
            <w:vAlign w:val="center"/>
          </w:tcPr>
          <w:p w14:paraId="4A043AD3">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资产总额(Z)</w:t>
            </w:r>
          </w:p>
        </w:tc>
        <w:tc>
          <w:tcPr>
            <w:tcW w:w="778" w:type="dxa"/>
            <w:vAlign w:val="center"/>
          </w:tcPr>
          <w:p w14:paraId="5068D836">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万元</w:t>
            </w:r>
          </w:p>
        </w:tc>
        <w:tc>
          <w:tcPr>
            <w:tcW w:w="1234" w:type="dxa"/>
            <w:vAlign w:val="center"/>
          </w:tcPr>
          <w:p w14:paraId="3E12FA70">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Z≥80000</w:t>
            </w:r>
          </w:p>
        </w:tc>
        <w:tc>
          <w:tcPr>
            <w:tcW w:w="1867" w:type="dxa"/>
            <w:vAlign w:val="center"/>
          </w:tcPr>
          <w:p w14:paraId="66635B58">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5000≤Z＜80000</w:t>
            </w:r>
          </w:p>
        </w:tc>
        <w:tc>
          <w:tcPr>
            <w:tcW w:w="1686" w:type="dxa"/>
            <w:vAlign w:val="center"/>
          </w:tcPr>
          <w:p w14:paraId="3B4CA06D">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300≤Z＜5000</w:t>
            </w:r>
          </w:p>
        </w:tc>
        <w:tc>
          <w:tcPr>
            <w:tcW w:w="966" w:type="dxa"/>
            <w:vAlign w:val="center"/>
          </w:tcPr>
          <w:p w14:paraId="76D6B438">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Z＜300</w:t>
            </w:r>
          </w:p>
        </w:tc>
      </w:tr>
      <w:tr w14:paraId="44CA6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restart"/>
            <w:vAlign w:val="center"/>
          </w:tcPr>
          <w:p w14:paraId="09AA4EC2">
            <w:pPr>
              <w:widowControl/>
              <w:spacing w:line="2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批发业</w:t>
            </w:r>
          </w:p>
        </w:tc>
        <w:tc>
          <w:tcPr>
            <w:tcW w:w="1502" w:type="dxa"/>
            <w:vAlign w:val="center"/>
          </w:tcPr>
          <w:p w14:paraId="4FDF13F4">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从业人员(X)</w:t>
            </w:r>
          </w:p>
        </w:tc>
        <w:tc>
          <w:tcPr>
            <w:tcW w:w="778" w:type="dxa"/>
            <w:vAlign w:val="center"/>
          </w:tcPr>
          <w:p w14:paraId="6CF1A6A6">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人</w:t>
            </w:r>
          </w:p>
        </w:tc>
        <w:tc>
          <w:tcPr>
            <w:tcW w:w="1234" w:type="dxa"/>
            <w:vAlign w:val="center"/>
          </w:tcPr>
          <w:p w14:paraId="4C67E830">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X≥200</w:t>
            </w:r>
          </w:p>
        </w:tc>
        <w:tc>
          <w:tcPr>
            <w:tcW w:w="1867" w:type="dxa"/>
            <w:vAlign w:val="center"/>
          </w:tcPr>
          <w:p w14:paraId="5BEC20CA">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20≤X＜200</w:t>
            </w:r>
          </w:p>
        </w:tc>
        <w:tc>
          <w:tcPr>
            <w:tcW w:w="1686" w:type="dxa"/>
            <w:vAlign w:val="center"/>
          </w:tcPr>
          <w:p w14:paraId="46C7A06D">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5≤X＜20</w:t>
            </w:r>
          </w:p>
        </w:tc>
        <w:tc>
          <w:tcPr>
            <w:tcW w:w="966" w:type="dxa"/>
            <w:vAlign w:val="center"/>
          </w:tcPr>
          <w:p w14:paraId="64C156F1">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X＜5</w:t>
            </w:r>
          </w:p>
        </w:tc>
      </w:tr>
      <w:tr w14:paraId="5126C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continue"/>
            <w:vAlign w:val="center"/>
          </w:tcPr>
          <w:p w14:paraId="5001744F">
            <w:pPr>
              <w:widowControl/>
              <w:spacing w:line="240" w:lineRule="exact"/>
              <w:jc w:val="left"/>
              <w:rPr>
                <w:rFonts w:hint="eastAsia" w:ascii="仿宋" w:hAnsi="仿宋" w:eastAsia="仿宋" w:cs="仿宋"/>
                <w:color w:val="auto"/>
                <w:kern w:val="0"/>
                <w:szCs w:val="21"/>
                <w:highlight w:val="none"/>
              </w:rPr>
            </w:pPr>
          </w:p>
        </w:tc>
        <w:tc>
          <w:tcPr>
            <w:tcW w:w="1502" w:type="dxa"/>
            <w:vAlign w:val="center"/>
          </w:tcPr>
          <w:p w14:paraId="09342DDF">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营业收入(Y)</w:t>
            </w:r>
          </w:p>
        </w:tc>
        <w:tc>
          <w:tcPr>
            <w:tcW w:w="778" w:type="dxa"/>
            <w:vAlign w:val="center"/>
          </w:tcPr>
          <w:p w14:paraId="627F2F53">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万元</w:t>
            </w:r>
          </w:p>
        </w:tc>
        <w:tc>
          <w:tcPr>
            <w:tcW w:w="1234" w:type="dxa"/>
            <w:vAlign w:val="center"/>
          </w:tcPr>
          <w:p w14:paraId="0B512E4D">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Y≥40000</w:t>
            </w:r>
          </w:p>
        </w:tc>
        <w:tc>
          <w:tcPr>
            <w:tcW w:w="1867" w:type="dxa"/>
            <w:vAlign w:val="center"/>
          </w:tcPr>
          <w:p w14:paraId="5E87ED2B">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5000≤Y＜40000</w:t>
            </w:r>
          </w:p>
        </w:tc>
        <w:tc>
          <w:tcPr>
            <w:tcW w:w="1686" w:type="dxa"/>
            <w:vAlign w:val="center"/>
          </w:tcPr>
          <w:p w14:paraId="2BBA91F0">
            <w:pPr>
              <w:widowControl/>
              <w:spacing w:line="240" w:lineRule="exact"/>
              <w:ind w:left="-1" w:leftChars="-1" w:hanging="1"/>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1000≤Y＜5000</w:t>
            </w:r>
          </w:p>
        </w:tc>
        <w:tc>
          <w:tcPr>
            <w:tcW w:w="966" w:type="dxa"/>
            <w:vAlign w:val="center"/>
          </w:tcPr>
          <w:p w14:paraId="0C1BA183">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Y＜1000</w:t>
            </w:r>
          </w:p>
        </w:tc>
      </w:tr>
      <w:tr w14:paraId="02275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restart"/>
            <w:vAlign w:val="center"/>
          </w:tcPr>
          <w:p w14:paraId="54CE31B3">
            <w:pPr>
              <w:widowControl/>
              <w:spacing w:line="2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零售业</w:t>
            </w:r>
          </w:p>
        </w:tc>
        <w:tc>
          <w:tcPr>
            <w:tcW w:w="1502" w:type="dxa"/>
            <w:vAlign w:val="center"/>
          </w:tcPr>
          <w:p w14:paraId="0867DD45">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从业人员(X)</w:t>
            </w:r>
          </w:p>
        </w:tc>
        <w:tc>
          <w:tcPr>
            <w:tcW w:w="778" w:type="dxa"/>
            <w:vAlign w:val="center"/>
          </w:tcPr>
          <w:p w14:paraId="681C92FE">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人</w:t>
            </w:r>
          </w:p>
        </w:tc>
        <w:tc>
          <w:tcPr>
            <w:tcW w:w="1234" w:type="dxa"/>
            <w:vAlign w:val="center"/>
          </w:tcPr>
          <w:p w14:paraId="60C06551">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X≥300</w:t>
            </w:r>
          </w:p>
        </w:tc>
        <w:tc>
          <w:tcPr>
            <w:tcW w:w="1867" w:type="dxa"/>
            <w:vAlign w:val="center"/>
          </w:tcPr>
          <w:p w14:paraId="0229387B">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50≤X＜300</w:t>
            </w:r>
          </w:p>
        </w:tc>
        <w:tc>
          <w:tcPr>
            <w:tcW w:w="1686" w:type="dxa"/>
            <w:vAlign w:val="center"/>
          </w:tcPr>
          <w:p w14:paraId="51BD6489">
            <w:pPr>
              <w:widowControl/>
              <w:spacing w:line="240" w:lineRule="exact"/>
              <w:ind w:left="-1" w:leftChars="-1" w:hanging="1"/>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xml:space="preserve">10≤X＜50 </w:t>
            </w:r>
          </w:p>
        </w:tc>
        <w:tc>
          <w:tcPr>
            <w:tcW w:w="966" w:type="dxa"/>
            <w:vAlign w:val="center"/>
          </w:tcPr>
          <w:p w14:paraId="209DC478">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X＜10</w:t>
            </w:r>
          </w:p>
        </w:tc>
      </w:tr>
      <w:tr w14:paraId="2BBCE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continue"/>
            <w:vAlign w:val="center"/>
          </w:tcPr>
          <w:p w14:paraId="586F5B40">
            <w:pPr>
              <w:widowControl/>
              <w:spacing w:line="240" w:lineRule="exact"/>
              <w:jc w:val="left"/>
              <w:rPr>
                <w:rFonts w:hint="eastAsia" w:ascii="仿宋" w:hAnsi="仿宋" w:eastAsia="仿宋" w:cs="仿宋"/>
                <w:color w:val="auto"/>
                <w:kern w:val="0"/>
                <w:szCs w:val="21"/>
                <w:highlight w:val="none"/>
              </w:rPr>
            </w:pPr>
          </w:p>
        </w:tc>
        <w:tc>
          <w:tcPr>
            <w:tcW w:w="1502" w:type="dxa"/>
            <w:vAlign w:val="center"/>
          </w:tcPr>
          <w:p w14:paraId="3939D303">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营业收入(Y)</w:t>
            </w:r>
          </w:p>
        </w:tc>
        <w:tc>
          <w:tcPr>
            <w:tcW w:w="778" w:type="dxa"/>
            <w:vAlign w:val="center"/>
          </w:tcPr>
          <w:p w14:paraId="20E19C57">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万元</w:t>
            </w:r>
          </w:p>
        </w:tc>
        <w:tc>
          <w:tcPr>
            <w:tcW w:w="1234" w:type="dxa"/>
            <w:vAlign w:val="center"/>
          </w:tcPr>
          <w:p w14:paraId="6083D0E9">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Y≥20000</w:t>
            </w:r>
          </w:p>
        </w:tc>
        <w:tc>
          <w:tcPr>
            <w:tcW w:w="1867" w:type="dxa"/>
            <w:vAlign w:val="center"/>
          </w:tcPr>
          <w:p w14:paraId="0FA6A1C3">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500≤Y＜20000</w:t>
            </w:r>
          </w:p>
        </w:tc>
        <w:tc>
          <w:tcPr>
            <w:tcW w:w="1686" w:type="dxa"/>
            <w:vAlign w:val="center"/>
          </w:tcPr>
          <w:p w14:paraId="6AA373EF">
            <w:pPr>
              <w:widowControl/>
              <w:spacing w:line="240" w:lineRule="exact"/>
              <w:ind w:left="-1" w:leftChars="-1" w:hanging="1"/>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100≤Y＜500</w:t>
            </w:r>
          </w:p>
        </w:tc>
        <w:tc>
          <w:tcPr>
            <w:tcW w:w="966" w:type="dxa"/>
            <w:vAlign w:val="center"/>
          </w:tcPr>
          <w:p w14:paraId="3B73CC0E">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Y＜100</w:t>
            </w:r>
          </w:p>
        </w:tc>
      </w:tr>
      <w:tr w14:paraId="5DCC7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restart"/>
            <w:vAlign w:val="center"/>
          </w:tcPr>
          <w:p w14:paraId="43FE7CD7">
            <w:pPr>
              <w:widowControl/>
              <w:spacing w:line="2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交通运输业*</w:t>
            </w:r>
          </w:p>
        </w:tc>
        <w:tc>
          <w:tcPr>
            <w:tcW w:w="1502" w:type="dxa"/>
            <w:vAlign w:val="center"/>
          </w:tcPr>
          <w:p w14:paraId="5DE38A27">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从业人员(X)</w:t>
            </w:r>
          </w:p>
        </w:tc>
        <w:tc>
          <w:tcPr>
            <w:tcW w:w="778" w:type="dxa"/>
            <w:vAlign w:val="center"/>
          </w:tcPr>
          <w:p w14:paraId="456967FA">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人</w:t>
            </w:r>
          </w:p>
        </w:tc>
        <w:tc>
          <w:tcPr>
            <w:tcW w:w="1234" w:type="dxa"/>
            <w:vAlign w:val="center"/>
          </w:tcPr>
          <w:p w14:paraId="2B661603">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X≥1000</w:t>
            </w:r>
          </w:p>
        </w:tc>
        <w:tc>
          <w:tcPr>
            <w:tcW w:w="1867" w:type="dxa"/>
            <w:vAlign w:val="center"/>
          </w:tcPr>
          <w:p w14:paraId="3AE19338">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300≤X＜1000</w:t>
            </w:r>
          </w:p>
        </w:tc>
        <w:tc>
          <w:tcPr>
            <w:tcW w:w="1686" w:type="dxa"/>
            <w:vAlign w:val="center"/>
          </w:tcPr>
          <w:p w14:paraId="51981741">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20≤X＜300</w:t>
            </w:r>
          </w:p>
        </w:tc>
        <w:tc>
          <w:tcPr>
            <w:tcW w:w="966" w:type="dxa"/>
            <w:vAlign w:val="center"/>
          </w:tcPr>
          <w:p w14:paraId="5FB09029">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X＜20</w:t>
            </w:r>
          </w:p>
        </w:tc>
      </w:tr>
      <w:tr w14:paraId="3E116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continue"/>
            <w:vAlign w:val="center"/>
          </w:tcPr>
          <w:p w14:paraId="33D0D4E7">
            <w:pPr>
              <w:widowControl/>
              <w:spacing w:line="240" w:lineRule="exact"/>
              <w:jc w:val="left"/>
              <w:rPr>
                <w:rFonts w:hint="eastAsia" w:ascii="仿宋" w:hAnsi="仿宋" w:eastAsia="仿宋" w:cs="仿宋"/>
                <w:color w:val="auto"/>
                <w:kern w:val="0"/>
                <w:szCs w:val="21"/>
                <w:highlight w:val="none"/>
              </w:rPr>
            </w:pPr>
          </w:p>
        </w:tc>
        <w:tc>
          <w:tcPr>
            <w:tcW w:w="1502" w:type="dxa"/>
            <w:vAlign w:val="center"/>
          </w:tcPr>
          <w:p w14:paraId="37A2FA71">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营业收入(Y)</w:t>
            </w:r>
          </w:p>
        </w:tc>
        <w:tc>
          <w:tcPr>
            <w:tcW w:w="778" w:type="dxa"/>
            <w:vAlign w:val="center"/>
          </w:tcPr>
          <w:p w14:paraId="635123A9">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万元</w:t>
            </w:r>
          </w:p>
        </w:tc>
        <w:tc>
          <w:tcPr>
            <w:tcW w:w="1234" w:type="dxa"/>
            <w:vAlign w:val="center"/>
          </w:tcPr>
          <w:p w14:paraId="3F57619D">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Y≥30000</w:t>
            </w:r>
          </w:p>
        </w:tc>
        <w:tc>
          <w:tcPr>
            <w:tcW w:w="1867" w:type="dxa"/>
            <w:vAlign w:val="center"/>
          </w:tcPr>
          <w:p w14:paraId="0A3AB659">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3000≤Y＜30000</w:t>
            </w:r>
          </w:p>
        </w:tc>
        <w:tc>
          <w:tcPr>
            <w:tcW w:w="1686" w:type="dxa"/>
            <w:vAlign w:val="center"/>
          </w:tcPr>
          <w:p w14:paraId="70AEEEFC">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200≤Y＜3000</w:t>
            </w:r>
          </w:p>
        </w:tc>
        <w:tc>
          <w:tcPr>
            <w:tcW w:w="966" w:type="dxa"/>
            <w:vAlign w:val="center"/>
          </w:tcPr>
          <w:p w14:paraId="0087BF65">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Y＜200</w:t>
            </w:r>
          </w:p>
        </w:tc>
      </w:tr>
      <w:tr w14:paraId="2D464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restart"/>
            <w:vAlign w:val="center"/>
          </w:tcPr>
          <w:p w14:paraId="534A196D">
            <w:pPr>
              <w:widowControl/>
              <w:spacing w:line="2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仓储业*</w:t>
            </w:r>
          </w:p>
        </w:tc>
        <w:tc>
          <w:tcPr>
            <w:tcW w:w="1502" w:type="dxa"/>
            <w:vAlign w:val="center"/>
          </w:tcPr>
          <w:p w14:paraId="06F048E3">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从业人员(X)</w:t>
            </w:r>
          </w:p>
        </w:tc>
        <w:tc>
          <w:tcPr>
            <w:tcW w:w="778" w:type="dxa"/>
            <w:vAlign w:val="center"/>
          </w:tcPr>
          <w:p w14:paraId="4D0CBC36">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人</w:t>
            </w:r>
          </w:p>
        </w:tc>
        <w:tc>
          <w:tcPr>
            <w:tcW w:w="1234" w:type="dxa"/>
            <w:vAlign w:val="center"/>
          </w:tcPr>
          <w:p w14:paraId="4FCE644A">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X≥200</w:t>
            </w:r>
          </w:p>
        </w:tc>
        <w:tc>
          <w:tcPr>
            <w:tcW w:w="1867" w:type="dxa"/>
            <w:vAlign w:val="center"/>
          </w:tcPr>
          <w:p w14:paraId="46590F41">
            <w:pPr>
              <w:widowControl/>
              <w:spacing w:line="240" w:lineRule="exact"/>
              <w:ind w:left="19" w:leftChars="-51" w:hanging="126" w:hangingChars="60"/>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100≤X＜200</w:t>
            </w:r>
          </w:p>
        </w:tc>
        <w:tc>
          <w:tcPr>
            <w:tcW w:w="1686" w:type="dxa"/>
            <w:vAlign w:val="center"/>
          </w:tcPr>
          <w:p w14:paraId="2CF1EB5E">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20≤X＜100</w:t>
            </w:r>
          </w:p>
        </w:tc>
        <w:tc>
          <w:tcPr>
            <w:tcW w:w="966" w:type="dxa"/>
            <w:vAlign w:val="center"/>
          </w:tcPr>
          <w:p w14:paraId="7B327727">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X＜20</w:t>
            </w:r>
          </w:p>
        </w:tc>
      </w:tr>
      <w:tr w14:paraId="4471D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continue"/>
            <w:vAlign w:val="center"/>
          </w:tcPr>
          <w:p w14:paraId="1E48064D">
            <w:pPr>
              <w:widowControl/>
              <w:spacing w:line="240" w:lineRule="exact"/>
              <w:jc w:val="left"/>
              <w:rPr>
                <w:rFonts w:hint="eastAsia" w:ascii="仿宋" w:hAnsi="仿宋" w:eastAsia="仿宋" w:cs="仿宋"/>
                <w:color w:val="auto"/>
                <w:kern w:val="0"/>
                <w:szCs w:val="21"/>
                <w:highlight w:val="none"/>
              </w:rPr>
            </w:pPr>
          </w:p>
        </w:tc>
        <w:tc>
          <w:tcPr>
            <w:tcW w:w="1502" w:type="dxa"/>
            <w:vAlign w:val="center"/>
          </w:tcPr>
          <w:p w14:paraId="7FCFB9FC">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营业收入(Y)</w:t>
            </w:r>
          </w:p>
        </w:tc>
        <w:tc>
          <w:tcPr>
            <w:tcW w:w="778" w:type="dxa"/>
            <w:vAlign w:val="center"/>
          </w:tcPr>
          <w:p w14:paraId="3B0F71D0">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万元</w:t>
            </w:r>
          </w:p>
        </w:tc>
        <w:tc>
          <w:tcPr>
            <w:tcW w:w="1234" w:type="dxa"/>
            <w:vAlign w:val="center"/>
          </w:tcPr>
          <w:p w14:paraId="284F3035">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Y≥30000</w:t>
            </w:r>
          </w:p>
        </w:tc>
        <w:tc>
          <w:tcPr>
            <w:tcW w:w="1867" w:type="dxa"/>
            <w:vAlign w:val="center"/>
          </w:tcPr>
          <w:p w14:paraId="5483FE08">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1000≤Y＜30000</w:t>
            </w:r>
          </w:p>
        </w:tc>
        <w:tc>
          <w:tcPr>
            <w:tcW w:w="1686" w:type="dxa"/>
            <w:vAlign w:val="center"/>
          </w:tcPr>
          <w:p w14:paraId="48AC02E5">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100≤Y＜1000</w:t>
            </w:r>
          </w:p>
        </w:tc>
        <w:tc>
          <w:tcPr>
            <w:tcW w:w="966" w:type="dxa"/>
            <w:vAlign w:val="center"/>
          </w:tcPr>
          <w:p w14:paraId="474341EB">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Y＜100</w:t>
            </w:r>
          </w:p>
        </w:tc>
      </w:tr>
      <w:tr w14:paraId="07D11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restart"/>
            <w:vAlign w:val="center"/>
          </w:tcPr>
          <w:p w14:paraId="74FE302C">
            <w:pPr>
              <w:widowControl/>
              <w:spacing w:line="2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邮政业</w:t>
            </w:r>
          </w:p>
        </w:tc>
        <w:tc>
          <w:tcPr>
            <w:tcW w:w="1502" w:type="dxa"/>
            <w:vAlign w:val="center"/>
          </w:tcPr>
          <w:p w14:paraId="1CD6BF11">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从业人员(X)</w:t>
            </w:r>
          </w:p>
        </w:tc>
        <w:tc>
          <w:tcPr>
            <w:tcW w:w="778" w:type="dxa"/>
            <w:vAlign w:val="center"/>
          </w:tcPr>
          <w:p w14:paraId="50AF0163">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人</w:t>
            </w:r>
          </w:p>
        </w:tc>
        <w:tc>
          <w:tcPr>
            <w:tcW w:w="1234" w:type="dxa"/>
            <w:vAlign w:val="center"/>
          </w:tcPr>
          <w:p w14:paraId="472021E9">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X≥1000</w:t>
            </w:r>
          </w:p>
        </w:tc>
        <w:tc>
          <w:tcPr>
            <w:tcW w:w="1867" w:type="dxa"/>
            <w:vAlign w:val="center"/>
          </w:tcPr>
          <w:p w14:paraId="656C5247">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300≤X＜1000</w:t>
            </w:r>
          </w:p>
        </w:tc>
        <w:tc>
          <w:tcPr>
            <w:tcW w:w="1686" w:type="dxa"/>
            <w:vAlign w:val="center"/>
          </w:tcPr>
          <w:p w14:paraId="36F3BDD4">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20≤X＜300</w:t>
            </w:r>
          </w:p>
        </w:tc>
        <w:tc>
          <w:tcPr>
            <w:tcW w:w="966" w:type="dxa"/>
            <w:vAlign w:val="center"/>
          </w:tcPr>
          <w:p w14:paraId="3D60888E">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X＜20</w:t>
            </w:r>
          </w:p>
        </w:tc>
      </w:tr>
      <w:tr w14:paraId="2008C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continue"/>
            <w:vAlign w:val="center"/>
          </w:tcPr>
          <w:p w14:paraId="7AEB014B">
            <w:pPr>
              <w:widowControl/>
              <w:spacing w:line="240" w:lineRule="exact"/>
              <w:jc w:val="left"/>
              <w:rPr>
                <w:rFonts w:hint="eastAsia" w:ascii="仿宋" w:hAnsi="仿宋" w:eastAsia="仿宋" w:cs="仿宋"/>
                <w:color w:val="auto"/>
                <w:kern w:val="0"/>
                <w:szCs w:val="21"/>
                <w:highlight w:val="none"/>
              </w:rPr>
            </w:pPr>
          </w:p>
        </w:tc>
        <w:tc>
          <w:tcPr>
            <w:tcW w:w="1502" w:type="dxa"/>
            <w:vAlign w:val="center"/>
          </w:tcPr>
          <w:p w14:paraId="08E71561">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营业收入(Y)</w:t>
            </w:r>
          </w:p>
        </w:tc>
        <w:tc>
          <w:tcPr>
            <w:tcW w:w="778" w:type="dxa"/>
            <w:vAlign w:val="center"/>
          </w:tcPr>
          <w:p w14:paraId="41A4259A">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万元</w:t>
            </w:r>
          </w:p>
        </w:tc>
        <w:tc>
          <w:tcPr>
            <w:tcW w:w="1234" w:type="dxa"/>
            <w:vAlign w:val="center"/>
          </w:tcPr>
          <w:p w14:paraId="7D00BB04">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Y≥30000</w:t>
            </w:r>
          </w:p>
        </w:tc>
        <w:tc>
          <w:tcPr>
            <w:tcW w:w="1867" w:type="dxa"/>
            <w:vAlign w:val="center"/>
          </w:tcPr>
          <w:p w14:paraId="2DC5EB10">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2000≤Y＜30000</w:t>
            </w:r>
          </w:p>
        </w:tc>
        <w:tc>
          <w:tcPr>
            <w:tcW w:w="1686" w:type="dxa"/>
            <w:vAlign w:val="center"/>
          </w:tcPr>
          <w:p w14:paraId="44FEB5E3">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100≤Y＜2000</w:t>
            </w:r>
          </w:p>
        </w:tc>
        <w:tc>
          <w:tcPr>
            <w:tcW w:w="966" w:type="dxa"/>
            <w:vAlign w:val="center"/>
          </w:tcPr>
          <w:p w14:paraId="67988EB2">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Y＜100</w:t>
            </w:r>
          </w:p>
        </w:tc>
      </w:tr>
      <w:tr w14:paraId="35045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restart"/>
            <w:vAlign w:val="center"/>
          </w:tcPr>
          <w:p w14:paraId="6BF39E3C">
            <w:pPr>
              <w:widowControl/>
              <w:spacing w:line="2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住宿业</w:t>
            </w:r>
          </w:p>
        </w:tc>
        <w:tc>
          <w:tcPr>
            <w:tcW w:w="1502" w:type="dxa"/>
            <w:vAlign w:val="center"/>
          </w:tcPr>
          <w:p w14:paraId="646E065D">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从业人员(X)</w:t>
            </w:r>
          </w:p>
        </w:tc>
        <w:tc>
          <w:tcPr>
            <w:tcW w:w="778" w:type="dxa"/>
            <w:vAlign w:val="center"/>
          </w:tcPr>
          <w:p w14:paraId="1C74FF6A">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人</w:t>
            </w:r>
          </w:p>
        </w:tc>
        <w:tc>
          <w:tcPr>
            <w:tcW w:w="1234" w:type="dxa"/>
            <w:vAlign w:val="center"/>
          </w:tcPr>
          <w:p w14:paraId="04CDE313">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X≥300</w:t>
            </w:r>
          </w:p>
        </w:tc>
        <w:tc>
          <w:tcPr>
            <w:tcW w:w="1867" w:type="dxa"/>
            <w:vAlign w:val="center"/>
          </w:tcPr>
          <w:p w14:paraId="724B122D">
            <w:pPr>
              <w:widowControl/>
              <w:spacing w:line="240" w:lineRule="exact"/>
              <w:ind w:left="19" w:leftChars="-51" w:hanging="126" w:hangingChars="60"/>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100≤X＜300</w:t>
            </w:r>
          </w:p>
        </w:tc>
        <w:tc>
          <w:tcPr>
            <w:tcW w:w="1686" w:type="dxa"/>
            <w:vAlign w:val="center"/>
          </w:tcPr>
          <w:p w14:paraId="28513B01">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10≤X＜100</w:t>
            </w:r>
          </w:p>
        </w:tc>
        <w:tc>
          <w:tcPr>
            <w:tcW w:w="966" w:type="dxa"/>
            <w:vAlign w:val="center"/>
          </w:tcPr>
          <w:p w14:paraId="3D83A717">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X＜10</w:t>
            </w:r>
          </w:p>
        </w:tc>
      </w:tr>
      <w:tr w14:paraId="5D607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continue"/>
            <w:vAlign w:val="center"/>
          </w:tcPr>
          <w:p w14:paraId="3634F36B">
            <w:pPr>
              <w:widowControl/>
              <w:spacing w:line="240" w:lineRule="exact"/>
              <w:jc w:val="left"/>
              <w:rPr>
                <w:rFonts w:hint="eastAsia" w:ascii="仿宋" w:hAnsi="仿宋" w:eastAsia="仿宋" w:cs="仿宋"/>
                <w:color w:val="auto"/>
                <w:kern w:val="0"/>
                <w:szCs w:val="21"/>
                <w:highlight w:val="none"/>
              </w:rPr>
            </w:pPr>
          </w:p>
        </w:tc>
        <w:tc>
          <w:tcPr>
            <w:tcW w:w="1502" w:type="dxa"/>
            <w:vAlign w:val="center"/>
          </w:tcPr>
          <w:p w14:paraId="5155BFA3">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营业收入(Y)</w:t>
            </w:r>
          </w:p>
        </w:tc>
        <w:tc>
          <w:tcPr>
            <w:tcW w:w="778" w:type="dxa"/>
            <w:vAlign w:val="center"/>
          </w:tcPr>
          <w:p w14:paraId="1E5EAB91">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万元</w:t>
            </w:r>
          </w:p>
        </w:tc>
        <w:tc>
          <w:tcPr>
            <w:tcW w:w="1234" w:type="dxa"/>
            <w:vAlign w:val="center"/>
          </w:tcPr>
          <w:p w14:paraId="1BC54CD7">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Y≥10000</w:t>
            </w:r>
          </w:p>
        </w:tc>
        <w:tc>
          <w:tcPr>
            <w:tcW w:w="1867" w:type="dxa"/>
            <w:vAlign w:val="center"/>
          </w:tcPr>
          <w:p w14:paraId="06A373F4">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2000≤Y＜10000</w:t>
            </w:r>
          </w:p>
        </w:tc>
        <w:tc>
          <w:tcPr>
            <w:tcW w:w="1686" w:type="dxa"/>
            <w:vAlign w:val="center"/>
          </w:tcPr>
          <w:p w14:paraId="2CB22CC9">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100≤Y＜2000</w:t>
            </w:r>
          </w:p>
        </w:tc>
        <w:tc>
          <w:tcPr>
            <w:tcW w:w="966" w:type="dxa"/>
            <w:vAlign w:val="center"/>
          </w:tcPr>
          <w:p w14:paraId="18DAD6A3">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Y＜100</w:t>
            </w:r>
          </w:p>
        </w:tc>
      </w:tr>
      <w:tr w14:paraId="4B944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restart"/>
            <w:vAlign w:val="center"/>
          </w:tcPr>
          <w:p w14:paraId="5F5FD951">
            <w:pPr>
              <w:widowControl/>
              <w:spacing w:line="2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餐饮业</w:t>
            </w:r>
          </w:p>
        </w:tc>
        <w:tc>
          <w:tcPr>
            <w:tcW w:w="1502" w:type="dxa"/>
            <w:vAlign w:val="center"/>
          </w:tcPr>
          <w:p w14:paraId="4512A753">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从业人员(X)</w:t>
            </w:r>
          </w:p>
        </w:tc>
        <w:tc>
          <w:tcPr>
            <w:tcW w:w="778" w:type="dxa"/>
            <w:vAlign w:val="center"/>
          </w:tcPr>
          <w:p w14:paraId="02FEE123">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人</w:t>
            </w:r>
          </w:p>
        </w:tc>
        <w:tc>
          <w:tcPr>
            <w:tcW w:w="1234" w:type="dxa"/>
            <w:vAlign w:val="center"/>
          </w:tcPr>
          <w:p w14:paraId="2301EAF0">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X≥300</w:t>
            </w:r>
          </w:p>
        </w:tc>
        <w:tc>
          <w:tcPr>
            <w:tcW w:w="1867" w:type="dxa"/>
            <w:vAlign w:val="center"/>
          </w:tcPr>
          <w:p w14:paraId="3DB721CD">
            <w:pPr>
              <w:widowControl/>
              <w:spacing w:line="240" w:lineRule="exact"/>
              <w:ind w:left="19" w:leftChars="-51" w:hanging="126" w:hangingChars="60"/>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xml:space="preserve">100≤X＜300 </w:t>
            </w:r>
          </w:p>
        </w:tc>
        <w:tc>
          <w:tcPr>
            <w:tcW w:w="1686" w:type="dxa"/>
            <w:vAlign w:val="center"/>
          </w:tcPr>
          <w:p w14:paraId="58E82029">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10≤X＜100</w:t>
            </w:r>
          </w:p>
        </w:tc>
        <w:tc>
          <w:tcPr>
            <w:tcW w:w="966" w:type="dxa"/>
            <w:vAlign w:val="center"/>
          </w:tcPr>
          <w:p w14:paraId="68E0A8E9">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X＜10</w:t>
            </w:r>
          </w:p>
        </w:tc>
      </w:tr>
      <w:tr w14:paraId="312E4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continue"/>
            <w:vAlign w:val="center"/>
          </w:tcPr>
          <w:p w14:paraId="5E24D427">
            <w:pPr>
              <w:widowControl/>
              <w:spacing w:line="240" w:lineRule="exact"/>
              <w:jc w:val="left"/>
              <w:rPr>
                <w:rFonts w:hint="eastAsia" w:ascii="仿宋" w:hAnsi="仿宋" w:eastAsia="仿宋" w:cs="仿宋"/>
                <w:color w:val="auto"/>
                <w:kern w:val="0"/>
                <w:szCs w:val="21"/>
                <w:highlight w:val="none"/>
              </w:rPr>
            </w:pPr>
          </w:p>
        </w:tc>
        <w:tc>
          <w:tcPr>
            <w:tcW w:w="1502" w:type="dxa"/>
            <w:vAlign w:val="center"/>
          </w:tcPr>
          <w:p w14:paraId="2C85C2AF">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营业收入(Y)</w:t>
            </w:r>
          </w:p>
        </w:tc>
        <w:tc>
          <w:tcPr>
            <w:tcW w:w="778" w:type="dxa"/>
            <w:vAlign w:val="center"/>
          </w:tcPr>
          <w:p w14:paraId="4C0898AA">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万元</w:t>
            </w:r>
          </w:p>
        </w:tc>
        <w:tc>
          <w:tcPr>
            <w:tcW w:w="1234" w:type="dxa"/>
            <w:vAlign w:val="center"/>
          </w:tcPr>
          <w:p w14:paraId="7EA5591E">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Y≥10000</w:t>
            </w:r>
          </w:p>
        </w:tc>
        <w:tc>
          <w:tcPr>
            <w:tcW w:w="1867" w:type="dxa"/>
            <w:vAlign w:val="center"/>
          </w:tcPr>
          <w:p w14:paraId="65351B31">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2000≤Y＜10000</w:t>
            </w:r>
          </w:p>
        </w:tc>
        <w:tc>
          <w:tcPr>
            <w:tcW w:w="1686" w:type="dxa"/>
            <w:vAlign w:val="center"/>
          </w:tcPr>
          <w:p w14:paraId="566D7414">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100≤Y＜2000</w:t>
            </w:r>
          </w:p>
        </w:tc>
        <w:tc>
          <w:tcPr>
            <w:tcW w:w="966" w:type="dxa"/>
            <w:vAlign w:val="center"/>
          </w:tcPr>
          <w:p w14:paraId="20A1407D">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Y＜100</w:t>
            </w:r>
          </w:p>
        </w:tc>
      </w:tr>
      <w:tr w14:paraId="03E05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restart"/>
            <w:vAlign w:val="center"/>
          </w:tcPr>
          <w:p w14:paraId="5AD0FF8A">
            <w:pPr>
              <w:widowControl/>
              <w:spacing w:line="2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信息传输业*</w:t>
            </w:r>
          </w:p>
        </w:tc>
        <w:tc>
          <w:tcPr>
            <w:tcW w:w="1502" w:type="dxa"/>
            <w:vAlign w:val="center"/>
          </w:tcPr>
          <w:p w14:paraId="34B5448A">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从业人员(X)</w:t>
            </w:r>
          </w:p>
        </w:tc>
        <w:tc>
          <w:tcPr>
            <w:tcW w:w="778" w:type="dxa"/>
            <w:vAlign w:val="center"/>
          </w:tcPr>
          <w:p w14:paraId="5F38B2AB">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人</w:t>
            </w:r>
          </w:p>
        </w:tc>
        <w:tc>
          <w:tcPr>
            <w:tcW w:w="1234" w:type="dxa"/>
            <w:vAlign w:val="center"/>
          </w:tcPr>
          <w:p w14:paraId="0684B94D">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X≥2000</w:t>
            </w:r>
          </w:p>
        </w:tc>
        <w:tc>
          <w:tcPr>
            <w:tcW w:w="1867" w:type="dxa"/>
            <w:vAlign w:val="center"/>
          </w:tcPr>
          <w:p w14:paraId="6FF1C649">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100≤X＜2000</w:t>
            </w:r>
          </w:p>
        </w:tc>
        <w:tc>
          <w:tcPr>
            <w:tcW w:w="1686" w:type="dxa"/>
            <w:vAlign w:val="center"/>
          </w:tcPr>
          <w:p w14:paraId="69CD0B76">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10≤X＜100</w:t>
            </w:r>
          </w:p>
        </w:tc>
        <w:tc>
          <w:tcPr>
            <w:tcW w:w="966" w:type="dxa"/>
            <w:vAlign w:val="center"/>
          </w:tcPr>
          <w:p w14:paraId="399723DA">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X＜10</w:t>
            </w:r>
          </w:p>
        </w:tc>
      </w:tr>
      <w:tr w14:paraId="38F19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Merge w:val="continue"/>
            <w:vAlign w:val="center"/>
          </w:tcPr>
          <w:p w14:paraId="68FF56CB">
            <w:pPr>
              <w:widowControl/>
              <w:spacing w:line="240" w:lineRule="exact"/>
              <w:jc w:val="left"/>
              <w:rPr>
                <w:rFonts w:hint="eastAsia" w:ascii="仿宋" w:hAnsi="仿宋" w:eastAsia="仿宋" w:cs="仿宋"/>
                <w:color w:val="auto"/>
                <w:kern w:val="0"/>
                <w:szCs w:val="21"/>
                <w:highlight w:val="none"/>
              </w:rPr>
            </w:pPr>
          </w:p>
        </w:tc>
        <w:tc>
          <w:tcPr>
            <w:tcW w:w="1502" w:type="dxa"/>
            <w:vAlign w:val="center"/>
          </w:tcPr>
          <w:p w14:paraId="79051C84">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营业收入(Y)</w:t>
            </w:r>
          </w:p>
        </w:tc>
        <w:tc>
          <w:tcPr>
            <w:tcW w:w="778" w:type="dxa"/>
            <w:vAlign w:val="center"/>
          </w:tcPr>
          <w:p w14:paraId="21867F5F">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万元</w:t>
            </w:r>
          </w:p>
        </w:tc>
        <w:tc>
          <w:tcPr>
            <w:tcW w:w="1234" w:type="dxa"/>
            <w:vAlign w:val="center"/>
          </w:tcPr>
          <w:p w14:paraId="1158B7BE">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Y≥100000</w:t>
            </w:r>
          </w:p>
        </w:tc>
        <w:tc>
          <w:tcPr>
            <w:tcW w:w="1867" w:type="dxa"/>
            <w:vAlign w:val="center"/>
          </w:tcPr>
          <w:p w14:paraId="5DED8217">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1000≤Y＜100000</w:t>
            </w:r>
          </w:p>
        </w:tc>
        <w:tc>
          <w:tcPr>
            <w:tcW w:w="1686" w:type="dxa"/>
            <w:vAlign w:val="center"/>
          </w:tcPr>
          <w:p w14:paraId="5EC08391">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100≤Y＜1000</w:t>
            </w:r>
          </w:p>
        </w:tc>
        <w:tc>
          <w:tcPr>
            <w:tcW w:w="966" w:type="dxa"/>
            <w:vAlign w:val="center"/>
          </w:tcPr>
          <w:p w14:paraId="662DFE5F">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Y＜100</w:t>
            </w:r>
          </w:p>
        </w:tc>
      </w:tr>
      <w:tr w14:paraId="6F773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exact"/>
          <w:jc w:val="center"/>
        </w:trPr>
        <w:tc>
          <w:tcPr>
            <w:tcW w:w="2320" w:type="dxa"/>
            <w:vMerge w:val="restart"/>
            <w:vAlign w:val="center"/>
          </w:tcPr>
          <w:p w14:paraId="5FE8E882">
            <w:pPr>
              <w:widowControl/>
              <w:spacing w:line="240" w:lineRule="exact"/>
              <w:jc w:val="left"/>
              <w:rPr>
                <w:rFonts w:hint="eastAsia" w:ascii="仿宋" w:hAnsi="仿宋" w:eastAsia="仿宋" w:cs="仿宋"/>
                <w:color w:val="auto"/>
                <w:spacing w:val="-12"/>
                <w:kern w:val="0"/>
                <w:szCs w:val="21"/>
                <w:highlight w:val="none"/>
              </w:rPr>
            </w:pPr>
            <w:r>
              <w:rPr>
                <w:rFonts w:hint="eastAsia" w:ascii="仿宋" w:hAnsi="仿宋" w:eastAsia="仿宋" w:cs="仿宋"/>
                <w:color w:val="auto"/>
                <w:spacing w:val="-12"/>
                <w:kern w:val="0"/>
                <w:szCs w:val="21"/>
                <w:highlight w:val="none"/>
              </w:rPr>
              <w:t>软件和信息技术服</w:t>
            </w:r>
            <w:r>
              <w:rPr>
                <w:rFonts w:hint="eastAsia" w:ascii="仿宋" w:hAnsi="仿宋" w:eastAsia="仿宋" w:cs="仿宋"/>
                <w:color w:val="auto"/>
                <w:kern w:val="0"/>
                <w:szCs w:val="21"/>
                <w:highlight w:val="none"/>
              </w:rPr>
              <w:t>务业</w:t>
            </w:r>
          </w:p>
        </w:tc>
        <w:tc>
          <w:tcPr>
            <w:tcW w:w="1502" w:type="dxa"/>
            <w:vAlign w:val="center"/>
          </w:tcPr>
          <w:p w14:paraId="5216101C">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从业人员(X)</w:t>
            </w:r>
          </w:p>
        </w:tc>
        <w:tc>
          <w:tcPr>
            <w:tcW w:w="778" w:type="dxa"/>
            <w:vAlign w:val="center"/>
          </w:tcPr>
          <w:p w14:paraId="2254A788">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人</w:t>
            </w:r>
          </w:p>
        </w:tc>
        <w:tc>
          <w:tcPr>
            <w:tcW w:w="1234" w:type="dxa"/>
            <w:vAlign w:val="center"/>
          </w:tcPr>
          <w:p w14:paraId="28D3CCA1">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X≥300</w:t>
            </w:r>
          </w:p>
        </w:tc>
        <w:tc>
          <w:tcPr>
            <w:tcW w:w="1867" w:type="dxa"/>
            <w:vAlign w:val="center"/>
          </w:tcPr>
          <w:p w14:paraId="34580AFF">
            <w:pPr>
              <w:widowControl/>
              <w:spacing w:line="240" w:lineRule="exact"/>
              <w:ind w:left="19" w:leftChars="-51" w:hanging="126" w:hangingChars="60"/>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xml:space="preserve">100≤X＜300 </w:t>
            </w:r>
          </w:p>
        </w:tc>
        <w:tc>
          <w:tcPr>
            <w:tcW w:w="1686" w:type="dxa"/>
            <w:vAlign w:val="center"/>
          </w:tcPr>
          <w:p w14:paraId="77246C70">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10≤X＜100</w:t>
            </w:r>
          </w:p>
        </w:tc>
        <w:tc>
          <w:tcPr>
            <w:tcW w:w="966" w:type="dxa"/>
            <w:vAlign w:val="center"/>
          </w:tcPr>
          <w:p w14:paraId="77E6A80C">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X＜10</w:t>
            </w:r>
          </w:p>
        </w:tc>
      </w:tr>
      <w:tr w14:paraId="449C8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exact"/>
          <w:jc w:val="center"/>
        </w:trPr>
        <w:tc>
          <w:tcPr>
            <w:tcW w:w="2320" w:type="dxa"/>
            <w:vMerge w:val="continue"/>
            <w:vAlign w:val="center"/>
          </w:tcPr>
          <w:p w14:paraId="79EC56D5">
            <w:pPr>
              <w:widowControl/>
              <w:spacing w:line="240" w:lineRule="exact"/>
              <w:jc w:val="left"/>
              <w:rPr>
                <w:rFonts w:hint="eastAsia" w:ascii="仿宋" w:hAnsi="仿宋" w:eastAsia="仿宋" w:cs="仿宋"/>
                <w:color w:val="auto"/>
                <w:spacing w:val="-12"/>
                <w:kern w:val="0"/>
                <w:szCs w:val="21"/>
                <w:highlight w:val="none"/>
              </w:rPr>
            </w:pPr>
          </w:p>
        </w:tc>
        <w:tc>
          <w:tcPr>
            <w:tcW w:w="1502" w:type="dxa"/>
            <w:vAlign w:val="center"/>
          </w:tcPr>
          <w:p w14:paraId="44DFE934">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营业收入(Y)</w:t>
            </w:r>
          </w:p>
        </w:tc>
        <w:tc>
          <w:tcPr>
            <w:tcW w:w="778" w:type="dxa"/>
            <w:vAlign w:val="center"/>
          </w:tcPr>
          <w:p w14:paraId="1CF0D61F">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万元</w:t>
            </w:r>
          </w:p>
        </w:tc>
        <w:tc>
          <w:tcPr>
            <w:tcW w:w="1234" w:type="dxa"/>
            <w:vAlign w:val="center"/>
          </w:tcPr>
          <w:p w14:paraId="1D000F28">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Y≥10000</w:t>
            </w:r>
          </w:p>
        </w:tc>
        <w:tc>
          <w:tcPr>
            <w:tcW w:w="1867" w:type="dxa"/>
            <w:vAlign w:val="center"/>
          </w:tcPr>
          <w:p w14:paraId="479C575C">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1000≤Y＜10000</w:t>
            </w:r>
          </w:p>
        </w:tc>
        <w:tc>
          <w:tcPr>
            <w:tcW w:w="1686" w:type="dxa"/>
            <w:vAlign w:val="center"/>
          </w:tcPr>
          <w:p w14:paraId="67239C2A">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50≤Y＜1000</w:t>
            </w:r>
          </w:p>
        </w:tc>
        <w:tc>
          <w:tcPr>
            <w:tcW w:w="966" w:type="dxa"/>
            <w:vAlign w:val="center"/>
          </w:tcPr>
          <w:p w14:paraId="3E46C8A9">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Y＜50</w:t>
            </w:r>
          </w:p>
        </w:tc>
      </w:tr>
      <w:tr w14:paraId="584E5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exact"/>
          <w:jc w:val="center"/>
        </w:trPr>
        <w:tc>
          <w:tcPr>
            <w:tcW w:w="2320" w:type="dxa"/>
            <w:vMerge w:val="restart"/>
            <w:vAlign w:val="center"/>
          </w:tcPr>
          <w:p w14:paraId="3770255E">
            <w:pPr>
              <w:widowControl/>
              <w:spacing w:line="2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房地产开发经营</w:t>
            </w:r>
          </w:p>
        </w:tc>
        <w:tc>
          <w:tcPr>
            <w:tcW w:w="1502" w:type="dxa"/>
            <w:vAlign w:val="center"/>
          </w:tcPr>
          <w:p w14:paraId="281ABB6F">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营业收入(Y)</w:t>
            </w:r>
          </w:p>
        </w:tc>
        <w:tc>
          <w:tcPr>
            <w:tcW w:w="778" w:type="dxa"/>
            <w:vAlign w:val="center"/>
          </w:tcPr>
          <w:p w14:paraId="285312F5">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万元</w:t>
            </w:r>
          </w:p>
        </w:tc>
        <w:tc>
          <w:tcPr>
            <w:tcW w:w="1234" w:type="dxa"/>
            <w:vAlign w:val="center"/>
          </w:tcPr>
          <w:p w14:paraId="7BC523B7">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Y≥200000</w:t>
            </w:r>
          </w:p>
        </w:tc>
        <w:tc>
          <w:tcPr>
            <w:tcW w:w="1867" w:type="dxa"/>
            <w:vAlign w:val="center"/>
          </w:tcPr>
          <w:p w14:paraId="5DC1C8A8">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1000≤Y＜200000</w:t>
            </w:r>
          </w:p>
        </w:tc>
        <w:tc>
          <w:tcPr>
            <w:tcW w:w="1686" w:type="dxa"/>
            <w:vAlign w:val="center"/>
          </w:tcPr>
          <w:p w14:paraId="1536DB21">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100≤Y＜1000</w:t>
            </w:r>
          </w:p>
        </w:tc>
        <w:tc>
          <w:tcPr>
            <w:tcW w:w="966" w:type="dxa"/>
            <w:vAlign w:val="center"/>
          </w:tcPr>
          <w:p w14:paraId="55141D18">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Y＜100</w:t>
            </w:r>
          </w:p>
        </w:tc>
      </w:tr>
      <w:tr w14:paraId="34C37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exact"/>
          <w:jc w:val="center"/>
        </w:trPr>
        <w:tc>
          <w:tcPr>
            <w:tcW w:w="2320" w:type="dxa"/>
            <w:vMerge w:val="continue"/>
            <w:vAlign w:val="center"/>
          </w:tcPr>
          <w:p w14:paraId="68F69475">
            <w:pPr>
              <w:widowControl/>
              <w:spacing w:line="240" w:lineRule="exact"/>
              <w:jc w:val="left"/>
              <w:rPr>
                <w:rFonts w:hint="eastAsia" w:ascii="仿宋" w:hAnsi="仿宋" w:eastAsia="仿宋" w:cs="仿宋"/>
                <w:color w:val="auto"/>
                <w:kern w:val="0"/>
                <w:szCs w:val="21"/>
                <w:highlight w:val="none"/>
              </w:rPr>
            </w:pPr>
          </w:p>
        </w:tc>
        <w:tc>
          <w:tcPr>
            <w:tcW w:w="1502" w:type="dxa"/>
            <w:vAlign w:val="center"/>
          </w:tcPr>
          <w:p w14:paraId="05BC94A6">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资产总额(Z)</w:t>
            </w:r>
          </w:p>
        </w:tc>
        <w:tc>
          <w:tcPr>
            <w:tcW w:w="778" w:type="dxa"/>
            <w:vAlign w:val="center"/>
          </w:tcPr>
          <w:p w14:paraId="5B7132CB">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万元</w:t>
            </w:r>
          </w:p>
        </w:tc>
        <w:tc>
          <w:tcPr>
            <w:tcW w:w="1234" w:type="dxa"/>
            <w:vAlign w:val="center"/>
          </w:tcPr>
          <w:p w14:paraId="62FED757">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Z≥10000</w:t>
            </w:r>
          </w:p>
        </w:tc>
        <w:tc>
          <w:tcPr>
            <w:tcW w:w="1867" w:type="dxa"/>
            <w:vAlign w:val="center"/>
          </w:tcPr>
          <w:p w14:paraId="265D2E8C">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5000≤Z＜10000</w:t>
            </w:r>
          </w:p>
        </w:tc>
        <w:tc>
          <w:tcPr>
            <w:tcW w:w="1686" w:type="dxa"/>
            <w:vAlign w:val="center"/>
          </w:tcPr>
          <w:p w14:paraId="605ED0BA">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2000≤Z＜5000</w:t>
            </w:r>
          </w:p>
        </w:tc>
        <w:tc>
          <w:tcPr>
            <w:tcW w:w="966" w:type="dxa"/>
            <w:vAlign w:val="center"/>
          </w:tcPr>
          <w:p w14:paraId="1F9A7F79">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Z＜2000</w:t>
            </w:r>
          </w:p>
        </w:tc>
      </w:tr>
      <w:tr w14:paraId="6AADB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exact"/>
          <w:jc w:val="center"/>
        </w:trPr>
        <w:tc>
          <w:tcPr>
            <w:tcW w:w="2320" w:type="dxa"/>
            <w:vMerge w:val="restart"/>
            <w:vAlign w:val="center"/>
          </w:tcPr>
          <w:p w14:paraId="4E3FB9D6">
            <w:pPr>
              <w:widowControl/>
              <w:spacing w:line="2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物业管理</w:t>
            </w:r>
          </w:p>
        </w:tc>
        <w:tc>
          <w:tcPr>
            <w:tcW w:w="1502" w:type="dxa"/>
            <w:vAlign w:val="center"/>
          </w:tcPr>
          <w:p w14:paraId="53D097B7">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从业人员(X)</w:t>
            </w:r>
          </w:p>
        </w:tc>
        <w:tc>
          <w:tcPr>
            <w:tcW w:w="778" w:type="dxa"/>
            <w:vAlign w:val="center"/>
          </w:tcPr>
          <w:p w14:paraId="58FDC092">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人</w:t>
            </w:r>
          </w:p>
        </w:tc>
        <w:tc>
          <w:tcPr>
            <w:tcW w:w="1234" w:type="dxa"/>
            <w:vAlign w:val="center"/>
          </w:tcPr>
          <w:p w14:paraId="39333E54">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X≥1000</w:t>
            </w:r>
          </w:p>
        </w:tc>
        <w:tc>
          <w:tcPr>
            <w:tcW w:w="1867" w:type="dxa"/>
            <w:vAlign w:val="center"/>
          </w:tcPr>
          <w:p w14:paraId="581DC644">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300≤X＜1000</w:t>
            </w:r>
          </w:p>
        </w:tc>
        <w:tc>
          <w:tcPr>
            <w:tcW w:w="1686" w:type="dxa"/>
            <w:vAlign w:val="center"/>
          </w:tcPr>
          <w:p w14:paraId="0C21C16A">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100≤X＜300</w:t>
            </w:r>
          </w:p>
        </w:tc>
        <w:tc>
          <w:tcPr>
            <w:tcW w:w="966" w:type="dxa"/>
            <w:vAlign w:val="center"/>
          </w:tcPr>
          <w:p w14:paraId="46BF1B2F">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X＜100</w:t>
            </w:r>
          </w:p>
        </w:tc>
      </w:tr>
      <w:tr w14:paraId="22441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exact"/>
          <w:jc w:val="center"/>
        </w:trPr>
        <w:tc>
          <w:tcPr>
            <w:tcW w:w="2320" w:type="dxa"/>
            <w:vMerge w:val="continue"/>
            <w:vAlign w:val="center"/>
          </w:tcPr>
          <w:p w14:paraId="593FBA49">
            <w:pPr>
              <w:widowControl/>
              <w:spacing w:line="240" w:lineRule="exact"/>
              <w:jc w:val="left"/>
              <w:rPr>
                <w:rFonts w:hint="eastAsia" w:ascii="仿宋" w:hAnsi="仿宋" w:eastAsia="仿宋" w:cs="仿宋"/>
                <w:color w:val="auto"/>
                <w:kern w:val="0"/>
                <w:szCs w:val="21"/>
                <w:highlight w:val="none"/>
              </w:rPr>
            </w:pPr>
          </w:p>
        </w:tc>
        <w:tc>
          <w:tcPr>
            <w:tcW w:w="1502" w:type="dxa"/>
            <w:vAlign w:val="center"/>
          </w:tcPr>
          <w:p w14:paraId="3091D18C">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营业收入(Y)</w:t>
            </w:r>
          </w:p>
        </w:tc>
        <w:tc>
          <w:tcPr>
            <w:tcW w:w="778" w:type="dxa"/>
            <w:vAlign w:val="center"/>
          </w:tcPr>
          <w:p w14:paraId="3D7368AA">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万元</w:t>
            </w:r>
          </w:p>
        </w:tc>
        <w:tc>
          <w:tcPr>
            <w:tcW w:w="1234" w:type="dxa"/>
            <w:vAlign w:val="center"/>
          </w:tcPr>
          <w:p w14:paraId="70CC0E52">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Y≥5000</w:t>
            </w:r>
          </w:p>
        </w:tc>
        <w:tc>
          <w:tcPr>
            <w:tcW w:w="1867" w:type="dxa"/>
            <w:vAlign w:val="center"/>
          </w:tcPr>
          <w:p w14:paraId="46A8B3FC">
            <w:pPr>
              <w:widowControl/>
              <w:spacing w:line="240" w:lineRule="exact"/>
              <w:ind w:left="19" w:leftChars="-51" w:hanging="126" w:hangingChars="60"/>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1000≤Y＜5000</w:t>
            </w:r>
          </w:p>
        </w:tc>
        <w:tc>
          <w:tcPr>
            <w:tcW w:w="1686" w:type="dxa"/>
            <w:vAlign w:val="center"/>
          </w:tcPr>
          <w:p w14:paraId="31EBEC3D">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500≤Y＜1000</w:t>
            </w:r>
          </w:p>
        </w:tc>
        <w:tc>
          <w:tcPr>
            <w:tcW w:w="966" w:type="dxa"/>
            <w:vAlign w:val="center"/>
          </w:tcPr>
          <w:p w14:paraId="0B0D11E4">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Y＜500</w:t>
            </w:r>
          </w:p>
        </w:tc>
      </w:tr>
      <w:tr w14:paraId="4BFBB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exact"/>
          <w:jc w:val="center"/>
        </w:trPr>
        <w:tc>
          <w:tcPr>
            <w:tcW w:w="2320" w:type="dxa"/>
            <w:vMerge w:val="restart"/>
            <w:vAlign w:val="center"/>
          </w:tcPr>
          <w:p w14:paraId="3C088DF4">
            <w:pPr>
              <w:widowControl/>
              <w:spacing w:line="2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租赁和商务服务业</w:t>
            </w:r>
          </w:p>
        </w:tc>
        <w:tc>
          <w:tcPr>
            <w:tcW w:w="1502" w:type="dxa"/>
            <w:vAlign w:val="center"/>
          </w:tcPr>
          <w:p w14:paraId="0478BFBB">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从业人员(X)</w:t>
            </w:r>
          </w:p>
        </w:tc>
        <w:tc>
          <w:tcPr>
            <w:tcW w:w="778" w:type="dxa"/>
            <w:vAlign w:val="center"/>
          </w:tcPr>
          <w:p w14:paraId="32DC239D">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人</w:t>
            </w:r>
          </w:p>
        </w:tc>
        <w:tc>
          <w:tcPr>
            <w:tcW w:w="1234" w:type="dxa"/>
            <w:vAlign w:val="center"/>
          </w:tcPr>
          <w:p w14:paraId="238390D6">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X≥300</w:t>
            </w:r>
          </w:p>
        </w:tc>
        <w:tc>
          <w:tcPr>
            <w:tcW w:w="1867" w:type="dxa"/>
            <w:vAlign w:val="center"/>
          </w:tcPr>
          <w:p w14:paraId="1596693A">
            <w:pPr>
              <w:widowControl/>
              <w:spacing w:line="240" w:lineRule="exact"/>
              <w:ind w:left="19" w:leftChars="-51" w:hanging="126" w:hangingChars="60"/>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100≤X＜300</w:t>
            </w:r>
          </w:p>
        </w:tc>
        <w:tc>
          <w:tcPr>
            <w:tcW w:w="1686" w:type="dxa"/>
            <w:vAlign w:val="center"/>
          </w:tcPr>
          <w:p w14:paraId="5C5091CC">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10≤X＜100</w:t>
            </w:r>
          </w:p>
        </w:tc>
        <w:tc>
          <w:tcPr>
            <w:tcW w:w="966" w:type="dxa"/>
            <w:vAlign w:val="center"/>
          </w:tcPr>
          <w:p w14:paraId="5E793018">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X＜10</w:t>
            </w:r>
          </w:p>
        </w:tc>
      </w:tr>
      <w:tr w14:paraId="251A2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exact"/>
          <w:jc w:val="center"/>
        </w:trPr>
        <w:tc>
          <w:tcPr>
            <w:tcW w:w="2320" w:type="dxa"/>
            <w:vMerge w:val="continue"/>
            <w:vAlign w:val="center"/>
          </w:tcPr>
          <w:p w14:paraId="2FBEDB81">
            <w:pPr>
              <w:widowControl/>
              <w:spacing w:line="240" w:lineRule="exact"/>
              <w:jc w:val="left"/>
              <w:rPr>
                <w:rFonts w:hint="eastAsia" w:ascii="仿宋" w:hAnsi="仿宋" w:eastAsia="仿宋" w:cs="仿宋"/>
                <w:color w:val="auto"/>
                <w:kern w:val="0"/>
                <w:szCs w:val="21"/>
                <w:highlight w:val="none"/>
              </w:rPr>
            </w:pPr>
          </w:p>
        </w:tc>
        <w:tc>
          <w:tcPr>
            <w:tcW w:w="1502" w:type="dxa"/>
            <w:vAlign w:val="center"/>
          </w:tcPr>
          <w:p w14:paraId="7891BD40">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资产总额(Z)</w:t>
            </w:r>
          </w:p>
        </w:tc>
        <w:tc>
          <w:tcPr>
            <w:tcW w:w="778" w:type="dxa"/>
            <w:vAlign w:val="center"/>
          </w:tcPr>
          <w:p w14:paraId="718AD7DE">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万元</w:t>
            </w:r>
          </w:p>
        </w:tc>
        <w:tc>
          <w:tcPr>
            <w:tcW w:w="1234" w:type="dxa"/>
            <w:vAlign w:val="center"/>
          </w:tcPr>
          <w:p w14:paraId="70E47E6B">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Z≥120000</w:t>
            </w:r>
          </w:p>
        </w:tc>
        <w:tc>
          <w:tcPr>
            <w:tcW w:w="1867" w:type="dxa"/>
            <w:vAlign w:val="center"/>
          </w:tcPr>
          <w:p w14:paraId="13B71B26">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8000≤Z＜120000</w:t>
            </w:r>
          </w:p>
        </w:tc>
        <w:tc>
          <w:tcPr>
            <w:tcW w:w="1686" w:type="dxa"/>
            <w:vAlign w:val="center"/>
          </w:tcPr>
          <w:p w14:paraId="05A19BEE">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100≤Z＜8000</w:t>
            </w:r>
          </w:p>
        </w:tc>
        <w:tc>
          <w:tcPr>
            <w:tcW w:w="966" w:type="dxa"/>
            <w:vAlign w:val="center"/>
          </w:tcPr>
          <w:p w14:paraId="4B387852">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Z＜100</w:t>
            </w:r>
          </w:p>
        </w:tc>
      </w:tr>
      <w:tr w14:paraId="733CC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320" w:type="dxa"/>
            <w:vAlign w:val="center"/>
          </w:tcPr>
          <w:p w14:paraId="25CF4E10">
            <w:pPr>
              <w:widowControl/>
              <w:spacing w:line="24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其他未列明行业*</w:t>
            </w:r>
          </w:p>
        </w:tc>
        <w:tc>
          <w:tcPr>
            <w:tcW w:w="1502" w:type="dxa"/>
            <w:vAlign w:val="center"/>
          </w:tcPr>
          <w:p w14:paraId="691EF1A7">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从业人员(X)</w:t>
            </w:r>
          </w:p>
        </w:tc>
        <w:tc>
          <w:tcPr>
            <w:tcW w:w="778" w:type="dxa"/>
            <w:vAlign w:val="center"/>
          </w:tcPr>
          <w:p w14:paraId="161BC6AF">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人</w:t>
            </w:r>
          </w:p>
        </w:tc>
        <w:tc>
          <w:tcPr>
            <w:tcW w:w="1234" w:type="dxa"/>
            <w:vAlign w:val="center"/>
          </w:tcPr>
          <w:p w14:paraId="4192EEE8">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X≥300</w:t>
            </w:r>
          </w:p>
        </w:tc>
        <w:tc>
          <w:tcPr>
            <w:tcW w:w="1867" w:type="dxa"/>
            <w:vAlign w:val="center"/>
          </w:tcPr>
          <w:p w14:paraId="2E4829BA">
            <w:pPr>
              <w:widowControl/>
              <w:spacing w:line="240" w:lineRule="exact"/>
              <w:ind w:left="19" w:leftChars="-51" w:hanging="126" w:hangingChars="60"/>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100≤X＜300</w:t>
            </w:r>
          </w:p>
        </w:tc>
        <w:tc>
          <w:tcPr>
            <w:tcW w:w="1686" w:type="dxa"/>
            <w:vAlign w:val="center"/>
          </w:tcPr>
          <w:p w14:paraId="3B8F4D2F">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10≤X＜100</w:t>
            </w:r>
          </w:p>
        </w:tc>
        <w:tc>
          <w:tcPr>
            <w:tcW w:w="966" w:type="dxa"/>
            <w:vAlign w:val="center"/>
          </w:tcPr>
          <w:p w14:paraId="491D3E42">
            <w:pPr>
              <w:widowControl/>
              <w:spacing w:line="24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X＜10</w:t>
            </w:r>
          </w:p>
        </w:tc>
      </w:tr>
    </w:tbl>
    <w:p w14:paraId="1AFD912F">
      <w:pPr>
        <w:keepNext w:val="0"/>
        <w:keepLines w:val="0"/>
        <w:pageBreakBefore w:val="0"/>
        <w:widowControl w:val="0"/>
        <w:kinsoku/>
        <w:wordWrap/>
        <w:overflowPunct/>
        <w:topLinePunct w:val="0"/>
        <w:autoSpaceDE/>
        <w:autoSpaceDN/>
        <w:bidi w:val="0"/>
        <w:adjustRightInd/>
        <w:snapToGrid/>
        <w:spacing w:line="260" w:lineRule="exact"/>
        <w:textAlignment w:val="auto"/>
        <w:outlineLvl w:val="9"/>
        <w:rPr>
          <w:rFonts w:hint="eastAsia" w:ascii="仿宋" w:hAnsi="仿宋" w:eastAsia="仿宋" w:cs="仿宋"/>
          <w:color w:val="auto"/>
          <w:spacing w:val="8"/>
          <w:szCs w:val="21"/>
          <w:highlight w:val="none"/>
        </w:rPr>
      </w:pPr>
      <w:r>
        <w:rPr>
          <w:rFonts w:hint="eastAsia" w:ascii="仿宋" w:hAnsi="仿宋" w:eastAsia="仿宋" w:cs="仿宋"/>
          <w:color w:val="auto"/>
          <w:spacing w:val="8"/>
          <w:kern w:val="0"/>
          <w:szCs w:val="21"/>
          <w:highlight w:val="none"/>
        </w:rPr>
        <w:t>说明：</w:t>
      </w:r>
      <w:r>
        <w:rPr>
          <w:rFonts w:hint="eastAsia" w:ascii="仿宋" w:hAnsi="仿宋" w:eastAsia="仿宋" w:cs="仿宋"/>
          <w:color w:val="auto"/>
          <w:spacing w:val="8"/>
          <w:szCs w:val="21"/>
          <w:highlight w:val="none"/>
        </w:rPr>
        <w:t>1.大型、中型和小型企业须同时满足所列指标的下限，否则下划一档；微型企业只须满足所列指标中的一项即可。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4C46F506">
      <w:pPr>
        <w:rPr>
          <w:rFonts w:hint="eastAsia" w:ascii="仿宋" w:hAnsi="仿宋" w:eastAsia="仿宋" w:cs="仿宋"/>
          <w:b/>
          <w:color w:val="auto"/>
          <w:sz w:val="44"/>
          <w:szCs w:val="44"/>
          <w:highlight w:val="none"/>
        </w:rPr>
      </w:pPr>
      <w:bookmarkStart w:id="68" w:name="_Toc74320802"/>
      <w:r>
        <w:rPr>
          <w:rFonts w:hint="eastAsia" w:ascii="仿宋" w:hAnsi="仿宋" w:eastAsia="仿宋" w:cs="仿宋"/>
          <w:b/>
          <w:color w:val="auto"/>
          <w:sz w:val="44"/>
          <w:szCs w:val="44"/>
          <w:highlight w:val="none"/>
        </w:rPr>
        <w:br w:type="page"/>
      </w:r>
    </w:p>
    <w:p w14:paraId="25E9BB73">
      <w:pPr>
        <w:spacing w:line="360" w:lineRule="auto"/>
        <w:ind w:firstLine="482" w:firstLineChars="200"/>
        <w:jc w:val="left"/>
        <w:rPr>
          <w:rFonts w:hint="eastAsia" w:ascii="仿宋" w:hAnsi="仿宋" w:eastAsia="仿宋" w:cs="仿宋"/>
          <w:b/>
          <w:bCs/>
          <w:color w:val="auto"/>
          <w:sz w:val="24"/>
          <w:szCs w:val="32"/>
          <w:highlight w:val="none"/>
        </w:rPr>
      </w:pPr>
      <w:r>
        <w:rPr>
          <w:rFonts w:hint="eastAsia" w:ascii="仿宋" w:hAnsi="仿宋" w:eastAsia="仿宋" w:cs="仿宋"/>
          <w:b/>
          <w:bCs/>
          <w:color w:val="auto"/>
          <w:sz w:val="24"/>
          <w:szCs w:val="32"/>
          <w:highlight w:val="none"/>
        </w:rPr>
        <w:t>附表</w:t>
      </w:r>
      <w:r>
        <w:rPr>
          <w:rFonts w:hint="eastAsia" w:ascii="仿宋" w:hAnsi="仿宋" w:eastAsia="仿宋" w:cs="仿宋"/>
          <w:b/>
          <w:bCs/>
          <w:color w:val="auto"/>
          <w:sz w:val="24"/>
          <w:szCs w:val="32"/>
          <w:highlight w:val="none"/>
          <w:lang w:val="en-US" w:eastAsia="zh-CN"/>
        </w:rPr>
        <w:t>2</w:t>
      </w:r>
      <w:r>
        <w:rPr>
          <w:rFonts w:hint="eastAsia" w:ascii="仿宋" w:hAnsi="仿宋" w:eastAsia="仿宋" w:cs="仿宋"/>
          <w:b/>
          <w:bCs/>
          <w:color w:val="auto"/>
          <w:sz w:val="24"/>
          <w:szCs w:val="32"/>
          <w:highlight w:val="none"/>
        </w:rPr>
        <w:t>：节能产品政府采购品目清单</w:t>
      </w:r>
    </w:p>
    <w:p w14:paraId="315C67B9">
      <w:pPr>
        <w:pStyle w:val="61"/>
        <w:rPr>
          <w:rFonts w:hint="eastAsia" w:ascii="仿宋" w:hAnsi="仿宋" w:eastAsia="仿宋" w:cs="仿宋"/>
          <w:b/>
          <w:bCs/>
          <w:color w:val="auto"/>
          <w:highlight w:val="none"/>
        </w:rPr>
      </w:pPr>
      <w:r>
        <w:rPr>
          <w:rFonts w:hint="eastAsia" w:ascii="仿宋" w:hAnsi="仿宋" w:eastAsia="仿宋" w:cs="仿宋"/>
          <w:b/>
          <w:bCs/>
          <w:color w:val="auto"/>
          <w:highlight w:val="none"/>
        </w:rPr>
        <w:drawing>
          <wp:inline distT="0" distB="0" distL="114300" distR="114300">
            <wp:extent cx="6022975" cy="8517890"/>
            <wp:effectExtent l="0" t="0" r="15875" b="16510"/>
            <wp:docPr id="3" name="图片 1" descr="节能产品政府采购品目清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节能产品政府采购品目清单_00"/>
                    <pic:cNvPicPr>
                      <a:picLocks noChangeAspect="1"/>
                    </pic:cNvPicPr>
                  </pic:nvPicPr>
                  <pic:blipFill>
                    <a:blip r:embed="rId15"/>
                    <a:stretch>
                      <a:fillRect/>
                    </a:stretch>
                  </pic:blipFill>
                  <pic:spPr>
                    <a:xfrm>
                      <a:off x="0" y="0"/>
                      <a:ext cx="6022975" cy="8517890"/>
                    </a:xfrm>
                    <a:prstGeom prst="rect">
                      <a:avLst/>
                    </a:prstGeom>
                    <a:noFill/>
                    <a:ln>
                      <a:noFill/>
                    </a:ln>
                  </pic:spPr>
                </pic:pic>
              </a:graphicData>
            </a:graphic>
          </wp:inline>
        </w:drawing>
      </w:r>
    </w:p>
    <w:p w14:paraId="652BE481">
      <w:pPr>
        <w:pStyle w:val="61"/>
        <w:rPr>
          <w:rFonts w:hint="eastAsia" w:ascii="仿宋" w:hAnsi="仿宋" w:eastAsia="仿宋" w:cs="仿宋"/>
          <w:b/>
          <w:bCs/>
          <w:color w:val="auto"/>
          <w:highlight w:val="none"/>
        </w:rPr>
      </w:pPr>
      <w:r>
        <w:rPr>
          <w:rFonts w:hint="eastAsia" w:ascii="仿宋" w:hAnsi="仿宋" w:eastAsia="仿宋" w:cs="仿宋"/>
          <w:b/>
          <w:bCs/>
          <w:color w:val="auto"/>
          <w:highlight w:val="none"/>
        </w:rPr>
        <w:drawing>
          <wp:inline distT="0" distB="0" distL="114300" distR="114300">
            <wp:extent cx="6117590" cy="8651240"/>
            <wp:effectExtent l="0" t="0" r="16510" b="16510"/>
            <wp:docPr id="4" name="图片 2" descr="节能产品政府采购品目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节能产品政府采购品目清单_01"/>
                    <pic:cNvPicPr>
                      <a:picLocks noChangeAspect="1"/>
                    </pic:cNvPicPr>
                  </pic:nvPicPr>
                  <pic:blipFill>
                    <a:blip r:embed="rId16"/>
                    <a:stretch>
                      <a:fillRect/>
                    </a:stretch>
                  </pic:blipFill>
                  <pic:spPr>
                    <a:xfrm>
                      <a:off x="0" y="0"/>
                      <a:ext cx="6117590" cy="8651240"/>
                    </a:xfrm>
                    <a:prstGeom prst="rect">
                      <a:avLst/>
                    </a:prstGeom>
                    <a:noFill/>
                    <a:ln>
                      <a:noFill/>
                    </a:ln>
                  </pic:spPr>
                </pic:pic>
              </a:graphicData>
            </a:graphic>
          </wp:inline>
        </w:drawing>
      </w:r>
    </w:p>
    <w:p w14:paraId="170CC0E3">
      <w:pPr>
        <w:rPr>
          <w:rFonts w:hint="eastAsia" w:ascii="仿宋" w:hAnsi="仿宋" w:eastAsia="仿宋" w:cs="仿宋"/>
          <w:b/>
          <w:color w:val="auto"/>
          <w:sz w:val="44"/>
          <w:szCs w:val="44"/>
          <w:highlight w:val="none"/>
        </w:rPr>
      </w:pPr>
      <w:r>
        <w:rPr>
          <w:rFonts w:hint="eastAsia" w:ascii="仿宋" w:hAnsi="仿宋" w:eastAsia="仿宋" w:cs="仿宋"/>
          <w:b/>
          <w:bCs/>
          <w:color w:val="auto"/>
          <w:highlight w:val="none"/>
        </w:rPr>
        <w:drawing>
          <wp:inline distT="0" distB="0" distL="114300" distR="114300">
            <wp:extent cx="6117590" cy="8651240"/>
            <wp:effectExtent l="0" t="0" r="16510" b="16510"/>
            <wp:docPr id="5" name="图片 3" descr="节能产品政府采购品目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节能产品政府采购品目清单_02"/>
                    <pic:cNvPicPr>
                      <a:picLocks noChangeAspect="1"/>
                    </pic:cNvPicPr>
                  </pic:nvPicPr>
                  <pic:blipFill>
                    <a:blip r:embed="rId17"/>
                    <a:stretch>
                      <a:fillRect/>
                    </a:stretch>
                  </pic:blipFill>
                  <pic:spPr>
                    <a:xfrm>
                      <a:off x="0" y="0"/>
                      <a:ext cx="6117590" cy="8651240"/>
                    </a:xfrm>
                    <a:prstGeom prst="rect">
                      <a:avLst/>
                    </a:prstGeom>
                    <a:noFill/>
                    <a:ln>
                      <a:noFill/>
                    </a:ln>
                  </pic:spPr>
                </pic:pic>
              </a:graphicData>
            </a:graphic>
          </wp:inline>
        </w:drawing>
      </w:r>
      <w:r>
        <w:rPr>
          <w:rFonts w:hint="eastAsia" w:ascii="仿宋" w:hAnsi="仿宋" w:eastAsia="仿宋" w:cs="仿宋"/>
          <w:b/>
          <w:color w:val="auto"/>
          <w:sz w:val="44"/>
          <w:szCs w:val="44"/>
          <w:highlight w:val="none"/>
        </w:rPr>
        <w:br w:type="page"/>
      </w:r>
    </w:p>
    <w:p w14:paraId="7A317B36">
      <w:pPr>
        <w:pageBreakBefore/>
        <w:spacing w:line="428" w:lineRule="exact"/>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第三章  投标人须知</w:t>
      </w:r>
      <w:bookmarkEnd w:id="68"/>
    </w:p>
    <w:p w14:paraId="4E965580">
      <w:pPr>
        <w:spacing w:before="120" w:beforeLines="50"/>
        <w:jc w:val="center"/>
        <w:rPr>
          <w:rFonts w:hint="eastAsia" w:ascii="仿宋" w:hAnsi="仿宋" w:eastAsia="仿宋" w:cs="仿宋"/>
          <w:b/>
          <w:color w:val="auto"/>
          <w:sz w:val="28"/>
          <w:szCs w:val="28"/>
          <w:highlight w:val="none"/>
        </w:rPr>
      </w:pPr>
      <w:bookmarkStart w:id="69" w:name="_Toc254970526"/>
      <w:bookmarkStart w:id="70" w:name="_Toc254970667"/>
      <w:r>
        <w:rPr>
          <w:rFonts w:hint="eastAsia" w:ascii="仿宋" w:hAnsi="仿宋" w:eastAsia="仿宋" w:cs="仿宋"/>
          <w:b/>
          <w:color w:val="auto"/>
          <w:sz w:val="28"/>
          <w:szCs w:val="28"/>
          <w:highlight w:val="none"/>
        </w:rPr>
        <w:t>投标人须知前附表</w:t>
      </w:r>
      <w:bookmarkEnd w:id="69"/>
      <w:bookmarkEnd w:id="70"/>
    </w:p>
    <w:tbl>
      <w:tblPr>
        <w:tblStyle w:val="50"/>
        <w:tblW w:w="1033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56"/>
        <w:gridCol w:w="9275"/>
      </w:tblGrid>
      <w:tr w14:paraId="4E50E9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05BA0558">
            <w:pPr>
              <w:snapToGrid w:val="0"/>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条款号</w:t>
            </w:r>
          </w:p>
        </w:tc>
        <w:tc>
          <w:tcPr>
            <w:tcW w:w="9275" w:type="dxa"/>
            <w:tcBorders>
              <w:top w:val="single" w:color="auto" w:sz="4" w:space="0"/>
              <w:left w:val="single" w:color="auto" w:sz="4" w:space="0"/>
              <w:bottom w:val="single" w:color="auto" w:sz="4" w:space="0"/>
              <w:right w:val="single" w:color="auto" w:sz="4" w:space="0"/>
            </w:tcBorders>
            <w:vAlign w:val="center"/>
          </w:tcPr>
          <w:p w14:paraId="2AAC68B8">
            <w:pPr>
              <w:snapToGrid w:val="0"/>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编列内容</w:t>
            </w:r>
          </w:p>
        </w:tc>
      </w:tr>
      <w:tr w14:paraId="6FD206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01220E63">
            <w:pPr>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9275" w:type="dxa"/>
            <w:tcBorders>
              <w:top w:val="single" w:color="auto" w:sz="4" w:space="0"/>
              <w:left w:val="single" w:color="auto" w:sz="4" w:space="0"/>
              <w:bottom w:val="single" w:color="auto" w:sz="4" w:space="0"/>
              <w:right w:val="single" w:color="auto" w:sz="4" w:space="0"/>
            </w:tcBorders>
            <w:vAlign w:val="center"/>
          </w:tcPr>
          <w:p w14:paraId="03C13D36">
            <w:pPr>
              <w:snapToGrid w:val="0"/>
              <w:spacing w:line="39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投标人的资格要求：详见招标公告。</w:t>
            </w:r>
          </w:p>
        </w:tc>
      </w:tr>
      <w:tr w14:paraId="5E1835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35126B42">
            <w:pPr>
              <w:spacing w:line="390" w:lineRule="exact"/>
              <w:jc w:val="center"/>
              <w:rPr>
                <w:rFonts w:hint="eastAsia" w:ascii="仿宋" w:hAnsi="仿宋" w:eastAsia="仿宋" w:cs="仿宋"/>
                <w:color w:val="auto"/>
                <w:sz w:val="24"/>
                <w:highlight w:val="none"/>
              </w:rPr>
            </w:pPr>
            <w:bookmarkStart w:id="71" w:name="_5"/>
            <w:bookmarkEnd w:id="71"/>
            <w:bookmarkStart w:id="72" w:name="_9.2"/>
            <w:bookmarkEnd w:id="72"/>
            <w:bookmarkStart w:id="73" w:name="_8.1"/>
            <w:bookmarkEnd w:id="73"/>
            <w:r>
              <w:rPr>
                <w:rFonts w:hint="eastAsia" w:ascii="仿宋" w:hAnsi="仿宋" w:eastAsia="仿宋" w:cs="仿宋"/>
                <w:color w:val="auto"/>
                <w:sz w:val="24"/>
                <w:highlight w:val="none"/>
              </w:rPr>
              <w:t>6.1</w:t>
            </w:r>
          </w:p>
        </w:tc>
        <w:tc>
          <w:tcPr>
            <w:tcW w:w="9275" w:type="dxa"/>
            <w:tcBorders>
              <w:top w:val="single" w:color="auto" w:sz="4" w:space="0"/>
              <w:left w:val="single" w:color="auto" w:sz="4" w:space="0"/>
              <w:bottom w:val="single" w:color="auto" w:sz="4" w:space="0"/>
              <w:right w:val="single" w:color="auto" w:sz="4" w:space="0"/>
            </w:tcBorders>
            <w:vAlign w:val="center"/>
          </w:tcPr>
          <w:p w14:paraId="1DC0A06F">
            <w:pPr>
              <w:pStyle w:val="18"/>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本项目是否接受联合体投标：详见招标公告。</w:t>
            </w:r>
          </w:p>
        </w:tc>
      </w:tr>
      <w:tr w14:paraId="10F448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70F51255">
            <w:pPr>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6.2</w:t>
            </w:r>
          </w:p>
        </w:tc>
        <w:tc>
          <w:tcPr>
            <w:tcW w:w="9275" w:type="dxa"/>
            <w:tcBorders>
              <w:top w:val="single" w:color="auto" w:sz="4" w:space="0"/>
              <w:left w:val="single" w:color="auto" w:sz="4" w:space="0"/>
              <w:bottom w:val="single" w:color="auto" w:sz="4" w:space="0"/>
              <w:right w:val="single" w:color="auto" w:sz="4" w:space="0"/>
            </w:tcBorders>
            <w:vAlign w:val="center"/>
          </w:tcPr>
          <w:p w14:paraId="75E45410">
            <w:pPr>
              <w:autoSpaceDE w:val="0"/>
              <w:autoSpaceDN w:val="0"/>
              <w:snapToGrid w:val="0"/>
              <w:spacing w:line="390" w:lineRule="exact"/>
              <w:textAlignment w:val="bottom"/>
              <w:rPr>
                <w:rFonts w:hint="eastAsia" w:ascii="仿宋" w:hAnsi="仿宋" w:eastAsia="仿宋" w:cs="仿宋"/>
                <w:color w:val="auto"/>
                <w:sz w:val="24"/>
                <w:highlight w:val="none"/>
              </w:rPr>
            </w:pPr>
            <w:bookmarkStart w:id="74" w:name="_Hlk54105293"/>
            <w:r>
              <w:rPr>
                <w:rFonts w:hint="eastAsia" w:ascii="仿宋" w:hAnsi="仿宋" w:eastAsia="仿宋" w:cs="仿宋"/>
                <w:color w:val="auto"/>
                <w:sz w:val="24"/>
                <w:highlight w:val="none"/>
              </w:rPr>
              <w:t>如接受联合体投标，</w:t>
            </w:r>
            <w:bookmarkEnd w:id="74"/>
            <w:r>
              <w:rPr>
                <w:rFonts w:hint="eastAsia" w:ascii="仿宋" w:hAnsi="仿宋" w:eastAsia="仿宋" w:cs="仿宋"/>
                <w:color w:val="auto"/>
                <w:sz w:val="24"/>
                <w:highlight w:val="none"/>
              </w:rPr>
              <w:t>联合体投标要求如下：</w:t>
            </w:r>
          </w:p>
          <w:p w14:paraId="63B3477E">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1、两个以上投标人可以组成一个投标联合体，以一个投标人的身份共同参加投标，联合体投标人的名称应统一按“XXX 公司与 XXX 公司的联合体”的规则填写。</w:t>
            </w:r>
            <w:r>
              <w:rPr>
                <w:rFonts w:hint="eastAsia" w:ascii="仿宋" w:hAnsi="仿宋" w:eastAsia="仿宋" w:cs="仿宋"/>
                <w:color w:val="auto"/>
                <w:sz w:val="24"/>
                <w:highlight w:val="none"/>
              </w:rPr>
              <w:tab/>
            </w:r>
          </w:p>
          <w:p w14:paraId="44EB19F8">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2、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本项目招标公告“申请人的资格要求”第3点“3、本项目的特定资格要求”的要求。</w:t>
            </w:r>
          </w:p>
          <w:p w14:paraId="6A057F38">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3、联合体投标的，须提供《联合体投标协议书》（格式后附），协议书必须明确主体方（或者牵头方）并明确约定联合体各方承担的工作和相应的责任（各方承担责任与义务的分工必须符合采购需求，否则，联合体投标无效），并将联合投标协议放入投标文件。联合体各方必须共同与采购人签订采购合同，就采购合同约定的事项对采购人承担连带责任。</w:t>
            </w:r>
          </w:p>
          <w:p w14:paraId="479F4D6B">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4、以联合体形式参加政府采购活动的，联合体各方不得再单独参加或者与其他投标人另外组成联合体参加同一合同项下的政府采购活动，否则与之相关的投标文件作废。</w:t>
            </w:r>
          </w:p>
          <w:p w14:paraId="5A621C7D">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5、联合体中有同类资质的投标人按照联合体分工承担相同工作的，应当按照资质等级较低的投标人确定资质等级。</w:t>
            </w:r>
          </w:p>
          <w:p w14:paraId="769051AA">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6、联合体投标业绩、履约能力按照联合体各方其中较高的一方认定并计算（招标文件另有规定的除外）。</w:t>
            </w:r>
          </w:p>
          <w:p w14:paraId="24DDB72B">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7、联合体各方均应按照招标文件的规定提交资格证明文件。</w:t>
            </w:r>
          </w:p>
        </w:tc>
      </w:tr>
      <w:tr w14:paraId="3BD270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06ADF1D4">
            <w:pPr>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7.2</w:t>
            </w:r>
          </w:p>
        </w:tc>
        <w:tc>
          <w:tcPr>
            <w:tcW w:w="9275" w:type="dxa"/>
            <w:tcBorders>
              <w:top w:val="single" w:color="auto" w:sz="4" w:space="0"/>
              <w:left w:val="single" w:color="auto" w:sz="4" w:space="0"/>
              <w:bottom w:val="single" w:color="auto" w:sz="4" w:space="0"/>
              <w:right w:val="single" w:color="auto" w:sz="4" w:space="0"/>
            </w:tcBorders>
            <w:vAlign w:val="center"/>
          </w:tcPr>
          <w:p w14:paraId="66001DA6">
            <w:pPr>
              <w:pStyle w:val="18"/>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eq \o\ac(□,</w:instrText>
            </w:r>
            <w:r>
              <w:rPr>
                <w:rFonts w:hint="eastAsia" w:ascii="仿宋" w:hAnsi="仿宋" w:eastAsia="仿宋" w:cs="仿宋"/>
                <w:color w:val="auto"/>
                <w:position w:val="2"/>
                <w:sz w:val="24"/>
                <w:highlight w:val="none"/>
              </w:rPr>
              <w:instrText xml:space="preserve">√</w:instrText>
            </w:r>
            <w:r>
              <w:rPr>
                <w:rFonts w:hint="eastAsia" w:ascii="仿宋" w:hAnsi="仿宋" w:eastAsia="仿宋" w:cs="仿宋"/>
                <w:color w:val="auto"/>
                <w:sz w:val="24"/>
                <w:highlight w:val="none"/>
              </w:rPr>
              <w:instrText xml:space="preserve">)</w:instrTex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本项目不允许分包。</w:t>
            </w:r>
          </w:p>
          <w:p w14:paraId="0349DD84">
            <w:pPr>
              <w:pStyle w:val="18"/>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□本项目允许分包：</w:t>
            </w:r>
          </w:p>
          <w:p w14:paraId="75AA8914">
            <w:pPr>
              <w:pStyle w:val="18"/>
              <w:spacing w:line="39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分包内容：</w:t>
            </w:r>
            <w:r>
              <w:rPr>
                <w:rFonts w:hint="eastAsia" w:ascii="仿宋" w:hAnsi="仿宋" w:eastAsia="仿宋" w:cs="仿宋"/>
                <w:color w:val="auto"/>
                <w:sz w:val="24"/>
                <w:highlight w:val="none"/>
                <w:u w:val="single"/>
              </w:rPr>
              <w:t xml:space="preserve">     /     </w:t>
            </w:r>
            <w:r>
              <w:rPr>
                <w:rFonts w:hint="eastAsia" w:ascii="仿宋" w:hAnsi="仿宋" w:eastAsia="仿宋" w:cs="仿宋"/>
                <w:color w:val="auto"/>
                <w:sz w:val="24"/>
                <w:highlight w:val="none"/>
              </w:rPr>
              <w:t>。</w:t>
            </w:r>
          </w:p>
          <w:p w14:paraId="7E1B1FDF">
            <w:pPr>
              <w:pStyle w:val="18"/>
              <w:spacing w:line="390" w:lineRule="exact"/>
              <w:jc w:val="both"/>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分包金额或者比例：</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w:t>
            </w:r>
          </w:p>
        </w:tc>
      </w:tr>
      <w:tr w14:paraId="06A5B7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14:paraId="30E7CC7B">
            <w:pPr>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8.1</w:t>
            </w:r>
          </w:p>
        </w:tc>
        <w:tc>
          <w:tcPr>
            <w:tcW w:w="9275" w:type="dxa"/>
            <w:tcBorders>
              <w:top w:val="single" w:color="auto" w:sz="4" w:space="0"/>
              <w:left w:val="single" w:color="auto" w:sz="4" w:space="0"/>
              <w:bottom w:val="single" w:color="auto" w:sz="4" w:space="0"/>
              <w:right w:val="single" w:color="auto" w:sz="4" w:space="0"/>
            </w:tcBorders>
            <w:vAlign w:val="center"/>
          </w:tcPr>
          <w:p w14:paraId="608675B3">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1、采用最低评标价法的采购项目，通过资格审查、符合性审查的不同投标人参加同一合同项下投标的，投标人评标价相同时，按照下列方式确定投标人获得中标人推荐资格：评标委员会随机抽取/按投标报价低的原则确定，投标报价相同的按服务方案好优先、拟指派参与服务人数多优先、同类业绩多优先的顺序依次确定。</w:t>
            </w:r>
          </w:p>
          <w:p w14:paraId="19B05564">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eq \o\ac(□,</w:instrText>
            </w:r>
            <w:r>
              <w:rPr>
                <w:rFonts w:hint="eastAsia" w:ascii="仿宋" w:hAnsi="仿宋" w:eastAsia="仿宋" w:cs="仿宋"/>
                <w:color w:val="auto"/>
                <w:position w:val="2"/>
                <w:sz w:val="24"/>
                <w:highlight w:val="none"/>
              </w:rPr>
              <w:instrText xml:space="preserve">√</w:instrText>
            </w:r>
            <w:r>
              <w:rPr>
                <w:rFonts w:hint="eastAsia" w:ascii="仿宋" w:hAnsi="仿宋" w:eastAsia="仿宋" w:cs="仿宋"/>
                <w:color w:val="auto"/>
                <w:sz w:val="24"/>
                <w:highlight w:val="none"/>
              </w:rPr>
              <w:instrText xml:space="preserve">)</w:instrTex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2、采用综合评分法的采购项目，不同投标人评审得分相同时，按照下列方式确定投标人获得中标人推荐资格：□评标委员会随机抽取/</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eq \o\ac(□,</w:instrText>
            </w:r>
            <w:r>
              <w:rPr>
                <w:rFonts w:hint="eastAsia" w:ascii="仿宋" w:hAnsi="仿宋" w:eastAsia="仿宋" w:cs="仿宋"/>
                <w:color w:val="auto"/>
                <w:position w:val="2"/>
                <w:sz w:val="24"/>
                <w:highlight w:val="none"/>
              </w:rPr>
              <w:instrText xml:space="preserve">√</w:instrText>
            </w:r>
            <w:r>
              <w:rPr>
                <w:rFonts w:hint="eastAsia" w:ascii="仿宋" w:hAnsi="仿宋" w:eastAsia="仿宋" w:cs="仿宋"/>
                <w:color w:val="auto"/>
                <w:sz w:val="24"/>
                <w:highlight w:val="none"/>
              </w:rPr>
              <w:instrText xml:space="preserve">)</w:instrTex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按投标报价低的原则确定，投标报价相同的按技术、商务得分高低依次确定。</w:t>
            </w:r>
          </w:p>
        </w:tc>
      </w:tr>
      <w:tr w14:paraId="7222DB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1056" w:type="dxa"/>
            <w:vMerge w:val="restart"/>
            <w:tcBorders>
              <w:top w:val="single" w:color="auto" w:sz="4" w:space="0"/>
              <w:left w:val="single" w:color="auto" w:sz="4" w:space="0"/>
              <w:right w:val="single" w:color="auto" w:sz="4" w:space="0"/>
            </w:tcBorders>
            <w:vAlign w:val="center"/>
          </w:tcPr>
          <w:p w14:paraId="675EACBE">
            <w:pPr>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11.5</w:t>
            </w:r>
          </w:p>
        </w:tc>
        <w:tc>
          <w:tcPr>
            <w:tcW w:w="9275" w:type="dxa"/>
            <w:tcBorders>
              <w:top w:val="single" w:color="auto" w:sz="4" w:space="0"/>
              <w:left w:val="single" w:color="auto" w:sz="4" w:space="0"/>
              <w:bottom w:val="single" w:color="auto" w:sz="4" w:space="0"/>
              <w:right w:val="single" w:color="auto" w:sz="4" w:space="0"/>
            </w:tcBorders>
            <w:vAlign w:val="center"/>
          </w:tcPr>
          <w:p w14:paraId="3D8A64D0">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本项目不组织现场考察。</w:t>
            </w:r>
          </w:p>
          <w:p w14:paraId="10FC7D79">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eq \o\ac(□)</w:instrTex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本项目组织现场考察：</w:t>
            </w:r>
            <w:r>
              <w:rPr>
                <w:rFonts w:hint="eastAsia" w:ascii="仿宋" w:hAnsi="仿宋" w:eastAsia="仿宋" w:cs="仿宋"/>
                <w:color w:val="auto"/>
                <w:sz w:val="24"/>
                <w:highlight w:val="none"/>
                <w:u w:val="single"/>
              </w:rPr>
              <w:t xml:space="preserve"> 具体内容详见第二章“采购需求”</w:t>
            </w:r>
          </w:p>
        </w:tc>
      </w:tr>
      <w:tr w14:paraId="43FBE4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1056" w:type="dxa"/>
            <w:vMerge w:val="continue"/>
            <w:tcBorders>
              <w:left w:val="single" w:color="auto" w:sz="4" w:space="0"/>
              <w:bottom w:val="single" w:color="auto" w:sz="4" w:space="0"/>
              <w:right w:val="single" w:color="auto" w:sz="4" w:space="0"/>
            </w:tcBorders>
            <w:vAlign w:val="center"/>
          </w:tcPr>
          <w:p w14:paraId="78ED2EF5">
            <w:pPr>
              <w:spacing w:line="390" w:lineRule="exact"/>
              <w:jc w:val="center"/>
              <w:rPr>
                <w:rFonts w:hint="eastAsia" w:ascii="仿宋" w:hAnsi="仿宋" w:eastAsia="仿宋" w:cs="仿宋"/>
                <w:color w:val="auto"/>
                <w:sz w:val="24"/>
                <w:highlight w:val="none"/>
              </w:rPr>
            </w:pPr>
          </w:p>
        </w:tc>
        <w:tc>
          <w:tcPr>
            <w:tcW w:w="9275" w:type="dxa"/>
            <w:tcBorders>
              <w:top w:val="single" w:color="auto" w:sz="4" w:space="0"/>
              <w:left w:val="single" w:color="auto" w:sz="4" w:space="0"/>
              <w:bottom w:val="single" w:color="auto" w:sz="4" w:space="0"/>
              <w:right w:val="single" w:color="auto" w:sz="4" w:space="0"/>
            </w:tcBorders>
            <w:vAlign w:val="center"/>
          </w:tcPr>
          <w:p w14:paraId="654BCE54">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eq \o\ac(□,</w:instrText>
            </w:r>
            <w:r>
              <w:rPr>
                <w:rFonts w:hint="eastAsia" w:ascii="仿宋" w:hAnsi="仿宋" w:eastAsia="仿宋" w:cs="仿宋"/>
                <w:color w:val="auto"/>
                <w:position w:val="2"/>
                <w:sz w:val="24"/>
                <w:highlight w:val="none"/>
              </w:rPr>
              <w:instrText xml:space="preserve">√</w:instrText>
            </w:r>
            <w:r>
              <w:rPr>
                <w:rFonts w:hint="eastAsia" w:ascii="仿宋" w:hAnsi="仿宋" w:eastAsia="仿宋" w:cs="仿宋"/>
                <w:color w:val="auto"/>
                <w:sz w:val="24"/>
                <w:highlight w:val="none"/>
              </w:rPr>
              <w:instrText xml:space="preserve">)</w:instrTex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不组织召开开标前答疑会/□组织召开开标前答疑会</w:t>
            </w:r>
          </w:p>
          <w:p w14:paraId="21967E90">
            <w:pPr>
              <w:snapToGrid w:val="0"/>
              <w:spacing w:line="39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会议开始时间：</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日</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时</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分，逾期后果自负。会议地点：</w:t>
            </w:r>
            <w:r>
              <w:rPr>
                <w:rFonts w:hint="eastAsia" w:ascii="仿宋" w:hAnsi="仿宋" w:eastAsia="仿宋" w:cs="仿宋"/>
                <w:color w:val="auto"/>
                <w:sz w:val="24"/>
                <w:highlight w:val="none"/>
                <w:u w:val="single"/>
              </w:rPr>
              <w:t xml:space="preserve">    /    </w:t>
            </w:r>
          </w:p>
          <w:p w14:paraId="55052871">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single"/>
              </w:rPr>
              <w:t xml:space="preserve">         /       </w:t>
            </w:r>
          </w:p>
        </w:tc>
      </w:tr>
      <w:tr w14:paraId="119C96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vMerge w:val="restart"/>
            <w:tcBorders>
              <w:top w:val="single" w:color="auto" w:sz="4" w:space="0"/>
              <w:left w:val="single" w:color="auto" w:sz="4" w:space="0"/>
              <w:right w:val="single" w:color="auto" w:sz="4" w:space="0"/>
            </w:tcBorders>
            <w:vAlign w:val="center"/>
          </w:tcPr>
          <w:p w14:paraId="173D2826">
            <w:pPr>
              <w:spacing w:line="390" w:lineRule="exact"/>
              <w:jc w:val="center"/>
              <w:rPr>
                <w:rFonts w:hint="eastAsia" w:ascii="仿宋" w:hAnsi="仿宋" w:eastAsia="仿宋" w:cs="仿宋"/>
                <w:color w:val="auto"/>
                <w:sz w:val="24"/>
                <w:highlight w:val="none"/>
              </w:rPr>
            </w:pPr>
            <w:bookmarkStart w:id="75" w:name="_13.1"/>
            <w:bookmarkEnd w:id="75"/>
            <w:r>
              <w:rPr>
                <w:rFonts w:hint="eastAsia" w:ascii="仿宋" w:hAnsi="仿宋" w:eastAsia="仿宋" w:cs="仿宋"/>
                <w:color w:val="auto"/>
                <w:sz w:val="24"/>
                <w:highlight w:val="none"/>
              </w:rPr>
              <w:t>13.</w:t>
            </w:r>
            <w:bookmarkStart w:id="76" w:name="_Hlt19632543"/>
            <w:r>
              <w:rPr>
                <w:rFonts w:hint="eastAsia" w:ascii="仿宋" w:hAnsi="仿宋" w:eastAsia="仿宋" w:cs="仿宋"/>
                <w:color w:val="auto"/>
                <w:sz w:val="24"/>
                <w:highlight w:val="none"/>
              </w:rPr>
              <w:t>1</w:t>
            </w:r>
            <w:bookmarkEnd w:id="76"/>
          </w:p>
        </w:tc>
        <w:tc>
          <w:tcPr>
            <w:tcW w:w="9275" w:type="dxa"/>
            <w:tcBorders>
              <w:top w:val="single" w:color="auto" w:sz="4" w:space="0"/>
              <w:left w:val="single" w:color="auto" w:sz="4" w:space="0"/>
              <w:bottom w:val="single" w:color="auto" w:sz="4" w:space="0"/>
              <w:right w:val="single" w:color="auto" w:sz="4" w:space="0"/>
            </w:tcBorders>
            <w:vAlign w:val="center"/>
          </w:tcPr>
          <w:p w14:paraId="54FA2737">
            <w:pPr>
              <w:snapToGrid w:val="0"/>
              <w:spacing w:line="39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报价文件: </w:t>
            </w:r>
          </w:p>
          <w:p w14:paraId="7DB7DE2A">
            <w:pPr>
              <w:tabs>
                <w:tab w:val="left" w:pos="459"/>
              </w:tabs>
              <w:snapToGrid w:val="0"/>
              <w:spacing w:line="39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1、投标函（格式详见第六章）；</w:t>
            </w:r>
            <w:r>
              <w:rPr>
                <w:rFonts w:hint="eastAsia" w:ascii="仿宋" w:hAnsi="仿宋" w:eastAsia="仿宋" w:cs="仿宋"/>
                <w:b/>
                <w:color w:val="auto"/>
                <w:sz w:val="24"/>
                <w:highlight w:val="none"/>
              </w:rPr>
              <w:t>（必须提供，否则投标文件按无效投标处理）</w:t>
            </w:r>
          </w:p>
          <w:p w14:paraId="0E39CA24">
            <w:pPr>
              <w:tabs>
                <w:tab w:val="left" w:pos="459"/>
              </w:tabs>
              <w:snapToGrid w:val="0"/>
              <w:spacing w:line="390" w:lineRule="exact"/>
              <w:jc w:val="left"/>
              <w:rPr>
                <w:rFonts w:hint="eastAsia" w:ascii="仿宋" w:hAnsi="仿宋" w:eastAsia="仿宋" w:cs="仿宋"/>
                <w:color w:val="auto"/>
                <w:sz w:val="24"/>
                <w:highlight w:val="none"/>
              </w:rPr>
            </w:pPr>
            <w:bookmarkStart w:id="77" w:name="_Hlk71299233"/>
            <w:r>
              <w:rPr>
                <w:rFonts w:hint="eastAsia" w:ascii="仿宋" w:hAnsi="仿宋" w:eastAsia="仿宋" w:cs="仿宋"/>
                <w:color w:val="auto"/>
                <w:sz w:val="24"/>
                <w:highlight w:val="none"/>
              </w:rPr>
              <w:t>2、开标一览表</w:t>
            </w:r>
            <w:bookmarkEnd w:id="77"/>
            <w:r>
              <w:rPr>
                <w:rFonts w:hint="eastAsia" w:ascii="仿宋" w:hAnsi="仿宋" w:eastAsia="仿宋" w:cs="仿宋"/>
                <w:color w:val="auto"/>
                <w:sz w:val="24"/>
                <w:highlight w:val="none"/>
              </w:rPr>
              <w:t>（格式详见第六章）；</w:t>
            </w:r>
            <w:r>
              <w:rPr>
                <w:rFonts w:hint="eastAsia" w:ascii="仿宋" w:hAnsi="仿宋" w:eastAsia="仿宋" w:cs="仿宋"/>
                <w:b/>
                <w:color w:val="auto"/>
                <w:sz w:val="24"/>
                <w:highlight w:val="none"/>
              </w:rPr>
              <w:t>（必须提供，否则投标文件按无效投标处理）</w:t>
            </w:r>
          </w:p>
          <w:p w14:paraId="0C334331">
            <w:pPr>
              <w:tabs>
                <w:tab w:val="left" w:pos="459"/>
              </w:tabs>
              <w:snapToGrid w:val="0"/>
              <w:spacing w:line="39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3、投标人针对报价需要说明的其他文件和说明（格式自拟）。</w:t>
            </w:r>
            <w:r>
              <w:rPr>
                <w:rFonts w:hint="eastAsia" w:ascii="仿宋" w:hAnsi="仿宋" w:eastAsia="仿宋" w:cs="仿宋"/>
                <w:b/>
                <w:color w:val="auto"/>
                <w:sz w:val="24"/>
                <w:highlight w:val="none"/>
              </w:rPr>
              <w:t>（如有，请提供）</w:t>
            </w:r>
          </w:p>
          <w:p w14:paraId="6AE59B16">
            <w:pPr>
              <w:snapToGrid w:val="0"/>
              <w:spacing w:line="39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注：投标函、开标一览表必须由法定代表人或者委托代理人在规定签章处逐一签字并加盖投标人公章，否则按无效投标</w:t>
            </w:r>
            <w:r>
              <w:rPr>
                <w:rFonts w:hint="eastAsia" w:ascii="仿宋" w:hAnsi="仿宋" w:eastAsia="仿宋" w:cs="仿宋"/>
                <w:b/>
                <w:color w:val="auto"/>
                <w:sz w:val="24"/>
                <w:highlight w:val="none"/>
              </w:rPr>
              <w:t>处理</w:t>
            </w:r>
            <w:r>
              <w:rPr>
                <w:rFonts w:hint="eastAsia" w:ascii="仿宋" w:hAnsi="仿宋" w:eastAsia="仿宋" w:cs="仿宋"/>
                <w:b/>
                <w:bCs/>
                <w:color w:val="auto"/>
                <w:sz w:val="24"/>
                <w:highlight w:val="none"/>
              </w:rPr>
              <w:t>。</w:t>
            </w:r>
          </w:p>
        </w:tc>
      </w:tr>
      <w:tr w14:paraId="0E84B3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vMerge w:val="continue"/>
            <w:tcBorders>
              <w:left w:val="single" w:color="auto" w:sz="4" w:space="0"/>
              <w:right w:val="single" w:color="auto" w:sz="4" w:space="0"/>
            </w:tcBorders>
            <w:vAlign w:val="center"/>
          </w:tcPr>
          <w:p w14:paraId="42D56EDF">
            <w:pPr>
              <w:spacing w:line="390" w:lineRule="exact"/>
              <w:rPr>
                <w:rFonts w:hint="eastAsia" w:ascii="仿宋" w:hAnsi="仿宋" w:eastAsia="仿宋" w:cs="仿宋"/>
                <w:color w:val="auto"/>
                <w:sz w:val="24"/>
                <w:highlight w:val="none"/>
              </w:rPr>
            </w:pPr>
            <w:bookmarkStart w:id="78" w:name="_13.2"/>
            <w:bookmarkEnd w:id="78"/>
          </w:p>
        </w:tc>
        <w:tc>
          <w:tcPr>
            <w:tcW w:w="9275" w:type="dxa"/>
            <w:tcBorders>
              <w:top w:val="single" w:color="auto" w:sz="4" w:space="0"/>
              <w:left w:val="single" w:color="auto" w:sz="4" w:space="0"/>
              <w:bottom w:val="single" w:color="auto" w:sz="4" w:space="0"/>
              <w:right w:val="single" w:color="auto" w:sz="4" w:space="0"/>
            </w:tcBorders>
            <w:vAlign w:val="center"/>
          </w:tcPr>
          <w:p w14:paraId="17BF5BA2">
            <w:pPr>
              <w:snapToGrid w:val="0"/>
              <w:spacing w:line="39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资格证明文件：</w:t>
            </w:r>
          </w:p>
          <w:p w14:paraId="58645DFF">
            <w:pPr>
              <w:autoSpaceDE w:val="0"/>
              <w:autoSpaceDN w:val="0"/>
              <w:snapToGrid w:val="0"/>
              <w:spacing w:line="390" w:lineRule="exact"/>
              <w:textAlignment w:val="bottom"/>
              <w:rPr>
                <w:rFonts w:hint="eastAsia" w:ascii="仿宋" w:hAnsi="仿宋" w:eastAsia="仿宋" w:cs="仿宋"/>
                <w:b/>
                <w:color w:val="auto"/>
                <w:sz w:val="24"/>
                <w:highlight w:val="none"/>
              </w:rPr>
            </w:pPr>
            <w:r>
              <w:rPr>
                <w:rFonts w:hint="eastAsia" w:ascii="仿宋" w:hAnsi="仿宋" w:eastAsia="仿宋" w:cs="仿宋"/>
                <w:color w:val="auto"/>
                <w:sz w:val="24"/>
                <w:highlight w:val="none"/>
              </w:rPr>
              <w:t>1、供应商为法人或者其他组织的，证明文件为其营业执照复印件（如营业执照或者事业单位法人证书或者执业许可证等）；供应商为自然人的，证明文件为其身份证复印件；</w:t>
            </w:r>
            <w:r>
              <w:rPr>
                <w:rFonts w:hint="eastAsia" w:ascii="仿宋" w:hAnsi="仿宋" w:eastAsia="仿宋" w:cs="仿宋"/>
                <w:b/>
                <w:color w:val="auto"/>
                <w:sz w:val="24"/>
                <w:highlight w:val="none"/>
              </w:rPr>
              <w:t>（必须提供，否则投标文件按无效响应处理）</w:t>
            </w:r>
          </w:p>
          <w:p w14:paraId="25ADFB47">
            <w:pPr>
              <w:autoSpaceDE w:val="0"/>
              <w:autoSpaceDN w:val="0"/>
              <w:snapToGrid w:val="0"/>
              <w:spacing w:line="390" w:lineRule="exact"/>
              <w:textAlignment w:val="bottom"/>
              <w:rPr>
                <w:rFonts w:hint="eastAsia" w:ascii="仿宋" w:hAnsi="仿宋" w:eastAsia="仿宋" w:cs="仿宋"/>
                <w:b/>
                <w:color w:val="auto"/>
                <w:sz w:val="24"/>
                <w:highlight w:val="none"/>
              </w:rPr>
            </w:pPr>
            <w:r>
              <w:rPr>
                <w:rFonts w:hint="eastAsia" w:ascii="仿宋" w:hAnsi="仿宋" w:eastAsia="仿宋" w:cs="仿宋"/>
                <w:color w:val="auto"/>
                <w:sz w:val="24"/>
                <w:highlight w:val="none"/>
              </w:rPr>
              <w:t>2、投标人依法缴纳税收的相关材料（</w:t>
            </w:r>
            <w:r>
              <w:rPr>
                <w:rFonts w:hint="eastAsia" w:ascii="仿宋" w:hAnsi="仿宋" w:eastAsia="仿宋" w:cs="仿宋"/>
                <w:color w:val="auto"/>
                <w:sz w:val="24"/>
                <w:highlight w:val="none"/>
                <w:lang w:eastAsia="zh-CN"/>
              </w:rPr>
              <w:t>202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年</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月</w:t>
            </w:r>
            <w:r>
              <w:rPr>
                <w:rFonts w:hint="eastAsia" w:ascii="仿宋" w:hAnsi="仿宋" w:eastAsia="仿宋" w:cs="仿宋"/>
                <w:color w:val="auto"/>
                <w:sz w:val="24"/>
                <w:highlight w:val="none"/>
              </w:rPr>
              <w:t>至投标截止时间内任意连续三个月的依法缴纳税收的完税凭证复印件；依法免税的供应商，必须提供相应文件证明其依法免税。从成立之日起到投标文件提交截止时间止不足要求月数的，只需提供从成立之日起的依法缴纳税收相应证明文件）；</w:t>
            </w:r>
            <w:r>
              <w:rPr>
                <w:rFonts w:hint="eastAsia" w:ascii="仿宋" w:hAnsi="仿宋" w:eastAsia="仿宋" w:cs="仿宋"/>
                <w:b/>
                <w:color w:val="auto"/>
                <w:sz w:val="24"/>
                <w:highlight w:val="none"/>
              </w:rPr>
              <w:t>（必须提供，否则投标文件按无效投标处理）</w:t>
            </w:r>
          </w:p>
          <w:p w14:paraId="3110A02E">
            <w:pPr>
              <w:autoSpaceDE w:val="0"/>
              <w:autoSpaceDN w:val="0"/>
              <w:snapToGrid w:val="0"/>
              <w:spacing w:line="390" w:lineRule="exact"/>
              <w:textAlignment w:val="bottom"/>
              <w:rPr>
                <w:rFonts w:hint="eastAsia" w:ascii="仿宋" w:hAnsi="仿宋" w:eastAsia="仿宋" w:cs="仿宋"/>
                <w:b/>
                <w:color w:val="auto"/>
                <w:sz w:val="24"/>
                <w:highlight w:val="none"/>
              </w:rPr>
            </w:pPr>
            <w:r>
              <w:rPr>
                <w:rFonts w:hint="eastAsia" w:ascii="仿宋" w:hAnsi="仿宋" w:eastAsia="仿宋" w:cs="仿宋"/>
                <w:color w:val="auto"/>
                <w:sz w:val="24"/>
                <w:highlight w:val="none"/>
              </w:rPr>
              <w:t>3、投标人依法缴纳社会保障资金的相关材料[</w:t>
            </w:r>
            <w:r>
              <w:rPr>
                <w:rFonts w:hint="eastAsia" w:ascii="仿宋" w:hAnsi="仿宋" w:eastAsia="仿宋" w:cs="仿宋"/>
                <w:color w:val="auto"/>
                <w:sz w:val="24"/>
                <w:highlight w:val="none"/>
                <w:lang w:eastAsia="zh-CN"/>
              </w:rPr>
              <w:t>2026年1月</w:t>
            </w:r>
            <w:r>
              <w:rPr>
                <w:rFonts w:hint="eastAsia" w:ascii="仿宋" w:hAnsi="仿宋" w:eastAsia="仿宋" w:cs="仿宋"/>
                <w:color w:val="auto"/>
                <w:sz w:val="24"/>
                <w:highlight w:val="none"/>
              </w:rPr>
              <w:t>至投标截止时间内任意连续三个月的依法缴纳社会保障资金的缴费凭证复印件（缴费凭证指专用收据、完税证明或者社会保险缴纳清单）；依法不需要缴纳社会保障资金的供应商，必须提供相应文件证明不需要缴纳社会保障资金。从成立之日起到投标文件提交截止时间止不足要求月数的只需提供从成立之日起的依法缴纳社会保障资金的相应证明文件]；</w:t>
            </w:r>
            <w:r>
              <w:rPr>
                <w:rFonts w:hint="eastAsia" w:ascii="仿宋" w:hAnsi="仿宋" w:eastAsia="仿宋" w:cs="仿宋"/>
                <w:b/>
                <w:color w:val="auto"/>
                <w:sz w:val="24"/>
                <w:highlight w:val="none"/>
              </w:rPr>
              <w:t>（必须提供，否则投标文件按无效投标处理）</w:t>
            </w:r>
          </w:p>
          <w:p w14:paraId="44193395">
            <w:pPr>
              <w:autoSpaceDE w:val="0"/>
              <w:autoSpaceDN w:val="0"/>
              <w:snapToGrid w:val="0"/>
              <w:spacing w:line="390" w:lineRule="exact"/>
              <w:textAlignment w:val="bottom"/>
              <w:rPr>
                <w:rFonts w:hint="eastAsia" w:ascii="仿宋" w:hAnsi="仿宋" w:eastAsia="仿宋" w:cs="仿宋"/>
                <w:b/>
                <w:color w:val="auto"/>
                <w:sz w:val="24"/>
                <w:highlight w:val="none"/>
              </w:rPr>
            </w:pPr>
            <w:r>
              <w:rPr>
                <w:rFonts w:hint="eastAsia" w:ascii="仿宋" w:hAnsi="仿宋" w:eastAsia="仿宋" w:cs="仿宋"/>
                <w:color w:val="auto"/>
                <w:sz w:val="24"/>
                <w:highlight w:val="none"/>
              </w:rPr>
              <w:t>4、投标人财务状况报告【</w:t>
            </w:r>
            <w:r>
              <w:rPr>
                <w:rFonts w:hint="eastAsia" w:ascii="仿宋" w:hAnsi="仿宋" w:eastAsia="仿宋" w:cs="仿宋"/>
                <w:color w:val="auto"/>
                <w:sz w:val="24"/>
                <w:highlight w:val="none"/>
                <w:lang w:eastAsia="zh-CN"/>
              </w:rPr>
              <w:t>2024年度</w:t>
            </w:r>
            <w:r>
              <w:rPr>
                <w:rFonts w:hint="eastAsia" w:ascii="仿宋" w:hAnsi="仿宋" w:eastAsia="仿宋" w:cs="仿宋"/>
                <w:color w:val="auto"/>
                <w:sz w:val="24"/>
                <w:highlight w:val="none"/>
                <w:lang w:val="en-US" w:eastAsia="zh-CN"/>
              </w:rPr>
              <w:t>或2025年度</w:t>
            </w:r>
            <w:r>
              <w:rPr>
                <w:rFonts w:hint="eastAsia" w:ascii="仿宋" w:hAnsi="仿宋" w:eastAsia="仿宋" w:cs="仿宋"/>
                <w:color w:val="auto"/>
                <w:sz w:val="24"/>
                <w:highlight w:val="none"/>
              </w:rPr>
              <w:t>经审计的财务报告复印件（包括“四表一注”或“三表一注”）或者银行出具的资信证明；投标人属于成立时间在规定年度之后的法人或其他组织，需提供成立之日起至投标截止时间前的月报表或银行出具的资信证明；资信证明应在有效期内，未注明有效期的，银行出具时间至投标截止时间不超过一年】；</w:t>
            </w:r>
            <w:r>
              <w:rPr>
                <w:rFonts w:hint="eastAsia" w:ascii="仿宋" w:hAnsi="仿宋" w:eastAsia="仿宋" w:cs="仿宋"/>
                <w:b/>
                <w:color w:val="auto"/>
                <w:sz w:val="24"/>
                <w:highlight w:val="none"/>
              </w:rPr>
              <w:t>（除自然人外必须提供，否则投标文件按无效投标处理）</w:t>
            </w:r>
          </w:p>
          <w:p w14:paraId="10C3F695">
            <w:pPr>
              <w:autoSpaceDE w:val="0"/>
              <w:autoSpaceDN w:val="0"/>
              <w:snapToGrid w:val="0"/>
              <w:spacing w:line="390" w:lineRule="exact"/>
              <w:textAlignment w:val="bottom"/>
              <w:rPr>
                <w:rFonts w:hint="eastAsia" w:ascii="仿宋" w:hAnsi="仿宋" w:eastAsia="仿宋" w:cs="仿宋"/>
                <w:b/>
                <w:color w:val="auto"/>
                <w:sz w:val="24"/>
                <w:highlight w:val="none"/>
              </w:rPr>
            </w:pPr>
            <w:r>
              <w:rPr>
                <w:rFonts w:hint="eastAsia" w:ascii="仿宋" w:hAnsi="仿宋" w:eastAsia="仿宋" w:cs="仿宋"/>
                <w:color w:val="auto"/>
                <w:sz w:val="24"/>
                <w:highlight w:val="none"/>
              </w:rPr>
              <w:t>5、投标人直接控股、管理关系信息表（格式详见第六章）；</w:t>
            </w:r>
            <w:r>
              <w:rPr>
                <w:rFonts w:hint="eastAsia" w:ascii="仿宋" w:hAnsi="仿宋" w:eastAsia="仿宋" w:cs="仿宋"/>
                <w:b/>
                <w:color w:val="auto"/>
                <w:sz w:val="24"/>
                <w:highlight w:val="none"/>
              </w:rPr>
              <w:t>（必须提供，否则投标文件按无效投标处理）</w:t>
            </w:r>
          </w:p>
          <w:p w14:paraId="25D5B273">
            <w:pPr>
              <w:autoSpaceDE w:val="0"/>
              <w:autoSpaceDN w:val="0"/>
              <w:snapToGrid w:val="0"/>
              <w:spacing w:line="390" w:lineRule="exact"/>
              <w:textAlignment w:val="bottom"/>
              <w:rPr>
                <w:rFonts w:hint="eastAsia" w:ascii="仿宋" w:hAnsi="仿宋" w:eastAsia="仿宋" w:cs="仿宋"/>
                <w:b/>
                <w:color w:val="auto"/>
                <w:sz w:val="24"/>
                <w:highlight w:val="none"/>
              </w:rPr>
            </w:pPr>
            <w:r>
              <w:rPr>
                <w:rFonts w:hint="eastAsia" w:ascii="仿宋" w:hAnsi="仿宋" w:eastAsia="仿宋" w:cs="仿宋"/>
                <w:color w:val="auto"/>
                <w:sz w:val="24"/>
                <w:highlight w:val="none"/>
              </w:rPr>
              <w:t>6、投标声明（格式详见第六章）；</w:t>
            </w:r>
            <w:r>
              <w:rPr>
                <w:rFonts w:hint="eastAsia" w:ascii="仿宋" w:hAnsi="仿宋" w:eastAsia="仿宋" w:cs="仿宋"/>
                <w:b/>
                <w:color w:val="auto"/>
                <w:sz w:val="24"/>
                <w:highlight w:val="none"/>
              </w:rPr>
              <w:t>（必须提供，否则投标文件按无效投标处理）</w:t>
            </w:r>
          </w:p>
          <w:p w14:paraId="2DA4C0B3">
            <w:pPr>
              <w:autoSpaceDE w:val="0"/>
              <w:autoSpaceDN w:val="0"/>
              <w:snapToGrid w:val="0"/>
              <w:spacing w:line="390" w:lineRule="exact"/>
              <w:textAlignment w:val="bottom"/>
              <w:rPr>
                <w:rFonts w:hint="eastAsia" w:ascii="仿宋" w:hAnsi="仿宋" w:eastAsia="仿宋" w:cs="仿宋"/>
                <w:b/>
                <w:color w:val="auto"/>
                <w:sz w:val="24"/>
                <w:highlight w:val="none"/>
              </w:rPr>
            </w:pPr>
            <w:r>
              <w:rPr>
                <w:rFonts w:hint="eastAsia" w:ascii="仿宋" w:hAnsi="仿宋" w:eastAsia="仿宋" w:cs="仿宋"/>
                <w:color w:val="auto"/>
                <w:sz w:val="24"/>
                <w:highlight w:val="none"/>
              </w:rPr>
              <w:t>7、投标人参加本项目无回避事项的承诺函（格式详见第六章）；</w:t>
            </w:r>
            <w:r>
              <w:rPr>
                <w:rFonts w:hint="eastAsia" w:ascii="仿宋" w:hAnsi="仿宋" w:eastAsia="仿宋" w:cs="仿宋"/>
                <w:b/>
                <w:color w:val="auto"/>
                <w:sz w:val="24"/>
                <w:highlight w:val="none"/>
              </w:rPr>
              <w:t>（必须提供，否则投标文件按无效投标处理）</w:t>
            </w:r>
          </w:p>
          <w:p w14:paraId="10AA7F0F">
            <w:pPr>
              <w:autoSpaceDE w:val="0"/>
              <w:autoSpaceDN w:val="0"/>
              <w:snapToGrid w:val="0"/>
              <w:spacing w:line="390" w:lineRule="exact"/>
              <w:textAlignment w:val="bottom"/>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lang w:eastAsia="zh-CN"/>
              </w:rPr>
              <w:t>按《医疗器械监督管理条例》（国务院令第739号）医疗器械分类管理要求，具备涵盖本次医疗器械采购标的且有效的医疗器械经营备案凭证或者经营许可证[符合《医疗器械监督管理条例》第四十一条第二款规定的除外]，或者投标人具有《医疗器械监督管理条例》第四十三条规定的注册人凭证</w:t>
            </w: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（必须提供，否则作无效投标处理）</w:t>
            </w:r>
            <w:r>
              <w:rPr>
                <w:rFonts w:hint="eastAsia" w:ascii="仿宋" w:hAnsi="仿宋" w:eastAsia="仿宋" w:cs="仿宋"/>
                <w:color w:val="auto"/>
                <w:sz w:val="24"/>
                <w:highlight w:val="none"/>
                <w:lang w:val="en-US" w:eastAsia="zh-CN"/>
              </w:rPr>
              <w:t>注：①采购标的有第二类医疗器械的，应提供有效的医疗器械经营备案凭证(经营范围包含采购的第二类医疗器械)，符合《医疗器械监督管理条例》(国务院令第739号)第四十一条第二款规定的除外；如供应商符合《医疗器械监督管理条例》第四十三条“医疗器械注册人、备案人经营其注册、备案的医疗器械，无需办理医疗器械经营许可或者备案，但应当符合本条例规定的经营条件”规定的，仅需提供该医疗器械注册证；②采购标的有第三类医疗器械的，应提供有效的医疗器械经营许可证(经营范围包含采购的第三类医疗器械)；如投标人符合《医疗器械监督管理条例》第四十三条“医疗器械注册人、备案人经营其注册、备案的医疗器械，无需办理医疗器械经营许可或者备案，但应当符合本条例规定的经营条件”规定的，仅需提供该医疗器械注册证；③采购标的同时有第二类和第三类医疗器械的，应按上述①及②要求提供证明材料。</w:t>
            </w:r>
          </w:p>
          <w:p w14:paraId="34255628">
            <w:pPr>
              <w:autoSpaceDE w:val="0"/>
              <w:autoSpaceDN w:val="0"/>
              <w:snapToGrid w:val="0"/>
              <w:spacing w:line="390" w:lineRule="exact"/>
              <w:textAlignment w:val="bottom"/>
              <w:rPr>
                <w:rFonts w:hint="eastAsia" w:ascii="仿宋" w:hAnsi="仿宋" w:eastAsia="仿宋" w:cs="仿宋"/>
                <w:b/>
                <w:bCs/>
                <w:color w:val="auto"/>
                <w:sz w:val="24"/>
                <w:highlight w:val="none"/>
              </w:rPr>
            </w:pP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除招标文件规定必须提供以外，投标人认为需要提供的其他证明材料。</w:t>
            </w:r>
            <w:r>
              <w:rPr>
                <w:rFonts w:hint="eastAsia" w:ascii="仿宋" w:hAnsi="仿宋" w:eastAsia="仿宋" w:cs="仿宋"/>
                <w:b/>
                <w:bCs/>
                <w:color w:val="auto"/>
                <w:sz w:val="24"/>
                <w:highlight w:val="none"/>
              </w:rPr>
              <w:t>（如有，请提供）</w:t>
            </w:r>
          </w:p>
          <w:p w14:paraId="53728D59">
            <w:pPr>
              <w:snapToGrid w:val="0"/>
              <w:spacing w:line="39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w:t>
            </w:r>
          </w:p>
          <w:p w14:paraId="5498CD8F">
            <w:pPr>
              <w:snapToGrid w:val="0"/>
              <w:spacing w:line="39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1、以上标明“必须提供”的材料属于复印件的，必须加盖投标人公章，否则按无效投标</w:t>
            </w:r>
            <w:r>
              <w:rPr>
                <w:rFonts w:hint="eastAsia" w:ascii="仿宋" w:hAnsi="仿宋" w:eastAsia="仿宋" w:cs="仿宋"/>
                <w:b/>
                <w:color w:val="auto"/>
                <w:sz w:val="24"/>
                <w:highlight w:val="none"/>
              </w:rPr>
              <w:t>处理。</w:t>
            </w:r>
          </w:p>
          <w:p w14:paraId="061993A4">
            <w:pPr>
              <w:snapToGrid w:val="0"/>
              <w:spacing w:line="390" w:lineRule="exact"/>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bCs/>
                <w:color w:val="auto"/>
                <w:sz w:val="24"/>
                <w:highlight w:val="none"/>
              </w:rPr>
              <w:t>投标声明、投标人参加本项目无回避事项的承诺函必须由法定代表人在规定签章处签字并加盖投标人公章，否则按无效投标处理。</w:t>
            </w:r>
          </w:p>
          <w:p w14:paraId="55950C3B">
            <w:pPr>
              <w:snapToGrid w:val="0"/>
              <w:spacing w:line="390" w:lineRule="exact"/>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3、投标人直接控股、管理关系信息表必须由法定代表人或者委托代理人在规定签章处签字并加盖投标人公章，否则按无效投标</w:t>
            </w:r>
            <w:r>
              <w:rPr>
                <w:rFonts w:hint="eastAsia" w:ascii="仿宋" w:hAnsi="仿宋" w:eastAsia="仿宋" w:cs="仿宋"/>
                <w:b/>
                <w:color w:val="auto"/>
                <w:sz w:val="24"/>
                <w:highlight w:val="none"/>
              </w:rPr>
              <w:t>处理</w:t>
            </w:r>
            <w:r>
              <w:rPr>
                <w:rFonts w:hint="eastAsia" w:ascii="仿宋" w:hAnsi="仿宋" w:eastAsia="仿宋" w:cs="仿宋"/>
                <w:b/>
                <w:bCs/>
                <w:color w:val="auto"/>
                <w:sz w:val="24"/>
                <w:highlight w:val="none"/>
              </w:rPr>
              <w:t>。</w:t>
            </w:r>
          </w:p>
          <w:p w14:paraId="57EEB2FB">
            <w:pPr>
              <w:snapToGrid w:val="0"/>
              <w:spacing w:line="390" w:lineRule="exact"/>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4、联合体投标时，第1-5项资格证明文件联合体各方均必须分别提供，联合体各方分别盖章和签字，否则按无效投标</w:t>
            </w:r>
            <w:r>
              <w:rPr>
                <w:rFonts w:hint="eastAsia" w:ascii="仿宋" w:hAnsi="仿宋" w:eastAsia="仿宋" w:cs="仿宋"/>
                <w:b/>
                <w:color w:val="auto"/>
                <w:sz w:val="24"/>
                <w:highlight w:val="none"/>
              </w:rPr>
              <w:t>处理</w:t>
            </w:r>
            <w:r>
              <w:rPr>
                <w:rFonts w:hint="eastAsia" w:ascii="仿宋" w:hAnsi="仿宋" w:eastAsia="仿宋" w:cs="仿宋"/>
                <w:b/>
                <w:bCs/>
                <w:color w:val="auto"/>
                <w:sz w:val="24"/>
                <w:highlight w:val="none"/>
              </w:rPr>
              <w:t>。</w:t>
            </w:r>
          </w:p>
          <w:p w14:paraId="4FCB05E1">
            <w:pPr>
              <w:snapToGrid w:val="0"/>
              <w:spacing w:line="390" w:lineRule="exact"/>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5、分公司参加投标的，应当取得总公司授权，否则按无效投标</w:t>
            </w:r>
            <w:r>
              <w:rPr>
                <w:rFonts w:hint="eastAsia" w:ascii="仿宋" w:hAnsi="仿宋" w:eastAsia="仿宋" w:cs="仿宋"/>
                <w:b/>
                <w:color w:val="auto"/>
                <w:sz w:val="24"/>
                <w:highlight w:val="none"/>
              </w:rPr>
              <w:t>处理</w:t>
            </w:r>
            <w:r>
              <w:rPr>
                <w:rFonts w:hint="eastAsia" w:ascii="仿宋" w:hAnsi="仿宋" w:eastAsia="仿宋" w:cs="仿宋"/>
                <w:b/>
                <w:bCs/>
                <w:color w:val="auto"/>
                <w:sz w:val="24"/>
                <w:highlight w:val="none"/>
              </w:rPr>
              <w:t>。（允许分公司参与的行业有银行、保险、石油石化、电力、电信等行业）。</w:t>
            </w:r>
          </w:p>
        </w:tc>
      </w:tr>
      <w:tr w14:paraId="33EA44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vMerge w:val="continue"/>
            <w:tcBorders>
              <w:left w:val="single" w:color="auto" w:sz="4" w:space="0"/>
              <w:right w:val="single" w:color="auto" w:sz="4" w:space="0"/>
            </w:tcBorders>
            <w:vAlign w:val="center"/>
          </w:tcPr>
          <w:p w14:paraId="6D148C11">
            <w:pPr>
              <w:spacing w:line="390" w:lineRule="exact"/>
              <w:rPr>
                <w:rFonts w:hint="eastAsia" w:ascii="仿宋" w:hAnsi="仿宋" w:eastAsia="仿宋" w:cs="仿宋"/>
                <w:color w:val="auto"/>
                <w:sz w:val="24"/>
                <w:highlight w:val="none"/>
              </w:rPr>
            </w:pPr>
            <w:bookmarkStart w:id="79" w:name="_13.3"/>
            <w:bookmarkEnd w:id="79"/>
          </w:p>
        </w:tc>
        <w:tc>
          <w:tcPr>
            <w:tcW w:w="9275" w:type="dxa"/>
            <w:tcBorders>
              <w:top w:val="single" w:color="auto" w:sz="4" w:space="0"/>
              <w:left w:val="single" w:color="auto" w:sz="4" w:space="0"/>
              <w:bottom w:val="single" w:color="auto" w:sz="4" w:space="0"/>
              <w:right w:val="single" w:color="auto" w:sz="4" w:space="0"/>
            </w:tcBorders>
            <w:vAlign w:val="center"/>
          </w:tcPr>
          <w:p w14:paraId="30B70864">
            <w:pPr>
              <w:snapToGrid w:val="0"/>
              <w:spacing w:line="39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商务文件： </w:t>
            </w:r>
          </w:p>
          <w:p w14:paraId="09073E23">
            <w:pPr>
              <w:snapToGrid w:val="0"/>
              <w:spacing w:line="39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1、无串通投标行为的承诺函（格式详见第六章）；（</w:t>
            </w:r>
            <w:r>
              <w:rPr>
                <w:rFonts w:hint="eastAsia" w:ascii="仿宋" w:hAnsi="仿宋" w:eastAsia="仿宋" w:cs="仿宋"/>
                <w:b/>
                <w:color w:val="auto"/>
                <w:sz w:val="24"/>
                <w:highlight w:val="none"/>
              </w:rPr>
              <w:t>必须提供，否则投标文件按无效投标处理</w:t>
            </w:r>
            <w:r>
              <w:rPr>
                <w:rFonts w:hint="eastAsia" w:ascii="仿宋" w:hAnsi="仿宋" w:eastAsia="仿宋" w:cs="仿宋"/>
                <w:color w:val="auto"/>
                <w:sz w:val="24"/>
                <w:highlight w:val="none"/>
              </w:rPr>
              <w:t>）</w:t>
            </w:r>
          </w:p>
          <w:p w14:paraId="502998B2">
            <w:pPr>
              <w:snapToGrid w:val="0"/>
              <w:spacing w:line="39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2、法定代表人身份证明及法定代表人有效身份证正反面复印件（格式详见第六章）；（</w:t>
            </w:r>
            <w:r>
              <w:rPr>
                <w:rFonts w:hint="eastAsia" w:ascii="仿宋" w:hAnsi="仿宋" w:eastAsia="仿宋" w:cs="仿宋"/>
                <w:b/>
                <w:bCs/>
                <w:color w:val="auto"/>
                <w:sz w:val="24"/>
                <w:highlight w:val="none"/>
              </w:rPr>
              <w:t>除自然人投标外</w:t>
            </w:r>
            <w:r>
              <w:rPr>
                <w:rFonts w:hint="eastAsia" w:ascii="仿宋" w:hAnsi="仿宋" w:eastAsia="仿宋" w:cs="仿宋"/>
                <w:b/>
                <w:color w:val="auto"/>
                <w:sz w:val="24"/>
                <w:highlight w:val="none"/>
              </w:rPr>
              <w:t>必须提供，否则投标文件按无效投标处理</w:t>
            </w:r>
            <w:r>
              <w:rPr>
                <w:rFonts w:hint="eastAsia" w:ascii="仿宋" w:hAnsi="仿宋" w:eastAsia="仿宋" w:cs="仿宋"/>
                <w:color w:val="auto"/>
                <w:sz w:val="24"/>
                <w:highlight w:val="none"/>
              </w:rPr>
              <w:t>）</w:t>
            </w:r>
          </w:p>
          <w:p w14:paraId="0428B01B">
            <w:pPr>
              <w:snapToGrid w:val="0"/>
              <w:spacing w:line="39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3、授权委托书及委托代理人有效身份证正反面复印件（格式详见第六章）；（</w:t>
            </w:r>
            <w:r>
              <w:rPr>
                <w:rFonts w:hint="eastAsia" w:ascii="仿宋" w:hAnsi="仿宋" w:eastAsia="仿宋" w:cs="仿宋"/>
                <w:b/>
                <w:color w:val="auto"/>
                <w:sz w:val="24"/>
                <w:highlight w:val="none"/>
              </w:rPr>
              <w:t>委托时必须提供，否则投标文件按无效投标处理</w:t>
            </w:r>
            <w:r>
              <w:rPr>
                <w:rFonts w:hint="eastAsia" w:ascii="仿宋" w:hAnsi="仿宋" w:eastAsia="仿宋" w:cs="仿宋"/>
                <w:color w:val="auto"/>
                <w:sz w:val="24"/>
                <w:highlight w:val="none"/>
              </w:rPr>
              <w:t>）</w:t>
            </w:r>
          </w:p>
          <w:p w14:paraId="76A5A068">
            <w:pPr>
              <w:snapToGrid w:val="0"/>
              <w:spacing w:line="39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eastAsia="zh-CN"/>
              </w:rPr>
              <w:t>商务</w:t>
            </w:r>
            <w:r>
              <w:rPr>
                <w:rFonts w:hint="eastAsia" w:ascii="仿宋" w:hAnsi="仿宋" w:eastAsia="仿宋" w:cs="仿宋"/>
                <w:color w:val="auto"/>
                <w:sz w:val="24"/>
                <w:highlight w:val="none"/>
              </w:rPr>
              <w:t>响应表（格式详见第六章）；（</w:t>
            </w:r>
            <w:r>
              <w:rPr>
                <w:rFonts w:hint="eastAsia" w:ascii="仿宋" w:hAnsi="仿宋" w:eastAsia="仿宋" w:cs="仿宋"/>
                <w:b/>
                <w:color w:val="auto"/>
                <w:sz w:val="24"/>
                <w:highlight w:val="none"/>
              </w:rPr>
              <w:t>必须提供，否则投标文件按无效投标处理</w:t>
            </w:r>
            <w:r>
              <w:rPr>
                <w:rFonts w:hint="eastAsia" w:ascii="仿宋" w:hAnsi="仿宋" w:eastAsia="仿宋" w:cs="仿宋"/>
                <w:color w:val="auto"/>
                <w:sz w:val="24"/>
                <w:highlight w:val="none"/>
              </w:rPr>
              <w:t>）</w:t>
            </w:r>
          </w:p>
          <w:p w14:paraId="645989D7">
            <w:pPr>
              <w:autoSpaceDE w:val="0"/>
              <w:autoSpaceDN w:val="0"/>
              <w:snapToGrid w:val="0"/>
              <w:spacing w:line="390" w:lineRule="exact"/>
              <w:textAlignment w:val="bottom"/>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5、投标人情况介绍（格式自拟）；</w:t>
            </w:r>
            <w:r>
              <w:rPr>
                <w:rFonts w:hint="eastAsia" w:ascii="仿宋" w:hAnsi="仿宋" w:eastAsia="仿宋" w:cs="仿宋"/>
                <w:b/>
                <w:bCs/>
                <w:color w:val="auto"/>
                <w:sz w:val="24"/>
                <w:highlight w:val="none"/>
              </w:rPr>
              <w:t>（如有，请提供）</w:t>
            </w:r>
          </w:p>
          <w:p w14:paraId="335564BE">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、联合体协议书（格式详见第六章）；</w:t>
            </w:r>
            <w:r>
              <w:rPr>
                <w:rFonts w:hint="eastAsia" w:ascii="仿宋" w:hAnsi="仿宋" w:eastAsia="仿宋" w:cs="仿宋"/>
                <w:b/>
                <w:bCs/>
                <w:color w:val="auto"/>
                <w:sz w:val="24"/>
                <w:highlight w:val="none"/>
              </w:rPr>
              <w:t>（如有，请提供）</w:t>
            </w:r>
          </w:p>
          <w:p w14:paraId="77526C1C">
            <w:pPr>
              <w:snapToGrid w:val="0"/>
              <w:spacing w:line="39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、除招标文件规定必须提供以外，投标人认为需要提供的其他证明材料（格式自拟）。（投标人根据“第二章 采购需求”及“第四章 评标方法及评标标准”提供有关证明材料）。</w:t>
            </w:r>
            <w:r>
              <w:rPr>
                <w:rFonts w:hint="eastAsia" w:ascii="仿宋" w:hAnsi="仿宋" w:eastAsia="仿宋" w:cs="仿宋"/>
                <w:b/>
                <w:bCs/>
                <w:color w:val="auto"/>
                <w:sz w:val="24"/>
                <w:highlight w:val="none"/>
              </w:rPr>
              <w:t>（如有，请提供）</w:t>
            </w:r>
          </w:p>
          <w:p w14:paraId="5C782FDD">
            <w:pPr>
              <w:autoSpaceDE w:val="0"/>
              <w:autoSpaceDN w:val="0"/>
              <w:snapToGrid w:val="0"/>
              <w:spacing w:line="390" w:lineRule="exact"/>
              <w:textAlignment w:val="bottom"/>
              <w:rPr>
                <w:rFonts w:hint="eastAsia" w:ascii="仿宋" w:hAnsi="仿宋" w:eastAsia="仿宋" w:cs="仿宋"/>
                <w:b/>
                <w:bCs/>
                <w:color w:val="auto"/>
                <w:sz w:val="24"/>
                <w:highlight w:val="none"/>
                <w:lang w:val="en-US" w:eastAsia="zh-CN"/>
              </w:rPr>
            </w:pPr>
            <w:r>
              <w:rPr>
                <w:rFonts w:hint="eastAsia" w:ascii="仿宋" w:hAnsi="仿宋" w:eastAsia="仿宋" w:cs="仿宋"/>
                <w:color w:val="auto"/>
                <w:sz w:val="24"/>
                <w:highlight w:val="none"/>
                <w:lang w:val="en-US" w:eastAsia="zh-CN"/>
              </w:rPr>
              <w:t>8、政策性加分证明材料复印件</w:t>
            </w:r>
            <w:r>
              <w:rPr>
                <w:rFonts w:hint="eastAsia" w:ascii="仿宋" w:hAnsi="仿宋" w:eastAsia="仿宋" w:cs="仿宋"/>
                <w:b/>
                <w:bCs/>
                <w:color w:val="auto"/>
                <w:sz w:val="24"/>
                <w:highlight w:val="none"/>
                <w:lang w:val="en-US" w:eastAsia="zh-CN"/>
              </w:rPr>
              <w:t>（如有，请提供）；</w:t>
            </w:r>
          </w:p>
          <w:p w14:paraId="6417A5EE">
            <w:pPr>
              <w:autoSpaceDE w:val="0"/>
              <w:autoSpaceDN w:val="0"/>
              <w:snapToGrid w:val="0"/>
              <w:spacing w:line="390" w:lineRule="exact"/>
              <w:textAlignment w:val="bottom"/>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注：①节能产品：属于财政部《节能产品政府采购品目清单》内优先采购（清单内未标注“★”的品目）的产品[投标文件中提供国家确定的认证机构出具的、处于有效期之内的认证证书复印件及品目清单（标注出投标产品在品目清单中所属的品目），并加盖投标人电子签章]；②环境标志产品：属于财政部《环境标志产品政府采购品目清单》内的产品[投标文件中提供国家确定的认证机构出具的、处于有效期之内的认证证书复印件及品目清单（标注出投标产品在品目清单中所属的品目），并加盖投标人电子签章]。</w:t>
            </w:r>
          </w:p>
          <w:p w14:paraId="668FB1B9">
            <w:pPr>
              <w:autoSpaceDE w:val="0"/>
              <w:autoSpaceDN w:val="0"/>
              <w:snapToGrid w:val="0"/>
              <w:spacing w:line="390" w:lineRule="exact"/>
              <w:textAlignment w:val="bottom"/>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9、投标人提供的货物全部由符合政策要求中小企业制造，投标文件中提供《中小企业声明函》；属于监狱企业的，提供由省级以上监狱管理局、戒毒管理局(含新疆生产建设兵团)出具的属于监狱企业的证明文件</w:t>
            </w:r>
            <w:r>
              <w:rPr>
                <w:rFonts w:hint="eastAsia" w:ascii="仿宋" w:hAnsi="仿宋" w:eastAsia="仿宋" w:cs="仿宋"/>
                <w:b/>
                <w:bCs/>
                <w:color w:val="auto"/>
                <w:sz w:val="24"/>
                <w:highlight w:val="none"/>
                <w:lang w:val="en-US" w:eastAsia="zh-CN"/>
              </w:rPr>
              <w:t>（如有，请提供）；</w:t>
            </w:r>
          </w:p>
          <w:p w14:paraId="02DA2E64">
            <w:pPr>
              <w:autoSpaceDE w:val="0"/>
              <w:autoSpaceDN w:val="0"/>
              <w:snapToGrid w:val="0"/>
              <w:spacing w:line="390" w:lineRule="exact"/>
              <w:textAlignment w:val="bottom"/>
              <w:rPr>
                <w:rFonts w:hint="eastAsia" w:ascii="仿宋" w:hAnsi="仿宋" w:eastAsia="仿宋" w:cs="仿宋"/>
                <w:b/>
                <w:bCs/>
                <w:color w:val="auto"/>
                <w:sz w:val="24"/>
                <w:highlight w:val="none"/>
                <w:lang w:val="en-US" w:eastAsia="zh-CN"/>
              </w:rPr>
            </w:pPr>
            <w:r>
              <w:rPr>
                <w:rFonts w:hint="eastAsia" w:ascii="仿宋" w:hAnsi="仿宋" w:eastAsia="仿宋" w:cs="仿宋"/>
                <w:color w:val="auto"/>
                <w:sz w:val="24"/>
                <w:highlight w:val="none"/>
                <w:lang w:val="en-US" w:eastAsia="zh-CN"/>
              </w:rPr>
              <w:t>10、符合条件的残疾人福利性单位在参加政府采购活动时，提供《残疾人福利性单位声明函》，并对声明的真实性负责</w:t>
            </w:r>
            <w:r>
              <w:rPr>
                <w:rFonts w:hint="eastAsia" w:ascii="仿宋" w:hAnsi="仿宋" w:eastAsia="仿宋" w:cs="仿宋"/>
                <w:b/>
                <w:bCs/>
                <w:color w:val="auto"/>
                <w:sz w:val="24"/>
                <w:highlight w:val="none"/>
                <w:lang w:val="en-US" w:eastAsia="zh-CN"/>
              </w:rPr>
              <w:t>（如有，请提供）；</w:t>
            </w:r>
          </w:p>
          <w:p w14:paraId="0441E405">
            <w:pPr>
              <w:autoSpaceDE w:val="0"/>
              <w:autoSpaceDN w:val="0"/>
              <w:snapToGrid w:val="0"/>
              <w:spacing w:line="390" w:lineRule="exact"/>
              <w:textAlignment w:val="bottom"/>
              <w:rPr>
                <w:rFonts w:hint="eastAsia" w:ascii="仿宋" w:hAnsi="仿宋" w:eastAsia="仿宋" w:cs="仿宋"/>
                <w:b/>
                <w:bCs/>
                <w:color w:val="0000FF"/>
                <w:sz w:val="24"/>
                <w:highlight w:val="none"/>
                <w:lang w:val="en-US" w:eastAsia="zh-CN"/>
              </w:rPr>
            </w:pPr>
            <w:r>
              <w:rPr>
                <w:rFonts w:hint="eastAsia" w:ascii="仿宋" w:hAnsi="仿宋" w:eastAsia="仿宋" w:cs="仿宋"/>
                <w:color w:val="0000FF"/>
                <w:sz w:val="24"/>
                <w:highlight w:val="none"/>
                <w:lang w:val="en-US" w:eastAsia="zh-CN"/>
              </w:rPr>
              <w:t>11、投标人提供的货物符合《关于在政府采购中实施本国产品标准及相关政策的通知》（国办发〔2025〕34号）相关规定的，提供《符合本国产品标准的声明函》（格式后附）</w:t>
            </w:r>
            <w:r>
              <w:rPr>
                <w:rFonts w:hint="eastAsia" w:ascii="仿宋" w:hAnsi="仿宋" w:eastAsia="仿宋" w:cs="仿宋"/>
                <w:b/>
                <w:bCs/>
                <w:color w:val="0000FF"/>
                <w:sz w:val="24"/>
                <w:highlight w:val="none"/>
                <w:lang w:val="en-US" w:eastAsia="zh-CN"/>
              </w:rPr>
              <w:t>（如有，请提供）；</w:t>
            </w:r>
          </w:p>
          <w:p w14:paraId="23F89384">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注：以上标明“必须提供”的材料属于复印件的，必须加盖投标人公章，否则按无效投标</w:t>
            </w:r>
            <w:r>
              <w:rPr>
                <w:rFonts w:hint="eastAsia" w:ascii="仿宋" w:hAnsi="仿宋" w:eastAsia="仿宋" w:cs="仿宋"/>
                <w:b/>
                <w:color w:val="auto"/>
                <w:sz w:val="24"/>
                <w:highlight w:val="none"/>
              </w:rPr>
              <w:t>处理</w:t>
            </w:r>
            <w:r>
              <w:rPr>
                <w:rFonts w:hint="eastAsia" w:ascii="仿宋" w:hAnsi="仿宋" w:eastAsia="仿宋" w:cs="仿宋"/>
                <w:b/>
                <w:bCs/>
                <w:color w:val="auto"/>
                <w:sz w:val="24"/>
                <w:highlight w:val="none"/>
              </w:rPr>
              <w:t>。</w:t>
            </w:r>
          </w:p>
        </w:tc>
      </w:tr>
      <w:tr w14:paraId="64ECD5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vMerge w:val="continue"/>
            <w:tcBorders>
              <w:left w:val="single" w:color="auto" w:sz="4" w:space="0"/>
              <w:bottom w:val="single" w:color="auto" w:sz="4" w:space="0"/>
              <w:right w:val="single" w:color="auto" w:sz="4" w:space="0"/>
            </w:tcBorders>
            <w:vAlign w:val="center"/>
          </w:tcPr>
          <w:p w14:paraId="3F6E129A">
            <w:pPr>
              <w:spacing w:line="390" w:lineRule="exact"/>
              <w:rPr>
                <w:rFonts w:hint="eastAsia" w:ascii="仿宋" w:hAnsi="仿宋" w:eastAsia="仿宋" w:cs="仿宋"/>
                <w:color w:val="auto"/>
                <w:sz w:val="24"/>
                <w:highlight w:val="none"/>
              </w:rPr>
            </w:pPr>
            <w:bookmarkStart w:id="80" w:name="_13.4"/>
            <w:bookmarkEnd w:id="80"/>
          </w:p>
        </w:tc>
        <w:tc>
          <w:tcPr>
            <w:tcW w:w="9275" w:type="dxa"/>
            <w:tcBorders>
              <w:top w:val="single" w:color="auto" w:sz="4" w:space="0"/>
              <w:left w:val="single" w:color="auto" w:sz="4" w:space="0"/>
              <w:bottom w:val="single" w:color="auto" w:sz="4" w:space="0"/>
              <w:right w:val="single" w:color="auto" w:sz="4" w:space="0"/>
            </w:tcBorders>
            <w:vAlign w:val="center"/>
          </w:tcPr>
          <w:p w14:paraId="3BFBCACE">
            <w:pPr>
              <w:snapToGrid w:val="0"/>
              <w:spacing w:line="39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技术文件： </w:t>
            </w:r>
          </w:p>
          <w:p w14:paraId="3934B3C9">
            <w:pPr>
              <w:numPr>
                <w:ilvl w:val="0"/>
                <w:numId w:val="7"/>
              </w:numPr>
              <w:snapToGrid w:val="0"/>
              <w:spacing w:line="39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技术偏离表</w:t>
            </w:r>
            <w:r>
              <w:rPr>
                <w:rFonts w:hint="eastAsia" w:ascii="仿宋" w:hAnsi="仿宋" w:eastAsia="仿宋" w:cs="仿宋"/>
                <w:color w:val="auto"/>
                <w:sz w:val="24"/>
                <w:highlight w:val="none"/>
              </w:rPr>
              <w:t>（格式详见第六章）；（</w:t>
            </w:r>
            <w:r>
              <w:rPr>
                <w:rFonts w:hint="eastAsia" w:ascii="仿宋" w:hAnsi="仿宋" w:eastAsia="仿宋" w:cs="仿宋"/>
                <w:b/>
                <w:color w:val="auto"/>
                <w:sz w:val="24"/>
                <w:highlight w:val="none"/>
              </w:rPr>
              <w:t>必须提供，否则投标文件按无效投标处理</w:t>
            </w:r>
            <w:r>
              <w:rPr>
                <w:rFonts w:hint="eastAsia" w:ascii="仿宋" w:hAnsi="仿宋" w:eastAsia="仿宋" w:cs="仿宋"/>
                <w:color w:val="auto"/>
                <w:sz w:val="24"/>
                <w:highlight w:val="none"/>
              </w:rPr>
              <w:t>）</w:t>
            </w:r>
          </w:p>
          <w:p w14:paraId="67E1EF74">
            <w:pPr>
              <w:numPr>
                <w:ilvl w:val="0"/>
                <w:numId w:val="7"/>
              </w:numPr>
              <w:snapToGrid w:val="0"/>
              <w:spacing w:line="390" w:lineRule="exact"/>
              <w:jc w:val="left"/>
              <w:rPr>
                <w:rFonts w:hint="eastAsia" w:ascii="仿宋" w:hAnsi="仿宋" w:eastAsia="仿宋" w:cs="仿宋"/>
                <w:color w:val="auto"/>
                <w:sz w:val="24"/>
                <w:highlight w:val="none"/>
              </w:rPr>
            </w:pPr>
            <w:r>
              <w:rPr>
                <w:rFonts w:hint="eastAsia" w:ascii="仿宋" w:hAnsi="仿宋" w:eastAsia="仿宋" w:cs="仿宋"/>
                <w:b w:val="0"/>
                <w:color w:val="auto"/>
                <w:sz w:val="24"/>
                <w:szCs w:val="24"/>
                <w:highlight w:val="none"/>
              </w:rPr>
              <w:t>设备性能配置清单</w:t>
            </w:r>
            <w:r>
              <w:rPr>
                <w:rFonts w:hint="eastAsia" w:ascii="仿宋" w:hAnsi="仿宋" w:eastAsia="仿宋" w:cs="仿宋"/>
                <w:color w:val="auto"/>
                <w:sz w:val="24"/>
                <w:highlight w:val="none"/>
              </w:rPr>
              <w:t>（格式详见第六章）；（</w:t>
            </w:r>
            <w:r>
              <w:rPr>
                <w:rFonts w:hint="eastAsia" w:ascii="仿宋" w:hAnsi="仿宋" w:eastAsia="仿宋" w:cs="仿宋"/>
                <w:b/>
                <w:color w:val="auto"/>
                <w:sz w:val="24"/>
                <w:highlight w:val="none"/>
              </w:rPr>
              <w:t>必须提供，否则投标文件按无效投标处理</w:t>
            </w:r>
            <w:r>
              <w:rPr>
                <w:rFonts w:hint="eastAsia" w:ascii="仿宋" w:hAnsi="仿宋" w:eastAsia="仿宋" w:cs="仿宋"/>
                <w:color w:val="auto"/>
                <w:sz w:val="24"/>
                <w:highlight w:val="none"/>
              </w:rPr>
              <w:t>）</w:t>
            </w:r>
          </w:p>
          <w:p w14:paraId="01DF2820">
            <w:pPr>
              <w:numPr>
                <w:ilvl w:val="0"/>
                <w:numId w:val="7"/>
              </w:numPr>
              <w:snapToGrid w:val="0"/>
              <w:spacing w:line="390" w:lineRule="exact"/>
              <w:ind w:left="0" w:leftChars="0" w:firstLine="0" w:firstLine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项目实施方案（格式自拟）【包括但不限于项目</w:t>
            </w:r>
            <w:r>
              <w:rPr>
                <w:rFonts w:hint="eastAsia" w:ascii="仿宋" w:hAnsi="仿宋" w:eastAsia="仿宋" w:cs="仿宋"/>
                <w:color w:val="auto"/>
                <w:sz w:val="24"/>
                <w:highlight w:val="none"/>
                <w:lang w:val="en-US" w:eastAsia="zh-CN"/>
              </w:rPr>
              <w:t>配送、设备安装方案、项目执行组织措施、项目执行保障措施等内容</w:t>
            </w: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（如有，请提供）</w:t>
            </w:r>
          </w:p>
          <w:p w14:paraId="701FB820">
            <w:pPr>
              <w:numPr>
                <w:ilvl w:val="0"/>
                <w:numId w:val="7"/>
              </w:numPr>
              <w:snapToGrid w:val="0"/>
              <w:spacing w:line="390" w:lineRule="exact"/>
              <w:ind w:left="0" w:leftChars="0" w:firstLine="0" w:firstLineChars="0"/>
              <w:jc w:val="left"/>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en-US" w:eastAsia="zh-CN"/>
              </w:rPr>
              <w:t>实施人员配备</w:t>
            </w:r>
            <w:r>
              <w:rPr>
                <w:rFonts w:hint="eastAsia" w:ascii="仿宋" w:hAnsi="仿宋" w:eastAsia="仿宋" w:cs="仿宋"/>
                <w:color w:val="auto"/>
                <w:sz w:val="24"/>
                <w:highlight w:val="none"/>
              </w:rPr>
              <w:t>（格式详见第六章）；</w:t>
            </w:r>
            <w:r>
              <w:rPr>
                <w:rFonts w:hint="eastAsia" w:ascii="仿宋" w:hAnsi="仿宋" w:eastAsia="仿宋" w:cs="仿宋"/>
                <w:b/>
                <w:bCs/>
                <w:color w:val="auto"/>
                <w:sz w:val="24"/>
                <w:highlight w:val="none"/>
              </w:rPr>
              <w:t>（如有，请提供）</w:t>
            </w:r>
          </w:p>
          <w:p w14:paraId="1827391B">
            <w:pPr>
              <w:snapToGrid w:val="0"/>
              <w:spacing w:line="39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售后服务方案</w:t>
            </w:r>
            <w:r>
              <w:rPr>
                <w:rFonts w:hint="eastAsia" w:ascii="仿宋" w:hAnsi="仿宋" w:eastAsia="仿宋" w:cs="仿宋"/>
                <w:color w:val="auto"/>
                <w:sz w:val="24"/>
                <w:highlight w:val="none"/>
              </w:rPr>
              <w:t>（格式自拟）；</w:t>
            </w:r>
            <w:r>
              <w:rPr>
                <w:rFonts w:hint="eastAsia" w:ascii="仿宋" w:hAnsi="仿宋" w:eastAsia="仿宋" w:cs="仿宋"/>
                <w:b/>
                <w:bCs/>
                <w:color w:val="auto"/>
                <w:sz w:val="24"/>
                <w:highlight w:val="none"/>
              </w:rPr>
              <w:t>（如有，请提供）</w:t>
            </w:r>
          </w:p>
          <w:p w14:paraId="17259F50">
            <w:pPr>
              <w:snapToGrid w:val="0"/>
              <w:spacing w:line="390" w:lineRule="exact"/>
              <w:jc w:val="left"/>
              <w:rPr>
                <w:rFonts w:hint="eastAsia" w:ascii="仿宋" w:hAnsi="仿宋" w:eastAsia="仿宋" w:cs="仿宋"/>
                <w:bCs/>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、除招标文件规定必须提供以外，投标人需要说明的其他文件和说明（格式自拟）。</w:t>
            </w:r>
            <w:r>
              <w:rPr>
                <w:rFonts w:hint="eastAsia" w:ascii="仿宋" w:hAnsi="仿宋" w:eastAsia="仿宋" w:cs="仿宋"/>
                <w:b/>
                <w:bCs/>
                <w:color w:val="auto"/>
                <w:sz w:val="24"/>
                <w:highlight w:val="none"/>
              </w:rPr>
              <w:t>（如有，请提供）</w:t>
            </w:r>
          </w:p>
          <w:p w14:paraId="63B315AF">
            <w:pPr>
              <w:snapToGrid w:val="0"/>
              <w:spacing w:line="390" w:lineRule="exact"/>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注：以上标明“必须提供”的材料属于复印件的，必须加盖投标人公章，否则按无效投标</w:t>
            </w:r>
            <w:r>
              <w:rPr>
                <w:rFonts w:hint="eastAsia" w:ascii="仿宋" w:hAnsi="仿宋" w:eastAsia="仿宋" w:cs="仿宋"/>
                <w:b/>
                <w:color w:val="auto"/>
                <w:sz w:val="24"/>
                <w:highlight w:val="none"/>
              </w:rPr>
              <w:t>处理</w:t>
            </w:r>
            <w:r>
              <w:rPr>
                <w:rFonts w:hint="eastAsia" w:ascii="仿宋" w:hAnsi="仿宋" w:eastAsia="仿宋" w:cs="仿宋"/>
                <w:b/>
                <w:bCs/>
                <w:color w:val="auto"/>
                <w:sz w:val="24"/>
                <w:highlight w:val="none"/>
              </w:rPr>
              <w:t>。</w:t>
            </w:r>
          </w:p>
        </w:tc>
      </w:tr>
      <w:tr w14:paraId="48C454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1F2B8B15">
            <w:pPr>
              <w:spacing w:line="390" w:lineRule="exact"/>
              <w:jc w:val="center"/>
              <w:rPr>
                <w:rFonts w:hint="eastAsia" w:ascii="仿宋" w:hAnsi="仿宋" w:eastAsia="仿宋" w:cs="仿宋"/>
                <w:color w:val="auto"/>
                <w:sz w:val="24"/>
                <w:highlight w:val="none"/>
              </w:rPr>
            </w:pPr>
            <w:bookmarkStart w:id="81" w:name="_16.2"/>
            <w:bookmarkEnd w:id="81"/>
            <w:bookmarkStart w:id="82" w:name="_13.5"/>
            <w:bookmarkEnd w:id="82"/>
            <w:r>
              <w:rPr>
                <w:rFonts w:hint="eastAsia" w:ascii="仿宋" w:hAnsi="仿宋" w:eastAsia="仿宋" w:cs="仿宋"/>
                <w:color w:val="auto"/>
                <w:sz w:val="24"/>
                <w:highlight w:val="none"/>
              </w:rPr>
              <w:t>16</w:t>
            </w:r>
            <w:bookmarkStart w:id="83" w:name="_Hlt19693758"/>
            <w:bookmarkStart w:id="84" w:name="_Hlt19194066"/>
            <w:bookmarkStart w:id="85" w:name="_Hlt19693759"/>
            <w:bookmarkStart w:id="86" w:name="_Hlt19194067"/>
            <w:r>
              <w:rPr>
                <w:rFonts w:hint="eastAsia" w:ascii="仿宋" w:hAnsi="仿宋" w:eastAsia="仿宋" w:cs="仿宋"/>
                <w:color w:val="auto"/>
                <w:sz w:val="24"/>
                <w:highlight w:val="none"/>
              </w:rPr>
              <w:t>.</w:t>
            </w:r>
            <w:bookmarkEnd w:id="83"/>
            <w:bookmarkEnd w:id="84"/>
            <w:bookmarkEnd w:id="85"/>
            <w:bookmarkEnd w:id="86"/>
            <w:r>
              <w:rPr>
                <w:rFonts w:hint="eastAsia" w:ascii="仿宋" w:hAnsi="仿宋" w:eastAsia="仿宋" w:cs="仿宋"/>
                <w:color w:val="auto"/>
                <w:sz w:val="24"/>
                <w:highlight w:val="none"/>
              </w:rPr>
              <w:t>2</w:t>
            </w:r>
          </w:p>
        </w:tc>
        <w:tc>
          <w:tcPr>
            <w:tcW w:w="9275" w:type="dxa"/>
            <w:tcBorders>
              <w:top w:val="single" w:color="auto" w:sz="4" w:space="0"/>
              <w:left w:val="single" w:color="auto" w:sz="4" w:space="0"/>
              <w:bottom w:val="single" w:color="auto" w:sz="4" w:space="0"/>
              <w:right w:val="single" w:color="auto" w:sz="4" w:space="0"/>
            </w:tcBorders>
            <w:vAlign w:val="center"/>
          </w:tcPr>
          <w:p w14:paraId="3DB3F725">
            <w:pPr>
              <w:snapToGrid w:val="0"/>
              <w:spacing w:line="390" w:lineRule="exact"/>
              <w:rPr>
                <w:rFonts w:hint="eastAsia" w:ascii="仿宋" w:hAnsi="仿宋" w:eastAsia="仿宋" w:cs="仿宋"/>
                <w:b/>
                <w:color w:val="auto"/>
                <w:sz w:val="24"/>
                <w:highlight w:val="none"/>
                <w:lang w:eastAsia="zh-CN"/>
              </w:rPr>
            </w:pPr>
            <w:r>
              <w:rPr>
                <w:rFonts w:hint="eastAsia" w:ascii="仿宋" w:hAnsi="仿宋" w:eastAsia="仿宋" w:cs="仿宋"/>
                <w:color w:val="auto"/>
                <w:sz w:val="24"/>
                <w:highlight w:val="none"/>
                <w:lang w:eastAsia="zh-CN"/>
              </w:rPr>
              <w:t>投标报价应包括本次招标范围内标的价款、标的随配标准附件、包装、运输、装卸、保险、税金、到位安装、安装所需辅材、调试、检验、维护、培训、升级、售后、验收、项目投标产生的招标代理服务费及项目涉及到的一切费用的总和，投标人应综合考虑在报价中。在合同实施时，采购人将不予支付投标人没有列入的项目费用，并认为此项目的费用已包括在投标报价中。</w:t>
            </w:r>
          </w:p>
        </w:tc>
      </w:tr>
      <w:tr w14:paraId="585254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4D0F1C41">
            <w:pPr>
              <w:spacing w:line="390" w:lineRule="exact"/>
              <w:jc w:val="center"/>
              <w:rPr>
                <w:rFonts w:hint="eastAsia" w:ascii="仿宋" w:hAnsi="仿宋" w:eastAsia="仿宋" w:cs="仿宋"/>
                <w:color w:val="auto"/>
                <w:sz w:val="24"/>
                <w:highlight w:val="none"/>
              </w:rPr>
            </w:pPr>
            <w:bookmarkStart w:id="87" w:name="_17.1"/>
            <w:bookmarkEnd w:id="87"/>
            <w:r>
              <w:rPr>
                <w:rFonts w:hint="eastAsia" w:ascii="仿宋" w:hAnsi="仿宋" w:eastAsia="仿宋" w:cs="仿宋"/>
                <w:color w:val="auto"/>
                <w:sz w:val="24"/>
                <w:highlight w:val="none"/>
              </w:rPr>
              <w:t>17.2</w:t>
            </w:r>
          </w:p>
        </w:tc>
        <w:tc>
          <w:tcPr>
            <w:tcW w:w="9275" w:type="dxa"/>
            <w:tcBorders>
              <w:top w:val="single" w:color="auto" w:sz="4" w:space="0"/>
              <w:left w:val="single" w:color="auto" w:sz="4" w:space="0"/>
              <w:bottom w:val="single" w:color="auto" w:sz="4" w:space="0"/>
              <w:right w:val="single" w:color="auto" w:sz="4" w:space="0"/>
            </w:tcBorders>
            <w:vAlign w:val="center"/>
          </w:tcPr>
          <w:p w14:paraId="45974423">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投标有效期：投标截止之日起90天内。</w:t>
            </w:r>
          </w:p>
        </w:tc>
      </w:tr>
      <w:tr w14:paraId="1F47B7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25AAE7F0">
            <w:pPr>
              <w:spacing w:line="390" w:lineRule="exact"/>
              <w:jc w:val="center"/>
              <w:rPr>
                <w:rFonts w:hint="eastAsia" w:ascii="仿宋" w:hAnsi="仿宋" w:eastAsia="仿宋" w:cs="仿宋"/>
                <w:color w:val="auto"/>
                <w:sz w:val="24"/>
                <w:highlight w:val="none"/>
              </w:rPr>
            </w:pPr>
            <w:bookmarkStart w:id="88" w:name="_18"/>
            <w:bookmarkEnd w:id="88"/>
            <w:r>
              <w:rPr>
                <w:rFonts w:hint="eastAsia" w:ascii="仿宋" w:hAnsi="仿宋" w:eastAsia="仿宋" w:cs="仿宋"/>
                <w:color w:val="auto"/>
                <w:sz w:val="24"/>
                <w:highlight w:val="none"/>
              </w:rPr>
              <w:t>18.1</w:t>
            </w:r>
          </w:p>
        </w:tc>
        <w:tc>
          <w:tcPr>
            <w:tcW w:w="9275" w:type="dxa"/>
            <w:tcBorders>
              <w:top w:val="single" w:color="auto" w:sz="4" w:space="0"/>
              <w:left w:val="single" w:color="auto" w:sz="4" w:space="0"/>
              <w:bottom w:val="single" w:color="auto" w:sz="4" w:space="0"/>
              <w:right w:val="single" w:color="auto" w:sz="4" w:space="0"/>
            </w:tcBorders>
            <w:vAlign w:val="center"/>
          </w:tcPr>
          <w:p w14:paraId="35F8A475">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eq \o\ac(□,</w:instrText>
            </w:r>
            <w:r>
              <w:rPr>
                <w:rFonts w:hint="eastAsia" w:ascii="仿宋" w:hAnsi="仿宋" w:eastAsia="仿宋" w:cs="仿宋"/>
                <w:color w:val="auto"/>
                <w:position w:val="2"/>
                <w:sz w:val="24"/>
                <w:highlight w:val="none"/>
              </w:rPr>
              <w:instrText xml:space="preserve">√</w:instrText>
            </w:r>
            <w:r>
              <w:rPr>
                <w:rFonts w:hint="eastAsia" w:ascii="仿宋" w:hAnsi="仿宋" w:eastAsia="仿宋" w:cs="仿宋"/>
                <w:color w:val="auto"/>
                <w:sz w:val="24"/>
                <w:highlight w:val="none"/>
              </w:rPr>
              <w:instrText xml:space="preserve">)</w:instrTex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本项目不收取投标保证金。</w:t>
            </w:r>
          </w:p>
          <w:p w14:paraId="1F3F0069">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□本项目收取投标保证金，具体规定如下：</w:t>
            </w:r>
          </w:p>
          <w:p w14:paraId="27B0CA63">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投标保证金人民币</w:t>
            </w:r>
            <w:r>
              <w:rPr>
                <w:rFonts w:hint="eastAsia" w:ascii="仿宋" w:hAnsi="仿宋" w:eastAsia="仿宋" w:cs="仿宋"/>
                <w:color w:val="auto"/>
                <w:sz w:val="24"/>
                <w:highlight w:val="none"/>
                <w:u w:val="single"/>
              </w:rPr>
              <w:t xml:space="preserve"> / </w:t>
            </w:r>
            <w:r>
              <w:rPr>
                <w:rFonts w:hint="eastAsia" w:ascii="仿宋" w:hAnsi="仿宋" w:eastAsia="仿宋" w:cs="仿宋"/>
                <w:color w:val="auto"/>
                <w:sz w:val="24"/>
                <w:highlight w:val="none"/>
              </w:rPr>
              <w:t>万元；</w:t>
            </w:r>
          </w:p>
          <w:p w14:paraId="26BCB46F">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投标保证金的交纳方式：银行转账、支票、汇票、本票或者金融、担保机构出具的保函，禁止采用现钞方式。采用银行转账方式的，在投标截止时间前交至指定账户并且到账（</w:t>
            </w:r>
            <w:r>
              <w:rPr>
                <w:rFonts w:hint="eastAsia" w:ascii="仿宋" w:hAnsi="仿宋" w:eastAsia="仿宋" w:cs="仿宋"/>
                <w:color w:val="auto"/>
                <w:sz w:val="24"/>
                <w:highlight w:val="none"/>
              </w:rPr>
              <w:t>开户名称：</w:t>
            </w:r>
            <w:r>
              <w:rPr>
                <w:rFonts w:hint="eastAsia" w:ascii="仿宋" w:hAnsi="仿宋" w:eastAsia="仿宋" w:cs="仿宋"/>
                <w:color w:val="auto"/>
                <w:sz w:val="24"/>
                <w:highlight w:val="none"/>
                <w:u w:val="single"/>
              </w:rPr>
              <w:t xml:space="preserve">  /   </w:t>
            </w:r>
            <w:r>
              <w:rPr>
                <w:rFonts w:hint="eastAsia" w:ascii="仿宋" w:hAnsi="仿宋" w:eastAsia="仿宋" w:cs="仿宋"/>
                <w:color w:val="auto"/>
                <w:sz w:val="24"/>
                <w:highlight w:val="none"/>
              </w:rPr>
              <w:t>，开户银行：</w:t>
            </w:r>
            <w:r>
              <w:rPr>
                <w:rFonts w:hint="eastAsia" w:ascii="仿宋" w:hAnsi="仿宋" w:eastAsia="仿宋" w:cs="仿宋"/>
                <w:color w:val="auto"/>
                <w:sz w:val="24"/>
                <w:highlight w:val="none"/>
                <w:u w:val="single"/>
              </w:rPr>
              <w:t xml:space="preserve">  /   </w:t>
            </w:r>
            <w:r>
              <w:rPr>
                <w:rFonts w:hint="eastAsia" w:ascii="仿宋" w:hAnsi="仿宋" w:eastAsia="仿宋" w:cs="仿宋"/>
                <w:color w:val="auto"/>
                <w:sz w:val="24"/>
                <w:highlight w:val="none"/>
              </w:rPr>
              <w:t>，银行账号：</w:t>
            </w:r>
            <w:r>
              <w:rPr>
                <w:rFonts w:hint="eastAsia" w:ascii="仿宋" w:hAnsi="仿宋" w:eastAsia="仿宋" w:cs="仿宋"/>
                <w:color w:val="auto"/>
                <w:sz w:val="24"/>
                <w:highlight w:val="none"/>
                <w:u w:val="single"/>
              </w:rPr>
              <w:t xml:space="preserve">    /   </w:t>
            </w:r>
            <w:r>
              <w:rPr>
                <w:rFonts w:hint="eastAsia" w:ascii="仿宋" w:hAnsi="仿宋" w:eastAsia="仿宋" w:cs="仿宋"/>
                <w:color w:val="auto"/>
                <w:kern w:val="0"/>
                <w:sz w:val="24"/>
                <w:highlight w:val="none"/>
              </w:rPr>
              <w:t>）；采用支票、汇票、本票或者保函等方式的，在投标截止时间前，投标人必须递交支票、汇票、本票或者保函原件。否则视为无效投标保证金。</w:t>
            </w:r>
          </w:p>
          <w:p w14:paraId="09F67322">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相关要求：</w:t>
            </w:r>
          </w:p>
          <w:p w14:paraId="19E211E6">
            <w:pPr>
              <w:pStyle w:val="18"/>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1、投标保证金采用银行转账交纳方式的，在投标截止时间前交至指定账户并且到账，投标人应将银行转账底单的复印件作为投标保证金提交凭证，放置于商务文件中，</w:t>
            </w:r>
            <w:r>
              <w:rPr>
                <w:rFonts w:hint="eastAsia" w:ascii="仿宋" w:hAnsi="仿宋" w:eastAsia="仿宋" w:cs="仿宋"/>
                <w:b/>
                <w:color w:val="auto"/>
                <w:sz w:val="24"/>
                <w:highlight w:val="none"/>
              </w:rPr>
              <w:t>否则投标无效</w:t>
            </w:r>
            <w:r>
              <w:rPr>
                <w:rFonts w:hint="eastAsia" w:ascii="仿宋" w:hAnsi="仿宋" w:eastAsia="仿宋" w:cs="仿宋"/>
                <w:color w:val="auto"/>
                <w:sz w:val="24"/>
                <w:highlight w:val="none"/>
              </w:rPr>
              <w:t>。</w:t>
            </w:r>
          </w:p>
          <w:p w14:paraId="3C6AD9AA">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2、投标保证金采用支票、汇票、本票或者金融、担保机构出具的保函交纳方式的，投标人应将支票、汇票、本票或者金融、担保机构出具的保函的复印件作为投标保证金提交凭证，放置于商务文件中，</w:t>
            </w:r>
            <w:r>
              <w:rPr>
                <w:rFonts w:hint="eastAsia" w:ascii="仿宋" w:hAnsi="仿宋" w:eastAsia="仿宋" w:cs="仿宋"/>
                <w:b/>
                <w:color w:val="auto"/>
                <w:sz w:val="24"/>
                <w:highlight w:val="none"/>
              </w:rPr>
              <w:t>否则投标无效</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投标人必须在投标截止时间前将支票、汇票、本票或者金融、担保机构出具的保函原件提交给采购代理机构，由采购代理机构向投标人出具回执，并妥善保管。</w:t>
            </w:r>
          </w:p>
          <w:p w14:paraId="499C2B0D">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3、投标人为联合体的，可以由联合体中的一方或者多方共同交纳投标保证金，其交纳的保证金对联合体各方均具有约束力。</w:t>
            </w:r>
          </w:p>
          <w:p w14:paraId="1EF499D7">
            <w:pPr>
              <w:snapToGrid w:val="0"/>
              <w:spacing w:line="39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备注： </w:t>
            </w:r>
          </w:p>
          <w:p w14:paraId="06B7230D">
            <w:pPr>
              <w:snapToGrid w:val="0"/>
              <w:spacing w:line="39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1、投标保证金在投标截止时间后提交的，或者不按规定交纳方式交纳的，或者未足额交纳的（包含保函额度不足的），视为无效投标保证金。</w:t>
            </w:r>
          </w:p>
          <w:p w14:paraId="52709AA3">
            <w:pPr>
              <w:snapToGrid w:val="0"/>
              <w:spacing w:line="39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2、投标人采用现钞方式或者从个人账户（自然人投标除外）转出的投标保证金，视为无效投标保证金。</w:t>
            </w:r>
          </w:p>
          <w:p w14:paraId="0066B96E">
            <w:pPr>
              <w:snapToGrid w:val="0"/>
              <w:spacing w:line="39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3、支票、汇票或者本票出现无效或者背书情形的，视为无效投标保证金。</w:t>
            </w:r>
          </w:p>
          <w:p w14:paraId="25250342">
            <w:pPr>
              <w:snapToGrid w:val="0"/>
              <w:spacing w:line="39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4、保函有效期低于投标有效期的，视为无效投标保证金。</w:t>
            </w:r>
          </w:p>
          <w:p w14:paraId="329E2AF4">
            <w:pPr>
              <w:snapToGrid w:val="0"/>
              <w:spacing w:line="39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5、采用金融、担保机构出具保函的，必须为无条件保函，否则视为无效投标保证金。</w:t>
            </w:r>
          </w:p>
        </w:tc>
      </w:tr>
      <w:tr w14:paraId="4701D7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7F2A70A1">
            <w:pPr>
              <w:spacing w:line="390" w:lineRule="exact"/>
              <w:jc w:val="center"/>
              <w:rPr>
                <w:rFonts w:hint="eastAsia" w:ascii="仿宋" w:hAnsi="仿宋" w:eastAsia="仿宋" w:cs="仿宋"/>
                <w:color w:val="auto"/>
                <w:sz w:val="24"/>
                <w:highlight w:val="none"/>
              </w:rPr>
            </w:pPr>
            <w:bookmarkStart w:id="89" w:name="_19.2"/>
            <w:bookmarkEnd w:id="89"/>
            <w:r>
              <w:rPr>
                <w:rFonts w:hint="eastAsia" w:ascii="仿宋" w:hAnsi="仿宋" w:eastAsia="仿宋" w:cs="仿宋"/>
                <w:color w:val="auto"/>
                <w:sz w:val="24"/>
                <w:highlight w:val="none"/>
              </w:rPr>
              <w:t>19.2</w:t>
            </w:r>
          </w:p>
        </w:tc>
        <w:tc>
          <w:tcPr>
            <w:tcW w:w="9275" w:type="dxa"/>
            <w:tcBorders>
              <w:top w:val="single" w:color="auto" w:sz="4" w:space="0"/>
              <w:left w:val="single" w:color="auto" w:sz="4" w:space="0"/>
              <w:bottom w:val="single" w:color="auto" w:sz="4" w:space="0"/>
              <w:right w:val="single" w:color="auto" w:sz="4" w:space="0"/>
            </w:tcBorders>
            <w:vAlign w:val="center"/>
          </w:tcPr>
          <w:p w14:paraId="76158CBE">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投标文件应按报价文件、资格证明文件、商务文件、技术文件分别编制，并按“广西政府采购云平台”的要求编制、加密、上传。</w:t>
            </w:r>
          </w:p>
        </w:tc>
      </w:tr>
      <w:tr w14:paraId="675BCD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5DB54D36">
            <w:pPr>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20.1</w:t>
            </w:r>
          </w:p>
        </w:tc>
        <w:tc>
          <w:tcPr>
            <w:tcW w:w="9275" w:type="dxa"/>
            <w:tcBorders>
              <w:top w:val="single" w:color="auto" w:sz="4" w:space="0"/>
              <w:left w:val="single" w:color="auto" w:sz="4" w:space="0"/>
              <w:bottom w:val="single" w:color="auto" w:sz="4" w:space="0"/>
              <w:right w:val="single" w:color="auto" w:sz="4" w:space="0"/>
            </w:tcBorders>
            <w:vAlign w:val="center"/>
          </w:tcPr>
          <w:p w14:paraId="3EA39F39">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电子投标文件应在制作完成后，投标人应按“广西政府采购云平台”的要求进行加密，并在规定时间内解密，否则，由此产生的后果由投标人自行负责。</w:t>
            </w:r>
          </w:p>
        </w:tc>
      </w:tr>
      <w:tr w14:paraId="02438E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14:paraId="7520EAB4">
            <w:pPr>
              <w:spacing w:line="390" w:lineRule="exact"/>
              <w:jc w:val="center"/>
              <w:rPr>
                <w:rFonts w:hint="eastAsia" w:ascii="仿宋" w:hAnsi="仿宋" w:eastAsia="仿宋" w:cs="仿宋"/>
                <w:color w:val="auto"/>
                <w:sz w:val="24"/>
                <w:highlight w:val="none"/>
              </w:rPr>
            </w:pPr>
            <w:bookmarkStart w:id="90" w:name="_21.1"/>
            <w:bookmarkEnd w:id="90"/>
            <w:r>
              <w:rPr>
                <w:rFonts w:hint="eastAsia" w:ascii="仿宋" w:hAnsi="仿宋" w:eastAsia="仿宋" w:cs="仿宋"/>
                <w:color w:val="auto"/>
                <w:sz w:val="24"/>
                <w:highlight w:val="none"/>
              </w:rPr>
              <w:t>21.1</w:t>
            </w:r>
          </w:p>
        </w:tc>
        <w:tc>
          <w:tcPr>
            <w:tcW w:w="9275" w:type="dxa"/>
            <w:tcBorders>
              <w:top w:val="single" w:color="auto" w:sz="4" w:space="0"/>
              <w:left w:val="single" w:color="auto" w:sz="4" w:space="0"/>
              <w:bottom w:val="single" w:color="auto" w:sz="4" w:space="0"/>
              <w:right w:val="single" w:color="auto" w:sz="4" w:space="0"/>
            </w:tcBorders>
            <w:vAlign w:val="center"/>
          </w:tcPr>
          <w:p w14:paraId="51D52FA6">
            <w:pPr>
              <w:snapToGrid w:val="0"/>
              <w:spacing w:line="39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1、投标截止时间：详见招标公告</w:t>
            </w:r>
          </w:p>
          <w:p w14:paraId="58E5F2A3">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2、投标地点：详见招标公告</w:t>
            </w:r>
          </w:p>
        </w:tc>
      </w:tr>
      <w:tr w14:paraId="692B10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72BE9D94">
            <w:pPr>
              <w:spacing w:line="390" w:lineRule="exact"/>
              <w:jc w:val="center"/>
              <w:rPr>
                <w:rFonts w:hint="eastAsia" w:ascii="仿宋" w:hAnsi="仿宋" w:eastAsia="仿宋" w:cs="仿宋"/>
                <w:color w:val="auto"/>
                <w:sz w:val="24"/>
                <w:highlight w:val="none"/>
              </w:rPr>
            </w:pPr>
            <w:bookmarkStart w:id="91" w:name="_23"/>
            <w:bookmarkEnd w:id="91"/>
            <w:r>
              <w:rPr>
                <w:rFonts w:hint="eastAsia" w:ascii="仿宋" w:hAnsi="仿宋" w:eastAsia="仿宋" w:cs="仿宋"/>
                <w:color w:val="auto"/>
                <w:sz w:val="24"/>
                <w:highlight w:val="none"/>
              </w:rPr>
              <w:t>23</w:t>
            </w:r>
          </w:p>
        </w:tc>
        <w:tc>
          <w:tcPr>
            <w:tcW w:w="9275" w:type="dxa"/>
            <w:tcBorders>
              <w:top w:val="single" w:color="auto" w:sz="4" w:space="0"/>
              <w:left w:val="single" w:color="auto" w:sz="4" w:space="0"/>
              <w:bottom w:val="single" w:color="auto" w:sz="4" w:space="0"/>
              <w:right w:val="single" w:color="auto" w:sz="4" w:space="0"/>
            </w:tcBorders>
            <w:vAlign w:val="center"/>
          </w:tcPr>
          <w:p w14:paraId="236623A2">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1、开标时间：详见招标公告</w:t>
            </w:r>
          </w:p>
          <w:p w14:paraId="5A9121AB">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2、开标地点：详见招标公告</w:t>
            </w:r>
          </w:p>
        </w:tc>
      </w:tr>
      <w:tr w14:paraId="4B5313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5FD1C414">
            <w:pPr>
              <w:spacing w:line="390" w:lineRule="exact"/>
              <w:jc w:val="center"/>
              <w:rPr>
                <w:rFonts w:hint="eastAsia" w:ascii="仿宋" w:hAnsi="仿宋" w:eastAsia="仿宋" w:cs="仿宋"/>
                <w:color w:val="auto"/>
                <w:sz w:val="24"/>
                <w:highlight w:val="none"/>
              </w:rPr>
            </w:pPr>
            <w:r>
              <w:rPr>
                <w:rFonts w:hint="eastAsia" w:ascii="仿宋" w:hAnsi="仿宋" w:eastAsia="仿宋" w:cs="仿宋"/>
                <w:bCs/>
                <w:color w:val="auto"/>
                <w:sz w:val="24"/>
                <w:highlight w:val="none"/>
              </w:rPr>
              <w:t>24.2</w:t>
            </w:r>
          </w:p>
        </w:tc>
        <w:tc>
          <w:tcPr>
            <w:tcW w:w="9275" w:type="dxa"/>
            <w:tcBorders>
              <w:top w:val="single" w:color="auto" w:sz="4" w:space="0"/>
              <w:left w:val="single" w:color="auto" w:sz="4" w:space="0"/>
              <w:bottom w:val="single" w:color="auto" w:sz="4" w:space="0"/>
              <w:right w:val="single" w:color="auto" w:sz="4" w:space="0"/>
            </w:tcBorders>
            <w:vAlign w:val="center"/>
          </w:tcPr>
          <w:p w14:paraId="5695B760">
            <w:pPr>
              <w:autoSpaceDE w:val="0"/>
              <w:autoSpaceDN w:val="0"/>
              <w:adjustRightInd w:val="0"/>
              <w:spacing w:line="390" w:lineRule="exact"/>
              <w:rPr>
                <w:rFonts w:hint="eastAsia" w:ascii="仿宋" w:hAnsi="仿宋" w:eastAsia="仿宋" w:cs="仿宋"/>
                <w:color w:val="auto"/>
                <w:sz w:val="24"/>
                <w:highlight w:val="none"/>
              </w:rPr>
            </w:pPr>
            <w:r>
              <w:rPr>
                <w:rFonts w:hint="eastAsia" w:ascii="仿宋" w:hAnsi="仿宋" w:eastAsia="仿宋" w:cs="仿宋"/>
                <w:bCs/>
                <w:color w:val="auto"/>
                <w:sz w:val="24"/>
                <w:highlight w:val="none"/>
              </w:rPr>
              <w:t>“广西政府采购云平台”按开标时间自动提取所有投标文件。采购代理机构依托“广西政府采购云平台”向各投标人发出电子加密投标文件【开始解密】通知，由投标人进行投标文件解密。</w:t>
            </w:r>
            <w:r>
              <w:rPr>
                <w:rFonts w:hint="eastAsia" w:ascii="仿宋" w:hAnsi="仿宋" w:eastAsia="仿宋" w:cs="仿宋"/>
                <w:b/>
                <w:bCs/>
                <w:color w:val="auto"/>
                <w:sz w:val="24"/>
                <w:highlight w:val="none"/>
              </w:rPr>
              <w:t>投标人的法定代表人或其委托代理人须携带加密时所用的CA锁准时登录到“广西政府采购云平台”电子开标大厅签到</w:t>
            </w:r>
            <w:r>
              <w:rPr>
                <w:rFonts w:hint="eastAsia" w:ascii="仿宋" w:hAnsi="仿宋" w:eastAsia="仿宋" w:cs="仿宋"/>
                <w:b/>
                <w:color w:val="auto"/>
                <w:sz w:val="24"/>
                <w:highlight w:val="none"/>
              </w:rPr>
              <w:t>并在发起解密</w:t>
            </w:r>
            <w:r>
              <w:rPr>
                <w:rFonts w:hint="eastAsia" w:ascii="仿宋" w:hAnsi="仿宋" w:eastAsia="仿宋" w:cs="仿宋"/>
                <w:b/>
                <w:bCs/>
                <w:color w:val="auto"/>
                <w:sz w:val="24"/>
                <w:highlight w:val="none"/>
              </w:rPr>
              <w:t>通知</w:t>
            </w:r>
            <w:r>
              <w:rPr>
                <w:rFonts w:hint="eastAsia" w:ascii="仿宋" w:hAnsi="仿宋" w:eastAsia="仿宋" w:cs="仿宋"/>
                <w:b/>
                <w:color w:val="auto"/>
                <w:sz w:val="24"/>
                <w:highlight w:val="none"/>
              </w:rPr>
              <w:t>之时起30分钟内完成</w:t>
            </w:r>
            <w:r>
              <w:rPr>
                <w:rFonts w:hint="eastAsia" w:ascii="仿宋" w:hAnsi="仿宋" w:eastAsia="仿宋" w:cs="仿宋"/>
                <w:b/>
                <w:bCs/>
                <w:color w:val="auto"/>
                <w:sz w:val="24"/>
                <w:highlight w:val="none"/>
              </w:rPr>
              <w:t>对电子投标文件解密。投标文件未按时解密的，视为无效投标。</w:t>
            </w:r>
          </w:p>
        </w:tc>
      </w:tr>
      <w:tr w14:paraId="354ECE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3B17C694">
            <w:pPr>
              <w:spacing w:line="390" w:lineRule="exact"/>
              <w:jc w:val="center"/>
              <w:rPr>
                <w:rFonts w:hint="eastAsia" w:ascii="仿宋" w:hAnsi="仿宋" w:eastAsia="仿宋" w:cs="仿宋"/>
                <w:color w:val="auto"/>
                <w:sz w:val="24"/>
                <w:highlight w:val="none"/>
              </w:rPr>
            </w:pPr>
            <w:bookmarkStart w:id="92" w:name="_25.3"/>
            <w:bookmarkEnd w:id="92"/>
            <w:r>
              <w:rPr>
                <w:rFonts w:hint="eastAsia" w:ascii="仿宋" w:hAnsi="仿宋" w:eastAsia="仿宋" w:cs="仿宋"/>
                <w:color w:val="auto"/>
                <w:sz w:val="24"/>
                <w:highlight w:val="none"/>
              </w:rPr>
              <w:t>25.3（3）</w:t>
            </w:r>
          </w:p>
        </w:tc>
        <w:tc>
          <w:tcPr>
            <w:tcW w:w="9275" w:type="dxa"/>
            <w:tcBorders>
              <w:top w:val="single" w:color="auto" w:sz="4" w:space="0"/>
              <w:left w:val="single" w:color="auto" w:sz="4" w:space="0"/>
              <w:bottom w:val="single" w:color="auto" w:sz="4" w:space="0"/>
              <w:right w:val="single" w:color="auto" w:sz="4" w:space="0"/>
            </w:tcBorders>
            <w:vAlign w:val="center"/>
          </w:tcPr>
          <w:p w14:paraId="190705B1">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采购人或者采购代理机构在资格审查结束前，对投标人进行信用查询。</w:t>
            </w:r>
          </w:p>
          <w:p w14:paraId="7708DD29">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查询渠道：“信用中国”网站（www.creditchina.gov.cn）、中国政府采购网（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"http://www.ccgp.gov.cn" </w:instrText>
            </w:r>
            <w:r>
              <w:rPr>
                <w:rFonts w:hint="eastAsia" w:ascii="仿宋" w:hAnsi="仿宋" w:eastAsia="仿宋" w:cs="仿宋"/>
                <w:color w:val="auto"/>
                <w:highlight w:val="none"/>
              </w:rPr>
              <w:fldChar w:fldCharType="separate"/>
            </w:r>
            <w:r>
              <w:rPr>
                <w:rStyle w:val="58"/>
                <w:rFonts w:hint="eastAsia" w:ascii="仿宋" w:hAnsi="仿宋" w:eastAsia="仿宋" w:cs="仿宋"/>
                <w:color w:val="auto"/>
                <w:sz w:val="24"/>
                <w:highlight w:val="none"/>
              </w:rPr>
              <w:t>www.ccgp.gov.cn</w:t>
            </w:r>
            <w:r>
              <w:rPr>
                <w:rStyle w:val="58"/>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w:t>
            </w:r>
          </w:p>
          <w:p w14:paraId="7CEBCFAD">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信用查询截止时点：资格审查结束前。</w:t>
            </w:r>
          </w:p>
          <w:p w14:paraId="415F4C28">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查询记录和证据留存方式：将查询网站中的查询记录截图并作为评审资料保存。</w:t>
            </w:r>
          </w:p>
          <w:p w14:paraId="118D761C">
            <w:pPr>
              <w:snapToGrid w:val="0"/>
              <w:spacing w:line="39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信用信息使用规则：根据财政部《关于在政府采购活动中查询及使用信用记录有关问题的通知》（财库〔2016〕125号）的规定，对在“信用中国”网站(www.creditchina.gov.cn)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tc>
      </w:tr>
      <w:tr w14:paraId="43939A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5EE59E0E">
            <w:pPr>
              <w:spacing w:line="390" w:lineRule="exact"/>
              <w:jc w:val="center"/>
              <w:rPr>
                <w:rFonts w:hint="eastAsia" w:ascii="仿宋" w:hAnsi="仿宋" w:eastAsia="仿宋" w:cs="仿宋"/>
                <w:color w:val="auto"/>
                <w:sz w:val="24"/>
                <w:highlight w:val="none"/>
              </w:rPr>
            </w:pPr>
            <w:bookmarkStart w:id="93" w:name="_26"/>
            <w:bookmarkEnd w:id="93"/>
            <w:r>
              <w:rPr>
                <w:rFonts w:hint="eastAsia" w:ascii="仿宋" w:hAnsi="仿宋" w:eastAsia="仿宋" w:cs="仿宋"/>
                <w:color w:val="auto"/>
                <w:sz w:val="24"/>
                <w:highlight w:val="none"/>
              </w:rPr>
              <w:t>26</w:t>
            </w:r>
          </w:p>
        </w:tc>
        <w:tc>
          <w:tcPr>
            <w:tcW w:w="9275" w:type="dxa"/>
            <w:tcBorders>
              <w:top w:val="single" w:color="auto" w:sz="4" w:space="0"/>
              <w:left w:val="single" w:color="auto" w:sz="4" w:space="0"/>
              <w:bottom w:val="single" w:color="auto" w:sz="4" w:space="0"/>
              <w:right w:val="single" w:color="auto" w:sz="4" w:space="0"/>
            </w:tcBorders>
            <w:vAlign w:val="center"/>
          </w:tcPr>
          <w:p w14:paraId="5BE5A97C">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评标委员会的人数：5人或5人以上单数。</w:t>
            </w:r>
          </w:p>
        </w:tc>
      </w:tr>
      <w:tr w14:paraId="629B3E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1503BBC4">
            <w:pPr>
              <w:spacing w:line="390" w:lineRule="exact"/>
              <w:jc w:val="center"/>
              <w:rPr>
                <w:rFonts w:hint="eastAsia" w:ascii="仿宋" w:hAnsi="仿宋" w:eastAsia="仿宋" w:cs="仿宋"/>
                <w:color w:val="auto"/>
                <w:sz w:val="24"/>
                <w:highlight w:val="none"/>
              </w:rPr>
            </w:pPr>
            <w:bookmarkStart w:id="94" w:name="_28.3"/>
            <w:bookmarkEnd w:id="94"/>
            <w:r>
              <w:rPr>
                <w:rFonts w:hint="eastAsia" w:ascii="仿宋" w:hAnsi="仿宋" w:eastAsia="仿宋" w:cs="仿宋"/>
                <w:color w:val="auto"/>
                <w:sz w:val="24"/>
                <w:highlight w:val="none"/>
              </w:rPr>
              <w:t>29.1</w:t>
            </w:r>
          </w:p>
        </w:tc>
        <w:tc>
          <w:tcPr>
            <w:tcW w:w="9275" w:type="dxa"/>
            <w:tcBorders>
              <w:top w:val="single" w:color="auto" w:sz="4" w:space="0"/>
              <w:left w:val="single" w:color="auto" w:sz="4" w:space="0"/>
              <w:bottom w:val="single" w:color="auto" w:sz="4" w:space="0"/>
              <w:right w:val="single" w:color="auto" w:sz="4" w:space="0"/>
            </w:tcBorders>
            <w:vAlign w:val="center"/>
          </w:tcPr>
          <w:p w14:paraId="0AAA8576">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评标方法：</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eq \o\ac(□,</w:instrText>
            </w:r>
            <w:r>
              <w:rPr>
                <w:rFonts w:hint="eastAsia" w:ascii="仿宋" w:hAnsi="仿宋" w:eastAsia="仿宋" w:cs="仿宋"/>
                <w:color w:val="auto"/>
                <w:position w:val="2"/>
                <w:sz w:val="24"/>
                <w:highlight w:val="none"/>
              </w:rPr>
              <w:instrText xml:space="preserve">√</w:instrText>
            </w:r>
            <w:r>
              <w:rPr>
                <w:rFonts w:hint="eastAsia" w:ascii="仿宋" w:hAnsi="仿宋" w:eastAsia="仿宋" w:cs="仿宋"/>
                <w:color w:val="auto"/>
                <w:sz w:val="24"/>
                <w:highlight w:val="none"/>
              </w:rPr>
              <w:instrText xml:space="preserve">)</w:instrTex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综合评分法/□最低评标价法</w:t>
            </w:r>
          </w:p>
        </w:tc>
      </w:tr>
      <w:tr w14:paraId="6E07E6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14:paraId="46B7F2B1">
            <w:pPr>
              <w:spacing w:line="390" w:lineRule="exact"/>
              <w:jc w:val="center"/>
              <w:rPr>
                <w:rFonts w:hint="eastAsia" w:ascii="仿宋" w:hAnsi="仿宋" w:eastAsia="仿宋" w:cs="仿宋"/>
                <w:color w:val="auto"/>
                <w:sz w:val="24"/>
                <w:highlight w:val="none"/>
              </w:rPr>
            </w:pPr>
            <w:bookmarkStart w:id="95" w:name="_29.2.2（2）"/>
            <w:bookmarkEnd w:id="95"/>
            <w:r>
              <w:rPr>
                <w:rFonts w:hint="eastAsia" w:ascii="仿宋" w:hAnsi="仿宋" w:eastAsia="仿宋" w:cs="仿宋"/>
                <w:color w:val="auto"/>
                <w:sz w:val="24"/>
                <w:highlight w:val="none"/>
              </w:rPr>
              <w:t>29.2</w:t>
            </w:r>
          </w:p>
        </w:tc>
        <w:tc>
          <w:tcPr>
            <w:tcW w:w="9275" w:type="dxa"/>
            <w:tcBorders>
              <w:top w:val="single" w:color="auto" w:sz="4" w:space="0"/>
              <w:left w:val="single" w:color="auto" w:sz="4" w:space="0"/>
              <w:right w:val="single" w:color="auto" w:sz="4" w:space="0"/>
            </w:tcBorders>
            <w:vAlign w:val="center"/>
          </w:tcPr>
          <w:p w14:paraId="701CC600">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商务要求评审中允许负偏离的条款数为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w:t>
            </w:r>
          </w:p>
          <w:p w14:paraId="38556FAF">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技术要求评审中允许负偏离的条款数为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项。</w:t>
            </w:r>
          </w:p>
        </w:tc>
      </w:tr>
      <w:tr w14:paraId="43F65E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14:paraId="7AC92FDC">
            <w:pPr>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29.3</w:t>
            </w:r>
          </w:p>
        </w:tc>
        <w:tc>
          <w:tcPr>
            <w:tcW w:w="9275" w:type="dxa"/>
            <w:tcBorders>
              <w:top w:val="single" w:color="auto" w:sz="4" w:space="0"/>
              <w:left w:val="single" w:color="auto" w:sz="4" w:space="0"/>
              <w:right w:val="single" w:color="auto" w:sz="4" w:space="0"/>
            </w:tcBorders>
            <w:vAlign w:val="center"/>
          </w:tcPr>
          <w:p w14:paraId="27C11459">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中标候选人推荐数量：3家</w:t>
            </w:r>
          </w:p>
        </w:tc>
      </w:tr>
      <w:tr w14:paraId="12C77F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4FE07D4E">
            <w:pPr>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30.1</w:t>
            </w:r>
          </w:p>
        </w:tc>
        <w:tc>
          <w:tcPr>
            <w:tcW w:w="9275" w:type="dxa"/>
            <w:tcBorders>
              <w:top w:val="single" w:color="auto" w:sz="4" w:space="0"/>
              <w:left w:val="single" w:color="auto" w:sz="4" w:space="0"/>
              <w:bottom w:val="single" w:color="auto" w:sz="4" w:space="0"/>
              <w:right w:val="single" w:color="auto" w:sz="4" w:space="0"/>
            </w:tcBorders>
            <w:vAlign w:val="center"/>
          </w:tcPr>
          <w:p w14:paraId="4BDDC558">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eq \o\ac(□,</w:instrText>
            </w:r>
            <w:r>
              <w:rPr>
                <w:rFonts w:hint="eastAsia" w:ascii="仿宋" w:hAnsi="仿宋" w:eastAsia="仿宋" w:cs="仿宋"/>
                <w:color w:val="auto"/>
                <w:position w:val="2"/>
                <w:sz w:val="24"/>
                <w:highlight w:val="none"/>
              </w:rPr>
              <w:instrText xml:space="preserve">√</w:instrText>
            </w:r>
            <w:r>
              <w:rPr>
                <w:rFonts w:hint="eastAsia" w:ascii="仿宋" w:hAnsi="仿宋" w:eastAsia="仿宋" w:cs="仿宋"/>
                <w:color w:val="auto"/>
                <w:sz w:val="24"/>
                <w:highlight w:val="none"/>
              </w:rPr>
              <w:instrText xml:space="preserve">)</w:instrTex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采用综合评分法的采购项目，采购人确定中标人时，出现中标候选人并列的情形，采购人按以下的方式确定中标人：按综合评分中技术、商务得分高低依次确定。</w:t>
            </w:r>
          </w:p>
          <w:p w14:paraId="05AD2A84">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采用最低评标价法的采购项目，采购人确定中标人时，出现中标候选人并列的情形，采购人按以下的方式确定中标人：按节能环保优先、技术指标高优先、质保期长优先、交货期短优先、故障响应时间短优先的顺序依次确定。</w:t>
            </w:r>
          </w:p>
        </w:tc>
      </w:tr>
      <w:tr w14:paraId="1FEA27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14:paraId="21D0A4C3">
            <w:pPr>
              <w:spacing w:line="390" w:lineRule="exact"/>
              <w:jc w:val="center"/>
              <w:rPr>
                <w:rFonts w:hint="eastAsia" w:ascii="仿宋" w:hAnsi="仿宋" w:eastAsia="仿宋" w:cs="仿宋"/>
                <w:color w:val="auto"/>
                <w:sz w:val="24"/>
                <w:highlight w:val="none"/>
              </w:rPr>
            </w:pPr>
            <w:bookmarkStart w:id="96" w:name="_39.1"/>
            <w:bookmarkEnd w:id="96"/>
            <w:r>
              <w:rPr>
                <w:rFonts w:hint="eastAsia" w:ascii="仿宋" w:hAnsi="仿宋" w:eastAsia="仿宋" w:cs="仿宋"/>
                <w:color w:val="auto"/>
                <w:sz w:val="24"/>
                <w:highlight w:val="none"/>
              </w:rPr>
              <w:t>35.1</w:t>
            </w:r>
          </w:p>
        </w:tc>
        <w:tc>
          <w:tcPr>
            <w:tcW w:w="9275" w:type="dxa"/>
            <w:tcBorders>
              <w:top w:val="single" w:color="auto" w:sz="4" w:space="0"/>
              <w:left w:val="single" w:color="auto" w:sz="4" w:space="0"/>
              <w:bottom w:val="single" w:color="auto" w:sz="4" w:space="0"/>
              <w:right w:val="single" w:color="auto" w:sz="4" w:space="0"/>
            </w:tcBorders>
            <w:vAlign w:val="center"/>
          </w:tcPr>
          <w:p w14:paraId="37770BB3">
            <w:pPr>
              <w:autoSpaceDE w:val="0"/>
              <w:autoSpaceDN w:val="0"/>
              <w:snapToGrid w:val="0"/>
              <w:spacing w:line="390" w:lineRule="exact"/>
              <w:textAlignment w:val="bottom"/>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本项目不收取履约保证金。</w:t>
            </w:r>
          </w:p>
          <w:p w14:paraId="0A6E31A0">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eq \o\ac(□)</w:instrTex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本项目收取履约保证金，具体规定如下：</w:t>
            </w:r>
          </w:p>
          <w:p w14:paraId="0AD830E8">
            <w:pPr>
              <w:pStyle w:val="18"/>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履约保证金金额：按中标金额的5%。（如中标企业符合《政府采购促进中小企业发展管理办法》规定的中小微企业，则履约保证金按中标金额的2%收取）</w:t>
            </w:r>
          </w:p>
          <w:p w14:paraId="5EC982D3">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履约保证金递交方式：银行转账、支票、汇票、本票或者金融、担保机构出具的保函等非现金方式。</w:t>
            </w:r>
          </w:p>
          <w:p w14:paraId="5C9DC215">
            <w:pPr>
              <w:autoSpaceDE w:val="0"/>
              <w:autoSpaceDN w:val="0"/>
              <w:snapToGrid w:val="0"/>
              <w:spacing w:line="390" w:lineRule="exact"/>
              <w:textAlignment w:val="bottom"/>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履约保证金退付方式、时间及条件：服务期满后向采购人申请退还，采购人在收到申请后五个工作日内无息退还。</w:t>
            </w:r>
          </w:p>
          <w:p w14:paraId="581E1738">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履约保证金指定账户：</w:t>
            </w:r>
            <w:r>
              <w:rPr>
                <w:rFonts w:hint="eastAsia" w:ascii="仿宋" w:hAnsi="仿宋" w:eastAsia="仿宋" w:cs="仿宋"/>
                <w:color w:val="auto"/>
                <w:sz w:val="24"/>
                <w:highlight w:val="none"/>
                <w:lang w:eastAsia="zh-CN"/>
              </w:rPr>
              <w:t>采购人指定账户。</w:t>
            </w:r>
          </w:p>
          <w:p w14:paraId="388AF1E7">
            <w:pPr>
              <w:spacing w:line="39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p w14:paraId="671CDF3C">
            <w:pPr>
              <w:spacing w:line="39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bookmarkStart w:id="97" w:name="_Hlk54170335"/>
            <w:r>
              <w:rPr>
                <w:rFonts w:hint="eastAsia" w:ascii="仿宋" w:hAnsi="仿宋" w:eastAsia="仿宋" w:cs="仿宋"/>
                <w:b/>
                <w:color w:val="auto"/>
                <w:sz w:val="24"/>
                <w:highlight w:val="none"/>
              </w:rPr>
              <w:t>、根据《广西壮族自治区财政厅关于贯彻落实政府采购优化营商环境百日攻坚行动方案的通知》（桂财采〔2020〕49号）规定，鼓励采购人在与中小微企业签订政府采购合同时，减少或免于收取履约保证金，有必要收取履约保证金的，收取的履约保证金不得超过政府采购合同金额的5%。</w:t>
            </w:r>
            <w:bookmarkEnd w:id="97"/>
            <w:r>
              <w:rPr>
                <w:rFonts w:hint="eastAsia" w:ascii="仿宋" w:hAnsi="仿宋" w:eastAsia="仿宋" w:cs="仿宋"/>
                <w:color w:val="auto"/>
                <w:sz w:val="24"/>
                <w:highlight w:val="none"/>
              </w:rPr>
              <w:br w:type="textWrapping"/>
            </w:r>
            <w:r>
              <w:rPr>
                <w:rFonts w:hint="eastAsia" w:ascii="仿宋" w:hAnsi="仿宋" w:eastAsia="仿宋" w:cs="仿宋"/>
                <w:b/>
                <w:color w:val="auto"/>
                <w:sz w:val="24"/>
                <w:highlight w:val="none"/>
              </w:rPr>
              <w:t>2、履约保证金不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r>
              <w:rPr>
                <w:rFonts w:hint="eastAsia" w:ascii="仿宋" w:hAnsi="仿宋" w:eastAsia="仿宋" w:cs="仿宋"/>
                <w:b/>
                <w:color w:val="auto"/>
                <w:sz w:val="24"/>
                <w:highlight w:val="none"/>
              </w:rPr>
              <w:br w:type="textWrapping"/>
            </w:r>
            <w:r>
              <w:rPr>
                <w:rFonts w:hint="eastAsia" w:ascii="仿宋" w:hAnsi="仿宋" w:eastAsia="仿宋" w:cs="仿宋"/>
                <w:b/>
                <w:color w:val="auto"/>
                <w:sz w:val="24"/>
                <w:highlight w:val="none"/>
              </w:rPr>
              <w:t>3、采用金融、担保机构出具的保函的，必须为无条件保函，否则不予签订合同。</w:t>
            </w:r>
          </w:p>
          <w:p w14:paraId="560656F4">
            <w:pPr>
              <w:spacing w:line="390" w:lineRule="exact"/>
              <w:jc w:val="left"/>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4、投标人为联合体的，由联合体其中一方按规定提交的履约保证金，视为有效履约保证金。</w:t>
            </w:r>
          </w:p>
        </w:tc>
      </w:tr>
      <w:tr w14:paraId="196B30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5DC7B252">
            <w:pPr>
              <w:spacing w:line="390" w:lineRule="exact"/>
              <w:jc w:val="center"/>
              <w:rPr>
                <w:rFonts w:hint="eastAsia" w:ascii="仿宋" w:hAnsi="仿宋" w:eastAsia="仿宋" w:cs="仿宋"/>
                <w:color w:val="auto"/>
                <w:sz w:val="24"/>
                <w:highlight w:val="none"/>
              </w:rPr>
            </w:pPr>
            <w:bookmarkStart w:id="98" w:name="_40.1"/>
            <w:bookmarkEnd w:id="98"/>
            <w:r>
              <w:rPr>
                <w:rFonts w:hint="eastAsia" w:ascii="仿宋" w:hAnsi="仿宋" w:eastAsia="仿宋" w:cs="仿宋"/>
                <w:color w:val="auto"/>
                <w:sz w:val="24"/>
                <w:highlight w:val="none"/>
              </w:rPr>
              <w:t>36.1</w:t>
            </w:r>
          </w:p>
        </w:tc>
        <w:tc>
          <w:tcPr>
            <w:tcW w:w="9275" w:type="dxa"/>
            <w:tcBorders>
              <w:top w:val="single" w:color="auto" w:sz="4" w:space="0"/>
              <w:left w:val="single" w:color="auto" w:sz="4" w:space="0"/>
              <w:bottom w:val="single" w:color="auto" w:sz="4" w:space="0"/>
              <w:right w:val="single" w:color="auto" w:sz="4" w:space="0"/>
            </w:tcBorders>
            <w:vAlign w:val="center"/>
          </w:tcPr>
          <w:p w14:paraId="31D99537">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签订合同携带的证明材料： </w:t>
            </w:r>
          </w:p>
          <w:p w14:paraId="51DBC71B">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1、委托代理人负责签订合同的，须携带授权委托书及委托代理人身份证原件等其他资格证件。</w:t>
            </w:r>
          </w:p>
          <w:p w14:paraId="175CD181">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2、法定代表人负责签订合同的，须携带法定代表人身份证明原件及身份证原件等其他证明材料。</w:t>
            </w:r>
          </w:p>
        </w:tc>
      </w:tr>
      <w:tr w14:paraId="54EDE5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44E0A6F1">
            <w:pPr>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36.2</w:t>
            </w:r>
          </w:p>
        </w:tc>
        <w:tc>
          <w:tcPr>
            <w:tcW w:w="9275" w:type="dxa"/>
            <w:tcBorders>
              <w:top w:val="single" w:color="auto" w:sz="4" w:space="0"/>
              <w:left w:val="single" w:color="auto" w:sz="4" w:space="0"/>
              <w:bottom w:val="single" w:color="auto" w:sz="4" w:space="0"/>
              <w:right w:val="single" w:color="auto" w:sz="4" w:space="0"/>
            </w:tcBorders>
            <w:vAlign w:val="center"/>
          </w:tcPr>
          <w:p w14:paraId="4B6DF322">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签订合同时间：中标通知书（中标公告）发出之日起25个日历日内。</w:t>
            </w:r>
          </w:p>
        </w:tc>
      </w:tr>
      <w:tr w14:paraId="0BBEEF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5EC62DF8">
            <w:pPr>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38.2</w:t>
            </w:r>
          </w:p>
        </w:tc>
        <w:tc>
          <w:tcPr>
            <w:tcW w:w="9275" w:type="dxa"/>
            <w:tcBorders>
              <w:top w:val="single" w:color="auto" w:sz="4" w:space="0"/>
              <w:left w:val="single" w:color="auto" w:sz="4" w:space="0"/>
              <w:bottom w:val="single" w:color="auto" w:sz="4" w:space="0"/>
              <w:right w:val="single" w:color="auto" w:sz="4" w:space="0"/>
            </w:tcBorders>
            <w:vAlign w:val="center"/>
          </w:tcPr>
          <w:p w14:paraId="2AE30455">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接收质疑函方式：以纸质书面形式。</w:t>
            </w:r>
          </w:p>
          <w:p w14:paraId="1EBB86EF">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质疑联系部门及联系方式：广西科文招标有限公司桂林分公司。</w:t>
            </w:r>
          </w:p>
          <w:p w14:paraId="09AD8D88">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eastAsia="zh-CN"/>
              </w:rPr>
              <w:t>李冰华、潘虹、谢敏聪</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lang w:eastAsia="zh-CN"/>
              </w:rPr>
              <w:t>0773-7593227</w:t>
            </w:r>
            <w:r>
              <w:rPr>
                <w:rFonts w:hint="eastAsia" w:ascii="仿宋" w:hAnsi="仿宋" w:eastAsia="仿宋" w:cs="仿宋"/>
                <w:color w:val="auto"/>
                <w:sz w:val="24"/>
                <w:highlight w:val="none"/>
              </w:rPr>
              <w:t>。</w:t>
            </w:r>
          </w:p>
          <w:p w14:paraId="540A7945">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通讯地址：桂林市七星区穿山东路41号彰泰•天街V+国际中心1#楼八层802号。</w:t>
            </w:r>
          </w:p>
          <w:p w14:paraId="19E5D86A">
            <w:pPr>
              <w:autoSpaceDE w:val="0"/>
              <w:autoSpaceDN w:val="0"/>
              <w:snapToGrid w:val="0"/>
              <w:spacing w:line="390" w:lineRule="exact"/>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现场提交质疑办理业务时间：工作日，上午8:00-12:00；下午15:00-18:00（北京时间）。</w:t>
            </w:r>
          </w:p>
        </w:tc>
      </w:tr>
      <w:tr w14:paraId="09B5FB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7947F91D">
            <w:pPr>
              <w:spacing w:line="390" w:lineRule="exact"/>
              <w:jc w:val="center"/>
              <w:rPr>
                <w:rFonts w:hint="eastAsia" w:ascii="仿宋" w:hAnsi="仿宋" w:eastAsia="仿宋" w:cs="仿宋"/>
                <w:color w:val="auto"/>
                <w:sz w:val="24"/>
                <w:highlight w:val="none"/>
              </w:rPr>
            </w:pPr>
            <w:bookmarkStart w:id="99" w:name="_41"/>
            <w:bookmarkEnd w:id="99"/>
            <w:bookmarkStart w:id="100" w:name="_42"/>
            <w:bookmarkEnd w:id="100"/>
            <w:bookmarkStart w:id="101" w:name="_Hlt17709148"/>
            <w:r>
              <w:rPr>
                <w:rFonts w:hint="eastAsia" w:ascii="仿宋" w:hAnsi="仿宋" w:eastAsia="仿宋" w:cs="仿宋"/>
                <w:color w:val="auto"/>
                <w:sz w:val="24"/>
                <w:highlight w:val="none"/>
              </w:rPr>
              <w:t>3</w:t>
            </w:r>
            <w:bookmarkEnd w:id="101"/>
            <w:r>
              <w:rPr>
                <w:rFonts w:hint="eastAsia" w:ascii="仿宋" w:hAnsi="仿宋" w:eastAsia="仿宋" w:cs="仿宋"/>
                <w:color w:val="auto"/>
                <w:sz w:val="24"/>
                <w:highlight w:val="none"/>
              </w:rPr>
              <w:t>9</w:t>
            </w:r>
          </w:p>
        </w:tc>
        <w:tc>
          <w:tcPr>
            <w:tcW w:w="9275" w:type="dxa"/>
            <w:tcBorders>
              <w:top w:val="single" w:color="auto" w:sz="4" w:space="0"/>
              <w:left w:val="single" w:color="auto" w:sz="4" w:space="0"/>
              <w:bottom w:val="single" w:color="auto" w:sz="4" w:space="0"/>
              <w:right w:val="single" w:color="auto" w:sz="4" w:space="0"/>
            </w:tcBorders>
            <w:vAlign w:val="center"/>
          </w:tcPr>
          <w:p w14:paraId="68AA2D76">
            <w:pPr>
              <w:pStyle w:val="27"/>
              <w:snapToGrid w:val="0"/>
              <w:spacing w:line="39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1、代理服务费支付方式：本项目的招标代理服务费按以下收费标准向中标人收取，领取中标通知书时，中标人应向采购代理机构一次付清招标代理服务费，否则采购代理机构有权不予以办理。</w:t>
            </w:r>
          </w:p>
          <w:p w14:paraId="6829B351">
            <w:pPr>
              <w:pStyle w:val="27"/>
              <w:snapToGrid w:val="0"/>
              <w:spacing w:line="39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2、代理服务费收取标准：</w:t>
            </w:r>
          </w:p>
          <w:p w14:paraId="2E4D8248">
            <w:pPr>
              <w:pStyle w:val="27"/>
              <w:snapToGrid w:val="0"/>
              <w:spacing w:line="390" w:lineRule="exact"/>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eq \o\ac(□,</w:instrText>
            </w:r>
            <w:r>
              <w:rPr>
                <w:rFonts w:hint="eastAsia" w:ascii="仿宋" w:hAnsi="仿宋" w:eastAsia="仿宋" w:cs="仿宋"/>
                <w:color w:val="auto"/>
                <w:position w:val="2"/>
                <w:sz w:val="24"/>
                <w:highlight w:val="none"/>
              </w:rPr>
              <w:instrText xml:space="preserve">√</w:instrText>
            </w:r>
            <w:r>
              <w:rPr>
                <w:rFonts w:hint="eastAsia" w:ascii="仿宋" w:hAnsi="仿宋" w:eastAsia="仿宋" w:cs="仿宋"/>
                <w:color w:val="auto"/>
                <w:sz w:val="24"/>
                <w:highlight w:val="none"/>
              </w:rPr>
              <w:instrText xml:space="preserve">)</w:instrText>
            </w:r>
            <w:r>
              <w:rPr>
                <w:rFonts w:hint="eastAsia" w:ascii="仿宋" w:hAnsi="仿宋" w:eastAsia="仿宋" w:cs="仿宋"/>
                <w:color w:val="auto"/>
                <w:sz w:val="24"/>
                <w:highlight w:val="none"/>
              </w:rPr>
              <w:fldChar w:fldCharType="end"/>
            </w:r>
            <w:r>
              <w:rPr>
                <w:rFonts w:hint="eastAsia" w:ascii="仿宋" w:hAnsi="仿宋" w:eastAsia="仿宋" w:cs="仿宋"/>
                <w:color w:val="auto"/>
                <w:sz w:val="24"/>
                <w:szCs w:val="24"/>
                <w:highlight w:val="none"/>
              </w:rPr>
              <w:t>以标项（</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eq \o\ac(□,</w:instrText>
            </w:r>
            <w:r>
              <w:rPr>
                <w:rFonts w:hint="eastAsia" w:ascii="仿宋" w:hAnsi="仿宋" w:eastAsia="仿宋" w:cs="仿宋"/>
                <w:color w:val="auto"/>
                <w:position w:val="2"/>
                <w:sz w:val="24"/>
                <w:highlight w:val="none"/>
              </w:rPr>
              <w:instrText xml:space="preserve">√</w:instrText>
            </w:r>
            <w:r>
              <w:rPr>
                <w:rFonts w:hint="eastAsia" w:ascii="仿宋" w:hAnsi="仿宋" w:eastAsia="仿宋" w:cs="仿宋"/>
                <w:color w:val="auto"/>
                <w:sz w:val="24"/>
                <w:highlight w:val="none"/>
              </w:rPr>
              <w:instrText xml:space="preserve">)</w:instrText>
            </w:r>
            <w:r>
              <w:rPr>
                <w:rFonts w:hint="eastAsia" w:ascii="仿宋" w:hAnsi="仿宋" w:eastAsia="仿宋" w:cs="仿宋"/>
                <w:color w:val="auto"/>
                <w:sz w:val="24"/>
                <w:highlight w:val="none"/>
              </w:rPr>
              <w:fldChar w:fldCharType="end"/>
            </w:r>
            <w:r>
              <w:rPr>
                <w:rFonts w:hint="eastAsia" w:ascii="仿宋" w:hAnsi="仿宋" w:eastAsia="仿宋" w:cs="仿宋"/>
                <w:color w:val="auto"/>
                <w:sz w:val="24"/>
                <w:szCs w:val="24"/>
                <w:highlight w:val="none"/>
              </w:rPr>
              <w:t>中标金额/□采购预算/）为计费额，按本须知正文第39.2款规定的收费计算标准（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货物招标/</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eq \o\ac(□)</w:instrText>
            </w:r>
            <w:r>
              <w:rPr>
                <w:rFonts w:hint="eastAsia" w:ascii="仿宋" w:hAnsi="仿宋" w:eastAsia="仿宋" w:cs="仿宋"/>
                <w:color w:val="auto"/>
                <w:sz w:val="24"/>
                <w:highlight w:val="none"/>
              </w:rPr>
              <w:fldChar w:fldCharType="end"/>
            </w:r>
            <w:r>
              <w:rPr>
                <w:rFonts w:hint="eastAsia" w:ascii="仿宋" w:hAnsi="仿宋" w:eastAsia="仿宋" w:cs="仿宋"/>
                <w:color w:val="auto"/>
                <w:sz w:val="24"/>
                <w:szCs w:val="24"/>
                <w:highlight w:val="none"/>
              </w:rPr>
              <w:t>服务招标/□工程招标）采用差额定率累进法计算出收费基准价格，采购代理服务费收费以（□收费基准价格/</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eq \o\ac(□,</w:instrText>
            </w:r>
            <w:r>
              <w:rPr>
                <w:rFonts w:hint="eastAsia" w:ascii="仿宋" w:hAnsi="仿宋" w:eastAsia="仿宋" w:cs="仿宋"/>
                <w:color w:val="auto"/>
                <w:position w:val="2"/>
                <w:sz w:val="24"/>
                <w:highlight w:val="none"/>
              </w:rPr>
              <w:instrText xml:space="preserve">√</w:instrText>
            </w:r>
            <w:r>
              <w:rPr>
                <w:rFonts w:hint="eastAsia" w:ascii="仿宋" w:hAnsi="仿宋" w:eastAsia="仿宋" w:cs="仿宋"/>
                <w:color w:val="auto"/>
                <w:sz w:val="24"/>
                <w:highlight w:val="none"/>
              </w:rPr>
              <w:instrText xml:space="preserve">)</w:instrText>
            </w:r>
            <w:r>
              <w:rPr>
                <w:rFonts w:hint="eastAsia" w:ascii="仿宋" w:hAnsi="仿宋" w:eastAsia="仿宋" w:cs="仿宋"/>
                <w:color w:val="auto"/>
                <w:sz w:val="24"/>
                <w:highlight w:val="none"/>
              </w:rPr>
              <w:fldChar w:fldCharType="end"/>
            </w:r>
            <w:r>
              <w:rPr>
                <w:rFonts w:hint="eastAsia" w:ascii="仿宋" w:hAnsi="仿宋" w:eastAsia="仿宋" w:cs="仿宋"/>
                <w:color w:val="auto"/>
                <w:sz w:val="24"/>
                <w:szCs w:val="24"/>
                <w:highlight w:val="none"/>
              </w:rPr>
              <w:t>收费基准价格下浮</w:t>
            </w:r>
            <w:r>
              <w:rPr>
                <w:rFonts w:hint="eastAsia" w:ascii="仿宋" w:hAnsi="仿宋" w:eastAsia="仿宋" w:cs="仿宋"/>
                <w:color w:val="auto"/>
                <w:sz w:val="24"/>
                <w:szCs w:val="24"/>
                <w:highlight w:val="none"/>
                <w:u w:val="single"/>
                <w:lang w:val="en-US" w:eastAsia="zh-CN"/>
              </w:rPr>
              <w:t>40%×70%</w:t>
            </w:r>
            <w:r>
              <w:rPr>
                <w:rFonts w:hint="eastAsia" w:ascii="仿宋" w:hAnsi="仿宋" w:eastAsia="仿宋" w:cs="仿宋"/>
                <w:color w:val="auto"/>
                <w:sz w:val="24"/>
                <w:szCs w:val="24"/>
                <w:highlight w:val="none"/>
              </w:rPr>
              <w:t>/□收费基准价格上浮</w:t>
            </w:r>
            <w:r>
              <w:rPr>
                <w:rFonts w:hint="eastAsia" w:ascii="仿宋" w:hAnsi="仿宋" w:eastAsia="仿宋" w:cs="仿宋"/>
                <w:color w:val="auto"/>
                <w:sz w:val="24"/>
                <w:szCs w:val="24"/>
                <w:highlight w:val="none"/>
                <w:u w:val="single"/>
              </w:rPr>
              <w:t xml:space="preserve"> / </w:t>
            </w:r>
            <w:r>
              <w:rPr>
                <w:rFonts w:hint="eastAsia" w:ascii="仿宋" w:hAnsi="仿宋" w:eastAsia="仿宋" w:cs="仿宋"/>
                <w:color w:val="auto"/>
                <w:sz w:val="24"/>
                <w:szCs w:val="24"/>
                <w:highlight w:val="none"/>
              </w:rPr>
              <w:t>%）收取。</w:t>
            </w:r>
          </w:p>
          <w:p w14:paraId="2E919522">
            <w:pPr>
              <w:pStyle w:val="27"/>
              <w:snapToGrid w:val="0"/>
              <w:spacing w:line="390" w:lineRule="exact"/>
              <w:rPr>
                <w:rFonts w:hint="eastAsia" w:ascii="仿宋" w:hAnsi="仿宋" w:eastAsia="仿宋" w:cs="仿宋"/>
                <w:color w:val="auto"/>
                <w:sz w:val="24"/>
                <w:szCs w:val="24"/>
                <w:highlight w:val="none"/>
                <w:u w:val="single"/>
                <w:lang w:val="en-US" w:eastAsia="zh-CN"/>
              </w:rPr>
            </w:pPr>
            <w:r>
              <w:rPr>
                <w:rFonts w:hint="eastAsia" w:ascii="仿宋" w:hAnsi="仿宋" w:eastAsia="仿宋" w:cs="仿宋"/>
                <w:color w:val="auto"/>
                <w:sz w:val="24"/>
                <w:szCs w:val="24"/>
                <w:highlight w:val="none"/>
              </w:rPr>
              <w:t>□固定采购代理收费：</w:t>
            </w:r>
            <w:r>
              <w:rPr>
                <w:rFonts w:hint="eastAsia" w:ascii="仿宋" w:hAnsi="仿宋" w:eastAsia="仿宋" w:cs="仿宋"/>
                <w:color w:val="auto"/>
                <w:sz w:val="24"/>
                <w:szCs w:val="24"/>
                <w:highlight w:val="none"/>
                <w:u w:val="single"/>
                <w:lang w:val="en-US" w:eastAsia="zh-CN"/>
              </w:rPr>
              <w:t xml:space="preserve">     </w:t>
            </w:r>
          </w:p>
          <w:p w14:paraId="5A32367A">
            <w:pPr>
              <w:pStyle w:val="27"/>
              <w:snapToGrid w:val="0"/>
              <w:spacing w:line="39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3、代理服务费交纳账户信息</w:t>
            </w:r>
          </w:p>
          <w:p w14:paraId="00BD8646">
            <w:pPr>
              <w:pStyle w:val="27"/>
              <w:snapToGrid w:val="0"/>
              <w:spacing w:line="39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开户名称：广西科文招标有限公司桂林分公司</w:t>
            </w:r>
          </w:p>
          <w:p w14:paraId="43F6BD05">
            <w:pPr>
              <w:pStyle w:val="27"/>
              <w:snapToGrid w:val="0"/>
              <w:spacing w:line="39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w:t>
            </w:r>
            <w:r>
              <w:rPr>
                <w:rFonts w:hint="eastAsia" w:ascii="仿宋" w:hAnsi="仿宋" w:eastAsia="仿宋" w:cs="仿宋"/>
                <w:color w:val="auto"/>
                <w:sz w:val="24"/>
                <w:highlight w:val="none"/>
              </w:rPr>
              <w:t>中国工商银行桂林市桂湖支行</w:t>
            </w:r>
          </w:p>
          <w:p w14:paraId="7ECF06EB">
            <w:pPr>
              <w:pStyle w:val="27"/>
              <w:snapToGrid w:val="0"/>
              <w:spacing w:line="39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银行账号：</w:t>
            </w:r>
            <w:r>
              <w:rPr>
                <w:rFonts w:hint="eastAsia" w:ascii="仿宋" w:hAnsi="仿宋" w:eastAsia="仿宋" w:cs="仿宋"/>
                <w:color w:val="auto"/>
                <w:sz w:val="24"/>
                <w:highlight w:val="none"/>
              </w:rPr>
              <w:t>210 3200 2093 0000 2088</w:t>
            </w:r>
          </w:p>
        </w:tc>
      </w:tr>
      <w:tr w14:paraId="494171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6C359ABB">
            <w:pPr>
              <w:snapToGrid w:val="0"/>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40.1</w:t>
            </w:r>
          </w:p>
        </w:tc>
        <w:tc>
          <w:tcPr>
            <w:tcW w:w="9275" w:type="dxa"/>
            <w:tcBorders>
              <w:top w:val="single" w:color="auto" w:sz="4" w:space="0"/>
              <w:left w:val="single" w:color="auto" w:sz="4" w:space="0"/>
              <w:bottom w:val="single" w:color="auto" w:sz="4" w:space="0"/>
              <w:right w:val="single" w:color="auto" w:sz="4" w:space="0"/>
            </w:tcBorders>
            <w:vAlign w:val="center"/>
          </w:tcPr>
          <w:p w14:paraId="2E63AB0B">
            <w:pPr>
              <w:snapToGrid w:val="0"/>
              <w:spacing w:line="39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由采购人或者采购代理机构负责解释。</w:t>
            </w:r>
          </w:p>
        </w:tc>
      </w:tr>
      <w:tr w14:paraId="3E0A9E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14:paraId="6157429E">
            <w:pPr>
              <w:snapToGrid w:val="0"/>
              <w:spacing w:line="39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40.2</w:t>
            </w:r>
          </w:p>
        </w:tc>
        <w:tc>
          <w:tcPr>
            <w:tcW w:w="9275" w:type="dxa"/>
            <w:tcBorders>
              <w:top w:val="single" w:color="auto" w:sz="4" w:space="0"/>
              <w:left w:val="single" w:color="auto" w:sz="4" w:space="0"/>
              <w:bottom w:val="single" w:color="auto" w:sz="4" w:space="0"/>
              <w:right w:val="single" w:color="auto" w:sz="4" w:space="0"/>
            </w:tcBorders>
            <w:vAlign w:val="center"/>
          </w:tcPr>
          <w:p w14:paraId="7F095608">
            <w:pPr>
              <w:pStyle w:val="27"/>
              <w:snapToGrid w:val="0"/>
              <w:spacing w:line="390" w:lineRule="exac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1、本招标文件中描述投标人的“公章”是指根据我国对公章的管理规定，用投标人法定主体行为名称制作的印章</w:t>
            </w:r>
            <w:r>
              <w:rPr>
                <w:rFonts w:hint="eastAsia" w:ascii="仿宋" w:hAnsi="仿宋" w:eastAsia="仿宋" w:cs="仿宋"/>
                <w:color w:val="auto"/>
                <w:sz w:val="24"/>
                <w:szCs w:val="24"/>
                <w:highlight w:val="none"/>
              </w:rPr>
              <w:t>（含电子印章）</w:t>
            </w:r>
            <w:r>
              <w:rPr>
                <w:rFonts w:hint="eastAsia" w:ascii="仿宋" w:hAnsi="仿宋" w:eastAsia="仿宋" w:cs="仿宋"/>
                <w:bCs/>
                <w:color w:val="auto"/>
                <w:sz w:val="24"/>
                <w:szCs w:val="24"/>
                <w:highlight w:val="none"/>
              </w:rPr>
              <w:t>，除本招标文件有特殊规定外，投标人的财务章、部门章、分公司章、工会章、合同章、投标专用章、业务专用章及银行的转账章、现金收讫章、现金付讫章等其他形式印章均不能代替公章。</w:t>
            </w:r>
          </w:p>
          <w:p w14:paraId="1E9343FB">
            <w:pPr>
              <w:pStyle w:val="27"/>
              <w:snapToGrid w:val="0"/>
              <w:spacing w:line="390" w:lineRule="exac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7794164D">
            <w:pPr>
              <w:pStyle w:val="27"/>
              <w:snapToGrid w:val="0"/>
              <w:spacing w:line="390" w:lineRule="exac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3、本招标文件中描述投标人的“签字”是指投标人的法定代表人或者委托代理人</w:t>
            </w:r>
            <w:r>
              <w:rPr>
                <w:rFonts w:hint="eastAsia" w:ascii="仿宋" w:hAnsi="仿宋" w:eastAsia="仿宋" w:cs="仿宋"/>
                <w:color w:val="auto"/>
                <w:sz w:val="24"/>
                <w:szCs w:val="24"/>
                <w:highlight w:val="none"/>
              </w:rPr>
              <w:t>在文件规定签署处签名（含电子签名）的行为，私章、印鉴等其他形式均不能代替签字</w:t>
            </w:r>
            <w:r>
              <w:rPr>
                <w:rFonts w:hint="eastAsia" w:ascii="仿宋" w:hAnsi="仿宋" w:eastAsia="仿宋" w:cs="仿宋"/>
                <w:bCs/>
                <w:color w:val="auto"/>
                <w:sz w:val="24"/>
                <w:szCs w:val="24"/>
                <w:highlight w:val="none"/>
              </w:rPr>
              <w:t>。</w:t>
            </w:r>
          </w:p>
          <w:p w14:paraId="3F6C4D75">
            <w:pPr>
              <w:pStyle w:val="27"/>
              <w:snapToGrid w:val="0"/>
              <w:spacing w:line="390" w:lineRule="exac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4、自然人投标的，招标文件规定盖公章处由自然人摁手指指印。</w:t>
            </w:r>
          </w:p>
          <w:p w14:paraId="7394BF1E">
            <w:pPr>
              <w:spacing w:line="390" w:lineRule="exact"/>
              <w:jc w:val="left"/>
              <w:rPr>
                <w:rFonts w:hint="eastAsia" w:ascii="仿宋" w:hAnsi="仿宋" w:eastAsia="仿宋" w:cs="仿宋"/>
                <w:color w:val="auto"/>
                <w:sz w:val="24"/>
                <w:highlight w:val="none"/>
              </w:rPr>
            </w:pPr>
            <w:r>
              <w:rPr>
                <w:rFonts w:hint="eastAsia" w:ascii="仿宋" w:hAnsi="仿宋" w:eastAsia="仿宋" w:cs="仿宋"/>
                <w:bCs/>
                <w:color w:val="auto"/>
                <w:sz w:val="24"/>
                <w:highlight w:val="none"/>
              </w:rPr>
              <w:t>5、本招标文件所称的“以上”“以下”“以内”“届满”，包括本数；所称的“不满”“超过”“以外”，不包括本数。</w:t>
            </w:r>
          </w:p>
        </w:tc>
      </w:tr>
    </w:tbl>
    <w:p w14:paraId="25CE4E99">
      <w:pPr>
        <w:pStyle w:val="5"/>
        <w:keepNext w:val="0"/>
        <w:keepLines w:val="0"/>
        <w:pageBreakBefore/>
        <w:spacing w:before="0" w:after="0" w:line="415"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投标人须知正文</w:t>
      </w:r>
    </w:p>
    <w:p w14:paraId="010A978A">
      <w:pPr>
        <w:pStyle w:val="5"/>
        <w:keepNext w:val="0"/>
        <w:keepLines w:val="0"/>
        <w:spacing w:before="0" w:after="0" w:line="415"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一、总  则</w:t>
      </w:r>
    </w:p>
    <w:p w14:paraId="5521807F">
      <w:pPr>
        <w:pStyle w:val="7"/>
        <w:keepNext w:val="0"/>
        <w:keepLines w:val="0"/>
        <w:spacing w:before="0" w:after="0" w:line="360" w:lineRule="auto"/>
        <w:ind w:left="420" w:leftChars="200"/>
        <w:rPr>
          <w:rFonts w:hint="eastAsia" w:ascii="仿宋" w:hAnsi="仿宋" w:eastAsia="仿宋" w:cs="仿宋"/>
          <w:color w:val="auto"/>
          <w:sz w:val="24"/>
          <w:highlight w:val="none"/>
        </w:rPr>
      </w:pPr>
      <w:bookmarkStart w:id="102" w:name="_Toc254970527"/>
      <w:bookmarkStart w:id="103" w:name="_Toc254970668"/>
      <w:r>
        <w:rPr>
          <w:rFonts w:hint="eastAsia" w:ascii="仿宋" w:hAnsi="仿宋" w:eastAsia="仿宋" w:cs="仿宋"/>
          <w:color w:val="auto"/>
          <w:sz w:val="24"/>
          <w:highlight w:val="none"/>
        </w:rPr>
        <w:t>1.适用范围</w:t>
      </w:r>
      <w:bookmarkEnd w:id="102"/>
      <w:bookmarkEnd w:id="103"/>
    </w:p>
    <w:p w14:paraId="4F14C31B">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6E733174">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1.2本招标文件</w:t>
      </w:r>
      <w:r>
        <w:rPr>
          <w:rFonts w:hint="eastAsia" w:ascii="仿宋" w:hAnsi="仿宋" w:eastAsia="仿宋" w:cs="仿宋"/>
          <w:color w:val="auto"/>
          <w:spacing w:val="-6"/>
          <w:sz w:val="24"/>
          <w:highlight w:val="none"/>
        </w:rPr>
        <w:t>适用于本项目的所有采购程序和环节（法律、法规另有规定的，从其规定）。</w:t>
      </w:r>
    </w:p>
    <w:p w14:paraId="7AA4D099">
      <w:pPr>
        <w:pStyle w:val="7"/>
        <w:keepNext w:val="0"/>
        <w:keepLines w:val="0"/>
        <w:spacing w:before="0" w:after="0" w:line="360" w:lineRule="auto"/>
        <w:ind w:left="420" w:leftChars="200"/>
        <w:rPr>
          <w:rFonts w:hint="eastAsia" w:ascii="仿宋" w:hAnsi="仿宋" w:eastAsia="仿宋" w:cs="仿宋"/>
          <w:color w:val="auto"/>
          <w:sz w:val="24"/>
          <w:highlight w:val="none"/>
        </w:rPr>
      </w:pPr>
      <w:bookmarkStart w:id="104" w:name="_Toc254970669"/>
      <w:bookmarkStart w:id="105" w:name="_Toc254970528"/>
      <w:r>
        <w:rPr>
          <w:rFonts w:hint="eastAsia" w:ascii="仿宋" w:hAnsi="仿宋" w:eastAsia="仿宋" w:cs="仿宋"/>
          <w:color w:val="auto"/>
          <w:sz w:val="24"/>
          <w:highlight w:val="none"/>
        </w:rPr>
        <w:t>2.定义</w:t>
      </w:r>
      <w:bookmarkEnd w:id="104"/>
      <w:bookmarkEnd w:id="105"/>
    </w:p>
    <w:p w14:paraId="2ED7ACAF">
      <w:pPr>
        <w:pStyle w:val="7"/>
        <w:keepNext w:val="0"/>
        <w:keepLines w:val="0"/>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2.1“采购人”是指依法进行政府采购的国家机关、事业单位、团体组织。</w:t>
      </w:r>
    </w:p>
    <w:p w14:paraId="7547C19A">
      <w:pPr>
        <w:pStyle w:val="7"/>
        <w:keepNext w:val="0"/>
        <w:keepLines w:val="0"/>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2.2“采购代理机构”是指政府采购集中采购机构和集中采购机构以外的采购代理机构。</w:t>
      </w:r>
    </w:p>
    <w:p w14:paraId="43AF7AF7">
      <w:pPr>
        <w:pStyle w:val="7"/>
        <w:keepNext w:val="0"/>
        <w:keepLines w:val="0"/>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2.3“供应商”是指向采购人提供货物、工程或者服务的法人、其他组织或者自然人。</w:t>
      </w:r>
    </w:p>
    <w:p w14:paraId="66D649CD">
      <w:pPr>
        <w:pStyle w:val="9"/>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2.4“投标人”是指响应招标、参加投标竞争的法人、其他组织或者自然人。</w:t>
      </w:r>
    </w:p>
    <w:p w14:paraId="5A3FE2B5">
      <w:pPr>
        <w:pStyle w:val="9"/>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2.5“货物”是指各种形态和种类的物品，包括原材料、燃料、设备、产品等。</w:t>
      </w:r>
    </w:p>
    <w:p w14:paraId="4FF47DF9">
      <w:pPr>
        <w:pStyle w:val="9"/>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2.6“服务”是指招标文件规定投标人为本项目须提供的服务以及其他类似的义务。</w:t>
      </w:r>
    </w:p>
    <w:p w14:paraId="060D733C">
      <w:pPr>
        <w:pStyle w:val="9"/>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2.7“书面形式”是指合同书、信件和数据电文（包括电报、电传、传真、电子数据交换和电子邮件）等可以有形地表现所载内容的形式。</w:t>
      </w:r>
    </w:p>
    <w:p w14:paraId="35F70BD9">
      <w:pPr>
        <w:pStyle w:val="9"/>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2.8“实质性要求”是指招标文件中已经指明不满足则投标无效的条款，或者不能负偏离的条款，或者采购需求中带“</w:t>
      </w:r>
      <w:r>
        <w:rPr>
          <w:rFonts w:hint="eastAsia" w:ascii="仿宋" w:hAnsi="仿宋" w:eastAsia="仿宋" w:cs="仿宋"/>
          <w:bCs/>
          <w:color w:val="auto"/>
          <w:sz w:val="24"/>
          <w:highlight w:val="none"/>
        </w:rPr>
        <w:t>▲</w:t>
      </w:r>
      <w:r>
        <w:rPr>
          <w:rFonts w:hint="eastAsia" w:ascii="仿宋" w:hAnsi="仿宋" w:eastAsia="仿宋" w:cs="仿宋"/>
          <w:color w:val="auto"/>
          <w:sz w:val="24"/>
          <w:highlight w:val="none"/>
        </w:rPr>
        <w:t>”的条款。</w:t>
      </w:r>
    </w:p>
    <w:p w14:paraId="33D90936">
      <w:pPr>
        <w:pStyle w:val="9"/>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2.9“正偏离”，是指投标文件对招标文件“采购需求”中有关条款作出的响应优于条款要求并有利于采购人的情形。</w:t>
      </w:r>
    </w:p>
    <w:p w14:paraId="063D37D7">
      <w:pPr>
        <w:pStyle w:val="9"/>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2.10“负偏离”，是指投标文件对招标文件“采购需求”中有关条款作出的响应不满足条款要求，导致采购人要求不能得到满足的情形。</w:t>
      </w:r>
    </w:p>
    <w:p w14:paraId="58AD6862">
      <w:pPr>
        <w:pStyle w:val="9"/>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2.11“允许负偏离的条款”是指采购需求中的不属于“实质性要求”的条款。</w:t>
      </w:r>
      <w:bookmarkStart w:id="106" w:name="_Toc254970670"/>
      <w:bookmarkStart w:id="107" w:name="_Toc254970529"/>
    </w:p>
    <w:p w14:paraId="7ED35464">
      <w:pPr>
        <w:pStyle w:val="7"/>
        <w:keepNext w:val="0"/>
        <w:keepLines w:val="0"/>
        <w:spacing w:before="0" w:after="0" w:line="360" w:lineRule="auto"/>
        <w:ind w:firstLine="484" w:firstLineChars="202"/>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2.12</w:t>
      </w:r>
      <w:r>
        <w:rPr>
          <w:rFonts w:hint="eastAsia" w:ascii="仿宋" w:hAnsi="仿宋" w:eastAsia="仿宋" w:cs="仿宋"/>
          <w:b w:val="0"/>
          <w:bCs/>
          <w:color w:val="auto"/>
          <w:sz w:val="24"/>
          <w:highlight w:val="none"/>
        </w:rPr>
        <w:t>除接受进口产品</w:t>
      </w:r>
      <w:r>
        <w:rPr>
          <w:rFonts w:hint="eastAsia" w:ascii="仿宋" w:hAnsi="仿宋" w:eastAsia="仿宋" w:cs="仿宋"/>
          <w:b w:val="0"/>
          <w:bCs/>
          <w:color w:val="auto"/>
          <w:sz w:val="24"/>
          <w:highlight w:val="none"/>
          <w:lang w:eastAsia="zh-CN"/>
        </w:rPr>
        <w:t>投标</w:t>
      </w:r>
      <w:r>
        <w:rPr>
          <w:rFonts w:hint="eastAsia" w:ascii="仿宋" w:hAnsi="仿宋" w:eastAsia="仿宋" w:cs="仿宋"/>
          <w:b w:val="0"/>
          <w:bCs/>
          <w:color w:val="auto"/>
          <w:sz w:val="24"/>
          <w:highlight w:val="none"/>
        </w:rPr>
        <w:t>的采购货物外，本项目采购的货物（包括货物项目和服务项目中涉及的货物）应符合《关于在政府采购中实施本国产品标准及相关政策的通知》（国办发〔2025〕34号）中本国产品的相关规定，</w:t>
      </w:r>
      <w:r>
        <w:rPr>
          <w:rFonts w:hint="eastAsia" w:ascii="仿宋" w:hAnsi="仿宋" w:eastAsia="仿宋" w:cs="仿宋"/>
          <w:b w:val="0"/>
          <w:bCs/>
          <w:color w:val="auto"/>
          <w:sz w:val="24"/>
          <w:highlight w:val="none"/>
          <w:lang w:eastAsia="zh-CN"/>
        </w:rPr>
        <w:t>否则投标文件按无效投标处理</w:t>
      </w:r>
      <w:r>
        <w:rPr>
          <w:rFonts w:hint="eastAsia" w:ascii="仿宋" w:hAnsi="仿宋" w:eastAsia="仿宋" w:cs="仿宋"/>
          <w:b w:val="0"/>
          <w:bCs/>
          <w:color w:val="auto"/>
          <w:sz w:val="24"/>
          <w:highlight w:val="none"/>
        </w:rPr>
        <w:t>。</w:t>
      </w:r>
    </w:p>
    <w:p w14:paraId="4FC10F4F">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bookmarkEnd w:id="106"/>
      <w:bookmarkEnd w:id="107"/>
      <w:r>
        <w:rPr>
          <w:rFonts w:hint="eastAsia" w:ascii="仿宋" w:hAnsi="仿宋" w:eastAsia="仿宋" w:cs="仿宋"/>
          <w:color w:val="auto"/>
          <w:sz w:val="24"/>
          <w:highlight w:val="none"/>
        </w:rPr>
        <w:t>投标人的资格要求</w:t>
      </w:r>
    </w:p>
    <w:p w14:paraId="549D7153">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投标人的资格要求详见“投标人须知前附表”。</w:t>
      </w:r>
    </w:p>
    <w:p w14:paraId="3F56B589">
      <w:pPr>
        <w:pStyle w:val="7"/>
        <w:keepNext w:val="0"/>
        <w:keepLines w:val="0"/>
        <w:spacing w:before="0" w:after="0" w:line="360" w:lineRule="auto"/>
        <w:ind w:left="420" w:leftChars="200"/>
        <w:rPr>
          <w:rFonts w:hint="eastAsia" w:ascii="仿宋" w:hAnsi="仿宋" w:eastAsia="仿宋" w:cs="仿宋"/>
          <w:color w:val="auto"/>
          <w:sz w:val="24"/>
          <w:highlight w:val="none"/>
        </w:rPr>
      </w:pPr>
      <w:bookmarkStart w:id="108" w:name="_Toc254970530"/>
      <w:bookmarkStart w:id="109" w:name="_Toc254970671"/>
      <w:r>
        <w:rPr>
          <w:rFonts w:hint="eastAsia" w:ascii="仿宋" w:hAnsi="仿宋" w:eastAsia="仿宋" w:cs="仿宋"/>
          <w:color w:val="auto"/>
          <w:sz w:val="24"/>
          <w:highlight w:val="none"/>
        </w:rPr>
        <w:t>4.投标委托</w:t>
      </w:r>
      <w:bookmarkEnd w:id="108"/>
      <w:bookmarkEnd w:id="109"/>
    </w:p>
    <w:p w14:paraId="5459BCBB">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投标人代表参加投标活动过程中必须携带个人有效身份证件。如投标人代表不是法定代表人，须持有授权委托书（按第六章要求格式填写）。</w:t>
      </w:r>
    </w:p>
    <w:p w14:paraId="437CC068">
      <w:pPr>
        <w:pStyle w:val="7"/>
        <w:keepNext w:val="0"/>
        <w:keepLines w:val="0"/>
        <w:spacing w:before="0" w:after="0" w:line="360" w:lineRule="auto"/>
        <w:ind w:left="420" w:leftChars="200"/>
        <w:rPr>
          <w:rFonts w:hint="eastAsia" w:ascii="仿宋" w:hAnsi="仿宋" w:eastAsia="仿宋" w:cs="仿宋"/>
          <w:color w:val="auto"/>
          <w:sz w:val="24"/>
          <w:highlight w:val="none"/>
        </w:rPr>
      </w:pPr>
      <w:bookmarkStart w:id="110" w:name="_5.投标费用"/>
      <w:bookmarkEnd w:id="110"/>
      <w:bookmarkStart w:id="111" w:name="_Toc254970672"/>
      <w:bookmarkStart w:id="112" w:name="_Toc254970531"/>
      <w:r>
        <w:rPr>
          <w:rFonts w:hint="eastAsia" w:ascii="仿宋" w:hAnsi="仿宋" w:eastAsia="仿宋" w:cs="仿宋"/>
          <w:color w:val="auto"/>
          <w:sz w:val="24"/>
          <w:highlight w:val="none"/>
        </w:rPr>
        <w:t>5.投标费用</w:t>
      </w:r>
      <w:bookmarkEnd w:id="111"/>
      <w:bookmarkEnd w:id="112"/>
    </w:p>
    <w:p w14:paraId="3B3E06C4">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投标费用：投标人应承担参与本次采购活动有关的所有费用，包括但不限于获取招标文件、勘查现场、编制和提交投标文件、参加澄清说明、签订合同等，不论投标结果如何，均应自行承担。</w:t>
      </w:r>
    </w:p>
    <w:p w14:paraId="282D87DD">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6.联合体投标</w:t>
      </w:r>
    </w:p>
    <w:p w14:paraId="554C35B9">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6.1本项目是否接受联合体投标，详见“投标人须知前附表”。</w:t>
      </w:r>
    </w:p>
    <w:p w14:paraId="177F23C9">
      <w:pPr>
        <w:snapToGrid w:val="0"/>
        <w:spacing w:line="360" w:lineRule="auto"/>
        <w:ind w:firstLine="480" w:firstLineChars="200"/>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6.2如接受联合体投标，联合体投标要求详见“投标人须知前附表”。</w:t>
      </w:r>
    </w:p>
    <w:p w14:paraId="58F3E509">
      <w:pPr>
        <w:pStyle w:val="7"/>
        <w:keepNext w:val="0"/>
        <w:keepLines w:val="0"/>
        <w:spacing w:before="0" w:after="0" w:line="360" w:lineRule="auto"/>
        <w:ind w:firstLine="484" w:firstLineChars="202"/>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6.3</w:t>
      </w:r>
      <w:bookmarkStart w:id="113" w:name="_Hlk65857072"/>
      <w:r>
        <w:rPr>
          <w:rFonts w:hint="eastAsia" w:ascii="仿宋" w:hAnsi="仿宋" w:eastAsia="仿宋" w:cs="仿宋"/>
          <w:b w:val="0"/>
          <w:bCs/>
          <w:color w:val="auto"/>
          <w:sz w:val="24"/>
          <w:highlight w:val="none"/>
        </w:rPr>
        <w:t>根据《政府采购促进中小企业发展管理办法》（财库〔2020〕46号）、财政部《关于进一步加大政府采购支持中小企业力度的通知》（财库〔2022〕19号）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10%的扣除，用扣除后的价格参加评审。</w:t>
      </w:r>
      <w:bookmarkEnd w:id="113"/>
    </w:p>
    <w:p w14:paraId="2B3ED11D">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7.转包与分包             </w:t>
      </w:r>
    </w:p>
    <w:p w14:paraId="3C9E0ACA">
      <w:pPr>
        <w:pStyle w:val="7"/>
        <w:keepNext w:val="0"/>
        <w:keepLines w:val="0"/>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7.1本项目不允许转包。</w:t>
      </w:r>
    </w:p>
    <w:p w14:paraId="6FFD458E">
      <w:pPr>
        <w:pStyle w:val="7"/>
        <w:keepNext w:val="0"/>
        <w:keepLines w:val="0"/>
        <w:spacing w:before="0" w:after="0" w:line="360" w:lineRule="auto"/>
        <w:ind w:firstLine="360" w:firstLineChars="15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 xml:space="preserve"> 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14:paraId="2C4411CD">
      <w:pPr>
        <w:pStyle w:val="7"/>
        <w:keepNext w:val="0"/>
        <w:keepLines w:val="0"/>
        <w:spacing w:before="0" w:after="0" w:line="360" w:lineRule="auto"/>
        <w:ind w:firstLine="360" w:firstLineChars="15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 xml:space="preserve"> 7.3投标人根据招标文件的规定和采购项目的实际情况，拟在中标后将中标项目的非主体、非关键性工作分包的，应当在投标文件中载明分包承担主体，分包承担主体应当具备相应资质条件且不得再次分包。</w:t>
      </w:r>
    </w:p>
    <w:p w14:paraId="02A78DD9">
      <w:pPr>
        <w:pStyle w:val="7"/>
        <w:keepNext w:val="0"/>
        <w:keepLines w:val="0"/>
        <w:spacing w:before="0" w:after="0" w:line="360" w:lineRule="auto"/>
        <w:ind w:left="420" w:leftChars="200"/>
        <w:rPr>
          <w:rFonts w:hint="eastAsia" w:ascii="仿宋" w:hAnsi="仿宋" w:eastAsia="仿宋" w:cs="仿宋"/>
          <w:color w:val="auto"/>
          <w:sz w:val="24"/>
          <w:highlight w:val="none"/>
        </w:rPr>
      </w:pPr>
      <w:bookmarkStart w:id="114" w:name="_Toc254970532"/>
      <w:bookmarkStart w:id="115" w:name="_Toc254970673"/>
      <w:r>
        <w:rPr>
          <w:rFonts w:hint="eastAsia" w:ascii="仿宋" w:hAnsi="仿宋" w:eastAsia="仿宋" w:cs="仿宋"/>
          <w:color w:val="auto"/>
          <w:sz w:val="24"/>
          <w:highlight w:val="none"/>
        </w:rPr>
        <w:t>8.特别说明</w:t>
      </w:r>
      <w:bookmarkEnd w:id="114"/>
      <w:bookmarkEnd w:id="115"/>
    </w:p>
    <w:p w14:paraId="1F143DB3">
      <w:pPr>
        <w:pStyle w:val="7"/>
        <w:keepNext w:val="0"/>
        <w:keepLines w:val="0"/>
        <w:spacing w:before="0" w:after="0" w:line="360" w:lineRule="auto"/>
        <w:ind w:firstLine="420" w:firstLineChars="175"/>
        <w:rPr>
          <w:rFonts w:hint="eastAsia" w:ascii="仿宋" w:hAnsi="仿宋" w:eastAsia="仿宋" w:cs="仿宋"/>
          <w:b w:val="0"/>
          <w:color w:val="auto"/>
          <w:sz w:val="24"/>
          <w:highlight w:val="none"/>
        </w:rPr>
      </w:pPr>
      <w:bookmarkStart w:id="116" w:name="_8.1提供相同品牌产品且通过资格审查、符合性审查的不同投标人参加同一合"/>
      <w:bookmarkEnd w:id="116"/>
      <w:r>
        <w:rPr>
          <w:rFonts w:hint="eastAsia" w:ascii="仿宋" w:hAnsi="仿宋" w:eastAsia="仿宋" w:cs="仿宋"/>
          <w:b w:val="0"/>
          <w:color w:val="auto"/>
          <w:sz w:val="24"/>
          <w:highlight w:val="none"/>
          <w:lang w:val="en-US" w:eastAsia="zh-CN"/>
        </w:rPr>
        <w:t>8</w:t>
      </w:r>
      <w:r>
        <w:rPr>
          <w:rFonts w:hint="eastAsia" w:ascii="仿宋" w:hAnsi="仿宋" w:eastAsia="仿宋" w:cs="仿宋"/>
          <w:b w:val="0"/>
          <w:color w:val="auto"/>
          <w:sz w:val="24"/>
          <w:highlight w:val="none"/>
        </w:rPr>
        <w:t>.1提供相同品牌产品且通过资格审查、符合性审查的不同投标人参加同一合同项下投标的，按一家投标人计算，评审后得分最高的同品牌投标人获得中标人推荐资格；评审得分相同的，评标报价最低的同品牌投标人获得中标人推荐资格，评标报价也相同的，由评标委员会以抽签方式确定中标候选人，其他同品牌投标人不作为中标候选人。</w:t>
      </w:r>
    </w:p>
    <w:p w14:paraId="7E9E7F09">
      <w:pPr>
        <w:pStyle w:val="7"/>
        <w:keepNext w:val="0"/>
        <w:keepLines w:val="0"/>
        <w:spacing w:before="0" w:after="0" w:line="360" w:lineRule="auto"/>
        <w:ind w:firstLine="420" w:firstLineChars="175"/>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非单一产品采购项目，多家投标人提供的核心产品品牌相同的，按前款规定处理。</w:t>
      </w:r>
    </w:p>
    <w:p w14:paraId="3221CE83">
      <w:pPr>
        <w:pStyle w:val="7"/>
        <w:keepNext w:val="0"/>
        <w:keepLines w:val="0"/>
        <w:spacing w:before="0" w:after="0" w:line="360" w:lineRule="auto"/>
        <w:ind w:firstLine="420" w:firstLineChars="175"/>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8</w:t>
      </w:r>
      <w:r>
        <w:rPr>
          <w:rFonts w:hint="eastAsia" w:ascii="仿宋" w:hAnsi="仿宋" w:eastAsia="仿宋" w:cs="仿宋"/>
          <w:b w:val="0"/>
          <w:bCs w:val="0"/>
          <w:color w:val="auto"/>
          <w:sz w:val="24"/>
          <w:highlight w:val="none"/>
        </w:rPr>
        <w:t>.2本国产品标准</w:t>
      </w:r>
    </w:p>
    <w:p w14:paraId="6CD0F974">
      <w:pPr>
        <w:pStyle w:val="7"/>
        <w:keepNext w:val="0"/>
        <w:keepLines w:val="0"/>
        <w:spacing w:before="0" w:after="0" w:line="360" w:lineRule="auto"/>
        <w:ind w:firstLine="420" w:firstLineChars="175"/>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lang w:val="en-US" w:eastAsia="zh-CN"/>
        </w:rPr>
        <w:t>8</w:t>
      </w:r>
      <w:r>
        <w:rPr>
          <w:rFonts w:hint="eastAsia" w:ascii="仿宋" w:hAnsi="仿宋" w:eastAsia="仿宋" w:cs="仿宋"/>
          <w:b w:val="0"/>
          <w:color w:val="auto"/>
          <w:sz w:val="24"/>
          <w:highlight w:val="none"/>
        </w:rPr>
        <w:t>.2.1本国产品应当符合以下条件：</w:t>
      </w:r>
    </w:p>
    <w:p w14:paraId="72A29200">
      <w:pPr>
        <w:pStyle w:val="7"/>
        <w:keepNext w:val="0"/>
        <w:keepLines w:val="0"/>
        <w:spacing w:before="0" w:after="0" w:line="360" w:lineRule="auto"/>
        <w:ind w:firstLine="420" w:firstLineChars="175"/>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（一）在中国境内生产</w:t>
      </w:r>
    </w:p>
    <w:p w14:paraId="64988B6C">
      <w:pPr>
        <w:pStyle w:val="7"/>
        <w:keepNext w:val="0"/>
        <w:keepLines w:val="0"/>
        <w:spacing w:before="0" w:after="0" w:line="360" w:lineRule="auto"/>
        <w:ind w:firstLine="420" w:firstLineChars="175"/>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产品应当在中国境内生产，即在中华人民共和国关境内实现从原材料、组件到产品的属性改变。</w:t>
      </w:r>
    </w:p>
    <w:p w14:paraId="57366DCB">
      <w:pPr>
        <w:pStyle w:val="7"/>
        <w:keepNext w:val="0"/>
        <w:keepLines w:val="0"/>
        <w:spacing w:before="0" w:after="0" w:line="360" w:lineRule="auto"/>
        <w:ind w:firstLine="420" w:firstLineChars="175"/>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属性改变是指经过制造、加工或者组装等工序，产生完全不同于原材料、组件的新产品，并具有新的名称和特征（用途）。属性改变不包括以下细微操作：</w:t>
      </w:r>
    </w:p>
    <w:p w14:paraId="74EB458F">
      <w:pPr>
        <w:pStyle w:val="7"/>
        <w:keepNext w:val="0"/>
        <w:keepLines w:val="0"/>
        <w:spacing w:before="0" w:after="0" w:line="360" w:lineRule="auto"/>
        <w:ind w:firstLine="420" w:firstLineChars="175"/>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1.为确保产品在运输或者储存期间保持某种状态而进行的操作；</w:t>
      </w:r>
    </w:p>
    <w:p w14:paraId="33B6DE23">
      <w:pPr>
        <w:pStyle w:val="7"/>
        <w:keepNext w:val="0"/>
        <w:keepLines w:val="0"/>
        <w:spacing w:before="0" w:after="0" w:line="360" w:lineRule="auto"/>
        <w:ind w:firstLine="420" w:firstLineChars="175"/>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2.为产品运输或者销售进行的包装或者展示；</w:t>
      </w:r>
    </w:p>
    <w:p w14:paraId="7F5763C1">
      <w:pPr>
        <w:pStyle w:val="7"/>
        <w:keepNext w:val="0"/>
        <w:keepLines w:val="0"/>
        <w:spacing w:before="0" w:after="0" w:line="360" w:lineRule="auto"/>
        <w:ind w:firstLine="420" w:firstLineChars="175"/>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3.在产品或者其包装上粘贴或者印刷品牌、标志、标识以及其他用于区别的标记；</w:t>
      </w:r>
    </w:p>
    <w:p w14:paraId="32EF2515">
      <w:pPr>
        <w:pStyle w:val="7"/>
        <w:keepNext w:val="0"/>
        <w:keepLines w:val="0"/>
        <w:spacing w:before="0" w:after="0" w:line="360" w:lineRule="auto"/>
        <w:ind w:firstLine="420" w:firstLineChars="175"/>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4.简单的上漆、磨光和分装；</w:t>
      </w:r>
    </w:p>
    <w:p w14:paraId="41F6AF25">
      <w:pPr>
        <w:pStyle w:val="7"/>
        <w:keepNext w:val="0"/>
        <w:keepLines w:val="0"/>
        <w:spacing w:before="0" w:after="0" w:line="360" w:lineRule="auto"/>
        <w:ind w:firstLine="420" w:firstLineChars="175"/>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5.其他不属于属性改变的情形。</w:t>
      </w:r>
    </w:p>
    <w:p w14:paraId="321F708E">
      <w:pPr>
        <w:pStyle w:val="7"/>
        <w:keepNext w:val="0"/>
        <w:keepLines w:val="0"/>
        <w:spacing w:before="0" w:after="0" w:line="360" w:lineRule="auto"/>
        <w:ind w:firstLine="420" w:firstLineChars="175"/>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（二）在中国境内生产的组件成本占比达到规定比例</w:t>
      </w:r>
    </w:p>
    <w:p w14:paraId="7E2CC992">
      <w:pPr>
        <w:pStyle w:val="7"/>
        <w:keepNext w:val="0"/>
        <w:keepLines w:val="0"/>
        <w:spacing w:before="0" w:after="0" w:line="360" w:lineRule="auto"/>
        <w:ind w:firstLine="420" w:firstLineChars="175"/>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产品在中国境内生产的组件成本占比应当达到规定比例，计算公式为：</w:t>
      </w:r>
    </w:p>
    <w:p w14:paraId="7D55AA85">
      <w:pPr>
        <w:pStyle w:val="7"/>
        <w:keepNext w:val="0"/>
        <w:keepLines w:val="0"/>
        <w:spacing w:before="0" w:after="0" w:line="360" w:lineRule="auto"/>
        <w:ind w:firstLine="492" w:firstLineChars="175"/>
        <w:rPr>
          <w:rFonts w:hint="eastAsia" w:ascii="仿宋" w:hAnsi="仿宋" w:eastAsia="仿宋" w:cs="仿宋"/>
          <w:b w:val="0"/>
          <w:color w:val="auto"/>
          <w:sz w:val="24"/>
          <w:highlight w:val="none"/>
        </w:rPr>
      </w:pPr>
      <w:r>
        <w:rPr>
          <w:rFonts w:hint="eastAsia" w:hAnsi="宋体" w:cs="宋体"/>
          <w:highlight w:val="none"/>
        </w:rPr>
        <w:drawing>
          <wp:inline distT="0" distB="0" distL="114300" distR="114300">
            <wp:extent cx="4829175" cy="762000"/>
            <wp:effectExtent l="0" t="0" r="9525" b="0"/>
            <wp:docPr id="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6"/>
                    <pic:cNvPicPr>
                      <a:picLocks noChangeAspect="1"/>
                    </pic:cNvPicPr>
                  </pic:nvPicPr>
                  <pic:blipFill>
                    <a:blip r:embed="rId18"/>
                    <a:stretch>
                      <a:fillRect/>
                    </a:stretch>
                  </pic:blipFill>
                  <pic:spPr>
                    <a:xfrm>
                      <a:off x="0" y="0"/>
                      <a:ext cx="4829175" cy="762000"/>
                    </a:xfrm>
                    <a:prstGeom prst="rect">
                      <a:avLst/>
                    </a:prstGeom>
                    <a:noFill/>
                    <a:ln>
                      <a:noFill/>
                    </a:ln>
                  </pic:spPr>
                </pic:pic>
              </a:graphicData>
            </a:graphic>
          </wp:inline>
        </w:drawing>
      </w:r>
    </w:p>
    <w:p w14:paraId="0334E31A">
      <w:pPr>
        <w:pStyle w:val="7"/>
        <w:keepNext w:val="0"/>
        <w:keepLines w:val="0"/>
        <w:spacing w:before="0" w:after="0" w:line="360" w:lineRule="auto"/>
        <w:ind w:firstLine="420" w:firstLineChars="175"/>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财政部会同有关行业主管部门，分产品确定在中国境内生产的组件成本占比应当达到的规定比例。在分产品的中国境内生产的组件成本占比相关要求实施前，符合本通知第一条第（一）项条件的产品在政府采购活动中视同本国产品。</w:t>
      </w:r>
    </w:p>
    <w:p w14:paraId="3C435D50">
      <w:pPr>
        <w:pStyle w:val="7"/>
        <w:keepNext w:val="0"/>
        <w:keepLines w:val="0"/>
        <w:spacing w:before="0" w:after="0" w:line="360" w:lineRule="auto"/>
        <w:ind w:firstLine="420" w:firstLineChars="175"/>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（三）特定产品的关键组件、关键工序符合相关要求</w:t>
      </w:r>
    </w:p>
    <w:p w14:paraId="130C0C5A">
      <w:pPr>
        <w:pStyle w:val="7"/>
        <w:keepNext w:val="0"/>
        <w:keepLines w:val="0"/>
        <w:spacing w:before="0" w:after="0" w:line="360" w:lineRule="auto"/>
        <w:ind w:firstLine="420" w:firstLineChars="175"/>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对特定产品，在符合本通知第一条第（一）项和第（二）项条件的基础上，应当符合财政部会同有关行业主管部门确定的其关键组件、关键工序在中国境内生产、完成等要求。</w:t>
      </w:r>
    </w:p>
    <w:p w14:paraId="73F19E2E">
      <w:pPr>
        <w:pStyle w:val="7"/>
        <w:keepNext w:val="0"/>
        <w:keepLines w:val="0"/>
        <w:spacing w:before="0" w:after="0" w:line="360" w:lineRule="auto"/>
        <w:ind w:firstLine="420" w:firstLineChars="175"/>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财政部会同有关行业主管部门自本通知施行之日起5年内，在充分征求有关内外资企业、行业协会商会等方面意见的基础上，分类施策、稳妥推进，分产品确定在中国境内生产的组件成本占比要求，以及特定产品的关键组件、关键工序相关要求，并根据不同行业的发展情况，在出台具体产品相关要求时，设置3—5年过渡期，逐步建立政府采购中本国产品标准体系和动态调整机制。</w:t>
      </w:r>
    </w:p>
    <w:p w14:paraId="4D45AE3D">
      <w:pPr>
        <w:pStyle w:val="7"/>
        <w:keepNext w:val="0"/>
        <w:keepLines w:val="0"/>
        <w:spacing w:before="0" w:after="0" w:line="360" w:lineRule="auto"/>
        <w:ind w:firstLine="420" w:firstLineChars="175"/>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lang w:val="en-US" w:eastAsia="zh-CN"/>
        </w:rPr>
        <w:t>8</w:t>
      </w:r>
      <w:r>
        <w:rPr>
          <w:rFonts w:hint="eastAsia" w:ascii="仿宋" w:hAnsi="仿宋" w:eastAsia="仿宋" w:cs="仿宋"/>
          <w:b w:val="0"/>
          <w:color w:val="auto"/>
          <w:sz w:val="24"/>
          <w:highlight w:val="none"/>
        </w:rPr>
        <w:t>.2.2本国产品标准的适用范围</w:t>
      </w:r>
    </w:p>
    <w:p w14:paraId="5AB5769C">
      <w:pPr>
        <w:pStyle w:val="7"/>
        <w:keepNext w:val="0"/>
        <w:keepLines w:val="0"/>
        <w:spacing w:before="0" w:after="0" w:line="360" w:lineRule="auto"/>
        <w:ind w:firstLine="420" w:firstLineChars="175"/>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049CC9D6">
      <w:pPr>
        <w:pStyle w:val="7"/>
        <w:keepNext w:val="0"/>
        <w:keepLines w:val="0"/>
        <w:spacing w:before="0" w:after="0" w:line="360" w:lineRule="auto"/>
        <w:ind w:firstLine="420" w:firstLineChars="175"/>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lang w:val="en-US" w:eastAsia="zh-CN"/>
        </w:rPr>
        <w:t>8</w:t>
      </w:r>
      <w:r>
        <w:rPr>
          <w:rFonts w:hint="eastAsia" w:ascii="仿宋" w:hAnsi="仿宋" w:eastAsia="仿宋" w:cs="仿宋"/>
          <w:b w:val="0"/>
          <w:color w:val="auto"/>
          <w:sz w:val="24"/>
          <w:highlight w:val="none"/>
        </w:rPr>
        <w:t>.2.3对本国产品的支持政策</w:t>
      </w:r>
    </w:p>
    <w:p w14:paraId="1B3C2C7C">
      <w:pPr>
        <w:pStyle w:val="7"/>
        <w:keepNext w:val="0"/>
        <w:keepLines w:val="0"/>
        <w:spacing w:before="0" w:after="0" w:line="360" w:lineRule="auto"/>
        <w:ind w:firstLine="420" w:firstLineChars="175"/>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政府采购活动中既有本国产品又有非本国产品参与竞争的，依法对本国产品给予价格评审优惠，对本国产品的报价给予20%的价格扣除，用扣除后的价格参与评审。</w:t>
      </w:r>
    </w:p>
    <w:p w14:paraId="238C0F8B">
      <w:pPr>
        <w:pStyle w:val="7"/>
        <w:keepNext w:val="0"/>
        <w:keepLines w:val="0"/>
        <w:spacing w:before="0" w:after="0" w:line="360" w:lineRule="auto"/>
        <w:ind w:firstLine="420" w:firstLineChars="175"/>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45861CA3">
      <w:pPr>
        <w:tabs>
          <w:tab w:val="left" w:pos="1635"/>
        </w:tabs>
        <w:spacing w:line="360" w:lineRule="exact"/>
        <w:ind w:firstLine="435"/>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rPr>
        <w:t>8</w:t>
      </w:r>
      <w:r>
        <w:rPr>
          <w:rFonts w:hint="eastAsia" w:ascii="仿宋" w:hAnsi="仿宋" w:eastAsia="仿宋" w:cs="仿宋"/>
          <w:b/>
          <w:sz w:val="24"/>
          <w:szCs w:val="24"/>
          <w:highlight w:val="none"/>
        </w:rPr>
        <w:t>.3关联供应商不得参加同一合同项下政府采购活动，否则投标文件将被视为无效：</w:t>
      </w:r>
    </w:p>
    <w:p w14:paraId="5326A9A6">
      <w:pPr>
        <w:tabs>
          <w:tab w:val="left" w:pos="1635"/>
        </w:tabs>
        <w:spacing w:line="360" w:lineRule="exact"/>
        <w:ind w:firstLine="482" w:firstLineChars="200"/>
        <w:rPr>
          <w:rFonts w:hint="eastAsia" w:ascii="仿宋" w:hAnsi="仿宋" w:eastAsia="仿宋" w:cs="仿宋"/>
          <w:b/>
          <w:sz w:val="24"/>
          <w:szCs w:val="24"/>
          <w:highlight w:val="none"/>
        </w:rPr>
      </w:pPr>
      <w:r>
        <w:rPr>
          <w:rFonts w:hint="eastAsia" w:ascii="仿宋" w:hAnsi="仿宋" w:eastAsia="仿宋" w:cs="仿宋"/>
          <w:b/>
          <w:sz w:val="24"/>
          <w:szCs w:val="24"/>
          <w:highlight w:val="none"/>
        </w:rPr>
        <w:t>（1）单位负责人为同一人或者存在直接控股、管理关系的不同供应商，不得参加同一合同项下的政府采购活动。</w:t>
      </w:r>
    </w:p>
    <w:p w14:paraId="0A14D852">
      <w:pPr>
        <w:tabs>
          <w:tab w:val="left" w:pos="1635"/>
        </w:tabs>
        <w:spacing w:line="360" w:lineRule="exact"/>
        <w:ind w:firstLine="435"/>
        <w:rPr>
          <w:rFonts w:hint="eastAsia" w:ascii="仿宋" w:hAnsi="仿宋" w:eastAsia="仿宋" w:cs="仿宋"/>
          <w:b/>
          <w:sz w:val="24"/>
          <w:szCs w:val="24"/>
          <w:highlight w:val="none"/>
        </w:rPr>
      </w:pPr>
      <w:r>
        <w:rPr>
          <w:rFonts w:hint="eastAsia" w:ascii="仿宋" w:hAnsi="仿宋" w:eastAsia="仿宋" w:cs="仿宋"/>
          <w:b/>
          <w:sz w:val="24"/>
          <w:szCs w:val="24"/>
          <w:highlight w:val="none"/>
        </w:rPr>
        <w:t>（2）为本采购项目提供整体设计、规范编制或者项目管理、监理、检测等服务的供应商，不得再参加本次采购活动。</w:t>
      </w:r>
    </w:p>
    <w:p w14:paraId="604B39F8">
      <w:pPr>
        <w:tabs>
          <w:tab w:val="left" w:pos="1635"/>
        </w:tabs>
        <w:spacing w:line="360" w:lineRule="exact"/>
        <w:ind w:firstLine="435"/>
        <w:rPr>
          <w:rFonts w:hint="eastAsia" w:ascii="仿宋" w:hAnsi="仿宋" w:eastAsia="仿宋" w:cs="仿宋"/>
          <w:b/>
          <w:sz w:val="24"/>
          <w:szCs w:val="24"/>
          <w:highlight w:val="none"/>
        </w:rPr>
      </w:pPr>
      <w:r>
        <w:rPr>
          <w:rFonts w:hint="eastAsia" w:ascii="仿宋" w:hAnsi="仿宋" w:eastAsia="仿宋" w:cs="仿宋"/>
          <w:b/>
          <w:sz w:val="24"/>
          <w:szCs w:val="24"/>
          <w:highlight w:val="none"/>
        </w:rPr>
        <w:t>（3）生产厂商授权给供应商后自己不得参加同一合同项下的政府采购活动。</w:t>
      </w:r>
    </w:p>
    <w:p w14:paraId="7B7C805F">
      <w:pPr>
        <w:tabs>
          <w:tab w:val="left" w:pos="1635"/>
        </w:tabs>
        <w:spacing w:line="360" w:lineRule="exact"/>
        <w:ind w:firstLine="435"/>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.4投标人必须仔细阅读招标文件的所有内容，按照招标文件的要求提交投标文件，并对所提供的全部资料的真实性承担法律责任。</w:t>
      </w:r>
    </w:p>
    <w:p w14:paraId="70698B19">
      <w:pPr>
        <w:tabs>
          <w:tab w:val="left" w:pos="1635"/>
        </w:tabs>
        <w:spacing w:line="360" w:lineRule="exact"/>
        <w:ind w:firstLine="435"/>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rPr>
        <w:t>8</w:t>
      </w:r>
      <w:r>
        <w:rPr>
          <w:rFonts w:hint="eastAsia" w:ascii="仿宋" w:hAnsi="仿宋" w:eastAsia="仿宋" w:cs="仿宋"/>
          <w:b/>
          <w:sz w:val="24"/>
          <w:szCs w:val="24"/>
          <w:highlight w:val="none"/>
        </w:rPr>
        <w:t>.5投标人在投标活动中提供任何虚假材料，其投标无效，并报监管部门查处；中标后发现的，中标人须依照《中华人民共和国消费者权益保护法》规定赔偿采购人，且民事赔偿并不免除违法投标人的行政与刑事责任。</w:t>
      </w:r>
    </w:p>
    <w:p w14:paraId="232FBF7F">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9.回避与串通投标</w:t>
      </w:r>
    </w:p>
    <w:p w14:paraId="1D147D3A">
      <w:pPr>
        <w:pStyle w:val="7"/>
        <w:keepNext w:val="0"/>
        <w:keepLines w:val="0"/>
        <w:spacing w:before="0" w:after="0" w:line="360" w:lineRule="auto"/>
        <w:ind w:firstLine="422" w:firstLineChars="175"/>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9.1在政府采购活动中，采购人员及相关人员与供应商有下列利害关系之一的，应当回避：</w:t>
      </w:r>
    </w:p>
    <w:p w14:paraId="14B2E144">
      <w:pPr>
        <w:pStyle w:val="27"/>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（1）参加采购活动前3年内与供应商存在劳动关系；</w:t>
      </w:r>
    </w:p>
    <w:p w14:paraId="1A4969BD">
      <w:pPr>
        <w:pStyle w:val="27"/>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（2）参加采购活动前3年内担任供应商的董事、监事；</w:t>
      </w:r>
    </w:p>
    <w:p w14:paraId="4A52B346">
      <w:pPr>
        <w:pStyle w:val="27"/>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（3）参加采购活动前3年内是供应商的控股股东或者实际控制人；</w:t>
      </w:r>
    </w:p>
    <w:p w14:paraId="43B88266">
      <w:pPr>
        <w:pStyle w:val="27"/>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（4）与供应商的法定代表人或者负责人有夫妻、直系血亲、三代以内旁系血亲或者近姻亲关系；</w:t>
      </w:r>
    </w:p>
    <w:p w14:paraId="7E15183B">
      <w:pPr>
        <w:pStyle w:val="27"/>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（5）与供应商有其他可能影响政府采购活动公平、公正进行的关系。</w:t>
      </w:r>
    </w:p>
    <w:p w14:paraId="6333C750">
      <w:pPr>
        <w:pStyle w:val="27"/>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4EED4002">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9.2有下列情形之一的视为投标人相互串通投标，投标文件将被视为无效：</w:t>
      </w:r>
    </w:p>
    <w:p w14:paraId="65168E97">
      <w:pPr>
        <w:pStyle w:val="27"/>
        <w:snapToGrid w:val="0"/>
        <w:spacing w:line="360" w:lineRule="auto"/>
        <w:ind w:left="2" w:leftChars="1" w:firstLine="482" w:firstLineChars="200"/>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 xml:space="preserve">（1）不同投标人的投标文件由同一单位或者个人编制； </w:t>
      </w:r>
    </w:p>
    <w:p w14:paraId="363799B8">
      <w:pPr>
        <w:pStyle w:val="27"/>
        <w:snapToGrid w:val="0"/>
        <w:spacing w:line="360" w:lineRule="auto"/>
        <w:ind w:left="2" w:leftChars="1" w:firstLine="482" w:firstLineChars="200"/>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（2）不同投标人委托同一单位或者个人办理投标事宜；</w:t>
      </w:r>
    </w:p>
    <w:p w14:paraId="096ED3E9">
      <w:pPr>
        <w:pStyle w:val="27"/>
        <w:snapToGrid w:val="0"/>
        <w:spacing w:line="360" w:lineRule="auto"/>
        <w:ind w:left="2" w:leftChars="1" w:firstLine="482" w:firstLineChars="200"/>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（3）不同的投标人的投标文件载明的项目管理员为同一个人；</w:t>
      </w:r>
    </w:p>
    <w:p w14:paraId="4192F6BA">
      <w:pPr>
        <w:pStyle w:val="27"/>
        <w:snapToGrid w:val="0"/>
        <w:spacing w:line="360" w:lineRule="auto"/>
        <w:ind w:left="2" w:leftChars="1" w:firstLine="482" w:firstLineChars="200"/>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（4）不同投标人的投标文件异常一致或者投标报价呈规律性差异；</w:t>
      </w:r>
    </w:p>
    <w:p w14:paraId="3B4F9B93">
      <w:pPr>
        <w:pStyle w:val="27"/>
        <w:snapToGrid w:val="0"/>
        <w:spacing w:line="360" w:lineRule="auto"/>
        <w:ind w:left="2" w:leftChars="1" w:firstLine="482" w:firstLineChars="200"/>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（5）不同投标人的投标文件相互混装；</w:t>
      </w:r>
    </w:p>
    <w:p w14:paraId="54E3AD6B">
      <w:pPr>
        <w:pStyle w:val="27"/>
        <w:snapToGrid w:val="0"/>
        <w:spacing w:line="360" w:lineRule="auto"/>
        <w:ind w:left="2" w:leftChars="1" w:firstLine="482" w:firstLineChars="200"/>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（6）不同投标人的投标保证金从同一单位或者个人账户转出。</w:t>
      </w:r>
    </w:p>
    <w:p w14:paraId="32D5157D">
      <w:pPr>
        <w:pStyle w:val="7"/>
        <w:keepNext w:val="0"/>
        <w:keepLines w:val="0"/>
        <w:spacing w:before="0" w:after="0" w:line="360" w:lineRule="auto"/>
        <w:ind w:left="420" w:left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9.3供应商有下列情形之一的，属于恶意串通行为，将报同级监督管理部门：</w:t>
      </w:r>
    </w:p>
    <w:p w14:paraId="7814A6E6">
      <w:pPr>
        <w:pStyle w:val="27"/>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（1）供应商直接或者间接从采购人或者采购代理机构处获得其他供应商的相关信息并修改其投标文件或者响应文件；</w:t>
      </w:r>
    </w:p>
    <w:p w14:paraId="28447275">
      <w:pPr>
        <w:pStyle w:val="27"/>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（2）供应商按照采购人或者采购代理机构的授意撤换、修改投标文件或者响应文件；</w:t>
      </w:r>
    </w:p>
    <w:p w14:paraId="34C544FD">
      <w:pPr>
        <w:pStyle w:val="27"/>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（3）供应商之间协商报价、技术方案等投标文件或者响应文件的实质性内容；</w:t>
      </w:r>
    </w:p>
    <w:p w14:paraId="7D10412D">
      <w:pPr>
        <w:pStyle w:val="27"/>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（4）属于同一集团、协会、商会等组织成员的供应商按照该组织要求协同参加政府采购活动；</w:t>
      </w:r>
    </w:p>
    <w:p w14:paraId="356B9D5F">
      <w:pPr>
        <w:pStyle w:val="27"/>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（5）供应商之间事先约定一致抬高或者压低投标报价，或者在招标项目中事先约定轮流以高价位或者低价位中标，或者事先约定由某一特定供应商中标，然后再参加投标；</w:t>
      </w:r>
    </w:p>
    <w:p w14:paraId="480DFB08">
      <w:pPr>
        <w:pStyle w:val="27"/>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（6）供应商之间商定部分供应商放弃参加政府采购活动或者放弃中标；</w:t>
      </w:r>
    </w:p>
    <w:p w14:paraId="1AFE84F0">
      <w:pPr>
        <w:pStyle w:val="27"/>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（7）供应商与采购人或者采购代理机构之间、供应商相互之间，为谋求特定供应商中标或者排斥其他供应商的其他串通行为。</w:t>
      </w:r>
    </w:p>
    <w:p w14:paraId="659589EE">
      <w:pPr>
        <w:pStyle w:val="5"/>
        <w:keepNext w:val="0"/>
        <w:keepLines w:val="0"/>
        <w:jc w:val="center"/>
        <w:rPr>
          <w:rFonts w:hint="eastAsia" w:ascii="仿宋" w:hAnsi="仿宋" w:eastAsia="仿宋" w:cs="仿宋"/>
          <w:color w:val="auto"/>
          <w:highlight w:val="none"/>
        </w:rPr>
      </w:pPr>
      <w:bookmarkStart w:id="117" w:name="_Toc254970534"/>
      <w:bookmarkStart w:id="118" w:name="_Toc254970675"/>
      <w:r>
        <w:rPr>
          <w:rFonts w:hint="eastAsia" w:ascii="仿宋" w:hAnsi="仿宋" w:eastAsia="仿宋" w:cs="仿宋"/>
          <w:color w:val="auto"/>
          <w:highlight w:val="none"/>
        </w:rPr>
        <w:t>二、招标文件</w:t>
      </w:r>
      <w:bookmarkEnd w:id="117"/>
      <w:bookmarkEnd w:id="118"/>
    </w:p>
    <w:p w14:paraId="6C76675E">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10.招标文件的组成</w:t>
      </w:r>
    </w:p>
    <w:p w14:paraId="3ADB84E5">
      <w:pP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（1）招标公告；</w:t>
      </w:r>
    </w:p>
    <w:p w14:paraId="2FE9E35B">
      <w:pP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（2）采购需求； </w:t>
      </w:r>
    </w:p>
    <w:p w14:paraId="023C35E6">
      <w:pP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（3）投标人须知；</w:t>
      </w:r>
    </w:p>
    <w:p w14:paraId="76144F52">
      <w:pP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（4）评标方法及评标标准；</w:t>
      </w:r>
    </w:p>
    <w:p w14:paraId="28BE7C98">
      <w:pP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（5）拟签订的合同文本；</w:t>
      </w:r>
    </w:p>
    <w:p w14:paraId="0B88D1E9">
      <w:pP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（6）投标文件格式。</w:t>
      </w:r>
    </w:p>
    <w:p w14:paraId="1CB8563B">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11.招标文件的澄清、修改 、现场考察和答疑会</w:t>
      </w:r>
    </w:p>
    <w:p w14:paraId="0BE69532">
      <w:pPr>
        <w:pStyle w:val="7"/>
        <w:keepNext w:val="0"/>
        <w:keepLines w:val="0"/>
        <w:spacing w:before="0" w:after="0" w:line="360" w:lineRule="auto"/>
        <w:ind w:firstLine="360" w:firstLineChars="15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 xml:space="preserve"> 11.1投标人应认真审阅本招标文件，如有疑问，或发现其中有误或有要求不合理的，应在招标公告公告期限届满之日起7个工作日内以纸质书面形式要求采购人或采购代理机构对招标文件予以澄清；否则，由此产生的后果由投标人自行负责。</w:t>
      </w:r>
    </w:p>
    <w:p w14:paraId="1BD9D91D">
      <w:pPr>
        <w:pStyle w:val="7"/>
        <w:keepNext w:val="0"/>
        <w:keepLines w:val="0"/>
        <w:numPr>
          <w:ilvl w:val="0"/>
          <w:numId w:val="0"/>
        </w:numPr>
        <w:spacing w:before="0"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b w:val="0"/>
          <w:color w:val="auto"/>
          <w:sz w:val="24"/>
          <w:highlight w:val="none"/>
        </w:rPr>
        <w:t>11.2采购人或者采购代理机构可以对已发出的招标文件进行必要的澄清或者修改，但不得改变采购标的和资格条件。澄清或者修改将在原公告发布媒体上发布更正公告。澄清或者修改的内容为招标文件的组成部分。澄清或者修改的内容可能影响投标文件编制的，采购人或者采购代理机构应当在投标截止时间至少15日前，在原公告发布媒体上发布更正公告；不足15日的，采购人或者采购代理机构应当顺延提交投标文件的截止时间。</w:t>
      </w:r>
    </w:p>
    <w:p w14:paraId="4769E3E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11.3采购人和采购代理机构可以视采购具体情况，变更投标截止时间和开标时间，并在原公告发布媒体上发布更正公告。</w:t>
      </w:r>
    </w:p>
    <w:p w14:paraId="022395E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11.4招标文件澄清、答复、修改、补充的内容为招标文件的组成部分。</w:t>
      </w:r>
      <w:r>
        <w:rPr>
          <w:rFonts w:hint="eastAsia" w:ascii="仿宋" w:hAnsi="仿宋" w:eastAsia="仿宋" w:cs="仿宋"/>
          <w:b/>
          <w:color w:val="auto"/>
          <w:sz w:val="24"/>
          <w:highlight w:val="none"/>
        </w:rPr>
        <w:t>当招标文件与招标文件的澄清、答复、修改、补充通知就同一内容的表述不一致时，以最后发出的文件为准。</w:t>
      </w:r>
    </w:p>
    <w:p w14:paraId="70633CB2">
      <w:pPr>
        <w:pStyle w:val="27"/>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w:t>
      </w:r>
      <w:bookmarkStart w:id="119" w:name="_Hlk53134511"/>
      <w:r>
        <w:rPr>
          <w:rFonts w:hint="eastAsia" w:ascii="仿宋" w:hAnsi="仿宋" w:eastAsia="仿宋" w:cs="仿宋"/>
          <w:color w:val="auto"/>
          <w:sz w:val="24"/>
          <w:szCs w:val="24"/>
          <w:highlight w:val="none"/>
        </w:rPr>
        <w:t>5采购人或者采购代理机构可以在招标文件提供期限截止后，组织已获取招标文件的潜在投标人现场考察或者召开开标前答疑会，具体详见“投标人须知前附表”。</w:t>
      </w:r>
    </w:p>
    <w:bookmarkEnd w:id="119"/>
    <w:p w14:paraId="43165129">
      <w:pPr>
        <w:pStyle w:val="5"/>
        <w:keepNext w:val="0"/>
        <w:keepLines w:val="0"/>
        <w:jc w:val="center"/>
        <w:rPr>
          <w:rFonts w:hint="eastAsia" w:ascii="仿宋" w:hAnsi="仿宋" w:eastAsia="仿宋" w:cs="仿宋"/>
          <w:color w:val="auto"/>
          <w:highlight w:val="none"/>
        </w:rPr>
      </w:pPr>
      <w:bookmarkStart w:id="120" w:name="_Toc254970535"/>
      <w:bookmarkStart w:id="121" w:name="_Toc254970676"/>
      <w:r>
        <w:rPr>
          <w:rFonts w:hint="eastAsia" w:ascii="仿宋" w:hAnsi="仿宋" w:eastAsia="仿宋" w:cs="仿宋"/>
          <w:color w:val="auto"/>
          <w:highlight w:val="none"/>
        </w:rPr>
        <w:t>三、投标文件的编制</w:t>
      </w:r>
      <w:bookmarkEnd w:id="120"/>
      <w:bookmarkEnd w:id="121"/>
    </w:p>
    <w:p w14:paraId="1A31EBDC">
      <w:pPr>
        <w:pStyle w:val="7"/>
        <w:keepNext w:val="0"/>
        <w:keepLines w:val="0"/>
        <w:spacing w:before="0" w:after="0" w:line="360" w:lineRule="auto"/>
        <w:ind w:left="420" w:leftChars="200"/>
        <w:rPr>
          <w:rFonts w:hint="eastAsia" w:ascii="仿宋" w:hAnsi="仿宋" w:eastAsia="仿宋" w:cs="仿宋"/>
          <w:color w:val="auto"/>
          <w:sz w:val="24"/>
          <w:highlight w:val="none"/>
        </w:rPr>
      </w:pPr>
      <w:bookmarkStart w:id="122" w:name="_Toc254970536"/>
      <w:bookmarkStart w:id="123" w:name="_Toc254970677"/>
      <w:r>
        <w:rPr>
          <w:rFonts w:hint="eastAsia" w:ascii="仿宋" w:hAnsi="仿宋" w:eastAsia="仿宋" w:cs="仿宋"/>
          <w:color w:val="auto"/>
          <w:sz w:val="24"/>
          <w:highlight w:val="none"/>
        </w:rPr>
        <w:t>12.投标文件的编制原则</w:t>
      </w:r>
    </w:p>
    <w:p w14:paraId="00F066AC">
      <w:pP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投标人必须按照招标文件的要求编制投标文件。投标文件必须对招标文件提出的要求和条件作出明确响应。</w:t>
      </w:r>
    </w:p>
    <w:p w14:paraId="324A6034">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13.投标文件的组成</w:t>
      </w:r>
      <w:bookmarkEnd w:id="122"/>
      <w:bookmarkEnd w:id="123"/>
    </w:p>
    <w:p w14:paraId="2482CB53">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13.1投标文件由报价文件、资格证明文件、商务文件、技术文件四部分组成。</w:t>
      </w:r>
    </w:p>
    <w:p w14:paraId="4C6A036C">
      <w:pPr>
        <w:pStyle w:val="7"/>
        <w:keepNext w:val="0"/>
        <w:keepLines w:val="0"/>
        <w:spacing w:before="0" w:after="0" w:line="360" w:lineRule="auto"/>
        <w:ind w:left="420" w:leftChars="200"/>
        <w:rPr>
          <w:rFonts w:hint="eastAsia" w:ascii="仿宋" w:hAnsi="仿宋" w:eastAsia="仿宋" w:cs="仿宋"/>
          <w:b w:val="0"/>
          <w:color w:val="auto"/>
          <w:sz w:val="24"/>
          <w:highlight w:val="none"/>
        </w:rPr>
      </w:pPr>
      <w:bookmarkStart w:id="124" w:name="_13.1报价文件:_具体材料见“投标人须知前附表”。"/>
      <w:bookmarkEnd w:id="124"/>
      <w:r>
        <w:rPr>
          <w:rFonts w:hint="eastAsia" w:ascii="仿宋" w:hAnsi="仿宋" w:eastAsia="仿宋" w:cs="仿宋"/>
          <w:b w:val="0"/>
          <w:color w:val="auto"/>
          <w:sz w:val="24"/>
          <w:highlight w:val="none"/>
        </w:rPr>
        <w:t>（1）报价文件： 具体材料见“投标人须知前附表”。</w:t>
      </w:r>
    </w:p>
    <w:p w14:paraId="7461B9F2">
      <w:pPr>
        <w:pStyle w:val="7"/>
        <w:keepNext w:val="0"/>
        <w:keepLines w:val="0"/>
        <w:spacing w:before="0" w:after="0" w:line="360" w:lineRule="auto"/>
        <w:ind w:left="420" w:leftChars="200"/>
        <w:rPr>
          <w:rFonts w:hint="eastAsia" w:ascii="仿宋" w:hAnsi="仿宋" w:eastAsia="仿宋" w:cs="仿宋"/>
          <w:b w:val="0"/>
          <w:color w:val="auto"/>
          <w:sz w:val="24"/>
          <w:highlight w:val="none"/>
        </w:rPr>
      </w:pPr>
      <w:bookmarkStart w:id="125" w:name="_13.2资格证明文件：具体材料见“投标人须知前附表”。"/>
      <w:bookmarkEnd w:id="125"/>
      <w:r>
        <w:rPr>
          <w:rFonts w:hint="eastAsia" w:ascii="仿宋" w:hAnsi="仿宋" w:eastAsia="仿宋" w:cs="仿宋"/>
          <w:b w:val="0"/>
          <w:color w:val="auto"/>
          <w:sz w:val="24"/>
          <w:highlight w:val="none"/>
        </w:rPr>
        <w:t>（2）资格证明文件：具体材料见“投标人须知前附表”。</w:t>
      </w:r>
    </w:p>
    <w:p w14:paraId="3E614F0F">
      <w:pPr>
        <w:pStyle w:val="7"/>
        <w:keepNext w:val="0"/>
        <w:keepLines w:val="0"/>
        <w:spacing w:before="0" w:after="0" w:line="360" w:lineRule="auto"/>
        <w:ind w:left="420" w:leftChars="200"/>
        <w:rPr>
          <w:rFonts w:hint="eastAsia" w:ascii="仿宋" w:hAnsi="仿宋" w:eastAsia="仿宋" w:cs="仿宋"/>
          <w:b w:val="0"/>
          <w:color w:val="auto"/>
          <w:sz w:val="24"/>
          <w:highlight w:val="none"/>
        </w:rPr>
      </w:pPr>
      <w:bookmarkStart w:id="126" w:name="_13.3商务文件:_具体材料见“投标人须知前附表”。"/>
      <w:bookmarkEnd w:id="126"/>
      <w:r>
        <w:rPr>
          <w:rFonts w:hint="eastAsia" w:ascii="仿宋" w:hAnsi="仿宋" w:eastAsia="仿宋" w:cs="仿宋"/>
          <w:b w:val="0"/>
          <w:color w:val="auto"/>
          <w:sz w:val="24"/>
          <w:highlight w:val="none"/>
        </w:rPr>
        <w:t>（3）商务文件：具体材料见“投标人须知前附表”。</w:t>
      </w:r>
    </w:p>
    <w:p w14:paraId="2310B896">
      <w:pPr>
        <w:pStyle w:val="7"/>
        <w:keepNext w:val="0"/>
        <w:keepLines w:val="0"/>
        <w:spacing w:before="0" w:after="0" w:line="360" w:lineRule="auto"/>
        <w:ind w:left="420" w:leftChars="200"/>
        <w:rPr>
          <w:rFonts w:hint="eastAsia" w:ascii="仿宋" w:hAnsi="仿宋" w:eastAsia="仿宋" w:cs="仿宋"/>
          <w:b w:val="0"/>
          <w:color w:val="auto"/>
          <w:sz w:val="24"/>
          <w:highlight w:val="none"/>
        </w:rPr>
      </w:pPr>
      <w:bookmarkStart w:id="127" w:name="_13.4技术文件：具体材料见“投标人须知前附表”。"/>
      <w:bookmarkEnd w:id="127"/>
      <w:r>
        <w:rPr>
          <w:rFonts w:hint="eastAsia" w:ascii="仿宋" w:hAnsi="仿宋" w:eastAsia="仿宋" w:cs="仿宋"/>
          <w:b w:val="0"/>
          <w:color w:val="auto"/>
          <w:sz w:val="24"/>
          <w:highlight w:val="none"/>
        </w:rPr>
        <w:t>（4）技术文件：具体材料见“投标人须知前附表”。</w:t>
      </w:r>
      <w:bookmarkStart w:id="128" w:name="_13.5投标文件电子版：具体材料见“投标人须知前附表”。"/>
      <w:bookmarkEnd w:id="128"/>
    </w:p>
    <w:p w14:paraId="56FDFC34">
      <w:pPr>
        <w:pStyle w:val="7"/>
        <w:keepNext w:val="0"/>
        <w:keepLines w:val="0"/>
        <w:spacing w:before="0" w:after="0" w:line="360" w:lineRule="auto"/>
        <w:ind w:left="420" w:leftChars="200"/>
        <w:rPr>
          <w:rFonts w:hint="eastAsia" w:ascii="仿宋" w:hAnsi="仿宋" w:eastAsia="仿宋" w:cs="仿宋"/>
          <w:color w:val="auto"/>
          <w:sz w:val="24"/>
          <w:highlight w:val="none"/>
        </w:rPr>
      </w:pPr>
      <w:bookmarkStart w:id="129" w:name="_Toc254970537"/>
      <w:bookmarkStart w:id="130" w:name="_Toc254970678"/>
      <w:r>
        <w:rPr>
          <w:rFonts w:hint="eastAsia" w:ascii="仿宋" w:hAnsi="仿宋" w:eastAsia="仿宋" w:cs="仿宋"/>
          <w:color w:val="auto"/>
          <w:sz w:val="24"/>
          <w:highlight w:val="none"/>
        </w:rPr>
        <w:t>14.投标文件的语言及计量</w:t>
      </w:r>
      <w:bookmarkEnd w:id="129"/>
      <w:bookmarkEnd w:id="130"/>
    </w:p>
    <w:p w14:paraId="531F1CC8">
      <w:pPr>
        <w:pStyle w:val="7"/>
        <w:keepNext w:val="0"/>
        <w:keepLines w:val="0"/>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14.1语言文字</w:t>
      </w:r>
    </w:p>
    <w:p w14:paraId="51B01FD8">
      <w:pPr>
        <w:pStyle w:val="7"/>
        <w:keepNext w:val="0"/>
        <w:keepLines w:val="0"/>
        <w:spacing w:before="0" w:after="0" w:line="360" w:lineRule="auto"/>
        <w:ind w:firstLine="480" w:firstLine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1AFE4072">
      <w:pPr>
        <w:pStyle w:val="7"/>
        <w:keepNext w:val="0"/>
        <w:keepLines w:val="0"/>
        <w:spacing w:before="0" w:after="0" w:line="360" w:lineRule="auto"/>
        <w:ind w:firstLine="480" w:firstLine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14.2投标计量单位</w:t>
      </w:r>
    </w:p>
    <w:p w14:paraId="40DD9DC2">
      <w:pPr>
        <w:pStyle w:val="7"/>
        <w:keepNext w:val="0"/>
        <w:keepLines w:val="0"/>
        <w:spacing w:before="0" w:after="0" w:line="360" w:lineRule="auto"/>
        <w:ind w:firstLine="480" w:firstLine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招标文件已有明确规定的，使用招标文件规定的计量单位；招标文件没有规定的，应采用中华人民共和国法定计量单位，货币种类为人民币，否则视同未响应。</w:t>
      </w:r>
    </w:p>
    <w:p w14:paraId="2333DD57">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15.投标的风险</w:t>
      </w:r>
    </w:p>
    <w:p w14:paraId="61FED8A7">
      <w:pPr>
        <w:pStyle w:val="27"/>
        <w:snapToGrid w:val="0"/>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投标人没有按照招标文件要求提供全部资料，或者投标人没有对招标文件作出实质性响应是投标人的风险，并可能导致其投标被拒绝。</w:t>
      </w:r>
    </w:p>
    <w:p w14:paraId="2A48E9EB">
      <w:pPr>
        <w:pStyle w:val="7"/>
        <w:keepNext w:val="0"/>
        <w:keepLines w:val="0"/>
        <w:spacing w:before="0" w:after="0" w:line="360" w:lineRule="auto"/>
        <w:ind w:left="420" w:leftChars="200"/>
        <w:rPr>
          <w:rFonts w:hint="eastAsia" w:ascii="仿宋" w:hAnsi="仿宋" w:eastAsia="仿宋" w:cs="仿宋"/>
          <w:color w:val="auto"/>
          <w:sz w:val="24"/>
          <w:highlight w:val="none"/>
        </w:rPr>
      </w:pPr>
      <w:bookmarkStart w:id="131" w:name="_Toc254970679"/>
      <w:bookmarkStart w:id="132" w:name="_Toc254970538"/>
      <w:r>
        <w:rPr>
          <w:rFonts w:hint="eastAsia" w:ascii="仿宋" w:hAnsi="仿宋" w:eastAsia="仿宋" w:cs="仿宋"/>
          <w:color w:val="auto"/>
          <w:sz w:val="24"/>
          <w:highlight w:val="none"/>
        </w:rPr>
        <w:t>16.投标报价</w:t>
      </w:r>
      <w:bookmarkEnd w:id="131"/>
      <w:bookmarkEnd w:id="132"/>
    </w:p>
    <w:p w14:paraId="08C31A69">
      <w:pPr>
        <w:pStyle w:val="7"/>
        <w:keepNext w:val="0"/>
        <w:keepLines w:val="0"/>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16.1投标报价应按“第六章　投标文件格式”中“开标一览表”格式填写。</w:t>
      </w:r>
    </w:p>
    <w:p w14:paraId="167E0FBF">
      <w:pPr>
        <w:pStyle w:val="7"/>
        <w:keepNext w:val="0"/>
        <w:keepLines w:val="0"/>
        <w:spacing w:before="0" w:after="0" w:line="360" w:lineRule="auto"/>
        <w:ind w:left="420" w:leftChars="200"/>
        <w:rPr>
          <w:rFonts w:hint="eastAsia" w:ascii="仿宋" w:hAnsi="仿宋" w:eastAsia="仿宋" w:cs="仿宋"/>
          <w:b w:val="0"/>
          <w:color w:val="auto"/>
          <w:sz w:val="24"/>
          <w:highlight w:val="none"/>
        </w:rPr>
      </w:pPr>
      <w:bookmarkStart w:id="133" w:name="_16.2投标报价具体定义见投标人须知前附表。"/>
      <w:bookmarkEnd w:id="133"/>
      <w:r>
        <w:rPr>
          <w:rFonts w:hint="eastAsia" w:ascii="仿宋" w:hAnsi="仿宋" w:eastAsia="仿宋" w:cs="仿宋"/>
          <w:b w:val="0"/>
          <w:color w:val="auto"/>
          <w:sz w:val="24"/>
          <w:highlight w:val="none"/>
        </w:rPr>
        <w:t>16.2投标报价具体包括内容详见“投标人须知前附表”。</w:t>
      </w:r>
    </w:p>
    <w:p w14:paraId="4656C1A1">
      <w:pPr>
        <w:pStyle w:val="7"/>
        <w:keepNext w:val="0"/>
        <w:keepLines w:val="0"/>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16.3投标人必须就所投标项的全部内容分别作完整唯一总价报价，不得存在漏项报价；投标人必须就所投标项的单项内容作唯一报价。</w:t>
      </w:r>
    </w:p>
    <w:p w14:paraId="04BAA7AF">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17.投标有效期</w:t>
      </w:r>
      <w:bookmarkStart w:id="134" w:name="_17.1投标有效期应按“投标人须知中的前附表”规定的期限。"/>
      <w:bookmarkEnd w:id="134"/>
    </w:p>
    <w:p w14:paraId="525EEF51">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b w:val="0"/>
          <w:color w:val="auto"/>
          <w:sz w:val="24"/>
          <w:highlight w:val="none"/>
        </w:rPr>
        <w:t>17.1投标有效期是指为保证采购人有足够的时间在开标后完成评标、定标、合同签订等工作而要求投标人提交的投标文件在一定时间内保持有效的期限。</w:t>
      </w:r>
    </w:p>
    <w:p w14:paraId="07EDF1E3">
      <w:pPr>
        <w:pStyle w:val="7"/>
        <w:keepNext w:val="0"/>
        <w:keepLines w:val="0"/>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17.2</w:t>
      </w:r>
      <w:bookmarkStart w:id="135" w:name="_Toc254970540"/>
      <w:bookmarkStart w:id="136" w:name="_Toc254970681"/>
      <w:r>
        <w:rPr>
          <w:rFonts w:hint="eastAsia" w:ascii="仿宋" w:hAnsi="仿宋" w:eastAsia="仿宋" w:cs="仿宋"/>
          <w:b w:val="0"/>
          <w:color w:val="auto"/>
          <w:sz w:val="24"/>
          <w:highlight w:val="none"/>
        </w:rPr>
        <w:t xml:space="preserve"> 投标有效期应按规定的期限作出承诺，具体详见“投标人须知前附表”。</w:t>
      </w:r>
    </w:p>
    <w:p w14:paraId="7166E6F4">
      <w:pPr>
        <w:pStyle w:val="7"/>
        <w:keepNext w:val="0"/>
        <w:keepLines w:val="0"/>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17.3投标人的投标文件在投标有效期内均保持有效。</w:t>
      </w:r>
      <w:bookmarkEnd w:id="135"/>
      <w:bookmarkEnd w:id="136"/>
    </w:p>
    <w:p w14:paraId="19B6AD34">
      <w:pPr>
        <w:pStyle w:val="7"/>
        <w:keepNext w:val="0"/>
        <w:keepLines w:val="0"/>
        <w:spacing w:before="0" w:after="0" w:line="360" w:lineRule="auto"/>
        <w:ind w:left="420" w:leftChars="200"/>
        <w:rPr>
          <w:rFonts w:hint="eastAsia" w:ascii="仿宋" w:hAnsi="仿宋" w:eastAsia="仿宋" w:cs="仿宋"/>
          <w:color w:val="auto"/>
          <w:sz w:val="24"/>
          <w:highlight w:val="none"/>
        </w:rPr>
      </w:pPr>
      <w:bookmarkStart w:id="137" w:name="_18.投标保证金"/>
      <w:bookmarkEnd w:id="137"/>
      <w:bookmarkStart w:id="138" w:name="_Toc254970541"/>
      <w:bookmarkStart w:id="139" w:name="_Toc254970682"/>
      <w:r>
        <w:rPr>
          <w:rFonts w:hint="eastAsia" w:ascii="仿宋" w:hAnsi="仿宋" w:eastAsia="仿宋" w:cs="仿宋"/>
          <w:color w:val="auto"/>
          <w:sz w:val="24"/>
          <w:highlight w:val="none"/>
        </w:rPr>
        <w:t>18.投标保证金</w:t>
      </w:r>
      <w:bookmarkEnd w:id="138"/>
      <w:bookmarkEnd w:id="139"/>
    </w:p>
    <w:p w14:paraId="712B2B39">
      <w:pPr>
        <w:pStyle w:val="7"/>
        <w:keepNext w:val="0"/>
        <w:keepLines w:val="0"/>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18.1投标人须按“投标人须知前附表” 的规定提交投标保证金。</w:t>
      </w:r>
    </w:p>
    <w:p w14:paraId="3E917327">
      <w:pPr>
        <w:pStyle w:val="7"/>
        <w:keepNext w:val="0"/>
        <w:keepLines w:val="0"/>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18.2投标保证金的退还</w:t>
      </w:r>
    </w:p>
    <w:p w14:paraId="1419CD05">
      <w:pPr>
        <w:pStyle w:val="7"/>
        <w:keepNext w:val="0"/>
        <w:keepLines w:val="0"/>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 xml:space="preserve">未中标人的投标保证金自中标通知书发出之日起4个工作日内退还；中标人的投标保证金自政府采购合同签订之日起4个工作日内退还。 </w:t>
      </w:r>
    </w:p>
    <w:p w14:paraId="0B4AE7C5">
      <w:pPr>
        <w:pStyle w:val="7"/>
        <w:keepNext w:val="0"/>
        <w:keepLines w:val="0"/>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18.3除逾期退还投标保证金和终止招标的情形以外，投标保证金不计息。</w:t>
      </w:r>
    </w:p>
    <w:p w14:paraId="2D78D3D8">
      <w:pPr>
        <w:pStyle w:val="7"/>
        <w:keepNext w:val="0"/>
        <w:keepLines w:val="0"/>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 xml:space="preserve">18.4投标人有下列情形之一的，投标保证金将不予退还： </w:t>
      </w:r>
    </w:p>
    <w:p w14:paraId="531B5B60">
      <w:pPr>
        <w:snapToGrid w:val="0"/>
        <w:spacing w:line="360" w:lineRule="auto"/>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（1）投标人在投标有效期内撤销投标文件的；</w:t>
      </w:r>
    </w:p>
    <w:p w14:paraId="17279175">
      <w:pPr>
        <w:snapToGrid w:val="0"/>
        <w:spacing w:line="360" w:lineRule="auto"/>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（2）未按规定提交履约保证金的；</w:t>
      </w:r>
    </w:p>
    <w:p w14:paraId="7AA1BD05">
      <w:pPr>
        <w:snapToGrid w:val="0"/>
        <w:spacing w:line="360" w:lineRule="auto"/>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（3）投标人在投标过程中弄虚作假，提供虚假材料的；</w:t>
      </w:r>
    </w:p>
    <w:p w14:paraId="02FBD8C0">
      <w:pPr>
        <w:snapToGrid w:val="0"/>
        <w:spacing w:line="360" w:lineRule="auto"/>
        <w:ind w:firstLine="470" w:firstLineChars="196"/>
        <w:rPr>
          <w:rFonts w:hint="eastAsia" w:ascii="仿宋" w:hAnsi="仿宋" w:eastAsia="仿宋" w:cs="仿宋"/>
          <w:color w:val="auto"/>
          <w:sz w:val="24"/>
          <w:highlight w:val="none"/>
        </w:rPr>
      </w:pPr>
      <w:r>
        <w:rPr>
          <w:rFonts w:hint="eastAsia" w:ascii="仿宋" w:hAnsi="仿宋" w:eastAsia="仿宋" w:cs="仿宋"/>
          <w:color w:val="auto"/>
          <w:sz w:val="24"/>
          <w:highlight w:val="none"/>
        </w:rPr>
        <w:t>（4）中标人无正当理由不与采购人签订合同的；</w:t>
      </w:r>
    </w:p>
    <w:p w14:paraId="7F36A3A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（5）投标人出现本章第9.2、9.3情形的；</w:t>
      </w:r>
    </w:p>
    <w:p w14:paraId="427368F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（6）法律法规规定的其他情形。</w:t>
      </w:r>
    </w:p>
    <w:p w14:paraId="7CF57BCD">
      <w:pPr>
        <w:pStyle w:val="7"/>
        <w:keepNext w:val="0"/>
        <w:keepLines w:val="0"/>
        <w:spacing w:before="0" w:after="0" w:line="360" w:lineRule="auto"/>
        <w:ind w:left="420" w:leftChars="200"/>
        <w:rPr>
          <w:rFonts w:hint="eastAsia" w:ascii="仿宋" w:hAnsi="仿宋" w:eastAsia="仿宋" w:cs="仿宋"/>
          <w:color w:val="auto"/>
          <w:sz w:val="24"/>
          <w:highlight w:val="none"/>
        </w:rPr>
      </w:pPr>
      <w:bookmarkStart w:id="140" w:name="_Toc254970542"/>
      <w:bookmarkStart w:id="141" w:name="_Toc254970683"/>
      <w:r>
        <w:rPr>
          <w:rFonts w:hint="eastAsia" w:ascii="仿宋" w:hAnsi="仿宋" w:eastAsia="仿宋" w:cs="仿宋"/>
          <w:color w:val="auto"/>
          <w:sz w:val="24"/>
          <w:highlight w:val="none"/>
        </w:rPr>
        <w:t>19.投标文件的</w:t>
      </w:r>
      <w:bookmarkEnd w:id="140"/>
      <w:bookmarkEnd w:id="141"/>
      <w:r>
        <w:rPr>
          <w:rFonts w:hint="eastAsia" w:ascii="仿宋" w:hAnsi="仿宋" w:eastAsia="仿宋" w:cs="仿宋"/>
          <w:color w:val="auto"/>
          <w:sz w:val="24"/>
          <w:highlight w:val="none"/>
        </w:rPr>
        <w:t>编制</w:t>
      </w:r>
    </w:p>
    <w:p w14:paraId="797AD5EC">
      <w:pPr>
        <w:pStyle w:val="7"/>
        <w:keepNext w:val="0"/>
        <w:keepLines w:val="0"/>
        <w:spacing w:before="0" w:after="0" w:line="360" w:lineRule="auto"/>
        <w:ind w:firstLine="360" w:firstLineChars="15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 xml:space="preserve"> 19.1投标人应按本招标文件规定的格式和顺序编制、装订投标文件并标注页码，投标文件内容不完整、编排混乱导致投标文件被误读、漏读或者查找不到相关内容的，由此引发的后果由投标人承担。</w:t>
      </w:r>
    </w:p>
    <w:p w14:paraId="57B95958">
      <w:pPr>
        <w:pStyle w:val="7"/>
        <w:keepNext w:val="0"/>
        <w:keepLines w:val="0"/>
        <w:numPr>
          <w:ilvl w:val="0"/>
          <w:numId w:val="0"/>
        </w:numPr>
        <w:spacing w:before="0" w:after="0" w:line="360" w:lineRule="auto"/>
        <w:ind w:firstLine="480" w:firstLineChars="200"/>
        <w:rPr>
          <w:rFonts w:hint="eastAsia" w:ascii="仿宋" w:hAnsi="仿宋" w:eastAsia="仿宋" w:cs="仿宋"/>
          <w:b w:val="0"/>
          <w:color w:val="auto"/>
          <w:sz w:val="24"/>
          <w:highlight w:val="none"/>
        </w:rPr>
      </w:pPr>
      <w:bookmarkStart w:id="142" w:name="_19.2投标文件应按报价文件、资格证明文件、商务文件、技术文件分别编制"/>
      <w:bookmarkEnd w:id="142"/>
      <w:r>
        <w:rPr>
          <w:rFonts w:hint="eastAsia" w:ascii="仿宋" w:hAnsi="仿宋" w:eastAsia="仿宋" w:cs="仿宋"/>
          <w:b w:val="0"/>
          <w:color w:val="auto"/>
          <w:sz w:val="24"/>
          <w:highlight w:val="none"/>
        </w:rPr>
        <w:t>19.2投标文件应按报价文件、资格证明文件、商务文件、技术文件分别编制电子文件，并按“广西政府采购云平台”的要求编制、加密、上传。</w:t>
      </w:r>
    </w:p>
    <w:p w14:paraId="469A9C65">
      <w:pPr>
        <w:pStyle w:val="7"/>
        <w:keepNext w:val="0"/>
        <w:keepLines w:val="0"/>
        <w:numPr>
          <w:ilvl w:val="0"/>
          <w:numId w:val="0"/>
        </w:numPr>
        <w:spacing w:before="0" w:after="0" w:line="360" w:lineRule="auto"/>
        <w:ind w:firstLine="480" w:firstLine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19.</w:t>
      </w:r>
      <w:bookmarkStart w:id="143" w:name="_Hlk65832616"/>
      <w:r>
        <w:rPr>
          <w:rFonts w:hint="eastAsia" w:ascii="仿宋" w:hAnsi="仿宋" w:eastAsia="仿宋" w:cs="仿宋"/>
          <w:b w:val="0"/>
          <w:color w:val="auto"/>
          <w:sz w:val="24"/>
          <w:highlight w:val="none"/>
        </w:rPr>
        <w:t>3投标文件须由投标人在规定位置盖公章并签字</w:t>
      </w:r>
      <w:bookmarkStart w:id="144" w:name="_Hlk65832569"/>
      <w:r>
        <w:rPr>
          <w:rFonts w:hint="eastAsia" w:ascii="仿宋" w:hAnsi="仿宋" w:eastAsia="仿宋" w:cs="仿宋"/>
          <w:b w:val="0"/>
          <w:color w:val="auto"/>
          <w:sz w:val="24"/>
          <w:highlight w:val="none"/>
        </w:rPr>
        <w:t>（具体以投标人须知前附表或投标文件格式规定为准）</w:t>
      </w:r>
      <w:bookmarkEnd w:id="143"/>
      <w:bookmarkEnd w:id="144"/>
      <w:r>
        <w:rPr>
          <w:rFonts w:hint="eastAsia" w:ascii="仿宋" w:hAnsi="仿宋" w:eastAsia="仿宋" w:cs="仿宋"/>
          <w:b w:val="0"/>
          <w:color w:val="auto"/>
          <w:sz w:val="24"/>
          <w:highlight w:val="none"/>
        </w:rPr>
        <w:t>，</w:t>
      </w:r>
      <w:r>
        <w:rPr>
          <w:rFonts w:hint="eastAsia" w:ascii="仿宋" w:hAnsi="仿宋" w:eastAsia="仿宋" w:cs="仿宋"/>
          <w:bCs/>
          <w:color w:val="auto"/>
          <w:sz w:val="24"/>
          <w:highlight w:val="none"/>
        </w:rPr>
        <w:t>否则按无效投标处理</w:t>
      </w:r>
      <w:r>
        <w:rPr>
          <w:rFonts w:hint="eastAsia" w:ascii="仿宋" w:hAnsi="仿宋" w:eastAsia="仿宋" w:cs="仿宋"/>
          <w:b w:val="0"/>
          <w:color w:val="auto"/>
          <w:sz w:val="24"/>
          <w:highlight w:val="none"/>
        </w:rPr>
        <w:t>。</w:t>
      </w:r>
    </w:p>
    <w:p w14:paraId="4322FF5D">
      <w:pPr>
        <w:pStyle w:val="7"/>
        <w:keepNext w:val="0"/>
        <w:keepLines w:val="0"/>
        <w:spacing w:before="0" w:after="0" w:line="360" w:lineRule="auto"/>
        <w:ind w:firstLine="360" w:firstLineChars="15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 xml:space="preserve"> 19.4投标文件中标注的投标人名称应与主体资格证明（如营业执照、事业单位法人证书、执业许可证、自然人身份证等）及公章一致，</w:t>
      </w:r>
      <w:r>
        <w:rPr>
          <w:rFonts w:hint="eastAsia" w:ascii="仿宋" w:hAnsi="仿宋" w:eastAsia="仿宋" w:cs="仿宋"/>
          <w:color w:val="auto"/>
          <w:sz w:val="24"/>
          <w:highlight w:val="none"/>
        </w:rPr>
        <w:t>否则按无效投标处理</w:t>
      </w:r>
      <w:r>
        <w:rPr>
          <w:rFonts w:hint="eastAsia" w:ascii="仿宋" w:hAnsi="仿宋" w:eastAsia="仿宋" w:cs="仿宋"/>
          <w:b w:val="0"/>
          <w:color w:val="auto"/>
          <w:sz w:val="24"/>
          <w:highlight w:val="none"/>
        </w:rPr>
        <w:t>。</w:t>
      </w:r>
    </w:p>
    <w:p w14:paraId="4D8F0002">
      <w:pPr>
        <w:pStyle w:val="7"/>
        <w:keepNext w:val="0"/>
        <w:keepLines w:val="0"/>
        <w:spacing w:before="0" w:after="0" w:line="360" w:lineRule="auto"/>
        <w:ind w:firstLine="360" w:firstLineChars="15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 xml:space="preserve"> 19.5投标文件应尽量避免涂改、行间插字或者删除。如果出现上述情况，改动之处应由投标人的法定代表人或者其委托代理人签字或者加盖公章。投标文件因字迹潦草或者表达不清所引起的后果由投标人承担。</w:t>
      </w:r>
    </w:p>
    <w:p w14:paraId="0554F87B">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20.投标文件的加密、解密</w:t>
      </w:r>
    </w:p>
    <w:p w14:paraId="64CADE72">
      <w:pPr>
        <w:pStyle w:val="7"/>
        <w:keepNext w:val="0"/>
        <w:keepLines w:val="0"/>
        <w:spacing w:before="0" w:after="0" w:line="360" w:lineRule="auto"/>
        <w:ind w:firstLine="360" w:firstLineChars="15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 xml:space="preserve"> 20.1电子投标文件编制完成后，投标人应按“广西政府采购云平台”的要求进行加密，并在规定时间内解密，否则，由此产生的后果由投标人自行负责。</w:t>
      </w:r>
    </w:p>
    <w:p w14:paraId="07409A6B">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21.投标文件的提交</w:t>
      </w:r>
    </w:p>
    <w:p w14:paraId="27C93FB0">
      <w:pPr>
        <w:pStyle w:val="7"/>
        <w:keepNext w:val="0"/>
        <w:keepLines w:val="0"/>
        <w:pageBreakBefore w:val="0"/>
        <w:widowControl w:val="0"/>
        <w:numPr>
          <w:ilvl w:val="0"/>
          <w:numId w:val="0"/>
        </w:numPr>
        <w:kinsoku/>
        <w:wordWrap w:val="0"/>
        <w:overflowPunct/>
        <w:topLinePunct w:val="0"/>
        <w:autoSpaceDE/>
        <w:autoSpaceDN/>
        <w:bidi w:val="0"/>
        <w:adjustRightInd/>
        <w:snapToGrid/>
        <w:spacing w:before="0" w:after="0" w:line="360" w:lineRule="auto"/>
        <w:ind w:firstLine="480" w:firstLineChars="200"/>
        <w:textAlignment w:val="auto"/>
        <w:rPr>
          <w:rFonts w:hint="eastAsia" w:ascii="仿宋" w:hAnsi="仿宋" w:eastAsia="仿宋" w:cs="仿宋"/>
          <w:b w:val="0"/>
          <w:color w:val="auto"/>
          <w:sz w:val="24"/>
          <w:highlight w:val="none"/>
        </w:rPr>
      </w:pPr>
      <w:bookmarkStart w:id="145" w:name="_21.1投标人必须在“投标人须知中的前附表”规定的投标文件接收时间和投"/>
      <w:bookmarkEnd w:id="145"/>
      <w:r>
        <w:rPr>
          <w:rFonts w:hint="eastAsia" w:ascii="仿宋" w:hAnsi="仿宋" w:eastAsia="仿宋" w:cs="仿宋"/>
          <w:b w:val="0"/>
          <w:color w:val="auto"/>
          <w:sz w:val="24"/>
          <w:highlight w:val="none"/>
        </w:rPr>
        <w:t>21.1投标人必须在“投标人须知前附表”规定的投标文件接收时间和投标地点提交投标文件。</w:t>
      </w:r>
    </w:p>
    <w:p w14:paraId="13E4114E">
      <w:pPr>
        <w:pStyle w:val="7"/>
        <w:keepNext w:val="0"/>
        <w:keepLines w:val="0"/>
        <w:pageBreakBefore w:val="0"/>
        <w:widowControl w:val="0"/>
        <w:numPr>
          <w:ilvl w:val="0"/>
          <w:numId w:val="0"/>
        </w:numPr>
        <w:kinsoku/>
        <w:wordWrap w:val="0"/>
        <w:overflowPunct/>
        <w:topLinePunct w:val="0"/>
        <w:autoSpaceDE/>
        <w:autoSpaceDN/>
        <w:bidi w:val="0"/>
        <w:adjustRightInd/>
        <w:snapToGrid/>
        <w:spacing w:before="0" w:after="0" w:line="360" w:lineRule="auto"/>
        <w:ind w:firstLine="480" w:firstLineChars="200"/>
        <w:textAlignment w:val="auto"/>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21.2本项目为全流程电子化政府采购项目，通过</w:t>
      </w:r>
      <w:r>
        <w:rPr>
          <w:rFonts w:hint="eastAsia" w:ascii="仿宋" w:hAnsi="仿宋" w:eastAsia="仿宋" w:cs="仿宋"/>
          <w:color w:val="auto"/>
          <w:sz w:val="24"/>
          <w:highlight w:val="none"/>
          <w:u w:val="single"/>
        </w:rPr>
        <w:t>广西政府采购云平台（https://www.gcy.zfcg.gxzf.gov.cn/）</w:t>
      </w:r>
      <w:r>
        <w:rPr>
          <w:rFonts w:hint="eastAsia" w:ascii="仿宋" w:hAnsi="仿宋" w:eastAsia="仿宋" w:cs="仿宋"/>
          <w:b w:val="0"/>
          <w:color w:val="auto"/>
          <w:sz w:val="24"/>
          <w:highlight w:val="none"/>
        </w:rPr>
        <w:t>实行在线电子投标。投标人必须在“投标人须知前附表”规定的投标文件接收时间内通过网络将电子投标文件上传至“广西政府采购云平台”，供应商在“广西政府采购云平台”提交电子版投标文件时，请填写参加远程开标活动经办人联系方式。</w:t>
      </w:r>
    </w:p>
    <w:p w14:paraId="55E9E349">
      <w:pPr>
        <w:pStyle w:val="7"/>
        <w:keepNext w:val="0"/>
        <w:keepLines w:val="0"/>
        <w:numPr>
          <w:ilvl w:val="0"/>
          <w:numId w:val="0"/>
        </w:numPr>
        <w:spacing w:before="0" w:after="0" w:line="360" w:lineRule="auto"/>
        <w:ind w:firstLine="480" w:firstLineChars="200"/>
        <w:jc w:val="lef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21.3未在规定时间内上传或者未按“广西政府采购云平台”的要求编制、加密的电子投标文件，“广西政府采购云平台”将拒收。</w:t>
      </w:r>
    </w:p>
    <w:p w14:paraId="6DE0CF30">
      <w:pPr>
        <w:pStyle w:val="7"/>
        <w:keepNext w:val="0"/>
        <w:keepLines w:val="0"/>
        <w:numPr>
          <w:ilvl w:val="0"/>
          <w:numId w:val="0"/>
        </w:numPr>
        <w:spacing w:before="0" w:after="0" w:line="360" w:lineRule="auto"/>
        <w:ind w:firstLine="480" w:firstLine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21.4电子投标文件提交方式见“招标公告”中“四、提交投标文件截止时间、开标时间和地点”。</w:t>
      </w:r>
    </w:p>
    <w:p w14:paraId="0BB200B5">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 投标文件的补充、修改、撤回与退回</w:t>
      </w:r>
    </w:p>
    <w:p w14:paraId="284D9211">
      <w:pPr>
        <w:snapToGrid w:val="0"/>
        <w:spacing w:line="360" w:lineRule="auto"/>
        <w:ind w:firstLine="420"/>
        <w:jc w:val="left"/>
        <w:rPr>
          <w:rFonts w:hint="eastAsia" w:ascii="仿宋" w:hAnsi="仿宋" w:eastAsia="仿宋" w:cs="仿宋"/>
          <w:color w:val="auto"/>
          <w:sz w:val="24"/>
          <w:highlight w:val="none"/>
        </w:rPr>
      </w:pPr>
      <w:bookmarkStart w:id="146" w:name="_Toc254970684"/>
      <w:bookmarkStart w:id="147" w:name="_Toc254970543"/>
      <w:r>
        <w:rPr>
          <w:rFonts w:hint="eastAsia" w:ascii="仿宋" w:hAnsi="仿宋" w:eastAsia="仿宋" w:cs="仿宋"/>
          <w:color w:val="auto"/>
          <w:sz w:val="24"/>
          <w:highlight w:val="none"/>
        </w:rPr>
        <w:t>22.1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bookmarkEnd w:id="146"/>
    <w:bookmarkEnd w:id="147"/>
    <w:p w14:paraId="07CE2B6A">
      <w:pP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22.2在投标截止时间止提交投标文件的投标人不足3家时，不得开标，采购代理机构将根据“广西政府采购云平台”的操作将电子版投标文件退回，除此之外采购人和采购代理机构对已提交的投标文件概不退回。</w:t>
      </w:r>
    </w:p>
    <w:p w14:paraId="25CDBFF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22.3 投标人在投标截止时间后书面通知采购人、采购代理机构撤销投标文件的，将根据本须知正文18.4的规定不予退还其投标保证金。</w:t>
      </w:r>
    </w:p>
    <w:p w14:paraId="7EBDC254">
      <w:pPr>
        <w:pStyle w:val="5"/>
        <w:keepNext w:val="0"/>
        <w:keepLines w:val="0"/>
        <w:jc w:val="center"/>
        <w:rPr>
          <w:rFonts w:hint="eastAsia" w:ascii="仿宋" w:hAnsi="仿宋" w:eastAsia="仿宋" w:cs="仿宋"/>
          <w:color w:val="auto"/>
          <w:highlight w:val="none"/>
        </w:rPr>
      </w:pPr>
      <w:bookmarkStart w:id="148" w:name="_Toc254970685"/>
      <w:bookmarkStart w:id="149" w:name="_Toc254970544"/>
      <w:r>
        <w:rPr>
          <w:rFonts w:hint="eastAsia" w:ascii="仿宋" w:hAnsi="仿宋" w:eastAsia="仿宋" w:cs="仿宋"/>
          <w:color w:val="auto"/>
          <w:highlight w:val="none"/>
        </w:rPr>
        <w:t>四、开    标</w:t>
      </w:r>
      <w:bookmarkEnd w:id="148"/>
      <w:bookmarkEnd w:id="149"/>
    </w:p>
    <w:p w14:paraId="47F6F983">
      <w:pPr>
        <w:pStyle w:val="7"/>
        <w:keepNext w:val="0"/>
        <w:keepLines w:val="0"/>
        <w:spacing w:before="0" w:after="0" w:line="360" w:lineRule="auto"/>
        <w:ind w:left="420" w:leftChars="200"/>
        <w:rPr>
          <w:rFonts w:hint="eastAsia" w:ascii="仿宋" w:hAnsi="仿宋" w:eastAsia="仿宋" w:cs="仿宋"/>
          <w:color w:val="auto"/>
          <w:sz w:val="24"/>
          <w:highlight w:val="none"/>
        </w:rPr>
      </w:pPr>
      <w:bookmarkStart w:id="150" w:name="_23.开标时间和地点"/>
      <w:bookmarkEnd w:id="150"/>
      <w:r>
        <w:rPr>
          <w:rFonts w:hint="eastAsia" w:ascii="仿宋" w:hAnsi="仿宋" w:eastAsia="仿宋" w:cs="仿宋"/>
          <w:color w:val="auto"/>
          <w:sz w:val="24"/>
          <w:highlight w:val="none"/>
        </w:rPr>
        <w:t>23.开标时间和地点</w:t>
      </w:r>
    </w:p>
    <w:p w14:paraId="5954259F">
      <w:pP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23.1开标时间及地点详见“投标人须知前附表”</w:t>
      </w:r>
    </w:p>
    <w:p w14:paraId="33FDE483">
      <w:pP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23.2如投标人成功解密投标文件，但未在“广西政府采购云平台”电子开标大厅参加开标的，视同认可开标过程和结果，由此产生的后果由投标人自行负责。成功解密投标文件的投标人不足3家的，不得开标。</w:t>
      </w:r>
    </w:p>
    <w:p w14:paraId="2D721FBF">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24.开标程序</w:t>
      </w:r>
    </w:p>
    <w:p w14:paraId="24A1F378">
      <w:pPr>
        <w:pStyle w:val="7"/>
        <w:keepNext w:val="0"/>
        <w:keepLines w:val="0"/>
        <w:spacing w:before="0" w:after="0" w:line="360" w:lineRule="auto"/>
        <w:ind w:left="420" w:leftChars="200"/>
        <w:rPr>
          <w:rFonts w:hint="eastAsia" w:ascii="仿宋" w:hAnsi="仿宋" w:eastAsia="仿宋" w:cs="仿宋"/>
          <w:color w:val="auto"/>
          <w:kern w:val="0"/>
          <w:sz w:val="24"/>
          <w:highlight w:val="none"/>
        </w:rPr>
      </w:pPr>
      <w:r>
        <w:rPr>
          <w:rFonts w:hint="eastAsia" w:ascii="仿宋" w:hAnsi="仿宋" w:eastAsia="仿宋" w:cs="仿宋"/>
          <w:bCs/>
          <w:color w:val="auto"/>
          <w:sz w:val="24"/>
          <w:highlight w:val="none"/>
        </w:rPr>
        <w:t>24.1</w:t>
      </w:r>
      <w:r>
        <w:rPr>
          <w:rFonts w:hint="eastAsia" w:ascii="仿宋" w:hAnsi="仿宋" w:eastAsia="仿宋" w:cs="仿宋"/>
          <w:color w:val="auto"/>
          <w:kern w:val="0"/>
          <w:sz w:val="24"/>
          <w:highlight w:val="none"/>
        </w:rPr>
        <w:t>开标形式：</w:t>
      </w:r>
    </w:p>
    <w:p w14:paraId="1180DA92">
      <w:pP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机构将按照招标文件规定的时间通过“广西政府采购云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5BCB0A01">
      <w:pP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24.2开标程序：</w:t>
      </w:r>
    </w:p>
    <w:p w14:paraId="02D23CB8">
      <w:pPr>
        <w:snapToGrid w:val="0"/>
        <w:spacing w:line="360" w:lineRule="auto"/>
        <w:ind w:firstLine="420"/>
        <w:jc w:val="left"/>
        <w:rPr>
          <w:rFonts w:hint="eastAsia" w:ascii="仿宋" w:hAnsi="仿宋" w:eastAsia="仿宋" w:cs="仿宋"/>
          <w:bCs/>
          <w:color w:val="auto"/>
          <w:sz w:val="24"/>
          <w:highlight w:val="none"/>
        </w:rPr>
      </w:pPr>
      <w:r>
        <w:rPr>
          <w:rFonts w:hint="eastAsia" w:ascii="仿宋" w:hAnsi="仿宋" w:eastAsia="仿宋" w:cs="仿宋"/>
          <w:color w:val="auto"/>
          <w:sz w:val="24"/>
          <w:highlight w:val="none"/>
        </w:rPr>
        <w:t>（1）解密电子投标文件。“广西政府采购云平台”按开标时间自动提取所有投标文件。采购代理机构依托“广西政府采购云平台”向各投标人发出电子加密投标文件【开始解密】通知，由投标人进</w:t>
      </w:r>
      <w:r>
        <w:rPr>
          <w:rFonts w:hint="eastAsia" w:ascii="仿宋" w:hAnsi="仿宋" w:eastAsia="仿宋" w:cs="仿宋"/>
          <w:bCs/>
          <w:color w:val="auto"/>
          <w:sz w:val="24"/>
          <w:highlight w:val="none"/>
        </w:rPr>
        <w:t>行投标文件解密。</w:t>
      </w:r>
      <w:r>
        <w:rPr>
          <w:rFonts w:hint="eastAsia" w:ascii="仿宋" w:hAnsi="仿宋" w:eastAsia="仿宋" w:cs="仿宋"/>
          <w:b/>
          <w:bCs/>
          <w:color w:val="auto"/>
          <w:sz w:val="24"/>
          <w:highlight w:val="none"/>
        </w:rPr>
        <w:t>投标人的法定代表人或其委托代理人须携带加密时所用的CA锁准时登录到“广西政府采购云平台”电子开标大厅签到</w:t>
      </w:r>
      <w:r>
        <w:rPr>
          <w:rFonts w:hint="eastAsia" w:ascii="仿宋" w:hAnsi="仿宋" w:eastAsia="仿宋" w:cs="仿宋"/>
          <w:b/>
          <w:color w:val="auto"/>
          <w:sz w:val="24"/>
          <w:highlight w:val="none"/>
        </w:rPr>
        <w:t>并在发起解密</w:t>
      </w:r>
      <w:r>
        <w:rPr>
          <w:rFonts w:hint="eastAsia" w:ascii="仿宋" w:hAnsi="仿宋" w:eastAsia="仿宋" w:cs="仿宋"/>
          <w:b/>
          <w:bCs/>
          <w:color w:val="auto"/>
          <w:sz w:val="24"/>
          <w:highlight w:val="none"/>
        </w:rPr>
        <w:t>通知</w:t>
      </w:r>
      <w:r>
        <w:rPr>
          <w:rFonts w:hint="eastAsia" w:ascii="仿宋" w:hAnsi="仿宋" w:eastAsia="仿宋" w:cs="仿宋"/>
          <w:b/>
          <w:color w:val="auto"/>
          <w:sz w:val="24"/>
          <w:highlight w:val="none"/>
        </w:rPr>
        <w:t>之时起30分钟内完成</w:t>
      </w:r>
      <w:r>
        <w:rPr>
          <w:rFonts w:hint="eastAsia" w:ascii="仿宋" w:hAnsi="仿宋" w:eastAsia="仿宋" w:cs="仿宋"/>
          <w:b/>
          <w:bCs/>
          <w:color w:val="auto"/>
          <w:sz w:val="24"/>
          <w:highlight w:val="none"/>
        </w:rPr>
        <w:t>对电子投标文件解密。投标文件未按时解密的，视为无效投标。</w:t>
      </w:r>
      <w:r>
        <w:rPr>
          <w:rFonts w:hint="eastAsia" w:ascii="仿宋" w:hAnsi="仿宋" w:eastAsia="仿宋" w:cs="仿宋"/>
          <w:bCs/>
          <w:color w:val="auto"/>
          <w:sz w:val="24"/>
          <w:highlight w:val="none"/>
        </w:rPr>
        <w:t>（解密异常情况处理：详见本章29.4 电子交易活动的中止。</w:t>
      </w:r>
    </w:p>
    <w:p w14:paraId="5C5C1B2F">
      <w:pP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（2）电子唱标。投标文件解密结束，各投标供应商报价均在“广西政府采购云平台”远程不见面开标大厅展示；</w:t>
      </w:r>
    </w:p>
    <w:p w14:paraId="68131E12">
      <w:pP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（3）开标过程由采购代理机构如实记录，并电子留痕，由参加电子开标的各投标人代表对电子开标记录在开标记录公布后15分钟内进行当场校核及勘误，并线上确认，未确认的视同认可开标结果。</w:t>
      </w:r>
    </w:p>
    <w:p w14:paraId="0AC99AE7">
      <w:pP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05EB7835">
      <w:pPr>
        <w:snapToGrid w:val="0"/>
        <w:spacing w:line="360" w:lineRule="auto"/>
        <w:ind w:firstLine="42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（5）开标结束。</w:t>
      </w:r>
    </w:p>
    <w:p w14:paraId="375D713E">
      <w:pPr>
        <w:autoSpaceDE w:val="0"/>
        <w:autoSpaceDN w:val="0"/>
        <w:adjustRightInd w:val="0"/>
        <w:spacing w:line="440" w:lineRule="exact"/>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特别说明：如遇“广西政府采购云平台”电子化开标或评审程序调整的，按调整后执行。</w:t>
      </w:r>
    </w:p>
    <w:p w14:paraId="4E921CBD">
      <w:pPr>
        <w:pStyle w:val="5"/>
        <w:keepNext w:val="0"/>
        <w:keepLines w:val="0"/>
        <w:jc w:val="center"/>
        <w:rPr>
          <w:rFonts w:hint="eastAsia" w:ascii="仿宋" w:hAnsi="仿宋" w:eastAsia="仿宋" w:cs="仿宋"/>
          <w:color w:val="auto"/>
          <w:highlight w:val="none"/>
        </w:rPr>
      </w:pPr>
      <w:r>
        <w:rPr>
          <w:rFonts w:hint="eastAsia" w:ascii="仿宋" w:hAnsi="仿宋" w:eastAsia="仿宋" w:cs="仿宋"/>
          <w:color w:val="auto"/>
          <w:highlight w:val="none"/>
        </w:rPr>
        <w:t>五、资格审查</w:t>
      </w:r>
    </w:p>
    <w:p w14:paraId="06B9D75C">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25.资格审查</w:t>
      </w:r>
    </w:p>
    <w:p w14:paraId="4E2719D8">
      <w:pPr>
        <w:pStyle w:val="7"/>
        <w:keepNext w:val="0"/>
        <w:keepLines w:val="0"/>
        <w:spacing w:before="0" w:after="0" w:line="360" w:lineRule="auto"/>
        <w:ind w:firstLine="360" w:firstLineChars="15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 xml:space="preserve"> 25.1开标结束后，采购人或者采购代理机构依法对投标人的资格进行审查。</w:t>
      </w:r>
    </w:p>
    <w:p w14:paraId="27C394A8">
      <w:pPr>
        <w:pStyle w:val="7"/>
        <w:keepNext w:val="0"/>
        <w:keepLines w:val="0"/>
        <w:spacing w:before="0" w:after="0" w:line="360" w:lineRule="auto"/>
        <w:ind w:firstLine="360" w:firstLineChars="15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 xml:space="preserve"> 25.2资格审查标准为本招标文件中载明对投标人资格要求的条件。本项目资格审查采用合格制，凡符合招标文件规定的投标人资格要求的投标人均通过资格审查。</w:t>
      </w:r>
    </w:p>
    <w:p w14:paraId="6016C23F">
      <w:pPr>
        <w:pStyle w:val="7"/>
        <w:keepNext w:val="0"/>
        <w:keepLines w:val="0"/>
        <w:numPr>
          <w:ilvl w:val="0"/>
          <w:numId w:val="0"/>
        </w:numPr>
        <w:spacing w:before="0" w:after="0" w:line="360" w:lineRule="auto"/>
        <w:ind w:firstLine="482" w:firstLineChars="200"/>
        <w:rPr>
          <w:rFonts w:hint="eastAsia" w:ascii="仿宋" w:hAnsi="仿宋" w:eastAsia="仿宋" w:cs="仿宋"/>
          <w:color w:val="auto"/>
          <w:sz w:val="24"/>
          <w:highlight w:val="none"/>
        </w:rPr>
      </w:pPr>
      <w:bookmarkStart w:id="151" w:name="_25.3_投标人有下列情形之一的，资格审查不通过而导致其投标无效："/>
      <w:bookmarkEnd w:id="151"/>
      <w:r>
        <w:rPr>
          <w:rFonts w:hint="eastAsia" w:ascii="仿宋" w:hAnsi="仿宋" w:eastAsia="仿宋" w:cs="仿宋"/>
          <w:color w:val="auto"/>
          <w:sz w:val="24"/>
          <w:highlight w:val="none"/>
        </w:rPr>
        <w:t>25.3 投标人有下列情形之一的，资格审查不通过，作无效投标处理：</w:t>
      </w:r>
    </w:p>
    <w:p w14:paraId="761922E3">
      <w:pPr>
        <w:pStyle w:val="27"/>
        <w:snapToGrid w:val="0"/>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（1）未按招标文件规定的方式获取本招标文件的投标人；</w:t>
      </w:r>
    </w:p>
    <w:p w14:paraId="6118E376">
      <w:pPr>
        <w:pStyle w:val="27"/>
        <w:snapToGrid w:val="0"/>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（2）不具备招标文件中规定的资格要求的；</w:t>
      </w:r>
    </w:p>
    <w:p w14:paraId="1227FBE3">
      <w:pPr>
        <w:pStyle w:val="27"/>
        <w:snapToGrid w:val="0"/>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（3）在“信用中国”网站（www.creditchina.gov.cn） 、中国政府采购网（www.ccgp.gov.cn）被列入失信被执行人、重大税收违法案件当事人名单、政府采购严重违法失信行为记录名单及其他不符合《中华人民共和国政府采购法》第二十二条规定条件的；（注：其中信用查询规则见“投标人须知前附表”）</w:t>
      </w:r>
    </w:p>
    <w:p w14:paraId="17066157">
      <w:pPr>
        <w:pStyle w:val="27"/>
        <w:snapToGrid w:val="0"/>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（4）同一合同项下的不同投标人，单位负责人为同一人或者存在直接控股、管理关系的；为本项目提供过整体设计、规范编制或者项目管理、监理、检测等服务的供应商，再参加该采购项目的其他采购活动的；</w:t>
      </w:r>
    </w:p>
    <w:p w14:paraId="22DA00E2">
      <w:pPr>
        <w:pStyle w:val="27"/>
        <w:snapToGrid w:val="0"/>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（5）投标文件中的资格证明文件缺少任一项“投标人须知前附表”资格证明文件规定“必须提供”的文件资料的；</w:t>
      </w:r>
    </w:p>
    <w:p w14:paraId="38EA39B7">
      <w:pPr>
        <w:pStyle w:val="27"/>
        <w:snapToGrid w:val="0"/>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（6）投标文件中的资格证明文件出现任一项不符合“投标人须知前附表”资格证明文件规定“必须提供”的文件资料要求或者无效的。</w:t>
      </w:r>
    </w:p>
    <w:p w14:paraId="2C5E5D11">
      <w:pPr>
        <w:pStyle w:val="7"/>
        <w:keepNext w:val="0"/>
        <w:keepLines w:val="0"/>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color w:val="auto"/>
          <w:sz w:val="24"/>
          <w:highlight w:val="none"/>
        </w:rPr>
        <w:t>25.4合格投标人不足3家的，不得评标。</w:t>
      </w:r>
    </w:p>
    <w:p w14:paraId="65321B11">
      <w:pPr>
        <w:pStyle w:val="5"/>
        <w:keepNext w:val="0"/>
        <w:keepLines w:val="0"/>
        <w:jc w:val="center"/>
        <w:rPr>
          <w:rFonts w:hint="eastAsia" w:ascii="仿宋" w:hAnsi="仿宋" w:eastAsia="仿宋" w:cs="仿宋"/>
          <w:color w:val="auto"/>
          <w:highlight w:val="none"/>
        </w:rPr>
      </w:pPr>
      <w:r>
        <w:rPr>
          <w:rFonts w:hint="eastAsia" w:ascii="仿宋" w:hAnsi="仿宋" w:eastAsia="仿宋" w:cs="仿宋"/>
          <w:color w:val="auto"/>
          <w:highlight w:val="none"/>
        </w:rPr>
        <w:t>六、评   标</w:t>
      </w:r>
    </w:p>
    <w:p w14:paraId="0C4BD78C">
      <w:pPr>
        <w:pStyle w:val="7"/>
        <w:keepNext w:val="0"/>
        <w:keepLines w:val="0"/>
        <w:spacing w:before="0" w:after="0" w:line="360" w:lineRule="auto"/>
        <w:ind w:left="420" w:leftChars="200"/>
        <w:rPr>
          <w:rFonts w:hint="eastAsia" w:ascii="仿宋" w:hAnsi="仿宋" w:eastAsia="仿宋" w:cs="仿宋"/>
          <w:color w:val="auto"/>
          <w:sz w:val="24"/>
          <w:highlight w:val="none"/>
        </w:rPr>
      </w:pPr>
      <w:bookmarkStart w:id="152" w:name="_26.组建评标委员会"/>
      <w:bookmarkEnd w:id="152"/>
      <w:r>
        <w:rPr>
          <w:rFonts w:hint="eastAsia" w:ascii="仿宋" w:hAnsi="仿宋" w:eastAsia="仿宋" w:cs="仿宋"/>
          <w:color w:val="auto"/>
          <w:sz w:val="24"/>
          <w:highlight w:val="none"/>
        </w:rPr>
        <w:t>26.组建评标委员会</w:t>
      </w:r>
    </w:p>
    <w:p w14:paraId="28220DC1">
      <w:pPr>
        <w:pStyle w:val="27"/>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评标委员会由采购人代表和评审专家组成，具体人数详见“投标人须知前附表”，其中评审专家不得少于成员总数的三分之二。</w:t>
      </w:r>
    </w:p>
    <w:p w14:paraId="18D977B9">
      <w:pPr>
        <w:pStyle w:val="27"/>
        <w:snapToGrid w:val="0"/>
        <w:spacing w:line="360" w:lineRule="auto"/>
        <w:ind w:left="2" w:leftChars="1"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参加过采购项目前期咨询论证的专家，不得参加该采购项目的评审活动。</w:t>
      </w:r>
    </w:p>
    <w:p w14:paraId="03A45200">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27.评标的依据</w:t>
      </w:r>
    </w:p>
    <w:p w14:paraId="5FFA1004">
      <w:pPr>
        <w:pStyle w:val="27"/>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评标委员会以“第四章 评标方法和评标标准”为依据对投标文件进行评审，没有规定的方法、评审因素和标准，不作为评标依据。</w:t>
      </w:r>
    </w:p>
    <w:p w14:paraId="3874B2BA">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28.评标原则</w:t>
      </w:r>
    </w:p>
    <w:p w14:paraId="26B66FB9">
      <w:pPr>
        <w:pStyle w:val="27"/>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69F2069A">
      <w:pPr>
        <w:pStyle w:val="27"/>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28.2</w:t>
      </w:r>
      <w:bookmarkStart w:id="153" w:name="_28.3评标方法。本项目将按须知前附表规定的评标办法进行评标，具体评标"/>
      <w:bookmarkEnd w:id="153"/>
      <w:r>
        <w:rPr>
          <w:rFonts w:hint="eastAsia" w:ascii="仿宋" w:hAnsi="仿宋" w:eastAsia="仿宋" w:cs="仿宋"/>
          <w:color w:val="auto"/>
          <w:sz w:val="24"/>
          <w:szCs w:val="24"/>
          <w:highlight w:val="none"/>
        </w:rPr>
        <w:t>评委表决。评标委员会成员对需要共同认定的事项存在争议的，应当按照少数服从多数的原则作出结论。</w:t>
      </w:r>
    </w:p>
    <w:p w14:paraId="29C9C6CB">
      <w:pPr>
        <w:pStyle w:val="27"/>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28.3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47AF7B02">
      <w:pPr>
        <w:pStyle w:val="27"/>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28.4评标过程的监控。本项目评标过程实行全程录音、录像监控，</w:t>
      </w:r>
      <w:r>
        <w:rPr>
          <w:rFonts w:hint="eastAsia" w:ascii="仿宋" w:hAnsi="仿宋" w:eastAsia="仿宋" w:cs="仿宋"/>
          <w:b/>
          <w:bCs/>
          <w:color w:val="auto"/>
          <w:sz w:val="24"/>
          <w:szCs w:val="24"/>
          <w:highlight w:val="none"/>
        </w:rPr>
        <w:t>投标人在评标过程中所进行的试图影响评标结果的不公正活动，可能导致其投标无效</w:t>
      </w:r>
      <w:r>
        <w:rPr>
          <w:rFonts w:hint="eastAsia" w:ascii="仿宋" w:hAnsi="仿宋" w:eastAsia="仿宋" w:cs="仿宋"/>
          <w:color w:val="auto"/>
          <w:sz w:val="24"/>
          <w:szCs w:val="24"/>
          <w:highlight w:val="none"/>
        </w:rPr>
        <w:t>。</w:t>
      </w:r>
    </w:p>
    <w:p w14:paraId="0F75C822">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29.评标方法及中标候选人推荐</w:t>
      </w:r>
    </w:p>
    <w:p w14:paraId="53234D1C">
      <w:pPr>
        <w:pStyle w:val="27"/>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29.1本项目的评标方法详见“投标人须知前附表”。</w:t>
      </w:r>
    </w:p>
    <w:p w14:paraId="378105D6">
      <w:pPr>
        <w:pStyle w:val="27"/>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29.2允许负偏离的条款数量详见“投标人须知前附表”。</w:t>
      </w:r>
    </w:p>
    <w:p w14:paraId="6477AC85">
      <w:pPr>
        <w:pStyle w:val="27"/>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29.3中标候选人推荐数量详见“投标人须知前附表”。</w:t>
      </w:r>
    </w:p>
    <w:p w14:paraId="468FDD8E">
      <w:pPr>
        <w:pStyle w:val="27"/>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29.4评标委员会将按照“第四章 评标方法和评标标准”规定的方法、评审因素、标准和程序对投标文件进行评审。</w:t>
      </w:r>
    </w:p>
    <w:p w14:paraId="470C3E86">
      <w:pPr>
        <w:pStyle w:val="27"/>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29.5电子交易活动的中止。采购过程中出现以下情形，导致电子交易平台无法正常运行，或者无法保证电子交易的公平、公正和安全时，采购代理机构可中止电子交易活动：</w:t>
      </w:r>
    </w:p>
    <w:p w14:paraId="2814801F">
      <w:pPr>
        <w:pStyle w:val="27"/>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（1）电子交易平台发生故障而无法登录访问的； </w:t>
      </w:r>
    </w:p>
    <w:p w14:paraId="238CF8B0">
      <w:pPr>
        <w:pStyle w:val="27"/>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（2）电子交易平台应用或数据库出现错误，不能进行正常操作的；</w:t>
      </w:r>
    </w:p>
    <w:p w14:paraId="3079F402">
      <w:pPr>
        <w:pStyle w:val="27"/>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（3）电子交易平台发现严重安全漏洞，有潜在泄密危险的；</w:t>
      </w:r>
    </w:p>
    <w:p w14:paraId="71E6EED2">
      <w:pPr>
        <w:pStyle w:val="27"/>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（4）病毒发作导致不能进行正常操作的； </w:t>
      </w:r>
    </w:p>
    <w:p w14:paraId="5FA47843">
      <w:pPr>
        <w:pStyle w:val="27"/>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（4）其他无法保证电子交易的公平、公正和安全的情况。</w:t>
      </w:r>
    </w:p>
    <w:p w14:paraId="02F44700">
      <w:pPr>
        <w:pStyle w:val="27"/>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29.6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p>
    <w:p w14:paraId="0BC78637">
      <w:pPr>
        <w:pStyle w:val="5"/>
        <w:keepNext w:val="0"/>
        <w:keepLines w:val="0"/>
        <w:jc w:val="center"/>
        <w:rPr>
          <w:rFonts w:hint="eastAsia" w:ascii="仿宋" w:hAnsi="仿宋" w:eastAsia="仿宋" w:cs="仿宋"/>
          <w:color w:val="auto"/>
          <w:highlight w:val="none"/>
        </w:rPr>
      </w:pPr>
      <w:bookmarkStart w:id="154" w:name="_Toc254970546"/>
      <w:bookmarkStart w:id="155" w:name="_Toc254970687"/>
      <w:r>
        <w:rPr>
          <w:rFonts w:hint="eastAsia" w:ascii="仿宋" w:hAnsi="仿宋" w:eastAsia="仿宋" w:cs="仿宋"/>
          <w:color w:val="auto"/>
          <w:highlight w:val="none"/>
        </w:rPr>
        <w:t>七、</w:t>
      </w:r>
      <w:bookmarkEnd w:id="154"/>
      <w:bookmarkEnd w:id="155"/>
      <w:r>
        <w:rPr>
          <w:rFonts w:hint="eastAsia" w:ascii="仿宋" w:hAnsi="仿宋" w:eastAsia="仿宋" w:cs="仿宋"/>
          <w:color w:val="auto"/>
          <w:highlight w:val="none"/>
        </w:rPr>
        <w:t>中标和合同</w:t>
      </w:r>
    </w:p>
    <w:p w14:paraId="5DC01E5A">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30.确定中标人</w:t>
      </w:r>
    </w:p>
    <w:p w14:paraId="44F195F9">
      <w:pPr>
        <w:pStyle w:val="7"/>
        <w:keepNext w:val="0"/>
        <w:keepLines w:val="0"/>
        <w:spacing w:before="0" w:after="0" w:line="360" w:lineRule="auto"/>
        <w:ind w:firstLine="480" w:firstLine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30.1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14:paraId="4DD21B3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30.2采购人在收到评标报告5个工作日内未按评标报告推荐的中标候选人顺序确定中标人，又不能说明合法理由的，视同按评标报告推荐的顺序确定排名第一的中标候选人为中标人。</w:t>
      </w:r>
    </w:p>
    <w:p w14:paraId="7847109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30.3出现下列情形之一的，应予废标：</w:t>
      </w:r>
    </w:p>
    <w:p w14:paraId="2E9737D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（1）符合专业条件的供应商或者对招标文件作实质响应的供应商不足三家的；</w:t>
      </w:r>
    </w:p>
    <w:p w14:paraId="1010660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（2）出现影响采购公正的违法、违规行为的；</w:t>
      </w:r>
    </w:p>
    <w:p w14:paraId="52463AC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（3）投标人的报价均超过了采购预算，采购人不能支付的；</w:t>
      </w:r>
    </w:p>
    <w:p w14:paraId="7930085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（4）因重大变故，采购任务取消的。</w:t>
      </w:r>
    </w:p>
    <w:p w14:paraId="68D47FD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废标后，采购人应当将废标理由通知所有投标人。</w:t>
      </w:r>
    </w:p>
    <w:p w14:paraId="3D3ECA9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30.4 中标人拒绝签订政府采购合同（包括但不限于放弃中标、因不可抗力不能履行合同而放弃签订合同），采购人可以按照评审报告推荐的中标候选人名单排序，确定下一候选人为中标供应商，也可以重新开展政府采购活动。拒绝签订政府采购合同的中标人不得参加对该项目重新开展的采购活动。</w:t>
      </w:r>
    </w:p>
    <w:p w14:paraId="591FA4B0">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31.结果公告</w:t>
      </w:r>
    </w:p>
    <w:p w14:paraId="3DF62A94">
      <w:pPr>
        <w:pStyle w:val="7"/>
        <w:keepNext w:val="0"/>
        <w:keepLines w:val="0"/>
        <w:spacing w:before="0" w:after="0" w:line="360" w:lineRule="auto"/>
        <w:ind w:firstLine="480" w:firstLine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31.1采购人或者采购代理机构应当自中标人确定之日起2个工作日内，在省级以上财政部门指定的媒体上公告中标结果，招标文件应当随中标结果同时公告。</w:t>
      </w:r>
      <w:r>
        <w:rPr>
          <w:rFonts w:hint="eastAsia" w:ascii="仿宋" w:hAnsi="仿宋" w:eastAsia="仿宋" w:cs="仿宋"/>
          <w:color w:val="auto"/>
          <w:sz w:val="24"/>
          <w:highlight w:val="none"/>
        </w:rPr>
        <w:t>采购人或者采购代理发出中标通知书前，应当对中标人信用进行查询，对列入失信被执行人、重大税收违法案件当事人名单、政府采购严重违法失信行为记录名单及其他不符合《中华人民共和国政府采购法》第二十二条规定条件的投标人，取消其中标资格，并确定排名第二的中标候选人为中标人。</w:t>
      </w:r>
      <w:r>
        <w:rPr>
          <w:rFonts w:hint="eastAsia" w:ascii="仿宋" w:hAnsi="仿宋" w:eastAsia="仿宋" w:cs="仿宋"/>
          <w:b w:val="0"/>
          <w:color w:val="auto"/>
          <w:sz w:val="24"/>
          <w:highlight w:val="none"/>
        </w:rPr>
        <w:t>排名第二的中标候选人因前款规定的同样原因被取消中标资格的，采购人可以确定排名第三的中标候选人为中标人，以此类推。以上信息查询记录及相关证据与采购文件一并保存。</w:t>
      </w:r>
    </w:p>
    <w:p w14:paraId="758AE391">
      <w:pPr>
        <w:pStyle w:val="7"/>
        <w:keepNext w:val="0"/>
        <w:keepLines w:val="0"/>
        <w:spacing w:before="0" w:after="0" w:line="360" w:lineRule="auto"/>
        <w:ind w:firstLine="480" w:firstLine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31.2中标供应商享受《政府采购促进中小企业发展管理办法》（财库〔2020〕46号）规定的中小企业扶持政策的，采购人、采购代理机构应当随中标结果公开中标供应商的《中小企业声明函》。</w:t>
      </w:r>
    </w:p>
    <w:p w14:paraId="46308781">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32.发出中标通知书</w:t>
      </w:r>
    </w:p>
    <w:p w14:paraId="0E574983">
      <w:pPr>
        <w:pStyle w:val="7"/>
        <w:keepNext w:val="0"/>
        <w:keepLines w:val="0"/>
        <w:spacing w:before="0" w:after="0" w:line="360" w:lineRule="auto"/>
        <w:ind w:firstLine="480" w:firstLine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在公告中标结果的同时，采购代理机构向中标人发出中标通知书。对未通过资格审查的投标人，应当告知其未通过的原因；采用综合评分办法评审的，还应当告知未中标人本人的评审得分与排序。</w:t>
      </w:r>
    </w:p>
    <w:p w14:paraId="58D2EB05">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33.无义务解释未中标原因</w:t>
      </w:r>
    </w:p>
    <w:p w14:paraId="6E1334EC">
      <w:pPr>
        <w:pStyle w:val="7"/>
        <w:keepNext w:val="0"/>
        <w:keepLines w:val="0"/>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采购代理机构无义务向未中标的投标人解释未中标原因和退还投标文件。</w:t>
      </w:r>
    </w:p>
    <w:p w14:paraId="68154F58">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34.合同授予标准</w:t>
      </w:r>
    </w:p>
    <w:p w14:paraId="1D1F5DF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合同将授予被确定实质上响应招标文件要求，具备履行合同能力的中标人（招标文件另有约定多名中标人的除外）。</w:t>
      </w:r>
    </w:p>
    <w:p w14:paraId="7677E484">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35.履约保证金</w:t>
      </w:r>
    </w:p>
    <w:p w14:paraId="48550472">
      <w:pPr>
        <w:pStyle w:val="7"/>
        <w:keepNext w:val="0"/>
        <w:keepLines w:val="0"/>
        <w:spacing w:before="0" w:after="0" w:line="360" w:lineRule="auto"/>
        <w:ind w:firstLine="360" w:firstLineChars="150"/>
        <w:rPr>
          <w:rFonts w:hint="eastAsia" w:ascii="仿宋" w:hAnsi="仿宋" w:eastAsia="仿宋" w:cs="仿宋"/>
          <w:b w:val="0"/>
          <w:color w:val="auto"/>
          <w:sz w:val="24"/>
          <w:highlight w:val="none"/>
        </w:rPr>
      </w:pPr>
      <w:bookmarkStart w:id="156" w:name="_39.1中标人须于签订合同前按本须知前附表规定的金额转账或电汇到指定账"/>
      <w:bookmarkEnd w:id="156"/>
      <w:r>
        <w:rPr>
          <w:rFonts w:hint="eastAsia" w:ascii="仿宋" w:hAnsi="仿宋" w:eastAsia="仿宋" w:cs="仿宋"/>
          <w:b w:val="0"/>
          <w:color w:val="auto"/>
          <w:sz w:val="24"/>
          <w:highlight w:val="none"/>
        </w:rPr>
        <w:t>35.1 履约保证金的金额、提交方式、退付的时间和条件详见 “投标人须知前附表”。中标人未按规定提交履约保证金的，视为拒绝与采购人签订合同。</w:t>
      </w:r>
    </w:p>
    <w:p w14:paraId="505C6116">
      <w:pPr>
        <w:pStyle w:val="7"/>
        <w:keepNext w:val="0"/>
        <w:keepLines w:val="0"/>
        <w:spacing w:before="0" w:after="0"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b w:val="0"/>
          <w:bCs/>
          <w:color w:val="auto"/>
          <w:sz w:val="24"/>
          <w:highlight w:val="none"/>
        </w:rPr>
        <w:t>35.2在履约保证金退还日期前，若中标人的开户名称、开户银行、账号有变动的，请以书面形式通知履约保证金收取单位，否则由此产生的后果由中标人自行承担。</w:t>
      </w:r>
    </w:p>
    <w:p w14:paraId="035B633A">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36.签订合同</w:t>
      </w:r>
    </w:p>
    <w:p w14:paraId="74A934E9">
      <w:pPr>
        <w:pStyle w:val="7"/>
        <w:keepNext w:val="0"/>
        <w:keepLines w:val="0"/>
        <w:spacing w:before="0" w:after="0" w:line="360" w:lineRule="auto"/>
        <w:ind w:firstLine="360" w:firstLineChars="150"/>
        <w:rPr>
          <w:rFonts w:hint="eastAsia" w:ascii="仿宋" w:hAnsi="仿宋" w:eastAsia="仿宋" w:cs="仿宋"/>
          <w:b w:val="0"/>
          <w:bCs/>
          <w:color w:val="auto"/>
          <w:sz w:val="24"/>
          <w:highlight w:val="none"/>
        </w:rPr>
      </w:pPr>
      <w:bookmarkStart w:id="157" w:name="_40.1投标人接到中标通知书后，按须知前附表规定向采购人出示相关资格证"/>
      <w:bookmarkEnd w:id="157"/>
      <w:r>
        <w:rPr>
          <w:rFonts w:hint="eastAsia" w:ascii="仿宋" w:hAnsi="仿宋" w:eastAsia="仿宋" w:cs="仿宋"/>
          <w:b w:val="0"/>
          <w:color w:val="auto"/>
          <w:sz w:val="24"/>
          <w:highlight w:val="none"/>
        </w:rPr>
        <w:t xml:space="preserve"> 36.1投标人领取中标通知书（书面或电子）后，按“投标人须知前附表”规定向采购人出示相关证明材料，经采购人核验合格后方可签订采购合同（书面或电子）。</w:t>
      </w:r>
      <w:r>
        <w:rPr>
          <w:rFonts w:hint="eastAsia" w:ascii="仿宋" w:hAnsi="仿宋" w:eastAsia="仿宋" w:cs="仿宋"/>
          <w:b w:val="0"/>
          <w:bCs/>
          <w:color w:val="auto"/>
          <w:sz w:val="24"/>
          <w:highlight w:val="none"/>
        </w:rPr>
        <w:t>如中标人为联合体的，联合体各方应当共同与采购人签订采购合同，就采购合同约定的事项对采购人承担连带责任。</w:t>
      </w:r>
    </w:p>
    <w:p w14:paraId="31242B85">
      <w:pPr>
        <w:pStyle w:val="7"/>
        <w:keepNext w:val="0"/>
        <w:keepLines w:val="0"/>
        <w:numPr>
          <w:ilvl w:val="0"/>
          <w:numId w:val="0"/>
        </w:numPr>
        <w:spacing w:before="0" w:after="0" w:line="360" w:lineRule="auto"/>
        <w:ind w:firstLine="480" w:firstLine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36.2签订合同时间：中标通知书（中标公告）发出之日起25个日历日内。</w:t>
      </w:r>
    </w:p>
    <w:p w14:paraId="19BB20DB">
      <w:pPr>
        <w:pStyle w:val="7"/>
        <w:keepNext w:val="0"/>
        <w:keepLines w:val="0"/>
        <w:spacing w:before="0" w:after="0" w:line="360" w:lineRule="auto"/>
        <w:ind w:firstLine="360" w:firstLineChars="15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 xml:space="preserve"> 36.3中标人拒绝与采购人签订合同的，按照本须知正文第30.4条的规定执行。</w:t>
      </w:r>
    </w:p>
    <w:p w14:paraId="3F164AC2">
      <w:pPr>
        <w:pStyle w:val="7"/>
        <w:keepNext w:val="0"/>
        <w:keepLines w:val="0"/>
        <w:spacing w:before="0" w:after="0" w:line="360" w:lineRule="auto"/>
        <w:ind w:left="420" w:leftChars="200"/>
        <w:rPr>
          <w:rFonts w:hint="eastAsia" w:ascii="仿宋" w:hAnsi="仿宋" w:eastAsia="仿宋" w:cs="仿宋"/>
          <w:color w:val="auto"/>
          <w:sz w:val="24"/>
          <w:highlight w:val="none"/>
        </w:rPr>
      </w:pPr>
      <w:bookmarkStart w:id="158" w:name="_41.政府采购合同公告"/>
      <w:bookmarkEnd w:id="158"/>
      <w:r>
        <w:rPr>
          <w:rFonts w:hint="eastAsia" w:ascii="仿宋" w:hAnsi="仿宋" w:eastAsia="仿宋" w:cs="仿宋"/>
          <w:color w:val="auto"/>
          <w:sz w:val="24"/>
          <w:highlight w:val="none"/>
        </w:rPr>
        <w:t>37.政府采购合同公告</w:t>
      </w:r>
    </w:p>
    <w:p w14:paraId="6EECD622">
      <w:pPr>
        <w:pStyle w:val="27"/>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采购人或者受托采购代理机构应当自政府采购合同签订之日起2个工作日内，将政府采购合同在省级以上人民政府财政部门指定的媒体上公告，但政府采购合同中涉及国家秘密、商业秘密的内容除外。</w:t>
      </w:r>
    </w:p>
    <w:p w14:paraId="1FD80C74">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38. 询问、质疑和投诉</w:t>
      </w:r>
    </w:p>
    <w:p w14:paraId="5D53F15D">
      <w:pPr>
        <w:pStyle w:val="9"/>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38.1供应商对政府采购活动事项有疑问的，可以向采购人提出询问，采购人或者采购代理机构应当在3个工作日内对供应商依法提出的询问作出答复，但答复的内容不得涉及商业秘密。</w:t>
      </w:r>
    </w:p>
    <w:p w14:paraId="11217209">
      <w:pPr>
        <w:pStyle w:val="9"/>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 xml:space="preserve">38.2供应商认为招标文件、采购过程或者中标结果使自己的合法权益受到损害的，必须在知道或者应知其权益受到损害之日起7个工作日内，以纸质书面形式向采购人、采购代理机构提出质疑。采购人、采购代理机构接收质疑函的方式、联系部门、联系电话和通讯地址等信息详见“投标人须知前附表”。具体质疑起算时间如下： </w:t>
      </w:r>
    </w:p>
    <w:p w14:paraId="7FE19677">
      <w:pPr>
        <w:pStyle w:val="27"/>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（1）对可以质疑的招标文件提出质疑的，为收到招标文件之日或者招标文件公告期限届满之日；</w:t>
      </w:r>
    </w:p>
    <w:p w14:paraId="651EA3DE">
      <w:pPr>
        <w:pStyle w:val="27"/>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（2）对采购过程提出质疑的，为各采购程序环节结束之日；</w:t>
      </w:r>
    </w:p>
    <w:p w14:paraId="3EC5216F">
      <w:pPr>
        <w:pStyle w:val="27"/>
        <w:snapToGri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（3）对中标结果提出质疑的，为中标结果公告期限届满之日。</w:t>
      </w:r>
    </w:p>
    <w:p w14:paraId="2F696554">
      <w:pPr>
        <w:pStyle w:val="7"/>
        <w:keepNext w:val="0"/>
        <w:keepLines w:val="0"/>
        <w:spacing w:before="0" w:after="0" w:line="360" w:lineRule="auto"/>
        <w:ind w:firstLine="360" w:firstLineChars="15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38.3</w:t>
      </w:r>
      <w:r>
        <w:rPr>
          <w:rFonts w:hint="eastAsia" w:ascii="仿宋" w:hAnsi="仿宋" w:eastAsia="仿宋" w:cs="仿宋"/>
          <w:bCs/>
          <w:color w:val="auto"/>
          <w:sz w:val="24"/>
          <w:highlight w:val="none"/>
        </w:rPr>
        <w:t>供应商提出质疑应当提交质疑函和必要的证明材料，针对同一采购程序环节的质疑必须在法定质疑期内一次性提出。质疑函应当包括下列内容（质疑函格式后附）：</w:t>
      </w:r>
    </w:p>
    <w:p w14:paraId="011CEF05">
      <w:pPr>
        <w:pStyle w:val="27"/>
        <w:snapToGri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（1）供应商的姓名或者名称、地址、邮编、联系人及联系电话；</w:t>
      </w:r>
    </w:p>
    <w:p w14:paraId="72CA656E">
      <w:pPr>
        <w:pStyle w:val="27"/>
        <w:snapToGri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（2）质疑项目的名称、编号；</w:t>
      </w:r>
    </w:p>
    <w:p w14:paraId="034837F7">
      <w:pPr>
        <w:pStyle w:val="27"/>
        <w:snapToGri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（3）具体、明确的质疑事项和与质疑事项相关的请求；</w:t>
      </w:r>
    </w:p>
    <w:p w14:paraId="54767E85">
      <w:pPr>
        <w:pStyle w:val="27"/>
        <w:snapToGri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（4）事实依据；</w:t>
      </w:r>
    </w:p>
    <w:p w14:paraId="75E59493">
      <w:pPr>
        <w:pStyle w:val="27"/>
        <w:snapToGri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（5）必要的法律依据；</w:t>
      </w:r>
    </w:p>
    <w:p w14:paraId="18B63C1E">
      <w:pPr>
        <w:pStyle w:val="27"/>
        <w:snapToGri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（6）提出质疑的日期。</w:t>
      </w:r>
    </w:p>
    <w:p w14:paraId="6CF71A9C">
      <w:pPr>
        <w:pStyle w:val="27"/>
        <w:snapToGri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供应商为自然人的，应当由本人签字；供应商为法人或者其他组织的，应当由法定代表人、主要负责人，或者其委托代理人签字或者盖章，并加盖公章。</w:t>
      </w:r>
    </w:p>
    <w:p w14:paraId="658A76C9">
      <w:pPr>
        <w:pStyle w:val="7"/>
        <w:keepNext w:val="0"/>
        <w:keepLines w:val="0"/>
        <w:snapToGrid w:val="0"/>
        <w:spacing w:before="0" w:after="0" w:line="360" w:lineRule="auto"/>
        <w:ind w:firstLine="480" w:firstLineChars="200"/>
        <w:rPr>
          <w:rFonts w:hint="eastAsia" w:ascii="仿宋" w:hAnsi="仿宋" w:eastAsia="仿宋" w:cs="仿宋"/>
          <w:b w:val="0"/>
          <w:bCs/>
          <w:color w:val="auto"/>
          <w:sz w:val="24"/>
          <w:highlight w:val="none"/>
        </w:rPr>
      </w:pPr>
      <w:r>
        <w:rPr>
          <w:rFonts w:hint="eastAsia" w:ascii="仿宋" w:hAnsi="仿宋" w:eastAsia="仿宋" w:cs="仿宋"/>
          <w:b w:val="0"/>
          <w:color w:val="auto"/>
          <w:sz w:val="24"/>
          <w:highlight w:val="none"/>
        </w:rPr>
        <w:t>3</w:t>
      </w:r>
      <w:r>
        <w:rPr>
          <w:rFonts w:hint="eastAsia" w:ascii="仿宋" w:hAnsi="仿宋" w:eastAsia="仿宋" w:cs="仿宋"/>
          <w:b w:val="0"/>
          <w:bCs/>
          <w:color w:val="auto"/>
          <w:sz w:val="24"/>
          <w:highlight w:val="none"/>
        </w:rPr>
        <w:t>8.4采购人、采购代理机构认为供应商质疑不成立，或者成立但未对中标结果构成影响的，继续开展采购活动；认为供应商质疑成立且影响或者可能影响中标结果的，按照下列情况处理：</w:t>
      </w:r>
    </w:p>
    <w:p w14:paraId="7E120710">
      <w:pPr>
        <w:pStyle w:val="27"/>
        <w:snapToGrid w:val="0"/>
        <w:spacing w:line="36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　　（1）对招标文件提出的质疑，依法通过澄清或者修改可以继续开展采购活动的，澄清或者修改招标文件后继续开展采购活动；否则应当修改招标文件后重新开展采购活动。</w:t>
      </w:r>
    </w:p>
    <w:p w14:paraId="0FB48FE2">
      <w:pPr>
        <w:pStyle w:val="27"/>
        <w:snapToGrid w:val="0"/>
        <w:spacing w:line="36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　　（2）对采购过程、中标结果提出的质疑，合格供应商符合法定数量时，可以从合格的中标候选人中另行确定中标供应商的，应当依法另行确定中标供应商；否则应当重新开展采购活动。</w:t>
      </w:r>
    </w:p>
    <w:p w14:paraId="67BA2CE2">
      <w:pPr>
        <w:pStyle w:val="27"/>
        <w:snapToGrid w:val="0"/>
        <w:spacing w:line="360" w:lineRule="auto"/>
        <w:ind w:firstLine="42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质疑答复导致中标结果改变的，采购人或者采购代理机构应当将有关情况书面报告本级财政部门。</w:t>
      </w:r>
    </w:p>
    <w:p w14:paraId="1B6D5AE2">
      <w:pPr>
        <w:pStyle w:val="27"/>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38.5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bookmarkStart w:id="159" w:name="_八、其他事项"/>
      <w:bookmarkEnd w:id="159"/>
    </w:p>
    <w:p w14:paraId="1B59AFFC">
      <w:pPr>
        <w:pStyle w:val="5"/>
        <w:keepNext w:val="0"/>
        <w:keepLines w:val="0"/>
        <w:jc w:val="center"/>
        <w:rPr>
          <w:rFonts w:hint="eastAsia" w:ascii="仿宋" w:hAnsi="仿宋" w:eastAsia="仿宋" w:cs="仿宋"/>
          <w:color w:val="auto"/>
          <w:highlight w:val="none"/>
        </w:rPr>
      </w:pPr>
      <w:r>
        <w:rPr>
          <w:rFonts w:hint="eastAsia" w:ascii="仿宋" w:hAnsi="仿宋" w:eastAsia="仿宋" w:cs="仿宋"/>
          <w:color w:val="auto"/>
          <w:highlight w:val="none"/>
        </w:rPr>
        <w:t>八、其他事项</w:t>
      </w:r>
    </w:p>
    <w:p w14:paraId="76BC7055">
      <w:pPr>
        <w:pStyle w:val="7"/>
        <w:keepNext w:val="0"/>
        <w:keepLines w:val="0"/>
        <w:spacing w:before="0" w:after="0" w:line="360" w:lineRule="auto"/>
        <w:ind w:left="420" w:leftChars="200"/>
        <w:rPr>
          <w:rFonts w:hint="eastAsia" w:ascii="仿宋" w:hAnsi="仿宋" w:eastAsia="仿宋" w:cs="仿宋"/>
          <w:color w:val="auto"/>
          <w:sz w:val="24"/>
          <w:highlight w:val="none"/>
        </w:rPr>
      </w:pPr>
      <w:bookmarkStart w:id="160" w:name="_42.代理服务费"/>
      <w:bookmarkEnd w:id="160"/>
      <w:r>
        <w:rPr>
          <w:rFonts w:hint="eastAsia" w:ascii="仿宋" w:hAnsi="仿宋" w:eastAsia="仿宋" w:cs="仿宋"/>
          <w:color w:val="auto"/>
          <w:sz w:val="24"/>
          <w:highlight w:val="none"/>
        </w:rPr>
        <w:t>39.代理服务费</w:t>
      </w:r>
    </w:p>
    <w:p w14:paraId="3031A4DC">
      <w:pPr>
        <w:pStyle w:val="27"/>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39.1代理服务收取标准及缴费账户详见“投标人须知前附表”，投标人为联合体的，可以由联合体中的一方或者多方共同交纳代理服务费。</w:t>
      </w:r>
    </w:p>
    <w:p w14:paraId="42CE76A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39.3代理服务费交纳银行账号信息：详见“投标人须知前附表”</w:t>
      </w:r>
    </w:p>
    <w:p w14:paraId="500BF6DA">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40. 需要补充的其他内容</w:t>
      </w:r>
    </w:p>
    <w:p w14:paraId="07F695C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40.1本招标文件解释规则详见“投标人须知前附表”。</w:t>
      </w:r>
    </w:p>
    <w:p w14:paraId="2C582A5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40.2 其他事项详见“投标人须知前附表”。</w:t>
      </w:r>
    </w:p>
    <w:p w14:paraId="1C79B9F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40.3</w:t>
      </w:r>
      <w:bookmarkStart w:id="161" w:name="_Hlk65857140"/>
      <w:r>
        <w:rPr>
          <w:rFonts w:hint="eastAsia" w:ascii="仿宋" w:hAnsi="仿宋" w:eastAsia="仿宋" w:cs="仿宋"/>
          <w:color w:val="auto"/>
          <w:sz w:val="24"/>
          <w:highlight w:val="none"/>
        </w:rPr>
        <w:t>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14:paraId="2D666C4C">
      <w:pPr>
        <w:pStyle w:val="27"/>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（1）在货物采购项目中，货物由中小企业制造，即货物由中小企业生产且使用该中小企业商号或者注册商标，不对其中涉及的工程承建商和服务的承接商作出要求；</w:t>
      </w:r>
    </w:p>
    <w:p w14:paraId="4A5D9836">
      <w:pPr>
        <w:pStyle w:val="27"/>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（2）在工程采购项目中，工程由中小企业承建，即工程施工单位为中小企业，不对其中涉及的货物的制造商和服务的承接商作出要求；</w:t>
      </w:r>
    </w:p>
    <w:p w14:paraId="0140C192">
      <w:pPr>
        <w:pStyle w:val="27"/>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724FC762">
      <w:pPr>
        <w:pStyle w:val="27"/>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p w14:paraId="1FD559C2">
      <w:pPr>
        <w:pStyle w:val="27"/>
        <w:spacing w:before="120" w:after="120"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依据本招标文件规定享受扶持政策获得政府采购合同的，小微企业不得将合同分包给大中型企业，中型企业不得将合同分包给大型企业。</w:t>
      </w:r>
      <w:bookmarkEnd w:id="161"/>
    </w:p>
    <w:p w14:paraId="5278BFD4">
      <w:pPr>
        <w:pStyle w:val="27"/>
        <w:spacing w:before="120" w:after="120" w:line="360" w:lineRule="auto"/>
        <w:ind w:firstLine="480" w:firstLineChars="200"/>
        <w:contextualSpacing/>
        <w:rPr>
          <w:rFonts w:hint="eastAsia" w:ascii="仿宋" w:hAnsi="仿宋" w:eastAsia="仿宋" w:cs="仿宋"/>
          <w:color w:val="auto"/>
          <w:sz w:val="24"/>
          <w:szCs w:val="24"/>
          <w:highlight w:val="none"/>
          <w:lang w:val="en-US" w:eastAsia="zh-CN"/>
        </w:rPr>
      </w:pPr>
    </w:p>
    <w:p w14:paraId="25BF85AB">
      <w:pPr>
        <w:pStyle w:val="3"/>
        <w:keepNext w:val="0"/>
        <w:keepLines w:val="0"/>
        <w:pageBreakBefore/>
        <w:spacing w:before="0" w:after="0" w:line="360" w:lineRule="auto"/>
        <w:jc w:val="center"/>
        <w:rPr>
          <w:rFonts w:hint="eastAsia" w:ascii="仿宋" w:hAnsi="仿宋" w:eastAsia="仿宋" w:cs="仿宋"/>
          <w:color w:val="auto"/>
          <w:highlight w:val="none"/>
        </w:rPr>
      </w:pPr>
      <w:bookmarkStart w:id="162" w:name="_Toc254970548"/>
      <w:bookmarkStart w:id="163" w:name="_Toc330456896"/>
      <w:bookmarkStart w:id="164" w:name="_Toc74320803"/>
      <w:bookmarkStart w:id="165" w:name="_Toc254970689"/>
      <w:r>
        <w:rPr>
          <w:rFonts w:hint="eastAsia" w:ascii="仿宋" w:hAnsi="仿宋" w:eastAsia="仿宋" w:cs="仿宋"/>
          <w:color w:val="auto"/>
          <w:highlight w:val="none"/>
        </w:rPr>
        <w:t>第四章  评标方法及评标标准</w:t>
      </w:r>
      <w:bookmarkEnd w:id="162"/>
      <w:bookmarkEnd w:id="163"/>
      <w:bookmarkEnd w:id="164"/>
      <w:bookmarkEnd w:id="165"/>
    </w:p>
    <w:p w14:paraId="2E8B43A2">
      <w:pPr>
        <w:pStyle w:val="5"/>
        <w:keepNext w:val="0"/>
        <w:keepLines w:val="0"/>
        <w:spacing w:before="0" w:after="0" w:line="415" w:lineRule="auto"/>
        <w:jc w:val="cente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一、评标方法</w:t>
      </w:r>
    </w:p>
    <w:p w14:paraId="5FDAC359">
      <w:pPr>
        <w:pStyle w:val="27"/>
        <w:spacing w:line="360" w:lineRule="auto"/>
        <w:ind w:firstLine="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综合评分法，是指投标文件满足招标文件全部实质性要求，且按照评审因素的量化指标评审得分最高的投标人为中标候选人的评标方法。</w:t>
      </w:r>
    </w:p>
    <w:p w14:paraId="2FEEEC7A">
      <w:pPr>
        <w:pStyle w:val="5"/>
        <w:keepNext w:val="0"/>
        <w:keepLines w:val="0"/>
        <w:spacing w:before="120" w:beforeLines="50" w:after="0" w:line="360" w:lineRule="auto"/>
        <w:jc w:val="cente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二、评标程序</w:t>
      </w:r>
    </w:p>
    <w:p w14:paraId="5C58A4F1">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1.符合性审查</w:t>
      </w:r>
    </w:p>
    <w:p w14:paraId="21DB8F03">
      <w:pPr>
        <w:pStyle w:val="27"/>
        <w:snapToGrid w:val="0"/>
        <w:spacing w:line="360" w:lineRule="auto"/>
        <w:ind w:left="1" w:firstLine="420"/>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评标委员会应当对符合资格的投标人的投标文件进行投标报价、商务、技术等实质性内容符合性审查，以确定其是否满足招标文件的实质性要求。</w:t>
      </w:r>
    </w:p>
    <w:p w14:paraId="07CF34F6">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2.符合性审查不通过而导致投标无效的情形</w:t>
      </w:r>
    </w:p>
    <w:p w14:paraId="2EFC5060">
      <w:pP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投标人的投标文件中存在对招标文件的任何实质性要求和条件的负偏离，将被视为投标无效。</w:t>
      </w:r>
    </w:p>
    <w:p w14:paraId="5082A9F7">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2.1在报价评审时，如发现下列情形之一的，将被视为投标无效：</w:t>
      </w:r>
    </w:p>
    <w:p w14:paraId="732CAF29">
      <w:pPr>
        <w:pStyle w:val="9"/>
        <w:numPr>
          <w:ilvl w:val="0"/>
          <w:numId w:val="8"/>
        </w:numPr>
        <w:spacing w:line="360" w:lineRule="auto"/>
        <w:ind w:firstLine="422"/>
        <w:rPr>
          <w:rFonts w:hint="eastAsia" w:ascii="仿宋" w:hAnsi="仿宋" w:eastAsia="仿宋" w:cs="仿宋"/>
          <w:b/>
          <w:color w:val="auto"/>
          <w:sz w:val="24"/>
          <w:szCs w:val="24"/>
          <w:highlight w:val="none"/>
        </w:rPr>
      </w:pPr>
      <w:r>
        <w:rPr>
          <w:rFonts w:hint="eastAsia" w:ascii="仿宋" w:hAnsi="仿宋" w:eastAsia="仿宋" w:cs="仿宋"/>
          <w:b/>
          <w:color w:val="auto"/>
          <w:spacing w:val="-6"/>
          <w:sz w:val="24"/>
          <w:szCs w:val="24"/>
          <w:highlight w:val="none"/>
        </w:rPr>
        <w:t>报价文件</w:t>
      </w:r>
      <w:r>
        <w:rPr>
          <w:rFonts w:hint="eastAsia" w:ascii="仿宋" w:hAnsi="仿宋" w:eastAsia="仿宋" w:cs="仿宋"/>
          <w:b/>
          <w:color w:val="auto"/>
          <w:sz w:val="24"/>
          <w:szCs w:val="24"/>
          <w:highlight w:val="none"/>
        </w:rPr>
        <w:t>未提供“投标人须知前附表”第13.1条规定中“必须提供”的文件资料的；</w:t>
      </w:r>
    </w:p>
    <w:p w14:paraId="0CF62B50">
      <w:pPr>
        <w:pStyle w:val="9"/>
        <w:numPr>
          <w:ilvl w:val="0"/>
          <w:numId w:val="8"/>
        </w:numPr>
        <w:spacing w:line="360" w:lineRule="auto"/>
        <w:ind w:firstLine="422"/>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未采用人民币报价或者未按照招标文件标明的币种报价的；</w:t>
      </w:r>
    </w:p>
    <w:p w14:paraId="5182DE38">
      <w:pPr>
        <w:pStyle w:val="9"/>
        <w:numPr>
          <w:ilvl w:val="0"/>
          <w:numId w:val="8"/>
        </w:numPr>
        <w:spacing w:line="360" w:lineRule="auto"/>
        <w:ind w:firstLine="422"/>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各</w:t>
      </w:r>
      <w:r>
        <w:rPr>
          <w:rFonts w:hint="eastAsia" w:ascii="仿宋" w:hAnsi="仿宋" w:eastAsia="仿宋" w:cs="仿宋"/>
          <w:b/>
          <w:color w:val="auto"/>
          <w:sz w:val="24"/>
          <w:highlight w:val="none"/>
        </w:rPr>
        <w:t>标项</w:t>
      </w:r>
      <w:r>
        <w:rPr>
          <w:rFonts w:hint="eastAsia" w:ascii="仿宋" w:hAnsi="仿宋" w:eastAsia="仿宋" w:cs="仿宋"/>
          <w:b/>
          <w:color w:val="auto"/>
          <w:sz w:val="24"/>
          <w:szCs w:val="24"/>
          <w:highlight w:val="none"/>
        </w:rPr>
        <w:t>报价超出招标文件相应</w:t>
      </w:r>
      <w:r>
        <w:rPr>
          <w:rFonts w:hint="eastAsia" w:ascii="仿宋" w:hAnsi="仿宋" w:eastAsia="仿宋" w:cs="仿宋"/>
          <w:b/>
          <w:color w:val="auto"/>
          <w:sz w:val="24"/>
          <w:highlight w:val="none"/>
        </w:rPr>
        <w:t>标项</w:t>
      </w:r>
      <w:r>
        <w:rPr>
          <w:rFonts w:hint="eastAsia" w:ascii="仿宋" w:hAnsi="仿宋" w:eastAsia="仿宋" w:cs="仿宋"/>
          <w:b/>
          <w:color w:val="auto"/>
          <w:sz w:val="24"/>
          <w:szCs w:val="24"/>
          <w:highlight w:val="none"/>
        </w:rPr>
        <w:t>规定最高限价，或者超出相应</w:t>
      </w:r>
      <w:r>
        <w:rPr>
          <w:rFonts w:hint="eastAsia" w:ascii="仿宋" w:hAnsi="仿宋" w:eastAsia="仿宋" w:cs="仿宋"/>
          <w:b/>
          <w:color w:val="auto"/>
          <w:sz w:val="24"/>
          <w:highlight w:val="none"/>
        </w:rPr>
        <w:t>标项</w:t>
      </w:r>
      <w:r>
        <w:rPr>
          <w:rFonts w:hint="eastAsia" w:ascii="仿宋" w:hAnsi="仿宋" w:eastAsia="仿宋" w:cs="仿宋"/>
          <w:b/>
          <w:color w:val="auto"/>
          <w:sz w:val="24"/>
          <w:szCs w:val="24"/>
          <w:highlight w:val="none"/>
        </w:rPr>
        <w:t>采购预算金额的；</w:t>
      </w:r>
    </w:p>
    <w:p w14:paraId="7D920934">
      <w:pPr>
        <w:pStyle w:val="9"/>
        <w:numPr>
          <w:ilvl w:val="0"/>
          <w:numId w:val="8"/>
        </w:numPr>
        <w:spacing w:line="360" w:lineRule="auto"/>
        <w:ind w:firstLine="422"/>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投标人未就所投</w:t>
      </w:r>
      <w:r>
        <w:rPr>
          <w:rFonts w:hint="eastAsia" w:ascii="仿宋" w:hAnsi="仿宋" w:eastAsia="仿宋" w:cs="仿宋"/>
          <w:b/>
          <w:color w:val="auto"/>
          <w:sz w:val="24"/>
          <w:highlight w:val="none"/>
        </w:rPr>
        <w:t>标项</w:t>
      </w:r>
      <w:r>
        <w:rPr>
          <w:rFonts w:hint="eastAsia" w:ascii="仿宋" w:hAnsi="仿宋" w:eastAsia="仿宋" w:cs="仿宋"/>
          <w:b/>
          <w:color w:val="auto"/>
          <w:sz w:val="24"/>
          <w:szCs w:val="24"/>
          <w:highlight w:val="none"/>
        </w:rPr>
        <w:t>进行报价或者存在漏项报价；投标人未就所投</w:t>
      </w:r>
      <w:r>
        <w:rPr>
          <w:rFonts w:hint="eastAsia" w:ascii="仿宋" w:hAnsi="仿宋" w:eastAsia="仿宋" w:cs="仿宋"/>
          <w:b/>
          <w:color w:val="auto"/>
          <w:sz w:val="24"/>
          <w:highlight w:val="none"/>
        </w:rPr>
        <w:t>标项</w:t>
      </w:r>
      <w:r>
        <w:rPr>
          <w:rFonts w:hint="eastAsia" w:ascii="仿宋" w:hAnsi="仿宋" w:eastAsia="仿宋" w:cs="仿宋"/>
          <w:b/>
          <w:color w:val="auto"/>
          <w:sz w:val="24"/>
          <w:szCs w:val="24"/>
          <w:highlight w:val="none"/>
        </w:rPr>
        <w:t>的单项内容作唯一报价；投标人未就所投</w:t>
      </w:r>
      <w:r>
        <w:rPr>
          <w:rFonts w:hint="eastAsia" w:ascii="仿宋" w:hAnsi="仿宋" w:eastAsia="仿宋" w:cs="仿宋"/>
          <w:b/>
          <w:color w:val="auto"/>
          <w:sz w:val="24"/>
          <w:highlight w:val="none"/>
        </w:rPr>
        <w:t>标项</w:t>
      </w:r>
      <w:r>
        <w:rPr>
          <w:rFonts w:hint="eastAsia" w:ascii="仿宋" w:hAnsi="仿宋" w:eastAsia="仿宋" w:cs="仿宋"/>
          <w:b/>
          <w:color w:val="auto"/>
          <w:sz w:val="24"/>
          <w:szCs w:val="24"/>
          <w:highlight w:val="none"/>
        </w:rPr>
        <w:t>的全部内容作完整唯一总价报价；存在有选择、有条件报价的（招标文件允许有备选方案或者其他约定的除外）；</w:t>
      </w:r>
    </w:p>
    <w:p w14:paraId="7ADB5F3F">
      <w:pPr>
        <w:pStyle w:val="9"/>
        <w:numPr>
          <w:ilvl w:val="0"/>
          <w:numId w:val="8"/>
        </w:numPr>
        <w:spacing w:line="360" w:lineRule="auto"/>
        <w:ind w:firstLine="422"/>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修正后的报价，投标人不确认的；</w:t>
      </w:r>
    </w:p>
    <w:p w14:paraId="3570B31D">
      <w:pPr>
        <w:pStyle w:val="9"/>
        <w:numPr>
          <w:ilvl w:val="0"/>
          <w:numId w:val="8"/>
        </w:numPr>
        <w:spacing w:line="360" w:lineRule="auto"/>
        <w:ind w:firstLine="422"/>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投标人属于本章第5.1条（2）或者第5.2条（2）项情形的；</w:t>
      </w:r>
    </w:p>
    <w:p w14:paraId="39E83EA2">
      <w:pPr>
        <w:pStyle w:val="9"/>
        <w:numPr>
          <w:ilvl w:val="0"/>
          <w:numId w:val="8"/>
        </w:numPr>
        <w:spacing w:line="360" w:lineRule="auto"/>
        <w:ind w:firstLine="422"/>
        <w:rPr>
          <w:rFonts w:hint="eastAsia" w:ascii="仿宋" w:hAnsi="仿宋" w:eastAsia="仿宋" w:cs="仿宋"/>
          <w:b/>
          <w:color w:val="auto"/>
          <w:sz w:val="24"/>
          <w:szCs w:val="24"/>
          <w:highlight w:val="none"/>
        </w:rPr>
      </w:pPr>
      <w:r>
        <w:rPr>
          <w:rFonts w:hint="eastAsia" w:ascii="仿宋" w:hAnsi="仿宋" w:eastAsia="仿宋" w:cs="仿宋"/>
          <w:b/>
          <w:color w:val="auto"/>
          <w:spacing w:val="-6"/>
          <w:sz w:val="24"/>
          <w:szCs w:val="24"/>
          <w:highlight w:val="none"/>
        </w:rPr>
        <w:t>报价文件</w:t>
      </w:r>
      <w:r>
        <w:rPr>
          <w:rFonts w:hint="eastAsia" w:ascii="仿宋" w:hAnsi="仿宋" w:eastAsia="仿宋" w:cs="仿宋"/>
          <w:b/>
          <w:color w:val="auto"/>
          <w:sz w:val="24"/>
          <w:szCs w:val="24"/>
          <w:highlight w:val="none"/>
        </w:rPr>
        <w:t>响应的标的数量及单位与招标文件要求实质性不一致的。</w:t>
      </w:r>
    </w:p>
    <w:p w14:paraId="4148FF48">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2.2在商务评审时，如发现下列情形之一的，将被视为投标无效：</w:t>
      </w:r>
    </w:p>
    <w:p w14:paraId="520D4142">
      <w:pPr>
        <w:numPr>
          <w:ilvl w:val="0"/>
          <w:numId w:val="9"/>
        </w:numP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投标文件未按招标文件要求签署、盖章的；</w:t>
      </w:r>
    </w:p>
    <w:p w14:paraId="6A7587B7">
      <w:pPr>
        <w:numPr>
          <w:ilvl w:val="0"/>
          <w:numId w:val="9"/>
        </w:numP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委托代理人未能出具有效身份证或者出具的身份证与授权委托书中的信息不符的；</w:t>
      </w:r>
    </w:p>
    <w:p w14:paraId="6C03B82A">
      <w:pPr>
        <w:numPr>
          <w:ilvl w:val="0"/>
          <w:numId w:val="9"/>
        </w:numP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为无效投标保证金的或者未按照招标文件的规定提交投标保证金的；</w:t>
      </w:r>
    </w:p>
    <w:p w14:paraId="780A63AE">
      <w:pPr>
        <w:numPr>
          <w:ilvl w:val="0"/>
          <w:numId w:val="9"/>
        </w:numP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投标文件未提供“投标人须知前附表”第13.1条规定中“必须提供”或者“委托时必须提供”的文件资料的；</w:t>
      </w:r>
    </w:p>
    <w:p w14:paraId="2F295992">
      <w:pPr>
        <w:numPr>
          <w:ilvl w:val="0"/>
          <w:numId w:val="9"/>
        </w:numP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商务要求评审允许负偏离的条款数超过“投标人须知前附表”规定项数的；</w:t>
      </w:r>
    </w:p>
    <w:p w14:paraId="1756C0B8">
      <w:pPr>
        <w:numPr>
          <w:ilvl w:val="0"/>
          <w:numId w:val="9"/>
        </w:numP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投标文件的实质性内容未使用中文表述、使用计量单位不符合招标文件要求的；</w:t>
      </w:r>
    </w:p>
    <w:p w14:paraId="7754A97D">
      <w:pPr>
        <w:numPr>
          <w:ilvl w:val="0"/>
          <w:numId w:val="9"/>
        </w:numP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投标文件中的文件资料因填写不齐全或者内容虚假或者出现其他情形而导致被评标委员会认定无效的；</w:t>
      </w:r>
    </w:p>
    <w:p w14:paraId="2A06C3F6">
      <w:pPr>
        <w:numPr>
          <w:ilvl w:val="0"/>
          <w:numId w:val="9"/>
        </w:numP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投标文件含有采购人不能接受的附加条件的；</w:t>
      </w:r>
    </w:p>
    <w:p w14:paraId="31053509">
      <w:pPr>
        <w:numPr>
          <w:ilvl w:val="0"/>
          <w:numId w:val="9"/>
        </w:numP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属于投标人须知正文第9.2条情形的；</w:t>
      </w:r>
    </w:p>
    <w:p w14:paraId="377D7E08">
      <w:pPr>
        <w:numPr>
          <w:ilvl w:val="0"/>
          <w:numId w:val="9"/>
        </w:numP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投标文件标注的项目名称或者项目编号与招标文件标注的项目名称或者项目编号不一致的；</w:t>
      </w:r>
    </w:p>
    <w:p w14:paraId="5E33B622">
      <w:pPr>
        <w:numPr>
          <w:ilvl w:val="0"/>
          <w:numId w:val="9"/>
        </w:numP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招标文件明确不允许分包，投标文件拟分包的；</w:t>
      </w:r>
    </w:p>
    <w:p w14:paraId="4B683F6D">
      <w:pPr>
        <w:numPr>
          <w:ilvl w:val="0"/>
          <w:numId w:val="9"/>
        </w:numP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未响应招标文件实质性要求的；</w:t>
      </w:r>
    </w:p>
    <w:p w14:paraId="7C8791A1">
      <w:pPr>
        <w:numPr>
          <w:ilvl w:val="0"/>
          <w:numId w:val="9"/>
        </w:numP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法律、法规和招标文件规定的其他无效情形。</w:t>
      </w:r>
    </w:p>
    <w:p w14:paraId="0275A3D9">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2.3在技术评审时，如发现下列情形之一的，将被视为投标无效：</w:t>
      </w:r>
    </w:p>
    <w:p w14:paraId="1EE2C182">
      <w:pPr>
        <w:pStyle w:val="20"/>
        <w:snapToGrid w:val="0"/>
        <w:spacing w:line="360" w:lineRule="auto"/>
        <w:ind w:firstLine="472" w:firstLineChars="196"/>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（1）技术要求评审允许负偏离的条款数超过“投标人须知前附表”规定项数的；</w:t>
      </w:r>
    </w:p>
    <w:p w14:paraId="3AFA2A5F">
      <w:pPr>
        <w:pStyle w:val="20"/>
        <w:snapToGrid w:val="0"/>
        <w:spacing w:line="360" w:lineRule="auto"/>
        <w:ind w:firstLine="472" w:firstLineChars="196"/>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（2）投标文件未提供“投标人须知前附表”第13.1条规定中“必须提供”的文件资料的；</w:t>
      </w:r>
    </w:p>
    <w:p w14:paraId="27B94D79">
      <w:pPr>
        <w:pStyle w:val="20"/>
        <w:snapToGrid w:val="0"/>
        <w:spacing w:line="360" w:lineRule="auto"/>
        <w:ind w:firstLine="472" w:firstLineChars="196"/>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（3）虚假投标，或者出现其他情形而导致被评标委员会认定无效的；</w:t>
      </w:r>
    </w:p>
    <w:p w14:paraId="17B21F55">
      <w:pPr>
        <w:pStyle w:val="20"/>
        <w:snapToGrid w:val="0"/>
        <w:spacing w:line="360" w:lineRule="auto"/>
        <w:ind w:firstLine="472" w:firstLineChars="196"/>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（4）</w:t>
      </w:r>
      <w:bookmarkStart w:id="166" w:name="_Hlk71706244"/>
      <w:r>
        <w:rPr>
          <w:rFonts w:hint="eastAsia" w:ascii="仿宋" w:hAnsi="仿宋" w:eastAsia="仿宋" w:cs="仿宋"/>
          <w:b/>
          <w:color w:val="auto"/>
          <w:kern w:val="2"/>
          <w:sz w:val="24"/>
          <w:szCs w:val="24"/>
          <w:highlight w:val="none"/>
        </w:rPr>
        <w:t>招标文件未载明允许提供备选（替代）投标方案或明确不允许提供备选（替代）投标方案时，投标人提供了备选（替代）投标方案的；</w:t>
      </w:r>
      <w:bookmarkEnd w:id="166"/>
    </w:p>
    <w:p w14:paraId="69CE024E">
      <w:pPr>
        <w:pStyle w:val="20"/>
        <w:snapToGrid w:val="0"/>
        <w:spacing w:line="360" w:lineRule="auto"/>
        <w:ind w:firstLine="472" w:firstLineChars="196"/>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（5）未响应招标文件实质性要求的。</w:t>
      </w:r>
    </w:p>
    <w:p w14:paraId="02772E73">
      <w:pPr>
        <w:pStyle w:val="20"/>
        <w:snapToGrid w:val="0"/>
        <w:spacing w:line="360" w:lineRule="auto"/>
        <w:ind w:firstLine="472" w:firstLineChars="196"/>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2.4通过符合性审查的投标人不足3家，评标委员会不得继续评标，并出具评标报告。</w:t>
      </w:r>
    </w:p>
    <w:p w14:paraId="55473CCE">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3.澄清补正</w:t>
      </w:r>
    </w:p>
    <w:p w14:paraId="3678260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投标文件中含义不明确、同类问题表述不一致或者有明显文字和计算错误的内容，评标委员会以电子澄清函形式要求投标人在规定时间内作出必要的澄清、说明或者纠正。投标人的澄清、说明或者补正必须采用电子回函形式，并加盖投标人公章，或者由法定代表人或者其授权的代表签字。投标人的澄清、说明或者补正不得超出投标文件的范围或者改变投标文件的实质性内容。</w:t>
      </w:r>
    </w:p>
    <w:p w14:paraId="3EC54F9C">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4.投标文件修正</w:t>
      </w:r>
    </w:p>
    <w:p w14:paraId="3347B437">
      <w:pPr>
        <w:pStyle w:val="7"/>
        <w:keepNext w:val="0"/>
        <w:keepLines w:val="0"/>
        <w:spacing w:before="0" w:after="0" w:line="360" w:lineRule="auto"/>
        <w:ind w:left="420" w:leftChars="200"/>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 xml:space="preserve">4.1投标文件报价出现前后不一致的，按照下列规定修正： </w:t>
      </w:r>
    </w:p>
    <w:p w14:paraId="071126D0">
      <w:pPr>
        <w:pStyle w:val="27"/>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（1）投标文件中开标一览表（报价表）内容与投标文件中相应内容不一致的，以开标一览表（报价表）为准；</w:t>
      </w:r>
    </w:p>
    <w:p w14:paraId="4064132B">
      <w:pPr>
        <w:pStyle w:val="27"/>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（2）大写金额和小写金额不一致的，以大写金额为准；</w:t>
      </w:r>
    </w:p>
    <w:p w14:paraId="7373DE3E">
      <w:pPr>
        <w:pStyle w:val="27"/>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（3）单价金额小数点或者百分比有明显错位的，以开标一览表的总价为准，并修改单价；</w:t>
      </w:r>
    </w:p>
    <w:p w14:paraId="088B388F">
      <w:pPr>
        <w:pStyle w:val="27"/>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（4）总价金额与按单价汇总金额不一致的，以单价金额计算结果为准。</w:t>
      </w:r>
    </w:p>
    <w:p w14:paraId="5F566E99">
      <w:pPr>
        <w:pStyle w:val="27"/>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同时出现两种以上不一致的，按照以上（1）-（4）规定的顺序修正。修正后的报价经投标人确认后产生约束力，投标人不确认的，</w:t>
      </w:r>
      <w:r>
        <w:rPr>
          <w:rFonts w:hint="eastAsia" w:ascii="仿宋" w:hAnsi="仿宋" w:eastAsia="仿宋" w:cs="仿宋"/>
          <w:b/>
          <w:color w:val="auto"/>
          <w:kern w:val="2"/>
          <w:sz w:val="24"/>
          <w:szCs w:val="24"/>
          <w:highlight w:val="none"/>
        </w:rPr>
        <w:t>其投标无效</w:t>
      </w:r>
      <w:r>
        <w:rPr>
          <w:rFonts w:hint="eastAsia" w:ascii="仿宋" w:hAnsi="仿宋" w:eastAsia="仿宋" w:cs="仿宋"/>
          <w:color w:val="auto"/>
          <w:sz w:val="24"/>
          <w:szCs w:val="24"/>
          <w:highlight w:val="none"/>
        </w:rPr>
        <w:t>。</w:t>
      </w:r>
    </w:p>
    <w:p w14:paraId="77B18433">
      <w:pPr>
        <w:pStyle w:val="7"/>
        <w:keepNext w:val="0"/>
        <w:keepLines w:val="0"/>
        <w:spacing w:before="0" w:after="0" w:line="360" w:lineRule="auto"/>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 xml:space="preserve">    4.2经投标人确认修正后的报价若超过采购预算金额或者最高限价，</w:t>
      </w:r>
      <w:r>
        <w:rPr>
          <w:rFonts w:hint="eastAsia" w:ascii="仿宋" w:hAnsi="仿宋" w:eastAsia="仿宋" w:cs="仿宋"/>
          <w:color w:val="auto"/>
          <w:sz w:val="24"/>
          <w:highlight w:val="none"/>
        </w:rPr>
        <w:t>投标人的投标文件作无效投标处理</w:t>
      </w:r>
      <w:r>
        <w:rPr>
          <w:rFonts w:hint="eastAsia" w:ascii="仿宋" w:hAnsi="仿宋" w:eastAsia="仿宋" w:cs="仿宋"/>
          <w:b w:val="0"/>
          <w:color w:val="auto"/>
          <w:sz w:val="24"/>
          <w:highlight w:val="none"/>
        </w:rPr>
        <w:t>。</w:t>
      </w:r>
    </w:p>
    <w:p w14:paraId="451565A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4.3经投标人确认修正后的报价作为签订合同的依据，并以此报价计算价格分。</w:t>
      </w:r>
    </w:p>
    <w:p w14:paraId="7C4573A6">
      <w:pPr>
        <w:pStyle w:val="7"/>
        <w:keepNext w:val="0"/>
        <w:keepLines w:val="0"/>
        <w:spacing w:before="0" w:after="0" w:line="360" w:lineRule="auto"/>
        <w:ind w:left="420" w:lef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5.比较与评价</w:t>
      </w:r>
    </w:p>
    <w:p w14:paraId="2B8B1E2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5.1评审方法：综合评分法</w:t>
      </w:r>
    </w:p>
    <w:p w14:paraId="4B5133A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（1）评标委员会按照招标文件中规定的评标方法及评标标准，对符合性审查合格的投标文件进行商务和技术评估，综合比较与评价。</w:t>
      </w:r>
    </w:p>
    <w:p w14:paraId="08A5206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（2）评标委员会独立对每个投标人的投标文件进行评价，并汇总每个投标人的得分。</w:t>
      </w:r>
    </w:p>
    <w:p w14:paraId="683F9BD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仿宋" w:hAnsi="仿宋" w:eastAsia="仿宋" w:cs="仿宋"/>
          <w:b/>
          <w:color w:val="auto"/>
          <w:sz w:val="24"/>
          <w:highlight w:val="none"/>
        </w:rPr>
        <w:t>投标人不能证明其报价合理性的，评标委员会将其作为无效投标处理</w:t>
      </w:r>
      <w:r>
        <w:rPr>
          <w:rFonts w:hint="eastAsia" w:ascii="仿宋" w:hAnsi="仿宋" w:eastAsia="仿宋" w:cs="仿宋"/>
          <w:color w:val="auto"/>
          <w:sz w:val="24"/>
          <w:highlight w:val="none"/>
        </w:rPr>
        <w:t>。</w:t>
      </w:r>
    </w:p>
    <w:p w14:paraId="3FE04C52">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（3）评标委员会按照招标文件中规定的评标方法和标准计算各投标人的报价得分。在计算过程中</w:t>
      </w:r>
      <w:r>
        <w:rPr>
          <w:rFonts w:hint="eastAsia" w:ascii="仿宋" w:hAnsi="仿宋" w:eastAsia="仿宋" w:cs="仿宋"/>
          <w:color w:val="auto"/>
          <w:sz w:val="24"/>
          <w:szCs w:val="24"/>
          <w:highlight w:val="none"/>
        </w:rPr>
        <w:t>，不得去掉最高报价或者最低报价。</w:t>
      </w:r>
    </w:p>
    <w:p w14:paraId="615A0968">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根据《关于推动解决政府采购异常低价问题的通知》（财库〔2026〕2号）的规定，评审中出现下列情形之一的，</w:t>
      </w:r>
      <w:r>
        <w:rPr>
          <w:rFonts w:hint="eastAsia" w:ascii="仿宋" w:hAnsi="仿宋" w:eastAsia="仿宋" w:cs="仿宋"/>
          <w:color w:val="auto"/>
          <w:sz w:val="24"/>
          <w:szCs w:val="24"/>
          <w:highlight w:val="none"/>
          <w:lang w:val="en-US" w:eastAsia="zh-CN"/>
        </w:rPr>
        <w:t>评标委员会</w:t>
      </w:r>
      <w:r>
        <w:rPr>
          <w:rFonts w:hint="eastAsia" w:ascii="仿宋" w:hAnsi="仿宋" w:eastAsia="仿宋" w:cs="仿宋"/>
          <w:color w:val="auto"/>
          <w:sz w:val="24"/>
          <w:szCs w:val="24"/>
          <w:highlight w:val="none"/>
        </w:rPr>
        <w:t>应当启动异常低价投标审查程序：</w:t>
      </w:r>
    </w:p>
    <w:p w14:paraId="794CFAFB">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 1 \* GB3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①</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 xml:space="preserve"> 投标报价低于全部通过符合性审查供应商投标报价平均值</w:t>
      </w:r>
      <w:r>
        <w:rPr>
          <w:rFonts w:hint="eastAsia" w:ascii="仿宋" w:hAnsi="仿宋" w:eastAsia="仿宋" w:cs="仿宋"/>
          <w:color w:val="auto"/>
          <w:sz w:val="24"/>
          <w:szCs w:val="24"/>
          <w:highlight w:val="none"/>
          <w:lang w:val="en-US" w:eastAsia="zh-CN"/>
        </w:rPr>
        <w:t>60</w:t>
      </w:r>
      <w:r>
        <w:rPr>
          <w:rFonts w:hint="eastAsia" w:ascii="仿宋" w:hAnsi="仿宋" w:eastAsia="仿宋" w:cs="仿宋"/>
          <w:color w:val="auto"/>
          <w:sz w:val="24"/>
          <w:szCs w:val="24"/>
          <w:highlight w:val="none"/>
        </w:rPr>
        <w:t>%的，</w:t>
      </w:r>
      <w:r>
        <w:rPr>
          <w:rFonts w:hint="eastAsia" w:ascii="仿宋" w:hAnsi="仿宋" w:eastAsia="仿宋" w:cs="仿宋"/>
          <w:b/>
          <w:color w:val="auto"/>
          <w:sz w:val="24"/>
          <w:szCs w:val="24"/>
          <w:highlight w:val="none"/>
        </w:rPr>
        <w:t>即投标报价＜全部通过符合性审查供应商投标报价平均值×</w:t>
      </w:r>
      <w:r>
        <w:rPr>
          <w:rFonts w:hint="eastAsia" w:ascii="仿宋" w:hAnsi="仿宋" w:eastAsia="仿宋" w:cs="仿宋"/>
          <w:b/>
          <w:color w:val="auto"/>
          <w:sz w:val="24"/>
          <w:szCs w:val="24"/>
          <w:highlight w:val="none"/>
          <w:lang w:val="en-US" w:eastAsia="zh-CN"/>
        </w:rPr>
        <w:t>6</w:t>
      </w:r>
      <w:r>
        <w:rPr>
          <w:rFonts w:hint="eastAsia" w:ascii="仿宋" w:hAnsi="仿宋" w:eastAsia="仿宋" w:cs="仿宋"/>
          <w:b/>
          <w:color w:val="auto"/>
          <w:sz w:val="24"/>
          <w:szCs w:val="24"/>
          <w:highlight w:val="none"/>
        </w:rPr>
        <w:t>0%</w:t>
      </w:r>
      <w:r>
        <w:rPr>
          <w:rFonts w:hint="eastAsia" w:ascii="仿宋" w:hAnsi="仿宋" w:eastAsia="仿宋" w:cs="仿宋"/>
          <w:color w:val="auto"/>
          <w:sz w:val="24"/>
          <w:szCs w:val="24"/>
          <w:highlight w:val="none"/>
        </w:rPr>
        <w:t>；</w:t>
      </w:r>
    </w:p>
    <w:p w14:paraId="4FBB38B0">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 2 \* GB3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②</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投标报价低于通过符合性审查的次低报价供应商投标报价</w:t>
      </w:r>
      <w:r>
        <w:rPr>
          <w:rFonts w:hint="eastAsia" w:ascii="仿宋" w:hAnsi="仿宋" w:eastAsia="仿宋" w:cs="仿宋"/>
          <w:color w:val="auto"/>
          <w:sz w:val="24"/>
          <w:szCs w:val="24"/>
          <w:highlight w:val="none"/>
          <w:lang w:val="en-US" w:eastAsia="zh-CN"/>
        </w:rPr>
        <w:t>60</w:t>
      </w:r>
      <w:r>
        <w:rPr>
          <w:rFonts w:hint="eastAsia" w:ascii="仿宋" w:hAnsi="仿宋" w:eastAsia="仿宋" w:cs="仿宋"/>
          <w:color w:val="auto"/>
          <w:sz w:val="24"/>
          <w:szCs w:val="24"/>
          <w:highlight w:val="none"/>
        </w:rPr>
        <w:t>%的，</w:t>
      </w:r>
      <w:r>
        <w:rPr>
          <w:rFonts w:hint="eastAsia" w:ascii="仿宋" w:hAnsi="仿宋" w:eastAsia="仿宋" w:cs="仿宋"/>
          <w:b/>
          <w:color w:val="auto"/>
          <w:sz w:val="24"/>
          <w:szCs w:val="24"/>
          <w:highlight w:val="none"/>
        </w:rPr>
        <w:t>即投标报价＜通过符合性审查的次低报价供应商投标报价×</w:t>
      </w:r>
      <w:r>
        <w:rPr>
          <w:rFonts w:hint="eastAsia" w:ascii="仿宋" w:hAnsi="仿宋" w:eastAsia="仿宋" w:cs="仿宋"/>
          <w:b/>
          <w:color w:val="auto"/>
          <w:sz w:val="24"/>
          <w:szCs w:val="24"/>
          <w:highlight w:val="none"/>
          <w:lang w:val="en-US" w:eastAsia="zh-CN"/>
        </w:rPr>
        <w:t>6</w:t>
      </w:r>
      <w:r>
        <w:rPr>
          <w:rFonts w:hint="eastAsia" w:ascii="仿宋" w:hAnsi="仿宋" w:eastAsia="仿宋" w:cs="仿宋"/>
          <w:b/>
          <w:color w:val="auto"/>
          <w:sz w:val="24"/>
          <w:szCs w:val="24"/>
          <w:highlight w:val="none"/>
        </w:rPr>
        <w:t>0%</w:t>
      </w:r>
      <w:r>
        <w:rPr>
          <w:rFonts w:hint="eastAsia" w:ascii="仿宋" w:hAnsi="仿宋" w:eastAsia="仿宋" w:cs="仿宋"/>
          <w:color w:val="auto"/>
          <w:sz w:val="24"/>
          <w:szCs w:val="24"/>
          <w:highlight w:val="none"/>
        </w:rPr>
        <w:t>；</w:t>
      </w:r>
    </w:p>
    <w:p w14:paraId="1D3E7617">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 3 \* GB3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③</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投标报价低于采购项目最高限价</w:t>
      </w:r>
      <w:r>
        <w:rPr>
          <w:rFonts w:hint="eastAsia" w:ascii="仿宋" w:hAnsi="仿宋" w:eastAsia="仿宋" w:cs="仿宋"/>
          <w:color w:val="auto"/>
          <w:sz w:val="24"/>
          <w:szCs w:val="24"/>
          <w:highlight w:val="none"/>
          <w:lang w:val="en-US" w:eastAsia="zh-CN"/>
        </w:rPr>
        <w:t>55</w:t>
      </w:r>
      <w:r>
        <w:rPr>
          <w:rFonts w:hint="eastAsia" w:ascii="仿宋" w:hAnsi="仿宋" w:eastAsia="仿宋" w:cs="仿宋"/>
          <w:color w:val="auto"/>
          <w:sz w:val="24"/>
          <w:szCs w:val="24"/>
          <w:highlight w:val="none"/>
        </w:rPr>
        <w:t>%的，</w:t>
      </w:r>
      <w:r>
        <w:rPr>
          <w:rFonts w:hint="eastAsia" w:ascii="仿宋" w:hAnsi="仿宋" w:eastAsia="仿宋" w:cs="仿宋"/>
          <w:b/>
          <w:color w:val="auto"/>
          <w:sz w:val="24"/>
          <w:szCs w:val="24"/>
          <w:highlight w:val="none"/>
        </w:rPr>
        <w:t>即投标报价＜采购项目最高限价×</w:t>
      </w:r>
      <w:r>
        <w:rPr>
          <w:rFonts w:hint="eastAsia" w:ascii="仿宋" w:hAnsi="仿宋" w:eastAsia="仿宋" w:cs="仿宋"/>
          <w:b/>
          <w:color w:val="auto"/>
          <w:sz w:val="24"/>
          <w:szCs w:val="24"/>
          <w:highlight w:val="none"/>
          <w:lang w:val="en-US" w:eastAsia="zh-CN"/>
        </w:rPr>
        <w:t>55</w:t>
      </w:r>
      <w:r>
        <w:rPr>
          <w:rFonts w:hint="eastAsia" w:ascii="仿宋" w:hAnsi="仿宋" w:eastAsia="仿宋" w:cs="仿宋"/>
          <w:b/>
          <w:color w:val="auto"/>
          <w:sz w:val="24"/>
          <w:szCs w:val="24"/>
          <w:highlight w:val="none"/>
        </w:rPr>
        <w:t>%</w:t>
      </w:r>
      <w:r>
        <w:rPr>
          <w:rFonts w:hint="eastAsia" w:ascii="仿宋" w:hAnsi="仿宋" w:eastAsia="仿宋" w:cs="仿宋"/>
          <w:color w:val="auto"/>
          <w:sz w:val="24"/>
          <w:szCs w:val="24"/>
          <w:highlight w:val="none"/>
        </w:rPr>
        <w:t>；</w:t>
      </w:r>
    </w:p>
    <w:p w14:paraId="73AFA226">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 4 \* GB3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④</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lang w:eastAsia="zh-CN"/>
        </w:rPr>
        <w:t>评标委员会</w:t>
      </w:r>
      <w:r>
        <w:rPr>
          <w:rFonts w:hint="eastAsia" w:ascii="仿宋" w:hAnsi="仿宋" w:eastAsia="仿宋" w:cs="仿宋"/>
          <w:color w:val="auto"/>
          <w:sz w:val="24"/>
          <w:szCs w:val="24"/>
          <w:highlight w:val="none"/>
        </w:rPr>
        <w:t>基于专业判断，认为供应商报价过低，有可能影响产品质量或者不能诚信履约的其他情形。</w:t>
      </w:r>
    </w:p>
    <w:p w14:paraId="53795BF1">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评标委员会</w:t>
      </w:r>
      <w:r>
        <w:rPr>
          <w:rFonts w:hint="eastAsia" w:ascii="仿宋" w:hAnsi="仿宋" w:eastAsia="仿宋" w:cs="仿宋"/>
          <w:color w:val="auto"/>
          <w:sz w:val="24"/>
          <w:szCs w:val="24"/>
          <w:highlight w:val="none"/>
        </w:rPr>
        <w:t>启动异常低价投标审查后，属于前述第1项至第4项情形的，应当要求相关供应商在评审现场</w:t>
      </w:r>
      <w:r>
        <w:rPr>
          <w:rFonts w:hint="eastAsia" w:ascii="仿宋" w:hAnsi="仿宋" w:eastAsia="仿宋" w:cs="仿宋"/>
          <w:b/>
          <w:color w:val="auto"/>
          <w:sz w:val="24"/>
          <w:szCs w:val="24"/>
          <w:highlight w:val="none"/>
        </w:rPr>
        <w:t>30分钟</w:t>
      </w:r>
      <w:r>
        <w:rPr>
          <w:rFonts w:hint="eastAsia" w:ascii="仿宋" w:hAnsi="仿宋" w:eastAsia="仿宋" w:cs="仿宋"/>
          <w:color w:val="auto"/>
          <w:sz w:val="24"/>
          <w:szCs w:val="24"/>
          <w:highlight w:val="none"/>
        </w:rPr>
        <w:t>内对投标价格作出解释，提供项目具体成本测算等与报价合理性相关的书面说明及必要的证明材料，包括但不限于原材料成本、人工成本、制造费用等。其中，属于第3项情形，供应商已随投标文件一并提交相关书面说明及必要的证明材料的，在评审现场可不再重复提交。</w:t>
      </w:r>
    </w:p>
    <w:p w14:paraId="2B292DC1">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评标委员会</w:t>
      </w:r>
      <w:r>
        <w:rPr>
          <w:rFonts w:hint="eastAsia" w:ascii="仿宋" w:hAnsi="仿宋" w:eastAsia="仿宋" w:cs="仿宋"/>
          <w:color w:val="auto"/>
          <w:sz w:val="24"/>
          <w:szCs w:val="24"/>
          <w:highlight w:val="none"/>
        </w:rPr>
        <w:t>依据专业经验，参考同类项目中标价格、类似产品市场价格水平、行业人工费用标准、国家有关部门指导行业协会发布的行业平均成本等情况，对报价合理性进行判断。</w:t>
      </w:r>
      <w:r>
        <w:rPr>
          <w:rFonts w:hint="eastAsia" w:ascii="仿宋" w:hAnsi="仿宋" w:eastAsia="仿宋" w:cs="仿宋"/>
          <w:b/>
          <w:color w:val="auto"/>
          <w:sz w:val="24"/>
          <w:szCs w:val="24"/>
          <w:highlight w:val="none"/>
        </w:rPr>
        <w:t>供应商在规定时间内不能提供书面说明、证明材料，或者提供的书面说明、证明材料不能证明其报价合理性的，</w:t>
      </w:r>
      <w:r>
        <w:rPr>
          <w:rFonts w:hint="eastAsia" w:ascii="仿宋" w:hAnsi="仿宋" w:eastAsia="仿宋" w:cs="仿宋"/>
          <w:b/>
          <w:color w:val="auto"/>
          <w:sz w:val="24"/>
          <w:szCs w:val="24"/>
          <w:highlight w:val="none"/>
          <w:lang w:eastAsia="zh-CN"/>
        </w:rPr>
        <w:t>评标委员会</w:t>
      </w:r>
      <w:r>
        <w:rPr>
          <w:rFonts w:hint="eastAsia" w:ascii="仿宋" w:hAnsi="仿宋" w:eastAsia="仿宋" w:cs="仿宋"/>
          <w:b/>
          <w:color w:val="auto"/>
          <w:sz w:val="24"/>
          <w:szCs w:val="24"/>
          <w:highlight w:val="none"/>
        </w:rPr>
        <w:t>应当将其作为无效响应处理。</w:t>
      </w:r>
    </w:p>
    <w:p w14:paraId="7F22923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（4）各投标人的得分为所有评委的有效评分的算术平均数。</w:t>
      </w:r>
    </w:p>
    <w:p w14:paraId="06ADEF7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（5）评标委员会按照招标文件中的规定推荐中标候选人。</w:t>
      </w:r>
    </w:p>
    <w:p w14:paraId="2CC3813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1B0B0664">
      <w:pPr>
        <w:snapToGrid w:val="0"/>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br w:type="page"/>
      </w:r>
      <w:r>
        <w:rPr>
          <w:rFonts w:hint="eastAsia" w:ascii="仿宋" w:hAnsi="仿宋" w:eastAsia="仿宋" w:cs="仿宋"/>
          <w:b/>
          <w:bCs/>
          <w:color w:val="auto"/>
          <w:sz w:val="32"/>
          <w:szCs w:val="32"/>
          <w:highlight w:val="none"/>
        </w:rPr>
        <w:t>三、评标标准</w:t>
      </w:r>
    </w:p>
    <w:p w14:paraId="1E04687E">
      <w:pPr>
        <w:pStyle w:val="5"/>
        <w:keepNext w:val="0"/>
        <w:keepLines w:val="0"/>
        <w:spacing w:before="0" w:after="0"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综合评分法</w:t>
      </w:r>
    </w:p>
    <w:p w14:paraId="47ABCAD3">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适用分标1</w:t>
      </w:r>
      <w:r>
        <w:rPr>
          <w:rFonts w:hint="eastAsia" w:ascii="仿宋" w:hAnsi="仿宋" w:eastAsia="仿宋" w:cs="仿宋"/>
          <w:color w:val="auto"/>
          <w:sz w:val="24"/>
          <w:szCs w:val="24"/>
          <w:highlight w:val="none"/>
        </w:rPr>
        <w:t>　　　　　　　　　　　　　　　　</w:t>
      </w:r>
    </w:p>
    <w:tbl>
      <w:tblPr>
        <w:tblStyle w:val="50"/>
        <w:tblW w:w="10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305"/>
        <w:gridCol w:w="1191"/>
        <w:gridCol w:w="6896"/>
      </w:tblGrid>
      <w:tr w14:paraId="2E5E1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69" w:type="dxa"/>
            <w:noWrap w:val="0"/>
            <w:vAlign w:val="center"/>
          </w:tcPr>
          <w:p w14:paraId="32135BC2">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sz w:val="24"/>
                <w:szCs w:val="24"/>
                <w:highlight w:val="none"/>
              </w:rPr>
            </w:pPr>
            <w:r>
              <w:rPr>
                <w:rFonts w:hint="eastAsia" w:ascii="仿宋" w:hAnsi="仿宋" w:eastAsia="仿宋" w:cs="仿宋"/>
                <w:b/>
                <w:color w:val="auto"/>
                <w:sz w:val="24"/>
                <w:szCs w:val="24"/>
                <w:highlight w:val="none"/>
              </w:rPr>
              <w:t>序号</w:t>
            </w:r>
          </w:p>
        </w:tc>
        <w:tc>
          <w:tcPr>
            <w:tcW w:w="1305" w:type="dxa"/>
            <w:noWrap w:val="0"/>
            <w:vAlign w:val="center"/>
          </w:tcPr>
          <w:p w14:paraId="04D8BFE3">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sz w:val="24"/>
                <w:szCs w:val="24"/>
                <w:highlight w:val="none"/>
              </w:rPr>
            </w:pPr>
            <w:r>
              <w:rPr>
                <w:rFonts w:hint="eastAsia" w:ascii="仿宋" w:hAnsi="仿宋" w:eastAsia="仿宋" w:cs="仿宋"/>
                <w:b/>
                <w:color w:val="auto"/>
                <w:sz w:val="24"/>
                <w:szCs w:val="24"/>
                <w:highlight w:val="none"/>
              </w:rPr>
              <w:t>评审因素</w:t>
            </w:r>
          </w:p>
        </w:tc>
        <w:tc>
          <w:tcPr>
            <w:tcW w:w="8087" w:type="dxa"/>
            <w:gridSpan w:val="2"/>
            <w:noWrap w:val="0"/>
            <w:vAlign w:val="center"/>
          </w:tcPr>
          <w:p w14:paraId="132CBA8F">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sz w:val="24"/>
                <w:szCs w:val="24"/>
                <w:highlight w:val="none"/>
              </w:rPr>
            </w:pPr>
            <w:r>
              <w:rPr>
                <w:rFonts w:hint="eastAsia" w:ascii="仿宋" w:hAnsi="仿宋" w:eastAsia="仿宋" w:cs="仿宋"/>
                <w:b/>
                <w:color w:val="auto"/>
                <w:sz w:val="24"/>
                <w:szCs w:val="24"/>
                <w:highlight w:val="none"/>
              </w:rPr>
              <w:t>评标标准</w:t>
            </w:r>
          </w:p>
        </w:tc>
      </w:tr>
      <w:tr w14:paraId="48433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5" w:hRule="atLeast"/>
          <w:jc w:val="center"/>
        </w:trPr>
        <w:tc>
          <w:tcPr>
            <w:tcW w:w="669" w:type="dxa"/>
            <w:noWrap w:val="0"/>
            <w:vAlign w:val="center"/>
          </w:tcPr>
          <w:p w14:paraId="2422DC25">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sz w:val="24"/>
                <w:szCs w:val="24"/>
                <w:highlight w:val="none"/>
              </w:rPr>
              <w:t>1</w:t>
            </w:r>
          </w:p>
        </w:tc>
        <w:tc>
          <w:tcPr>
            <w:tcW w:w="1305" w:type="dxa"/>
            <w:noWrap w:val="0"/>
            <w:vAlign w:val="center"/>
          </w:tcPr>
          <w:p w14:paraId="076247D4">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价格分（满分30分）</w:t>
            </w:r>
          </w:p>
          <w:p w14:paraId="7DDE34F8">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sz w:val="24"/>
                <w:szCs w:val="24"/>
                <w:highlight w:val="none"/>
              </w:rPr>
            </w:pPr>
          </w:p>
        </w:tc>
        <w:tc>
          <w:tcPr>
            <w:tcW w:w="8087" w:type="dxa"/>
            <w:gridSpan w:val="2"/>
            <w:noWrap w:val="0"/>
            <w:vAlign w:val="center"/>
          </w:tcPr>
          <w:p w14:paraId="48573DA6">
            <w:pPr>
              <w:keepNext w:val="0"/>
              <w:keepLines w:val="0"/>
              <w:pageBreakBefore w:val="0"/>
              <w:widowControl w:val="0"/>
              <w:kinsoku/>
              <w:wordWrap/>
              <w:overflowPunct/>
              <w:topLinePunct w:val="0"/>
              <w:autoSpaceDE/>
              <w:autoSpaceDN/>
              <w:bidi w:val="0"/>
              <w:adjustRightInd/>
              <w:snapToGrid/>
              <w:spacing w:line="400" w:lineRule="exact"/>
              <w:ind w:left="105" w:left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（1）评标报价为投标人的投标报价进行政策性扣除后的价格，评标报价只是作为评标时使用。最终中标人的中标金额等于投标报价。</w:t>
            </w:r>
          </w:p>
          <w:p w14:paraId="1C44D617">
            <w:pPr>
              <w:keepNext w:val="0"/>
              <w:keepLines w:val="0"/>
              <w:pageBreakBefore w:val="0"/>
              <w:widowControl w:val="0"/>
              <w:kinsoku/>
              <w:wordWrap/>
              <w:overflowPunct/>
              <w:topLinePunct w:val="0"/>
              <w:autoSpaceDE/>
              <w:autoSpaceDN/>
              <w:bidi w:val="0"/>
              <w:adjustRightInd/>
              <w:snapToGrid/>
              <w:spacing w:line="400" w:lineRule="exact"/>
              <w:ind w:left="105" w:left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按照《政府采购促进中小企业发展暂行办法》（财库[2011]181号）的规定，投标人为小型和微型企业，并在其投标文件中提供《中小企业声明函》，且其所投标产品全部为小型和微型企业产品的，对其投标价格给予10%的扣除。</w:t>
            </w:r>
          </w:p>
          <w:p w14:paraId="7BCC8765">
            <w:pPr>
              <w:keepNext w:val="0"/>
              <w:keepLines w:val="0"/>
              <w:pageBreakBefore w:val="0"/>
              <w:widowControl w:val="0"/>
              <w:kinsoku/>
              <w:wordWrap/>
              <w:overflowPunct/>
              <w:topLinePunct w:val="0"/>
              <w:autoSpaceDE/>
              <w:autoSpaceDN/>
              <w:bidi w:val="0"/>
              <w:adjustRightInd/>
              <w:snapToGrid/>
              <w:spacing w:line="400" w:lineRule="exact"/>
              <w:ind w:left="105" w:left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14:paraId="1386019E">
            <w:pPr>
              <w:keepNext w:val="0"/>
              <w:keepLines w:val="0"/>
              <w:pageBreakBefore w:val="0"/>
              <w:widowControl w:val="0"/>
              <w:kinsoku/>
              <w:wordWrap/>
              <w:overflowPunct/>
              <w:topLinePunct w:val="0"/>
              <w:autoSpaceDE/>
              <w:autoSpaceDN/>
              <w:bidi w:val="0"/>
              <w:adjustRightInd/>
              <w:snapToGrid/>
              <w:spacing w:line="400" w:lineRule="exact"/>
              <w:ind w:left="105" w:left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5E79844C">
            <w:pPr>
              <w:keepNext w:val="0"/>
              <w:keepLines w:val="0"/>
              <w:pageBreakBefore w:val="0"/>
              <w:widowControl w:val="0"/>
              <w:kinsoku/>
              <w:wordWrap/>
              <w:overflowPunct/>
              <w:topLinePunct w:val="0"/>
              <w:autoSpaceDE/>
              <w:autoSpaceDN/>
              <w:bidi w:val="0"/>
              <w:adjustRightInd/>
              <w:snapToGrid/>
              <w:spacing w:line="400" w:lineRule="exact"/>
              <w:ind w:left="105" w:left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（5）政策性扣除计算方法。</w:t>
            </w:r>
          </w:p>
          <w:p w14:paraId="613A3B24">
            <w:pPr>
              <w:keepNext w:val="0"/>
              <w:keepLines w:val="0"/>
              <w:pageBreakBefore w:val="0"/>
              <w:widowControl w:val="0"/>
              <w:kinsoku/>
              <w:wordWrap/>
              <w:overflowPunct/>
              <w:topLinePunct w:val="0"/>
              <w:autoSpaceDE/>
              <w:autoSpaceDN/>
              <w:bidi w:val="0"/>
              <w:adjustRightInd/>
              <w:snapToGrid/>
              <w:spacing w:line="400" w:lineRule="exact"/>
              <w:ind w:left="105" w:left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被评定为监狱企业或者残疾人福利性单位或者小型和微型企业且其所投标全部产品为小型和微型企业产品的，该投标人的投标报价给予10%的扣除，扣除后的价格为评标报价，即评标报价=投标报价×（1-10%）； 大中型企业和其他自然人、法人或者其他组织与小型、微型企业组成联合体投标，且联合体协议中约定小型、微型企业的协议合同金额占到联合体协议合同总金额30%以上的，联合体投标价给予3%的扣除，扣除后的价格为评标价，即评标报价=投标报价×（1-3%）；除上述情况外，评标报价=投标报价。</w:t>
            </w:r>
          </w:p>
          <w:p w14:paraId="56695F3E">
            <w:pPr>
              <w:pStyle w:val="27"/>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firstLine="31" w:firstLineChars="13"/>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val="en-US"/>
              </w:rPr>
              <w:t>）本国产品政策性扣除计算方法。</w:t>
            </w:r>
          </w:p>
          <w:p w14:paraId="060DECA1">
            <w:pPr>
              <w:pStyle w:val="27"/>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firstLine="31" w:firstLineChars="13"/>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0D19BC3E">
            <w:pPr>
              <w:pStyle w:val="27"/>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firstLine="31" w:firstLineChars="13"/>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未达到80%，不享受价格评审优惠。</w:t>
            </w:r>
          </w:p>
          <w:p w14:paraId="3D316231">
            <w:pPr>
              <w:pStyle w:val="27"/>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firstLine="31" w:firstLineChars="13"/>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供应商在其投标文件中提供《关于符合本国产品标准的声明函》或财政部会同有关部门规定的有关证明文件，出具符合要求的《声明函》或有关证明文件的，该产品视为本国产品。</w:t>
            </w:r>
          </w:p>
          <w:p w14:paraId="68E268B0">
            <w:pPr>
              <w:pStyle w:val="27"/>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firstLine="31" w:firstLineChars="13"/>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如果所有参与竞争的供应商均可享受本国产品价格评审优惠，则统一不进行价格扣除。</w:t>
            </w:r>
          </w:p>
          <w:p w14:paraId="4BA0B717">
            <w:pPr>
              <w:pStyle w:val="27"/>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rPr>
              <w:t>（</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lang w:val="en-US"/>
              </w:rPr>
              <w:t>）中小企业折扣与本国产品折扣进行叠加计算，用扣除后的价格参加评审。即评标报价=投标报价-中小企业折扣-本国产品折扣，除上述情况外，评标报价=投标报价。</w:t>
            </w:r>
          </w:p>
          <w:p w14:paraId="12A9FE89">
            <w:pPr>
              <w:keepNext w:val="0"/>
              <w:keepLines w:val="0"/>
              <w:pageBreakBefore w:val="0"/>
              <w:widowControl w:val="0"/>
              <w:kinsoku/>
              <w:wordWrap/>
              <w:overflowPunct/>
              <w:topLinePunct w:val="0"/>
              <w:autoSpaceDE/>
              <w:autoSpaceDN/>
              <w:bidi w:val="0"/>
              <w:adjustRightInd/>
              <w:snapToGrid/>
              <w:spacing w:line="400" w:lineRule="exact"/>
              <w:ind w:left="105" w:left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）满足招标文件要求且评标报价最低的评标报价为评标基准价，基准价报价得分为 30 分。</w:t>
            </w:r>
          </w:p>
          <w:p w14:paraId="112EABD2">
            <w:pPr>
              <w:keepNext w:val="0"/>
              <w:keepLines w:val="0"/>
              <w:pageBreakBefore w:val="0"/>
              <w:widowControl w:val="0"/>
              <w:kinsoku/>
              <w:wordWrap/>
              <w:overflowPunct/>
              <w:topLinePunct w:val="0"/>
              <w:autoSpaceDE/>
              <w:autoSpaceDN/>
              <w:bidi w:val="0"/>
              <w:adjustRightInd/>
              <w:snapToGrid/>
              <w:spacing w:line="400" w:lineRule="exact"/>
              <w:ind w:left="105" w:left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）价格分计算公式：价格分= (评标基准价／评标报价)×30分</w:t>
            </w:r>
          </w:p>
          <w:p w14:paraId="3058A8AE">
            <w:pPr>
              <w:keepNext w:val="0"/>
              <w:keepLines w:val="0"/>
              <w:pageBreakBefore w:val="0"/>
              <w:widowControl w:val="0"/>
              <w:kinsoku/>
              <w:wordWrap/>
              <w:overflowPunct/>
              <w:topLinePunct w:val="0"/>
              <w:autoSpaceDE/>
              <w:autoSpaceDN/>
              <w:bidi w:val="0"/>
              <w:adjustRightInd/>
              <w:snapToGrid/>
              <w:spacing w:line="400" w:lineRule="exact"/>
              <w:ind w:left="105" w:leftChars="5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r>
              <w:rPr>
                <w:rFonts w:hint="eastAsia" w:ascii="仿宋" w:hAnsi="仿宋" w:eastAsia="仿宋" w:cs="仿宋"/>
                <w:bCs/>
                <w:color w:val="auto"/>
                <w:sz w:val="24"/>
                <w:szCs w:val="24"/>
                <w:highlight w:val="none"/>
              </w:rPr>
              <w:t xml:space="preserve">       </w:t>
            </w:r>
          </w:p>
        </w:tc>
      </w:tr>
      <w:tr w14:paraId="1729D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9" w:type="dxa"/>
            <w:noWrap w:val="0"/>
            <w:vAlign w:val="center"/>
          </w:tcPr>
          <w:p w14:paraId="2F240212">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sz w:val="24"/>
                <w:szCs w:val="24"/>
                <w:highlight w:val="none"/>
              </w:rPr>
            </w:pPr>
          </w:p>
          <w:p w14:paraId="05105C3E">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sz w:val="24"/>
                <w:szCs w:val="24"/>
                <w:highlight w:val="none"/>
              </w:rPr>
            </w:pPr>
          </w:p>
          <w:p w14:paraId="6799BA1C">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w:t>
            </w:r>
          </w:p>
          <w:p w14:paraId="06D8EA0C">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kern w:val="0"/>
                <w:sz w:val="24"/>
                <w:szCs w:val="24"/>
                <w:highlight w:val="none"/>
              </w:rPr>
            </w:pPr>
          </w:p>
          <w:p w14:paraId="0142C0D9">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kern w:val="0"/>
                <w:sz w:val="24"/>
                <w:szCs w:val="24"/>
                <w:highlight w:val="none"/>
              </w:rPr>
            </w:pPr>
          </w:p>
        </w:tc>
        <w:tc>
          <w:tcPr>
            <w:tcW w:w="1305" w:type="dxa"/>
            <w:noWrap w:val="0"/>
            <w:vAlign w:val="center"/>
          </w:tcPr>
          <w:p w14:paraId="65193488">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技术分（满分66分）</w:t>
            </w:r>
          </w:p>
        </w:tc>
        <w:tc>
          <w:tcPr>
            <w:tcW w:w="1191" w:type="dxa"/>
            <w:noWrap w:val="0"/>
            <w:vAlign w:val="center"/>
          </w:tcPr>
          <w:p w14:paraId="19CEBAEB">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技术性能分（满分</w:t>
            </w:r>
            <w:r>
              <w:rPr>
                <w:rFonts w:hint="eastAsia" w:ascii="仿宋" w:hAnsi="仿宋" w:eastAsia="仿宋" w:cs="仿宋"/>
                <w:bCs/>
                <w:color w:val="auto"/>
                <w:sz w:val="24"/>
                <w:szCs w:val="24"/>
                <w:highlight w:val="none"/>
                <w:lang w:val="en-US" w:eastAsia="zh-CN"/>
              </w:rPr>
              <w:t>42</w:t>
            </w:r>
            <w:r>
              <w:rPr>
                <w:rFonts w:hint="eastAsia" w:ascii="仿宋" w:hAnsi="仿宋" w:eastAsia="仿宋" w:cs="仿宋"/>
                <w:bCs/>
                <w:color w:val="auto"/>
                <w:sz w:val="24"/>
                <w:szCs w:val="24"/>
                <w:highlight w:val="none"/>
              </w:rPr>
              <w:t>分）</w:t>
            </w:r>
          </w:p>
        </w:tc>
        <w:tc>
          <w:tcPr>
            <w:tcW w:w="6896" w:type="dxa"/>
            <w:noWrap w:val="0"/>
            <w:vAlign w:val="center"/>
          </w:tcPr>
          <w:p w14:paraId="1D78425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评委根据招标文件要求，对满足招标文件全部实质性要求进入详评的各投标人投标文件“设备技术偏离表”的响应情况进行独立评审，并按如下计分方式确定得分：</w:t>
            </w:r>
          </w:p>
          <w:p w14:paraId="398400F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基本分：技术参数完全满足招标文件，即得基本分</w:t>
            </w:r>
            <w:r>
              <w:rPr>
                <w:rFonts w:hint="eastAsia" w:ascii="仿宋" w:hAnsi="仿宋" w:eastAsia="仿宋" w:cs="仿宋"/>
                <w:color w:val="auto"/>
                <w:sz w:val="24"/>
                <w:szCs w:val="24"/>
                <w:highlight w:val="none"/>
                <w:lang w:val="en-US" w:eastAsia="zh-CN"/>
              </w:rPr>
              <w:t>42</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p w14:paraId="13C70001">
            <w:pPr>
              <w:keepNext w:val="0"/>
              <w:keepLines w:val="0"/>
              <w:pageBreakBefore w:val="0"/>
              <w:kinsoku/>
              <w:wordWrap/>
              <w:overflowPunct/>
              <w:topLinePunct w:val="0"/>
              <w:autoSpaceDE/>
              <w:autoSpaceDN/>
              <w:bidi w:val="0"/>
              <w:adjustRightInd/>
              <w:snapToGrid/>
              <w:spacing w:line="40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2.重要技术参数（标注</w:t>
            </w:r>
            <w:r>
              <w:rPr>
                <w:rFonts w:hint="eastAsia" w:ascii="仿宋" w:hAnsi="仿宋" w:eastAsia="仿宋" w:cs="仿宋"/>
                <w:bCs/>
                <w:color w:val="auto"/>
                <w:sz w:val="24"/>
                <w:szCs w:val="24"/>
                <w:highlight w:val="none"/>
              </w:rPr>
              <w:t>“</w:t>
            </w:r>
            <w:r>
              <w:rPr>
                <w:rFonts w:hint="eastAsia" w:ascii="仿宋" w:hAnsi="仿宋" w:eastAsia="仿宋" w:cs="仿宋"/>
                <w:b/>
                <w:color w:val="auto"/>
                <w:sz w:val="24"/>
                <w:szCs w:val="24"/>
                <w:highlight w:val="none"/>
              </w:rPr>
              <w:t>●</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lang w:val="en-US" w:eastAsia="zh-CN"/>
              </w:rPr>
              <w:t>号的参数，共6项）每有一项负偏离或漏项扣4分，扣完24分。</w:t>
            </w:r>
          </w:p>
          <w:p w14:paraId="30CD3A58">
            <w:pPr>
              <w:keepNext w:val="0"/>
              <w:keepLines w:val="0"/>
              <w:pageBreakBefore w:val="0"/>
              <w:kinsoku/>
              <w:wordWrap/>
              <w:overflowPunct/>
              <w:topLinePunct w:val="0"/>
              <w:autoSpaceDE/>
              <w:autoSpaceDN/>
              <w:bidi w:val="0"/>
              <w:adjustRightInd/>
              <w:snapToGrid/>
              <w:spacing w:line="40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3.一般参数（未标注</w:t>
            </w:r>
            <w:r>
              <w:rPr>
                <w:rFonts w:hint="eastAsia" w:ascii="仿宋" w:hAnsi="仿宋" w:eastAsia="仿宋" w:cs="仿宋"/>
                <w:bCs/>
                <w:color w:val="auto"/>
                <w:sz w:val="24"/>
                <w:szCs w:val="24"/>
                <w:highlight w:val="none"/>
              </w:rPr>
              <w:t>“</w:t>
            </w:r>
            <w:r>
              <w:rPr>
                <w:rFonts w:hint="eastAsia" w:ascii="仿宋" w:hAnsi="仿宋" w:eastAsia="仿宋" w:cs="仿宋"/>
                <w:b/>
                <w:bCs/>
                <w:color w:val="auto"/>
                <w:kern w:val="0"/>
                <w:sz w:val="24"/>
                <w:szCs w:val="24"/>
                <w:highlight w:val="none"/>
              </w:rPr>
              <w:t>▲</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lang w:val="en-US" w:eastAsia="zh-CN"/>
              </w:rPr>
              <w:t>号和未标注</w:t>
            </w:r>
            <w:r>
              <w:rPr>
                <w:rFonts w:hint="eastAsia" w:ascii="仿宋" w:hAnsi="仿宋" w:eastAsia="仿宋" w:cs="仿宋"/>
                <w:bCs/>
                <w:color w:val="auto"/>
                <w:sz w:val="24"/>
                <w:szCs w:val="24"/>
                <w:highlight w:val="none"/>
              </w:rPr>
              <w:t>“</w:t>
            </w:r>
            <w:r>
              <w:rPr>
                <w:rFonts w:hint="eastAsia" w:ascii="仿宋" w:hAnsi="仿宋" w:eastAsia="仿宋" w:cs="仿宋"/>
                <w:b/>
                <w:color w:val="auto"/>
                <w:sz w:val="24"/>
                <w:szCs w:val="24"/>
                <w:highlight w:val="none"/>
              </w:rPr>
              <w:t>●</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lang w:val="en-US" w:eastAsia="zh-CN"/>
              </w:rPr>
              <w:t>号的参数）每有一项负偏离或漏项扣1分，扣完18分为止。</w:t>
            </w:r>
          </w:p>
          <w:p w14:paraId="47B9EBF2">
            <w:pPr>
              <w:pStyle w:val="27"/>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注：1.</w:t>
            </w:r>
            <w:r>
              <w:rPr>
                <w:rFonts w:hint="eastAsia" w:ascii="仿宋" w:hAnsi="仿宋" w:eastAsia="仿宋" w:cs="仿宋"/>
                <w:bCs/>
                <w:color w:val="auto"/>
                <w:sz w:val="24"/>
                <w:szCs w:val="24"/>
                <w:highlight w:val="none"/>
              </w:rPr>
              <w:t>标注“</w:t>
            </w:r>
            <w:r>
              <w:rPr>
                <w:rFonts w:hint="eastAsia" w:ascii="仿宋" w:hAnsi="仿宋" w:eastAsia="仿宋" w:cs="仿宋"/>
                <w:b/>
                <w:bCs/>
                <w:color w:val="auto"/>
                <w:kern w:val="0"/>
                <w:sz w:val="24"/>
                <w:szCs w:val="24"/>
                <w:highlight w:val="none"/>
              </w:rPr>
              <w:t>▲</w:t>
            </w:r>
            <w:r>
              <w:rPr>
                <w:rFonts w:hint="eastAsia" w:ascii="仿宋" w:hAnsi="仿宋" w:eastAsia="仿宋" w:cs="仿宋"/>
                <w:bCs/>
                <w:color w:val="auto"/>
                <w:sz w:val="24"/>
                <w:szCs w:val="24"/>
                <w:highlight w:val="none"/>
              </w:rPr>
              <w:t>”的条款或要求系指实质性条款或实质性要求，必须满足，如存在负偏离将导致响应被否决。</w:t>
            </w:r>
          </w:p>
        </w:tc>
      </w:tr>
      <w:tr w14:paraId="30969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69" w:type="dxa"/>
            <w:vMerge w:val="restart"/>
            <w:noWrap w:val="0"/>
            <w:vAlign w:val="center"/>
          </w:tcPr>
          <w:p w14:paraId="040FA070">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kern w:val="0"/>
                <w:sz w:val="24"/>
                <w:szCs w:val="24"/>
                <w:highlight w:val="none"/>
              </w:rPr>
            </w:pPr>
          </w:p>
        </w:tc>
        <w:tc>
          <w:tcPr>
            <w:tcW w:w="1305" w:type="dxa"/>
            <w:vMerge w:val="restart"/>
            <w:noWrap w:val="0"/>
            <w:vAlign w:val="center"/>
          </w:tcPr>
          <w:p w14:paraId="0203F145">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sz w:val="24"/>
                <w:szCs w:val="24"/>
                <w:highlight w:val="none"/>
                <w:lang w:val="en-US" w:eastAsia="zh-CN"/>
              </w:rPr>
            </w:pPr>
          </w:p>
        </w:tc>
        <w:tc>
          <w:tcPr>
            <w:tcW w:w="1191" w:type="dxa"/>
            <w:noWrap w:val="0"/>
            <w:vAlign w:val="center"/>
          </w:tcPr>
          <w:p w14:paraId="49AC1EC4">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售后服务分（满分1</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分）</w:t>
            </w:r>
          </w:p>
        </w:tc>
        <w:tc>
          <w:tcPr>
            <w:tcW w:w="6896" w:type="dxa"/>
            <w:noWrap w:val="0"/>
            <w:vAlign w:val="center"/>
          </w:tcPr>
          <w:p w14:paraId="430DB7F3">
            <w:pPr>
              <w:pStyle w:val="148"/>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评委对供应商提供的售后服务方案（包括但不仅限于：</w:t>
            </w:r>
            <w:r>
              <w:rPr>
                <w:rFonts w:hint="eastAsia" w:ascii="仿宋" w:hAnsi="仿宋" w:eastAsia="仿宋" w:cs="仿宋"/>
                <w:b w:val="0"/>
                <w:bCs w:val="0"/>
                <w:color w:val="auto"/>
                <w:sz w:val="24"/>
                <w:szCs w:val="24"/>
                <w:highlight w:val="none"/>
              </w:rPr>
              <w:t>①售后服务保障措施；②培训方案；③紧急故障处理方案及安全保障方案；④其他实质性服务或优惠措施等</w:t>
            </w:r>
            <w:r>
              <w:rPr>
                <w:rFonts w:hint="eastAsia" w:ascii="仿宋" w:hAnsi="仿宋" w:eastAsia="仿宋" w:cs="仿宋"/>
                <w:color w:val="auto"/>
                <w:sz w:val="24"/>
                <w:szCs w:val="24"/>
                <w:highlight w:val="none"/>
              </w:rPr>
              <w:t>）内进行独立评审并按以下规则独立打分</w:t>
            </w:r>
            <w:r>
              <w:rPr>
                <w:rFonts w:hint="eastAsia" w:ascii="仿宋" w:hAnsi="仿宋" w:eastAsia="仿宋" w:cs="仿宋"/>
                <w:bCs/>
                <w:color w:val="auto"/>
                <w:sz w:val="24"/>
                <w:szCs w:val="24"/>
                <w:highlight w:val="none"/>
              </w:rPr>
              <w:t>（投标人所提供的方案不能完全满足某一档次全部要求的，不予进入该档评分）</w:t>
            </w:r>
            <w:r>
              <w:rPr>
                <w:rFonts w:hint="eastAsia" w:ascii="仿宋" w:hAnsi="仿宋" w:eastAsia="仿宋" w:cs="仿宋"/>
                <w:color w:val="auto"/>
                <w:sz w:val="24"/>
                <w:szCs w:val="24"/>
                <w:highlight w:val="none"/>
              </w:rPr>
              <w:t>：</w:t>
            </w:r>
          </w:p>
          <w:p w14:paraId="0F87A1EF">
            <w:pPr>
              <w:pStyle w:val="148"/>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一档（0分）：未提供方案或方案不合格的。</w:t>
            </w:r>
          </w:p>
          <w:p w14:paraId="0EA4EF59">
            <w:pPr>
              <w:pStyle w:val="148"/>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二档（</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分）：售后服务方案内容齐全，4项评审内容有1项经评审具有针对性、可操作性、且内容科学合理；</w:t>
            </w:r>
          </w:p>
          <w:p w14:paraId="3F65D120">
            <w:pPr>
              <w:pStyle w:val="148"/>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三档（</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分）：售后服务方案内容齐全，4项评审内容有2项经评审具有针对性、可操作性、且内容科学合理；</w:t>
            </w:r>
          </w:p>
          <w:p w14:paraId="76CF4E8F">
            <w:pPr>
              <w:pStyle w:val="148"/>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四档（</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分）：售后服务方案内容齐全，4项评审内容有3项经评审具有针对性、可操作性、且内容科学合理；</w:t>
            </w:r>
          </w:p>
          <w:p w14:paraId="44A024FA">
            <w:pPr>
              <w:pStyle w:val="148"/>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五档（1</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分）：售后服务方案内容齐全，4项评审内容经评审均具有针对性、可操作性、且内容科学合理。</w:t>
            </w:r>
          </w:p>
        </w:tc>
      </w:tr>
      <w:tr w14:paraId="350A1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4" w:hRule="atLeast"/>
          <w:jc w:val="center"/>
        </w:trPr>
        <w:tc>
          <w:tcPr>
            <w:tcW w:w="669" w:type="dxa"/>
            <w:vMerge w:val="continue"/>
            <w:noWrap w:val="0"/>
            <w:vAlign w:val="center"/>
          </w:tcPr>
          <w:p w14:paraId="407CA401">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kern w:val="0"/>
                <w:sz w:val="24"/>
                <w:szCs w:val="24"/>
                <w:highlight w:val="none"/>
              </w:rPr>
            </w:pPr>
          </w:p>
        </w:tc>
        <w:tc>
          <w:tcPr>
            <w:tcW w:w="1305" w:type="dxa"/>
            <w:vMerge w:val="continue"/>
            <w:noWrap w:val="0"/>
            <w:vAlign w:val="center"/>
          </w:tcPr>
          <w:p w14:paraId="44C610A0">
            <w:pPr>
              <w:keepNext w:val="0"/>
              <w:keepLines w:val="0"/>
              <w:pageBreakBefore w:val="0"/>
              <w:kinsoku/>
              <w:wordWrap/>
              <w:overflowPunct/>
              <w:topLinePunct w:val="0"/>
              <w:autoSpaceDE/>
              <w:autoSpaceDN/>
              <w:bidi w:val="0"/>
              <w:adjustRightInd/>
              <w:snapToGrid/>
              <w:spacing w:line="400" w:lineRule="exact"/>
              <w:jc w:val="left"/>
              <w:textAlignment w:val="baseline"/>
              <w:rPr>
                <w:rFonts w:hint="eastAsia" w:ascii="仿宋" w:hAnsi="仿宋" w:eastAsia="仿宋" w:cs="仿宋"/>
                <w:bCs/>
                <w:color w:val="auto"/>
                <w:sz w:val="24"/>
                <w:szCs w:val="24"/>
                <w:highlight w:val="none"/>
              </w:rPr>
            </w:pPr>
          </w:p>
        </w:tc>
        <w:tc>
          <w:tcPr>
            <w:tcW w:w="1191" w:type="dxa"/>
            <w:noWrap w:val="0"/>
            <w:vAlign w:val="center"/>
          </w:tcPr>
          <w:p w14:paraId="4E063BA7">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实施方案分</w:t>
            </w:r>
            <w:r>
              <w:rPr>
                <w:rFonts w:hint="eastAsia" w:ascii="仿宋" w:hAnsi="仿宋" w:eastAsia="仿宋" w:cs="仿宋"/>
                <w:bCs/>
                <w:color w:val="auto"/>
                <w:sz w:val="24"/>
                <w:szCs w:val="24"/>
                <w:highlight w:val="none"/>
              </w:rPr>
              <w:t>（满分1</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分）</w:t>
            </w:r>
          </w:p>
        </w:tc>
        <w:tc>
          <w:tcPr>
            <w:tcW w:w="6896" w:type="dxa"/>
            <w:noWrap w:val="0"/>
            <w:vAlign w:val="center"/>
          </w:tcPr>
          <w:p w14:paraId="43E33E6F">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评委根据投标人提供的项目实施方案（包含：①实施进度及供货安排计划；②保证项目实施的技术力量和人力资源安排、技术服务措施；③安装调试验收方法或方案；④质量保证措施；⑤问题解决机制等5项内容的完整性、合理性、可行性、针对性进行评定，并按以下标准独立评审并评分（投标人所提供的方案不能完全满足某一档次全部要求的，不予进入该档评分）：</w:t>
            </w:r>
          </w:p>
          <w:p w14:paraId="0391AFA9">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一档（0分）：未提供方案或方案不合格的；</w:t>
            </w:r>
          </w:p>
          <w:p w14:paraId="09F8AAA9">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二档（3分）：方案有缺漏且内容简单，实施方案只能基本满足项目实际需求；</w:t>
            </w:r>
          </w:p>
          <w:p w14:paraId="3A4E788A">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三档（6分）：方案内容无缺漏，对项目有基本理解但整体方案简单或表达逻辑不清晰或缺少关键节点，方案可以保证项目正常实施；</w:t>
            </w:r>
          </w:p>
          <w:p w14:paraId="687633F1">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四档（9分）：方案内容无缺漏且表述逻辑清晰，完成实施方案各项内容的措施具体、详细，方案的5项评审内容经评审均为合理、可行的；</w:t>
            </w:r>
          </w:p>
          <w:p w14:paraId="0257A5F6">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五档（12分）：方案内容和措施完整、详实、针对性强，方案能清楚的表明对本项目的熟悉程度，方案中保证项目实施的技术力量和人力资源安排全面，实施进度及供货计划和安装调试验收方法严谨和切实可行，制定了详细的质量保证措施，并配备了健全的问题解决机制。方案的5项评审内容经评审均为完整、合理、可行、针对性强。</w:t>
            </w:r>
          </w:p>
        </w:tc>
      </w:tr>
      <w:tr w14:paraId="2BC24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jc w:val="center"/>
        </w:trPr>
        <w:tc>
          <w:tcPr>
            <w:tcW w:w="669" w:type="dxa"/>
            <w:vMerge w:val="restart"/>
            <w:noWrap w:val="0"/>
            <w:vAlign w:val="center"/>
          </w:tcPr>
          <w:p w14:paraId="6D465245">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val="en-US" w:eastAsia="zh-CN"/>
              </w:rPr>
              <w:t>3</w:t>
            </w:r>
          </w:p>
        </w:tc>
        <w:tc>
          <w:tcPr>
            <w:tcW w:w="1305" w:type="dxa"/>
            <w:vMerge w:val="restart"/>
            <w:noWrap w:val="0"/>
            <w:vAlign w:val="center"/>
          </w:tcPr>
          <w:p w14:paraId="697235E0">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商务分</w:t>
            </w:r>
            <w:r>
              <w:rPr>
                <w:rFonts w:hint="eastAsia" w:ascii="仿宋" w:hAnsi="仿宋" w:eastAsia="仿宋" w:cs="仿宋"/>
                <w:bCs/>
                <w:color w:val="auto"/>
                <w:sz w:val="24"/>
                <w:szCs w:val="24"/>
                <w:highlight w:val="none"/>
              </w:rPr>
              <w:t>（满分</w:t>
            </w:r>
            <w:r>
              <w:rPr>
                <w:rFonts w:hint="eastAsia" w:ascii="仿宋" w:hAnsi="仿宋" w:eastAsia="仿宋" w:cs="仿宋"/>
                <w:bCs/>
                <w:color w:val="auto"/>
                <w:sz w:val="24"/>
                <w:szCs w:val="24"/>
                <w:highlight w:val="none"/>
                <w:lang w:val="en-US" w:eastAsia="zh-CN"/>
              </w:rPr>
              <w:t>4</w:t>
            </w:r>
            <w:r>
              <w:rPr>
                <w:rFonts w:hint="eastAsia" w:ascii="仿宋" w:hAnsi="仿宋" w:eastAsia="仿宋" w:cs="仿宋"/>
                <w:bCs/>
                <w:color w:val="auto"/>
                <w:sz w:val="24"/>
                <w:szCs w:val="24"/>
                <w:highlight w:val="none"/>
              </w:rPr>
              <w:t>分）</w:t>
            </w:r>
          </w:p>
        </w:tc>
        <w:tc>
          <w:tcPr>
            <w:tcW w:w="1191" w:type="dxa"/>
            <w:noWrap w:val="0"/>
            <w:vAlign w:val="center"/>
          </w:tcPr>
          <w:p w14:paraId="40C45D4C">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 xml:space="preserve">政策功能分 </w:t>
            </w:r>
            <w:r>
              <w:rPr>
                <w:rFonts w:hint="eastAsia" w:ascii="仿宋" w:hAnsi="仿宋" w:eastAsia="仿宋" w:cs="仿宋"/>
                <w:bCs/>
                <w:color w:val="auto"/>
                <w:sz w:val="24"/>
                <w:szCs w:val="24"/>
                <w:highlight w:val="none"/>
                <w:lang w:val="en-US" w:eastAsia="zh-CN"/>
              </w:rPr>
              <w:t>(</w:t>
            </w:r>
            <w:r>
              <w:rPr>
                <w:rFonts w:hint="eastAsia" w:ascii="仿宋" w:hAnsi="仿宋" w:eastAsia="仿宋" w:cs="仿宋"/>
                <w:bCs/>
                <w:color w:val="auto"/>
                <w:sz w:val="24"/>
                <w:szCs w:val="24"/>
                <w:highlight w:val="none"/>
              </w:rPr>
              <w:t>节能、环保) （满分</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分）</w:t>
            </w:r>
          </w:p>
        </w:tc>
        <w:tc>
          <w:tcPr>
            <w:tcW w:w="6896" w:type="dxa"/>
            <w:noWrap w:val="0"/>
            <w:vAlign w:val="center"/>
          </w:tcPr>
          <w:p w14:paraId="65684CF7">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1.节能产品分（2分）：属于财政部《节能产品政府采购品目清单》内优先采购（清单内未标注“★ ”的品目）的产品（投标文件中提供国家确定的认证机构出具的有效期之内的认证证书复印件，并加盖单位公章），得1分。</w:t>
            </w:r>
          </w:p>
          <w:p w14:paraId="400AA60C">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b w:val="0"/>
                <w:bCs/>
                <w:color w:val="auto"/>
                <w:sz w:val="24"/>
                <w:szCs w:val="24"/>
                <w:highlight w:val="none"/>
                <w:lang w:val="en-US" w:eastAsia="zh-CN"/>
              </w:rPr>
              <w:t>2.环境标志产品分（1分）：属于财政部《环境标志产品政府采购品目清单》内的产品（投标文件中提供国家确定的认证机构出具的有效期之内的认证证书复印件，并加盖单位公章），得1分。</w:t>
            </w:r>
          </w:p>
        </w:tc>
      </w:tr>
      <w:tr w14:paraId="5B049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jc w:val="center"/>
        </w:trPr>
        <w:tc>
          <w:tcPr>
            <w:tcW w:w="669" w:type="dxa"/>
            <w:vMerge w:val="continue"/>
            <w:noWrap w:val="0"/>
            <w:vAlign w:val="center"/>
          </w:tcPr>
          <w:p w14:paraId="5A2206D5">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bCs/>
                <w:color w:val="auto"/>
                <w:sz w:val="24"/>
                <w:szCs w:val="24"/>
                <w:highlight w:val="none"/>
              </w:rPr>
            </w:pPr>
          </w:p>
        </w:tc>
        <w:tc>
          <w:tcPr>
            <w:tcW w:w="1305" w:type="dxa"/>
            <w:vMerge w:val="continue"/>
            <w:noWrap w:val="0"/>
            <w:vAlign w:val="center"/>
          </w:tcPr>
          <w:p w14:paraId="5CF764CA">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bCs/>
                <w:color w:val="auto"/>
                <w:sz w:val="24"/>
                <w:szCs w:val="24"/>
                <w:highlight w:val="none"/>
              </w:rPr>
            </w:pPr>
          </w:p>
        </w:tc>
        <w:tc>
          <w:tcPr>
            <w:tcW w:w="1191" w:type="dxa"/>
            <w:noWrap w:val="0"/>
            <w:vAlign w:val="center"/>
          </w:tcPr>
          <w:p w14:paraId="04D791CD">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履约能力（满分</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分）</w:t>
            </w:r>
          </w:p>
        </w:tc>
        <w:tc>
          <w:tcPr>
            <w:tcW w:w="6896" w:type="dxa"/>
            <w:noWrap w:val="0"/>
            <w:vAlign w:val="center"/>
          </w:tcPr>
          <w:p w14:paraId="158C3C31">
            <w:pPr>
              <w:pStyle w:val="148"/>
              <w:keepNext w:val="0"/>
              <w:keepLines w:val="0"/>
              <w:pageBreakBefore w:val="0"/>
              <w:kinsoku/>
              <w:wordWrap/>
              <w:overflowPunct/>
              <w:topLinePunct w:val="0"/>
              <w:autoSpaceDE/>
              <w:autoSpaceDN/>
              <w:bidi w:val="0"/>
              <w:adjustRightInd/>
              <w:snapToGrid/>
              <w:spacing w:line="400" w:lineRule="exact"/>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投标人或所投</w:t>
            </w:r>
            <w:r>
              <w:rPr>
                <w:rFonts w:hint="eastAsia" w:ascii="仿宋" w:hAnsi="仿宋" w:eastAsia="仿宋" w:cs="仿宋"/>
                <w:color w:val="auto"/>
                <w:sz w:val="24"/>
                <w:szCs w:val="24"/>
                <w:highlight w:val="none"/>
                <w:lang w:eastAsia="zh-CN"/>
              </w:rPr>
              <w:t>设备</w:t>
            </w:r>
            <w:r>
              <w:rPr>
                <w:rFonts w:hint="eastAsia" w:ascii="仿宋" w:hAnsi="仿宋" w:eastAsia="仿宋" w:cs="仿宋"/>
                <w:color w:val="auto"/>
                <w:sz w:val="24"/>
                <w:szCs w:val="24"/>
                <w:highlight w:val="none"/>
              </w:rPr>
              <w:t>生产厂家通过ISO13485医疗器械质量管理体系认证、ISO9001质量管理体系认证（投标文件中提供相关有效认证证书复印件，加盖</w:t>
            </w:r>
            <w:r>
              <w:rPr>
                <w:rFonts w:hint="eastAsia" w:ascii="仿宋" w:hAnsi="仿宋" w:eastAsia="仿宋" w:cs="仿宋"/>
                <w:b w:val="0"/>
                <w:bCs/>
                <w:color w:val="auto"/>
                <w:sz w:val="24"/>
                <w:szCs w:val="24"/>
                <w:highlight w:val="none"/>
                <w:lang w:val="en-US" w:eastAsia="zh-CN"/>
              </w:rPr>
              <w:t>单位公章</w:t>
            </w:r>
            <w:r>
              <w:rPr>
                <w:rFonts w:hint="eastAsia" w:ascii="仿宋" w:hAnsi="仿宋" w:eastAsia="仿宋" w:cs="仿宋"/>
                <w:color w:val="auto"/>
                <w:sz w:val="24"/>
                <w:szCs w:val="24"/>
                <w:highlight w:val="none"/>
              </w:rPr>
              <w:t>），每提供1项得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分，最多得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p>
        </w:tc>
      </w:tr>
    </w:tbl>
    <w:p w14:paraId="7847175C">
      <w:pPr>
        <w:spacing w:line="360" w:lineRule="auto"/>
        <w:ind w:firstLine="482" w:firstLineChars="200"/>
        <w:rPr>
          <w:rFonts w:hint="eastAsia" w:ascii="仿宋" w:hAnsi="仿宋" w:eastAsia="仿宋" w:cs="仿宋"/>
          <w:b/>
          <w:bCs/>
          <w:color w:val="auto"/>
          <w:sz w:val="24"/>
          <w:szCs w:val="24"/>
          <w:highlight w:val="none"/>
        </w:rPr>
      </w:pPr>
    </w:p>
    <w:p w14:paraId="37BDDF3B">
      <w:pP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注：</w:t>
      </w:r>
    </w:p>
    <w:p w14:paraId="384A8716">
      <w:pPr>
        <w:spacing w:line="360" w:lineRule="auto"/>
        <w:ind w:firstLine="480" w:firstLineChars="200"/>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w:t>
      </w:r>
      <w:bookmarkStart w:id="167" w:name="OLE_LINK20"/>
      <w:r>
        <w:rPr>
          <w:rFonts w:hint="eastAsia" w:ascii="仿宋" w:hAnsi="仿宋" w:eastAsia="仿宋" w:cs="仿宋"/>
          <w:color w:val="auto"/>
          <w:sz w:val="24"/>
          <w:szCs w:val="24"/>
          <w:highlight w:val="none"/>
        </w:rPr>
        <w:t>投标人获得中标人推荐资格，招标文件未规定的采取随机抽取方式确定，其他同品牌投标人不作为中标候选人</w:t>
      </w:r>
      <w:bookmarkEnd w:id="167"/>
      <w:r>
        <w:rPr>
          <w:rFonts w:hint="eastAsia" w:ascii="仿宋" w:hAnsi="仿宋" w:eastAsia="仿宋" w:cs="仿宋"/>
          <w:color w:val="auto"/>
          <w:sz w:val="24"/>
          <w:szCs w:val="24"/>
          <w:highlight w:val="none"/>
        </w:rPr>
        <w:t>。</w:t>
      </w:r>
    </w:p>
    <w:p w14:paraId="4967E845">
      <w:pPr>
        <w:pStyle w:val="48"/>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非单一产品采购项目，多家投标人提供的核心产品品牌相同的，按前款规定处理。</w:t>
      </w:r>
    </w:p>
    <w:p w14:paraId="51B721DB">
      <w:pPr>
        <w:pStyle w:val="27"/>
        <w:tabs>
          <w:tab w:val="left" w:pos="4214"/>
        </w:tabs>
        <w:spacing w:line="400" w:lineRule="exact"/>
        <w:ind w:firstLine="482" w:firstLineChars="200"/>
        <w:rPr>
          <w:rFonts w:hint="eastAsia" w:ascii="仿宋" w:hAnsi="仿宋" w:eastAsia="仿宋" w:cs="仿宋"/>
          <w:b/>
          <w:color w:val="auto"/>
          <w:sz w:val="24"/>
          <w:szCs w:val="24"/>
          <w:highlight w:val="none"/>
          <w:lang w:eastAsia="zh-CN"/>
        </w:rPr>
      </w:pPr>
    </w:p>
    <w:p w14:paraId="639AB857">
      <w:pP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br w:type="page"/>
      </w:r>
    </w:p>
    <w:p w14:paraId="2BC6F571">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适用分标2</w:t>
      </w:r>
      <w:r>
        <w:rPr>
          <w:rFonts w:hint="eastAsia" w:ascii="仿宋" w:hAnsi="仿宋" w:eastAsia="仿宋" w:cs="仿宋"/>
          <w:color w:val="auto"/>
          <w:sz w:val="24"/>
          <w:szCs w:val="24"/>
          <w:highlight w:val="none"/>
        </w:rPr>
        <w:t>　　　　　　　　　　　　　　　　</w:t>
      </w:r>
    </w:p>
    <w:tbl>
      <w:tblPr>
        <w:tblStyle w:val="50"/>
        <w:tblW w:w="10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305"/>
        <w:gridCol w:w="1191"/>
        <w:gridCol w:w="6896"/>
      </w:tblGrid>
      <w:tr w14:paraId="6EE1A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9" w:type="dxa"/>
            <w:noWrap w:val="0"/>
            <w:vAlign w:val="center"/>
          </w:tcPr>
          <w:p w14:paraId="559AD6C0">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sz w:val="24"/>
                <w:szCs w:val="24"/>
                <w:highlight w:val="none"/>
              </w:rPr>
            </w:pPr>
            <w:r>
              <w:rPr>
                <w:rFonts w:hint="eastAsia" w:ascii="仿宋" w:hAnsi="仿宋" w:eastAsia="仿宋" w:cs="仿宋"/>
                <w:b/>
                <w:color w:val="auto"/>
                <w:sz w:val="24"/>
                <w:szCs w:val="24"/>
                <w:highlight w:val="none"/>
              </w:rPr>
              <w:t>序号</w:t>
            </w:r>
          </w:p>
        </w:tc>
        <w:tc>
          <w:tcPr>
            <w:tcW w:w="1305" w:type="dxa"/>
            <w:noWrap w:val="0"/>
            <w:vAlign w:val="center"/>
          </w:tcPr>
          <w:p w14:paraId="2ABAF7FF">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sz w:val="24"/>
                <w:szCs w:val="24"/>
                <w:highlight w:val="none"/>
              </w:rPr>
            </w:pPr>
            <w:r>
              <w:rPr>
                <w:rFonts w:hint="eastAsia" w:ascii="仿宋" w:hAnsi="仿宋" w:eastAsia="仿宋" w:cs="仿宋"/>
                <w:b/>
                <w:color w:val="auto"/>
                <w:sz w:val="24"/>
                <w:szCs w:val="24"/>
                <w:highlight w:val="none"/>
              </w:rPr>
              <w:t>评审因素</w:t>
            </w:r>
          </w:p>
        </w:tc>
        <w:tc>
          <w:tcPr>
            <w:tcW w:w="8087" w:type="dxa"/>
            <w:gridSpan w:val="2"/>
            <w:noWrap w:val="0"/>
            <w:vAlign w:val="center"/>
          </w:tcPr>
          <w:p w14:paraId="445B298D">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sz w:val="24"/>
                <w:szCs w:val="24"/>
                <w:highlight w:val="none"/>
              </w:rPr>
            </w:pPr>
            <w:r>
              <w:rPr>
                <w:rFonts w:hint="eastAsia" w:ascii="仿宋" w:hAnsi="仿宋" w:eastAsia="仿宋" w:cs="仿宋"/>
                <w:b/>
                <w:color w:val="auto"/>
                <w:sz w:val="24"/>
                <w:szCs w:val="24"/>
                <w:highlight w:val="none"/>
              </w:rPr>
              <w:t>评标标准</w:t>
            </w:r>
          </w:p>
        </w:tc>
      </w:tr>
      <w:tr w14:paraId="7413A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0" w:hRule="atLeast"/>
          <w:jc w:val="center"/>
        </w:trPr>
        <w:tc>
          <w:tcPr>
            <w:tcW w:w="669" w:type="dxa"/>
            <w:noWrap w:val="0"/>
            <w:vAlign w:val="center"/>
          </w:tcPr>
          <w:p w14:paraId="033C09E9">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sz w:val="24"/>
                <w:szCs w:val="24"/>
                <w:highlight w:val="none"/>
              </w:rPr>
              <w:t>1</w:t>
            </w:r>
          </w:p>
        </w:tc>
        <w:tc>
          <w:tcPr>
            <w:tcW w:w="1305" w:type="dxa"/>
            <w:noWrap w:val="0"/>
            <w:vAlign w:val="center"/>
          </w:tcPr>
          <w:p w14:paraId="1A6E0CCF">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价格分（满分30分）</w:t>
            </w:r>
          </w:p>
          <w:p w14:paraId="671A1E55">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sz w:val="24"/>
                <w:szCs w:val="24"/>
                <w:highlight w:val="none"/>
              </w:rPr>
            </w:pPr>
          </w:p>
        </w:tc>
        <w:tc>
          <w:tcPr>
            <w:tcW w:w="8087" w:type="dxa"/>
            <w:gridSpan w:val="2"/>
            <w:noWrap w:val="0"/>
            <w:vAlign w:val="center"/>
          </w:tcPr>
          <w:p w14:paraId="192767A7">
            <w:pPr>
              <w:keepNext w:val="0"/>
              <w:keepLines w:val="0"/>
              <w:pageBreakBefore w:val="0"/>
              <w:widowControl w:val="0"/>
              <w:kinsoku/>
              <w:wordWrap/>
              <w:overflowPunct/>
              <w:topLinePunct w:val="0"/>
              <w:autoSpaceDE/>
              <w:autoSpaceDN/>
              <w:bidi w:val="0"/>
              <w:adjustRightInd/>
              <w:snapToGrid/>
              <w:spacing w:line="400" w:lineRule="exact"/>
              <w:ind w:left="105" w:left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（1）评标报价为投标人的投标报价进行政策性扣除后的价格，评标报价只是作为评标时使用。最终中标人的中标金额等于投标报价。</w:t>
            </w:r>
          </w:p>
          <w:p w14:paraId="392798A0">
            <w:pPr>
              <w:keepNext w:val="0"/>
              <w:keepLines w:val="0"/>
              <w:pageBreakBefore w:val="0"/>
              <w:widowControl w:val="0"/>
              <w:kinsoku/>
              <w:wordWrap/>
              <w:overflowPunct/>
              <w:topLinePunct w:val="0"/>
              <w:autoSpaceDE/>
              <w:autoSpaceDN/>
              <w:bidi w:val="0"/>
              <w:adjustRightInd/>
              <w:snapToGrid/>
              <w:spacing w:line="400" w:lineRule="exact"/>
              <w:ind w:left="105" w:left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按照《政府采购促进中小企业发展暂行办法》（财库[2011]181号）的规定，投标人为小型和微型企业，并在其投标文件中提供《中小企业声明函》，且其所投标产品全部为小型和微型企业产品的，对其投标价格给予10%的扣除。</w:t>
            </w:r>
          </w:p>
          <w:p w14:paraId="4E0A5302">
            <w:pPr>
              <w:keepNext w:val="0"/>
              <w:keepLines w:val="0"/>
              <w:pageBreakBefore w:val="0"/>
              <w:widowControl w:val="0"/>
              <w:kinsoku/>
              <w:wordWrap/>
              <w:overflowPunct/>
              <w:topLinePunct w:val="0"/>
              <w:autoSpaceDE/>
              <w:autoSpaceDN/>
              <w:bidi w:val="0"/>
              <w:adjustRightInd/>
              <w:snapToGrid/>
              <w:spacing w:line="400" w:lineRule="exact"/>
              <w:ind w:left="105" w:left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14:paraId="33AB91F0">
            <w:pPr>
              <w:keepNext w:val="0"/>
              <w:keepLines w:val="0"/>
              <w:pageBreakBefore w:val="0"/>
              <w:widowControl w:val="0"/>
              <w:kinsoku/>
              <w:wordWrap/>
              <w:overflowPunct/>
              <w:topLinePunct w:val="0"/>
              <w:autoSpaceDE/>
              <w:autoSpaceDN/>
              <w:bidi w:val="0"/>
              <w:adjustRightInd/>
              <w:snapToGrid/>
              <w:spacing w:line="400" w:lineRule="exact"/>
              <w:ind w:left="105" w:left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39245685">
            <w:pPr>
              <w:keepNext w:val="0"/>
              <w:keepLines w:val="0"/>
              <w:pageBreakBefore w:val="0"/>
              <w:widowControl w:val="0"/>
              <w:kinsoku/>
              <w:wordWrap/>
              <w:overflowPunct/>
              <w:topLinePunct w:val="0"/>
              <w:autoSpaceDE/>
              <w:autoSpaceDN/>
              <w:bidi w:val="0"/>
              <w:adjustRightInd/>
              <w:snapToGrid/>
              <w:spacing w:line="400" w:lineRule="exact"/>
              <w:ind w:left="105" w:left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（5）政策性扣除计算方法。</w:t>
            </w:r>
          </w:p>
          <w:p w14:paraId="76EBF1C8">
            <w:pPr>
              <w:keepNext w:val="0"/>
              <w:keepLines w:val="0"/>
              <w:pageBreakBefore w:val="0"/>
              <w:widowControl w:val="0"/>
              <w:kinsoku/>
              <w:wordWrap/>
              <w:overflowPunct/>
              <w:topLinePunct w:val="0"/>
              <w:autoSpaceDE/>
              <w:autoSpaceDN/>
              <w:bidi w:val="0"/>
              <w:adjustRightInd/>
              <w:snapToGrid/>
              <w:spacing w:line="400" w:lineRule="exact"/>
              <w:ind w:left="105" w:left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被评定为监狱企业或者残疾人福利性单位或者小型和微型企业且其所投标全部产品为小型和微型企业产品的，该投标人的投标报价给予10%的扣除，扣除后的价格为评标报价，即评标报价=投标报价×（1-10%）； 大中型企业和其他自然人、法人或者其他组织与小型、微型企业组成联合体投标，且联合体协议中约定小型、微型企业的协议合同金额占到联合体协议合同总金额30%以上的，联合体投标价给予3%的扣除，扣除后的价格为评标价，即评标报价=投标报价×（1-3%）；除上述情况外，评标报价=投标报价。</w:t>
            </w:r>
          </w:p>
          <w:p w14:paraId="49163FBC">
            <w:pPr>
              <w:pStyle w:val="27"/>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firstLine="31" w:firstLineChars="13"/>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val="en-US"/>
              </w:rPr>
              <w:t>）本国产品政策性扣除计算方法。</w:t>
            </w:r>
          </w:p>
          <w:p w14:paraId="7AACF591">
            <w:pPr>
              <w:pStyle w:val="27"/>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firstLine="31" w:firstLineChars="13"/>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20E67B2F">
            <w:pPr>
              <w:pStyle w:val="27"/>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firstLine="31" w:firstLineChars="13"/>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未达到80%，不享受价格评审优惠。</w:t>
            </w:r>
          </w:p>
          <w:p w14:paraId="43022AD8">
            <w:pPr>
              <w:pStyle w:val="27"/>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firstLine="31" w:firstLineChars="13"/>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供应商在其投标文件中提供《关于符合本国产品标准的声明函》或财政部会同有关部门规定的有关证明文件，出具符合要求的《声明函》或有关证明文件的，该产品视为本国产品。</w:t>
            </w:r>
          </w:p>
          <w:p w14:paraId="55CB0A2C">
            <w:pPr>
              <w:pStyle w:val="27"/>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firstLine="31" w:firstLineChars="13"/>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如果所有参与竞争的供应商均可享受本国产品价格评审优惠，则统一不进行价格扣除。</w:t>
            </w:r>
          </w:p>
          <w:p w14:paraId="5796EA11">
            <w:pPr>
              <w:pStyle w:val="27"/>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rPr>
              <w:t>（</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lang w:val="en-US"/>
              </w:rPr>
              <w:t>）中小企业折扣与本国产品折扣进行叠加计算，用扣除后的价格参加评审。即评标报价=投标报价-中小企业折扣-本国产品折扣，除上述情况外，评标报价=投标报价。</w:t>
            </w:r>
          </w:p>
          <w:p w14:paraId="0EF73FDB">
            <w:pPr>
              <w:keepNext w:val="0"/>
              <w:keepLines w:val="0"/>
              <w:pageBreakBefore w:val="0"/>
              <w:widowControl w:val="0"/>
              <w:kinsoku/>
              <w:wordWrap/>
              <w:overflowPunct/>
              <w:topLinePunct w:val="0"/>
              <w:autoSpaceDE/>
              <w:autoSpaceDN/>
              <w:bidi w:val="0"/>
              <w:adjustRightInd/>
              <w:snapToGrid/>
              <w:spacing w:line="400" w:lineRule="exact"/>
              <w:ind w:left="105" w:left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）满足招标文件要求且评标报价最低的评标报价为评标基准价，基准价报价得分为 30 分。</w:t>
            </w:r>
          </w:p>
          <w:p w14:paraId="0302BFFB">
            <w:pPr>
              <w:keepNext w:val="0"/>
              <w:keepLines w:val="0"/>
              <w:pageBreakBefore w:val="0"/>
              <w:widowControl w:val="0"/>
              <w:kinsoku/>
              <w:wordWrap/>
              <w:overflowPunct/>
              <w:topLinePunct w:val="0"/>
              <w:autoSpaceDE/>
              <w:autoSpaceDN/>
              <w:bidi w:val="0"/>
              <w:adjustRightInd/>
              <w:snapToGrid/>
              <w:spacing w:line="400" w:lineRule="exact"/>
              <w:ind w:left="105" w:left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）价格分计算公式：价格分= (评标基准价／评标报价)×30分</w:t>
            </w:r>
          </w:p>
          <w:p w14:paraId="21A056BA">
            <w:pPr>
              <w:keepNext w:val="0"/>
              <w:keepLines w:val="0"/>
              <w:pageBreakBefore w:val="0"/>
              <w:widowControl w:val="0"/>
              <w:kinsoku/>
              <w:wordWrap/>
              <w:overflowPunct/>
              <w:topLinePunct w:val="0"/>
              <w:autoSpaceDE/>
              <w:autoSpaceDN/>
              <w:bidi w:val="0"/>
              <w:adjustRightInd/>
              <w:snapToGrid/>
              <w:spacing w:line="400" w:lineRule="exact"/>
              <w:ind w:left="105" w:leftChars="5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r>
              <w:rPr>
                <w:rFonts w:hint="eastAsia" w:ascii="仿宋" w:hAnsi="仿宋" w:eastAsia="仿宋" w:cs="仿宋"/>
                <w:bCs/>
                <w:color w:val="auto"/>
                <w:sz w:val="24"/>
                <w:szCs w:val="24"/>
                <w:highlight w:val="none"/>
              </w:rPr>
              <w:t xml:space="preserve">       </w:t>
            </w:r>
          </w:p>
        </w:tc>
      </w:tr>
      <w:tr w14:paraId="42093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69" w:type="dxa"/>
            <w:noWrap w:val="0"/>
            <w:vAlign w:val="center"/>
          </w:tcPr>
          <w:p w14:paraId="4B2DC96D">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sz w:val="24"/>
                <w:szCs w:val="24"/>
                <w:highlight w:val="none"/>
              </w:rPr>
            </w:pPr>
          </w:p>
          <w:p w14:paraId="1E39ADC1">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sz w:val="24"/>
                <w:szCs w:val="24"/>
                <w:highlight w:val="none"/>
              </w:rPr>
            </w:pPr>
          </w:p>
          <w:p w14:paraId="598E316D">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w:t>
            </w:r>
          </w:p>
          <w:p w14:paraId="4B802A77">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kern w:val="0"/>
                <w:sz w:val="24"/>
                <w:szCs w:val="24"/>
                <w:highlight w:val="none"/>
              </w:rPr>
            </w:pPr>
          </w:p>
          <w:p w14:paraId="23B8FFAE">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kern w:val="0"/>
                <w:sz w:val="24"/>
                <w:szCs w:val="24"/>
                <w:highlight w:val="none"/>
              </w:rPr>
            </w:pPr>
          </w:p>
        </w:tc>
        <w:tc>
          <w:tcPr>
            <w:tcW w:w="1305" w:type="dxa"/>
            <w:noWrap w:val="0"/>
            <w:vAlign w:val="center"/>
          </w:tcPr>
          <w:p w14:paraId="52A69EE7">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技术分（满分66分）</w:t>
            </w:r>
          </w:p>
        </w:tc>
        <w:tc>
          <w:tcPr>
            <w:tcW w:w="1191" w:type="dxa"/>
            <w:noWrap w:val="0"/>
            <w:vAlign w:val="center"/>
          </w:tcPr>
          <w:p w14:paraId="24023337">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技术性能分（满分</w:t>
            </w:r>
            <w:r>
              <w:rPr>
                <w:rFonts w:hint="eastAsia" w:ascii="仿宋" w:hAnsi="仿宋" w:eastAsia="仿宋" w:cs="仿宋"/>
                <w:bCs/>
                <w:color w:val="auto"/>
                <w:sz w:val="24"/>
                <w:szCs w:val="24"/>
                <w:highlight w:val="none"/>
                <w:lang w:val="en-US" w:eastAsia="zh-CN"/>
              </w:rPr>
              <w:t>42</w:t>
            </w:r>
            <w:r>
              <w:rPr>
                <w:rFonts w:hint="eastAsia" w:ascii="仿宋" w:hAnsi="仿宋" w:eastAsia="仿宋" w:cs="仿宋"/>
                <w:bCs/>
                <w:color w:val="auto"/>
                <w:sz w:val="24"/>
                <w:szCs w:val="24"/>
                <w:highlight w:val="none"/>
              </w:rPr>
              <w:t>分）</w:t>
            </w:r>
          </w:p>
        </w:tc>
        <w:tc>
          <w:tcPr>
            <w:tcW w:w="6896" w:type="dxa"/>
            <w:noWrap w:val="0"/>
            <w:vAlign w:val="center"/>
          </w:tcPr>
          <w:p w14:paraId="49E80B2F">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评委根据招标文件要求，对满足招标文件全部实质性要求进入详评的各投标人投标文件“设备技术偏离表”的响应情况进行独立评审，并按如下计分方式确定得分：</w:t>
            </w:r>
          </w:p>
          <w:p w14:paraId="6EC6370C">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基本分：技术参数完全满足招标文件，即得基本分</w:t>
            </w:r>
            <w:r>
              <w:rPr>
                <w:rFonts w:hint="eastAsia" w:ascii="仿宋" w:hAnsi="仿宋" w:eastAsia="仿宋" w:cs="仿宋"/>
                <w:color w:val="auto"/>
                <w:sz w:val="24"/>
                <w:szCs w:val="24"/>
                <w:highlight w:val="none"/>
                <w:lang w:val="en-US" w:eastAsia="zh-CN"/>
              </w:rPr>
              <w:t>42</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p w14:paraId="7CEFF4C9">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2.重要技术参数（标注</w:t>
            </w:r>
            <w:r>
              <w:rPr>
                <w:rFonts w:hint="eastAsia" w:ascii="仿宋" w:hAnsi="仿宋" w:eastAsia="仿宋" w:cs="仿宋"/>
                <w:bCs/>
                <w:color w:val="auto"/>
                <w:sz w:val="24"/>
                <w:szCs w:val="24"/>
                <w:highlight w:val="none"/>
              </w:rPr>
              <w:t>“</w:t>
            </w:r>
            <w:r>
              <w:rPr>
                <w:rFonts w:hint="eastAsia" w:ascii="仿宋" w:hAnsi="仿宋" w:eastAsia="仿宋" w:cs="仿宋"/>
                <w:b/>
                <w:color w:val="auto"/>
                <w:sz w:val="24"/>
                <w:szCs w:val="24"/>
                <w:highlight w:val="none"/>
              </w:rPr>
              <w:t>●</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lang w:val="en-US" w:eastAsia="zh-CN"/>
              </w:rPr>
              <w:t>号的参数，共8项）每有一项负偏离或漏项扣4分，扣完32分。</w:t>
            </w:r>
          </w:p>
          <w:p w14:paraId="194C0234">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3.一般参数（未标注</w:t>
            </w:r>
            <w:r>
              <w:rPr>
                <w:rFonts w:hint="eastAsia" w:ascii="仿宋" w:hAnsi="仿宋" w:eastAsia="仿宋" w:cs="仿宋"/>
                <w:bCs/>
                <w:color w:val="auto"/>
                <w:sz w:val="24"/>
                <w:szCs w:val="24"/>
                <w:highlight w:val="none"/>
              </w:rPr>
              <w:t>“</w:t>
            </w:r>
            <w:r>
              <w:rPr>
                <w:rFonts w:hint="eastAsia" w:ascii="仿宋" w:hAnsi="仿宋" w:eastAsia="仿宋" w:cs="仿宋"/>
                <w:b/>
                <w:bCs/>
                <w:color w:val="auto"/>
                <w:kern w:val="0"/>
                <w:sz w:val="24"/>
                <w:szCs w:val="24"/>
                <w:highlight w:val="none"/>
              </w:rPr>
              <w:t>▲</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lang w:val="en-US" w:eastAsia="zh-CN"/>
              </w:rPr>
              <w:t>号和未标注</w:t>
            </w:r>
            <w:r>
              <w:rPr>
                <w:rFonts w:hint="eastAsia" w:ascii="仿宋" w:hAnsi="仿宋" w:eastAsia="仿宋" w:cs="仿宋"/>
                <w:bCs/>
                <w:color w:val="auto"/>
                <w:sz w:val="24"/>
                <w:szCs w:val="24"/>
                <w:highlight w:val="none"/>
              </w:rPr>
              <w:t>“</w:t>
            </w:r>
            <w:r>
              <w:rPr>
                <w:rFonts w:hint="eastAsia" w:ascii="仿宋" w:hAnsi="仿宋" w:eastAsia="仿宋" w:cs="仿宋"/>
                <w:b/>
                <w:color w:val="auto"/>
                <w:sz w:val="24"/>
                <w:szCs w:val="24"/>
                <w:highlight w:val="none"/>
              </w:rPr>
              <w:t>●</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lang w:val="en-US" w:eastAsia="zh-CN"/>
              </w:rPr>
              <w:t>号的参数）每有一项负偏离或漏项扣1分，扣完10分为止。</w:t>
            </w:r>
          </w:p>
          <w:p w14:paraId="64D1FF02">
            <w:pPr>
              <w:pStyle w:val="27"/>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注：1.</w:t>
            </w:r>
            <w:r>
              <w:rPr>
                <w:rFonts w:hint="eastAsia" w:ascii="仿宋" w:hAnsi="仿宋" w:eastAsia="仿宋" w:cs="仿宋"/>
                <w:bCs/>
                <w:color w:val="auto"/>
                <w:sz w:val="24"/>
                <w:szCs w:val="24"/>
                <w:highlight w:val="none"/>
              </w:rPr>
              <w:t>标注“</w:t>
            </w:r>
            <w:r>
              <w:rPr>
                <w:rFonts w:hint="eastAsia" w:ascii="仿宋" w:hAnsi="仿宋" w:eastAsia="仿宋" w:cs="仿宋"/>
                <w:b/>
                <w:bCs/>
                <w:color w:val="auto"/>
                <w:kern w:val="0"/>
                <w:sz w:val="24"/>
                <w:szCs w:val="24"/>
                <w:highlight w:val="none"/>
              </w:rPr>
              <w:t>▲</w:t>
            </w:r>
            <w:r>
              <w:rPr>
                <w:rFonts w:hint="eastAsia" w:ascii="仿宋" w:hAnsi="仿宋" w:eastAsia="仿宋" w:cs="仿宋"/>
                <w:bCs/>
                <w:color w:val="auto"/>
                <w:sz w:val="24"/>
                <w:szCs w:val="24"/>
                <w:highlight w:val="none"/>
              </w:rPr>
              <w:t>”的条款或要求系指实质性条款或实质性要求，必须满足，如存在负偏离将导致响应被否决。</w:t>
            </w:r>
          </w:p>
        </w:tc>
      </w:tr>
      <w:tr w14:paraId="40E48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69" w:type="dxa"/>
            <w:vMerge w:val="restart"/>
            <w:noWrap w:val="0"/>
            <w:vAlign w:val="center"/>
          </w:tcPr>
          <w:p w14:paraId="31775424">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kern w:val="0"/>
                <w:sz w:val="24"/>
                <w:szCs w:val="24"/>
                <w:highlight w:val="none"/>
              </w:rPr>
            </w:pPr>
          </w:p>
        </w:tc>
        <w:tc>
          <w:tcPr>
            <w:tcW w:w="1305" w:type="dxa"/>
            <w:vMerge w:val="restart"/>
            <w:noWrap w:val="0"/>
            <w:vAlign w:val="center"/>
          </w:tcPr>
          <w:p w14:paraId="127EFBD2">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sz w:val="24"/>
                <w:szCs w:val="24"/>
                <w:highlight w:val="none"/>
                <w:lang w:val="en-US" w:eastAsia="zh-CN"/>
              </w:rPr>
            </w:pPr>
          </w:p>
        </w:tc>
        <w:tc>
          <w:tcPr>
            <w:tcW w:w="1191" w:type="dxa"/>
            <w:noWrap w:val="0"/>
            <w:vAlign w:val="center"/>
          </w:tcPr>
          <w:p w14:paraId="269EA863">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售后服务分（满分1</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分）</w:t>
            </w:r>
          </w:p>
        </w:tc>
        <w:tc>
          <w:tcPr>
            <w:tcW w:w="6896" w:type="dxa"/>
            <w:noWrap w:val="0"/>
            <w:vAlign w:val="center"/>
          </w:tcPr>
          <w:p w14:paraId="5FEC9919">
            <w:pPr>
              <w:pStyle w:val="148"/>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评委对供应商提供的售后服务方案（包括但不仅限于：</w:t>
            </w:r>
            <w:r>
              <w:rPr>
                <w:rFonts w:hint="eastAsia" w:ascii="仿宋" w:hAnsi="仿宋" w:eastAsia="仿宋" w:cs="仿宋"/>
                <w:b w:val="0"/>
                <w:bCs w:val="0"/>
                <w:color w:val="auto"/>
                <w:sz w:val="24"/>
                <w:szCs w:val="24"/>
                <w:highlight w:val="none"/>
              </w:rPr>
              <w:t>①售后服务保障措施；②培训方案；③紧急故障处理方案及安全保障方案；④其他实质性服务或优惠措施等</w:t>
            </w:r>
            <w:r>
              <w:rPr>
                <w:rFonts w:hint="eastAsia" w:ascii="仿宋" w:hAnsi="仿宋" w:eastAsia="仿宋" w:cs="仿宋"/>
                <w:color w:val="auto"/>
                <w:sz w:val="24"/>
                <w:szCs w:val="24"/>
                <w:highlight w:val="none"/>
              </w:rPr>
              <w:t>）内进行独立评审并按以下规则独立打分</w:t>
            </w:r>
            <w:r>
              <w:rPr>
                <w:rFonts w:hint="eastAsia" w:ascii="仿宋" w:hAnsi="仿宋" w:eastAsia="仿宋" w:cs="仿宋"/>
                <w:bCs/>
                <w:color w:val="auto"/>
                <w:sz w:val="24"/>
                <w:szCs w:val="24"/>
                <w:highlight w:val="none"/>
              </w:rPr>
              <w:t>（投标人所提供的方案不能完全满足某一档次全部要求的，不予进入该档评分）</w:t>
            </w:r>
            <w:r>
              <w:rPr>
                <w:rFonts w:hint="eastAsia" w:ascii="仿宋" w:hAnsi="仿宋" w:eastAsia="仿宋" w:cs="仿宋"/>
                <w:color w:val="auto"/>
                <w:sz w:val="24"/>
                <w:szCs w:val="24"/>
                <w:highlight w:val="none"/>
              </w:rPr>
              <w:t>：</w:t>
            </w:r>
          </w:p>
          <w:p w14:paraId="61EAFDA4">
            <w:pPr>
              <w:pStyle w:val="148"/>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一档（0分）：未提供方案或方案不合格的。</w:t>
            </w:r>
          </w:p>
          <w:p w14:paraId="4B446482">
            <w:pPr>
              <w:pStyle w:val="148"/>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二档（</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分）：售后服务方案内容齐全，4项评审内容有1项经评审具有针对性、可操作性、且内容科学合理；</w:t>
            </w:r>
          </w:p>
          <w:p w14:paraId="3196DAF1">
            <w:pPr>
              <w:pStyle w:val="148"/>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三档（</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分）：售后服务方案内容齐全，4项评审内容有2项经评审具有针对性、可操作性、且内容科学合理；</w:t>
            </w:r>
          </w:p>
          <w:p w14:paraId="7A5FC61C">
            <w:pPr>
              <w:pStyle w:val="148"/>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四档（</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分）：售后服务方案内容齐全，4项评审内容有3项经评审具有针对性、可操作性、且内容科学合理；</w:t>
            </w:r>
          </w:p>
          <w:p w14:paraId="5BFAFB33">
            <w:pPr>
              <w:pStyle w:val="148"/>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五档（1</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分）：售后服务方案内容齐全，4项评审内容经评审均具有针对性、可操作性、且内容科学合理。</w:t>
            </w:r>
          </w:p>
        </w:tc>
      </w:tr>
      <w:tr w14:paraId="7345E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jc w:val="center"/>
        </w:trPr>
        <w:tc>
          <w:tcPr>
            <w:tcW w:w="669" w:type="dxa"/>
            <w:vMerge w:val="continue"/>
            <w:noWrap w:val="0"/>
            <w:vAlign w:val="center"/>
          </w:tcPr>
          <w:p w14:paraId="286FC0EC">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bCs/>
                <w:color w:val="auto"/>
                <w:kern w:val="0"/>
                <w:sz w:val="24"/>
                <w:szCs w:val="24"/>
                <w:highlight w:val="none"/>
              </w:rPr>
            </w:pPr>
          </w:p>
        </w:tc>
        <w:tc>
          <w:tcPr>
            <w:tcW w:w="1305" w:type="dxa"/>
            <w:vMerge w:val="continue"/>
            <w:noWrap w:val="0"/>
            <w:vAlign w:val="center"/>
          </w:tcPr>
          <w:p w14:paraId="42094B40">
            <w:pPr>
              <w:keepNext w:val="0"/>
              <w:keepLines w:val="0"/>
              <w:pageBreakBefore w:val="0"/>
              <w:kinsoku/>
              <w:wordWrap/>
              <w:overflowPunct/>
              <w:topLinePunct w:val="0"/>
              <w:autoSpaceDE/>
              <w:autoSpaceDN/>
              <w:bidi w:val="0"/>
              <w:adjustRightInd/>
              <w:snapToGrid/>
              <w:spacing w:line="400" w:lineRule="exact"/>
              <w:jc w:val="left"/>
              <w:textAlignment w:val="baseline"/>
              <w:rPr>
                <w:rFonts w:hint="eastAsia" w:ascii="仿宋" w:hAnsi="仿宋" w:eastAsia="仿宋" w:cs="仿宋"/>
                <w:bCs/>
                <w:color w:val="auto"/>
                <w:sz w:val="24"/>
                <w:szCs w:val="24"/>
                <w:highlight w:val="none"/>
              </w:rPr>
            </w:pPr>
          </w:p>
        </w:tc>
        <w:tc>
          <w:tcPr>
            <w:tcW w:w="1191" w:type="dxa"/>
            <w:noWrap w:val="0"/>
            <w:vAlign w:val="center"/>
          </w:tcPr>
          <w:p w14:paraId="2D3F091A">
            <w:pPr>
              <w:keepNext w:val="0"/>
              <w:keepLines w:val="0"/>
              <w:pageBreakBefore w:val="0"/>
              <w:kinsoku/>
              <w:wordWrap/>
              <w:overflowPunct/>
              <w:topLinePunct w:val="0"/>
              <w:autoSpaceDE/>
              <w:autoSpaceDN/>
              <w:bidi w:val="0"/>
              <w:adjustRightInd/>
              <w:snapToGrid/>
              <w:spacing w:line="400" w:lineRule="exact"/>
              <w:jc w:val="center"/>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实施方案分</w:t>
            </w:r>
            <w:r>
              <w:rPr>
                <w:rFonts w:hint="eastAsia" w:ascii="仿宋" w:hAnsi="仿宋" w:eastAsia="仿宋" w:cs="仿宋"/>
                <w:bCs/>
                <w:color w:val="auto"/>
                <w:sz w:val="24"/>
                <w:szCs w:val="24"/>
                <w:highlight w:val="none"/>
              </w:rPr>
              <w:t>（满分1</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分）</w:t>
            </w:r>
          </w:p>
        </w:tc>
        <w:tc>
          <w:tcPr>
            <w:tcW w:w="6896" w:type="dxa"/>
            <w:noWrap w:val="0"/>
            <w:vAlign w:val="center"/>
          </w:tcPr>
          <w:p w14:paraId="368B3692">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评委根据投标人提供的项目实施方案（包含：①实施进度及供货安排计划；②保证项目实施的技术力量和人力资源安排、技术服务措施；③安装调试验收方法或方案；④质量保证措施；⑤问题解决机制等5项内容的完整性、合理性、可行性、针对性进行评定，并按以下标准独立评审并评分（投标人所提供的方案不能完全满足某一档次全部要求的，不予进入该档评分）：</w:t>
            </w:r>
          </w:p>
          <w:p w14:paraId="40B06761">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一档（0分）：未提供方案或方案不合格的；</w:t>
            </w:r>
          </w:p>
          <w:p w14:paraId="6FE4262F">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二档（3分）：方案有缺漏且内容简单，实施方案只能基本满足项目实际需求；</w:t>
            </w:r>
          </w:p>
          <w:p w14:paraId="5B74F29D">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三档（6分）：方案内容无缺漏，对项目有基本理解但整体方案简单或表达逻辑不清晰或缺少关键节点，方案可以保证项目正常实施；</w:t>
            </w:r>
          </w:p>
          <w:p w14:paraId="63427A16">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四档（9分）：方案内容无缺漏且表述逻辑清晰，完成实施方案各项内容的措施具体、详细，方案的5项评审内容经评审均为合理、可行的；</w:t>
            </w:r>
          </w:p>
          <w:p w14:paraId="422923CE">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五档（12分）：方案内容和措施完整、详实、针对性强，方案能清楚的表明对本项目的熟悉程度，方案中保证项目实施的技术力量和人力资源安排全面，实施进度及供货计划和安装调试验收方法严谨和切实可行，制定了详细的质量保证措施，并配备了健全的问题解决机制。方案的5项评审内容经评审均为完整、合理、可行、针对性强。</w:t>
            </w:r>
          </w:p>
        </w:tc>
      </w:tr>
      <w:tr w14:paraId="099C4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jc w:val="center"/>
        </w:trPr>
        <w:tc>
          <w:tcPr>
            <w:tcW w:w="669" w:type="dxa"/>
            <w:vMerge w:val="restart"/>
            <w:noWrap w:val="0"/>
            <w:vAlign w:val="center"/>
          </w:tcPr>
          <w:p w14:paraId="541C7249">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val="en-US" w:eastAsia="zh-CN"/>
              </w:rPr>
              <w:t>3</w:t>
            </w:r>
          </w:p>
        </w:tc>
        <w:tc>
          <w:tcPr>
            <w:tcW w:w="1305" w:type="dxa"/>
            <w:vMerge w:val="restart"/>
            <w:noWrap w:val="0"/>
            <w:vAlign w:val="center"/>
          </w:tcPr>
          <w:p w14:paraId="3CFAFEDB">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商务分</w:t>
            </w:r>
            <w:r>
              <w:rPr>
                <w:rFonts w:hint="eastAsia" w:ascii="仿宋" w:hAnsi="仿宋" w:eastAsia="仿宋" w:cs="仿宋"/>
                <w:bCs/>
                <w:color w:val="auto"/>
                <w:sz w:val="24"/>
                <w:szCs w:val="24"/>
                <w:highlight w:val="none"/>
              </w:rPr>
              <w:t>（满分</w:t>
            </w:r>
            <w:r>
              <w:rPr>
                <w:rFonts w:hint="eastAsia" w:ascii="仿宋" w:hAnsi="仿宋" w:eastAsia="仿宋" w:cs="仿宋"/>
                <w:bCs/>
                <w:color w:val="auto"/>
                <w:sz w:val="24"/>
                <w:szCs w:val="24"/>
                <w:highlight w:val="none"/>
                <w:lang w:val="en-US" w:eastAsia="zh-CN"/>
              </w:rPr>
              <w:t>4</w:t>
            </w:r>
            <w:r>
              <w:rPr>
                <w:rFonts w:hint="eastAsia" w:ascii="仿宋" w:hAnsi="仿宋" w:eastAsia="仿宋" w:cs="仿宋"/>
                <w:bCs/>
                <w:color w:val="auto"/>
                <w:sz w:val="24"/>
                <w:szCs w:val="24"/>
                <w:highlight w:val="none"/>
              </w:rPr>
              <w:t>分）</w:t>
            </w:r>
          </w:p>
        </w:tc>
        <w:tc>
          <w:tcPr>
            <w:tcW w:w="1191" w:type="dxa"/>
            <w:noWrap w:val="0"/>
            <w:vAlign w:val="center"/>
          </w:tcPr>
          <w:p w14:paraId="15405003">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 xml:space="preserve">政策功能分 </w:t>
            </w:r>
            <w:r>
              <w:rPr>
                <w:rFonts w:hint="eastAsia" w:ascii="仿宋" w:hAnsi="仿宋" w:eastAsia="仿宋" w:cs="仿宋"/>
                <w:bCs/>
                <w:color w:val="auto"/>
                <w:sz w:val="24"/>
                <w:szCs w:val="24"/>
                <w:highlight w:val="none"/>
                <w:lang w:val="en-US" w:eastAsia="zh-CN"/>
              </w:rPr>
              <w:t>(</w:t>
            </w:r>
            <w:r>
              <w:rPr>
                <w:rFonts w:hint="eastAsia" w:ascii="仿宋" w:hAnsi="仿宋" w:eastAsia="仿宋" w:cs="仿宋"/>
                <w:bCs/>
                <w:color w:val="auto"/>
                <w:sz w:val="24"/>
                <w:szCs w:val="24"/>
                <w:highlight w:val="none"/>
              </w:rPr>
              <w:t>节能、环保) （满分</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分）</w:t>
            </w:r>
          </w:p>
        </w:tc>
        <w:tc>
          <w:tcPr>
            <w:tcW w:w="6896" w:type="dxa"/>
            <w:noWrap w:val="0"/>
            <w:vAlign w:val="center"/>
          </w:tcPr>
          <w:p w14:paraId="224065C5">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1.节能产品分（2分）：属于财政部《节能产品政府采购品目清单》内优先采购（清单内未标注“★ ”的品目）的产品（投标文件中提供国家确定的认证机构出具的有效期之内的认证证书复印件，并加盖单位公章），得1分。</w:t>
            </w:r>
          </w:p>
          <w:p w14:paraId="15790DE5">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b w:val="0"/>
                <w:bCs/>
                <w:color w:val="auto"/>
                <w:sz w:val="24"/>
                <w:szCs w:val="24"/>
                <w:highlight w:val="none"/>
                <w:lang w:val="en-US" w:eastAsia="zh-CN"/>
              </w:rPr>
              <w:t>2.环境标志产品分（1分）：属于财政部《环境标志产品政府采购品目清单》内的产品（投标文件中提供国家确定的认证机构出具的有效期之内的认证证书复印件，并加盖单位公章），得1分。</w:t>
            </w:r>
          </w:p>
        </w:tc>
      </w:tr>
      <w:tr w14:paraId="298A7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jc w:val="center"/>
        </w:trPr>
        <w:tc>
          <w:tcPr>
            <w:tcW w:w="669" w:type="dxa"/>
            <w:vMerge w:val="continue"/>
            <w:noWrap w:val="0"/>
            <w:vAlign w:val="center"/>
          </w:tcPr>
          <w:p w14:paraId="1935070B">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bCs/>
                <w:color w:val="auto"/>
                <w:sz w:val="24"/>
                <w:szCs w:val="24"/>
                <w:highlight w:val="none"/>
              </w:rPr>
            </w:pPr>
          </w:p>
        </w:tc>
        <w:tc>
          <w:tcPr>
            <w:tcW w:w="1305" w:type="dxa"/>
            <w:vMerge w:val="continue"/>
            <w:noWrap w:val="0"/>
            <w:vAlign w:val="center"/>
          </w:tcPr>
          <w:p w14:paraId="0703A55F">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bCs/>
                <w:color w:val="auto"/>
                <w:sz w:val="24"/>
                <w:szCs w:val="24"/>
                <w:highlight w:val="none"/>
              </w:rPr>
            </w:pPr>
          </w:p>
        </w:tc>
        <w:tc>
          <w:tcPr>
            <w:tcW w:w="1191" w:type="dxa"/>
            <w:noWrap w:val="0"/>
            <w:vAlign w:val="center"/>
          </w:tcPr>
          <w:p w14:paraId="7C67D183">
            <w:pPr>
              <w:keepNext w:val="0"/>
              <w:keepLines w:val="0"/>
              <w:pageBreakBefore w:val="0"/>
              <w:kinsoku/>
              <w:wordWrap/>
              <w:overflowPunct/>
              <w:topLinePunct w:val="0"/>
              <w:autoSpaceDE/>
              <w:autoSpaceDN/>
              <w:bidi w:val="0"/>
              <w:adjustRightInd/>
              <w:snapToGrid/>
              <w:spacing w:line="40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履约能力（满分</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分）</w:t>
            </w:r>
          </w:p>
        </w:tc>
        <w:tc>
          <w:tcPr>
            <w:tcW w:w="6896" w:type="dxa"/>
            <w:noWrap w:val="0"/>
            <w:vAlign w:val="center"/>
          </w:tcPr>
          <w:p w14:paraId="0A7475EE">
            <w:pPr>
              <w:pStyle w:val="148"/>
              <w:keepNext w:val="0"/>
              <w:keepLines w:val="0"/>
              <w:pageBreakBefore w:val="0"/>
              <w:kinsoku/>
              <w:wordWrap/>
              <w:overflowPunct/>
              <w:topLinePunct w:val="0"/>
              <w:autoSpaceDE/>
              <w:autoSpaceDN/>
              <w:bidi w:val="0"/>
              <w:adjustRightInd/>
              <w:snapToGrid/>
              <w:spacing w:line="400" w:lineRule="exact"/>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投标人或所投</w:t>
            </w:r>
            <w:r>
              <w:rPr>
                <w:rFonts w:hint="eastAsia" w:ascii="仿宋" w:hAnsi="仿宋" w:eastAsia="仿宋" w:cs="仿宋"/>
                <w:color w:val="auto"/>
                <w:sz w:val="24"/>
                <w:szCs w:val="24"/>
                <w:highlight w:val="none"/>
                <w:lang w:eastAsia="zh-CN"/>
              </w:rPr>
              <w:t>设备</w:t>
            </w:r>
            <w:r>
              <w:rPr>
                <w:rFonts w:hint="eastAsia" w:ascii="仿宋" w:hAnsi="仿宋" w:eastAsia="仿宋" w:cs="仿宋"/>
                <w:color w:val="auto"/>
                <w:sz w:val="24"/>
                <w:szCs w:val="24"/>
                <w:highlight w:val="none"/>
              </w:rPr>
              <w:t>生产厂家通过ISO13485医疗器械质量管理体系认证、ISO9001质量管理体系认证（投标文件中提供相关有效认证证书复印件，加盖</w:t>
            </w:r>
            <w:r>
              <w:rPr>
                <w:rFonts w:hint="eastAsia" w:ascii="仿宋" w:hAnsi="仿宋" w:eastAsia="仿宋" w:cs="仿宋"/>
                <w:b w:val="0"/>
                <w:bCs/>
                <w:color w:val="auto"/>
                <w:sz w:val="24"/>
                <w:szCs w:val="24"/>
                <w:highlight w:val="none"/>
                <w:lang w:val="en-US" w:eastAsia="zh-CN"/>
              </w:rPr>
              <w:t>单位公章</w:t>
            </w:r>
            <w:r>
              <w:rPr>
                <w:rFonts w:hint="eastAsia" w:ascii="仿宋" w:hAnsi="仿宋" w:eastAsia="仿宋" w:cs="仿宋"/>
                <w:color w:val="auto"/>
                <w:sz w:val="24"/>
                <w:szCs w:val="24"/>
                <w:highlight w:val="none"/>
              </w:rPr>
              <w:t>），每提供1项得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分，最多得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p>
        </w:tc>
      </w:tr>
    </w:tbl>
    <w:p w14:paraId="00921434">
      <w:pPr>
        <w:spacing w:line="360" w:lineRule="auto"/>
        <w:ind w:firstLine="482" w:firstLineChars="200"/>
        <w:rPr>
          <w:rFonts w:hint="eastAsia" w:ascii="仿宋" w:hAnsi="仿宋" w:eastAsia="仿宋" w:cs="仿宋"/>
          <w:b/>
          <w:bCs/>
          <w:color w:val="auto"/>
          <w:sz w:val="24"/>
          <w:szCs w:val="24"/>
          <w:highlight w:val="none"/>
        </w:rPr>
      </w:pPr>
    </w:p>
    <w:p w14:paraId="6042D1E0">
      <w:pP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注：</w:t>
      </w:r>
    </w:p>
    <w:p w14:paraId="16D2BFD8">
      <w:pPr>
        <w:spacing w:line="360" w:lineRule="auto"/>
        <w:ind w:firstLine="480" w:firstLineChars="200"/>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0D4290E">
      <w:pPr>
        <w:pStyle w:val="48"/>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非单一产品采购项目，多家投标人提供的核心产品品牌相同的，按前款规定处理。</w:t>
      </w:r>
    </w:p>
    <w:p w14:paraId="48FE3F92">
      <w:pPr>
        <w:pStyle w:val="49"/>
        <w:spacing w:line="360" w:lineRule="auto"/>
        <w:ind w:left="0" w:leftChars="0" w:firstLine="0" w:firstLineChars="0"/>
        <w:rPr>
          <w:rFonts w:hint="eastAsia" w:ascii="仿宋" w:hAnsi="仿宋" w:eastAsia="仿宋" w:cs="仿宋"/>
          <w:color w:val="auto"/>
          <w:sz w:val="24"/>
          <w:szCs w:val="24"/>
          <w:highlight w:val="none"/>
        </w:rPr>
      </w:pPr>
    </w:p>
    <w:p w14:paraId="6E3566E1">
      <w:pPr>
        <w:keepNext w:val="0"/>
        <w:keepLines w:val="0"/>
        <w:pageBreakBefore w:val="0"/>
        <w:widowControl w:val="0"/>
        <w:kinsoku/>
        <w:wordWrap/>
        <w:overflowPunct/>
        <w:topLinePunct w:val="0"/>
        <w:autoSpaceDE/>
        <w:autoSpaceDN/>
        <w:bidi w:val="0"/>
        <w:adjustRightInd/>
        <w:snapToGrid/>
        <w:spacing w:line="480" w:lineRule="exact"/>
        <w:ind w:firstLine="561"/>
        <w:textAlignment w:val="auto"/>
        <w:rPr>
          <w:rFonts w:hint="eastAsia" w:ascii="仿宋" w:hAnsi="仿宋" w:eastAsia="仿宋" w:cs="仿宋"/>
          <w:color w:val="auto"/>
          <w:sz w:val="24"/>
          <w:szCs w:val="24"/>
          <w:highlight w:val="none"/>
          <w:lang w:val="en-US" w:eastAsia="zh-CN"/>
        </w:rPr>
      </w:pPr>
    </w:p>
    <w:p w14:paraId="363D6C8D">
      <w:pP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br w:type="page"/>
      </w:r>
    </w:p>
    <w:p w14:paraId="77EA25DF">
      <w:pPr>
        <w:pStyle w:val="5"/>
        <w:keepNext w:val="0"/>
        <w:keepLines w:val="0"/>
        <w:spacing w:before="0" w:after="0" w:line="415" w:lineRule="auto"/>
        <w:jc w:val="cente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四、中标候选人推荐原则</w:t>
      </w:r>
    </w:p>
    <w:p w14:paraId="73B824FB">
      <w:pPr>
        <w:pStyle w:val="27"/>
        <w:spacing w:line="360" w:lineRule="auto"/>
        <w:contextualSpacing/>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（一）综合评分法</w:t>
      </w:r>
    </w:p>
    <w:p w14:paraId="25FA37F8">
      <w:pPr>
        <w:pStyle w:val="27"/>
        <w:spacing w:line="360" w:lineRule="auto"/>
        <w:ind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委员会将根据得分由高到低排列次序（得分相同时，以投标报价由低到高顺序排列；得分相同且投标报价相同的，按技术、商务得分高低顺序排列）并推荐三名中标候选供应商。招标采购人应当确定评审委员会推荐排名第一的中标候选人为中标人。排名第一的中标候选人放弃中标、因不可抗力提出不能履行合同，或者招标文件规定应当提交履约保证金而在规定的期限内未能提交的，招标采购人可以确定排名第二的中标候选人为中标人。排名第二的中标候选人因前款规定的同样原因不能签订合同的，招标采购人可以确定排名第三的中标候选人为中标人。</w:t>
      </w:r>
    </w:p>
    <w:p w14:paraId="0A1C125D">
      <w:pPr>
        <w:pStyle w:val="4"/>
        <w:keepNext w:val="0"/>
        <w:keepLines w:val="0"/>
        <w:spacing w:before="0" w:after="0" w:line="360" w:lineRule="auto"/>
        <w:jc w:val="center"/>
        <w:rPr>
          <w:rFonts w:hint="eastAsia" w:ascii="仿宋" w:hAnsi="仿宋" w:eastAsia="仿宋" w:cs="仿宋"/>
          <w:color w:val="auto"/>
          <w:sz w:val="44"/>
          <w:szCs w:val="44"/>
          <w:highlight w:val="none"/>
        </w:rPr>
      </w:pPr>
      <w:r>
        <w:rPr>
          <w:rFonts w:hint="eastAsia" w:ascii="仿宋" w:hAnsi="仿宋" w:eastAsia="仿宋" w:cs="仿宋"/>
          <w:color w:val="auto"/>
          <w:highlight w:val="none"/>
        </w:rPr>
        <w:br w:type="page"/>
      </w:r>
      <w:bookmarkStart w:id="168" w:name="_Toc74320804"/>
      <w:r>
        <w:rPr>
          <w:rFonts w:hint="eastAsia" w:ascii="仿宋" w:hAnsi="仿宋" w:eastAsia="仿宋" w:cs="仿宋"/>
          <w:color w:val="auto"/>
          <w:sz w:val="44"/>
          <w:szCs w:val="44"/>
          <w:highlight w:val="none"/>
        </w:rPr>
        <w:t>第五章  拟签订的合同文本</w:t>
      </w:r>
      <w:bookmarkEnd w:id="168"/>
    </w:p>
    <w:p w14:paraId="43F91D9F">
      <w:pPr>
        <w:spacing w:line="320" w:lineRule="atLeast"/>
        <w:jc w:val="center"/>
        <w:outlineLvl w:val="3"/>
        <w:rPr>
          <w:rFonts w:hint="eastAsia" w:ascii="仿宋" w:hAnsi="仿宋" w:eastAsia="仿宋" w:cs="仿宋"/>
          <w:b/>
          <w:bCs/>
          <w:color w:val="auto"/>
          <w:sz w:val="32"/>
          <w:szCs w:val="32"/>
          <w:highlight w:val="none"/>
        </w:rPr>
      </w:pPr>
      <w:bookmarkStart w:id="169" w:name="_Toc26520"/>
      <w:r>
        <w:rPr>
          <w:rFonts w:hint="eastAsia" w:ascii="仿宋" w:hAnsi="仿宋" w:eastAsia="仿宋" w:cs="仿宋"/>
          <w:b/>
          <w:bCs/>
          <w:color w:val="auto"/>
          <w:sz w:val="32"/>
          <w:szCs w:val="32"/>
          <w:highlight w:val="none"/>
        </w:rPr>
        <w:t>采购合同（合同主要条款及格式）</w:t>
      </w:r>
    </w:p>
    <w:p w14:paraId="2E5FFCBF">
      <w:pPr>
        <w:spacing w:line="400" w:lineRule="exact"/>
        <w:rPr>
          <w:rFonts w:hint="eastAsia" w:ascii="仿宋" w:hAnsi="仿宋" w:eastAsia="仿宋" w:cs="仿宋"/>
          <w:color w:val="auto"/>
          <w:highlight w:val="none"/>
        </w:rPr>
      </w:pPr>
    </w:p>
    <w:p w14:paraId="6628CA96">
      <w:pPr>
        <w:keepNext w:val="0"/>
        <w:keepLines w:val="0"/>
        <w:pageBreakBefore w:val="0"/>
        <w:kinsoku/>
        <w:wordWrap/>
        <w:overflowPunct/>
        <w:topLinePunct w:val="0"/>
        <w:autoSpaceDE/>
        <w:autoSpaceDN/>
        <w:bidi w:val="0"/>
        <w:adjustRightInd w:val="0"/>
        <w:spacing w:line="460" w:lineRule="exact"/>
        <w:ind w:left="1675" w:right="1470" w:hanging="2233" w:hangingChars="695"/>
        <w:textAlignment w:val="baseline"/>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32"/>
          <w:szCs w:val="32"/>
          <w:highlight w:val="none"/>
        </w:rPr>
        <w:t xml:space="preserve"> </w:t>
      </w:r>
      <w:r>
        <w:rPr>
          <w:rFonts w:hint="eastAsia" w:ascii="仿宋" w:hAnsi="仿宋" w:eastAsia="仿宋" w:cs="仿宋"/>
          <w:b/>
          <w:color w:val="auto"/>
          <w:kern w:val="0"/>
          <w:sz w:val="24"/>
          <w:szCs w:val="24"/>
          <w:highlight w:val="none"/>
        </w:rPr>
        <w:t xml:space="preserve"> </w:t>
      </w:r>
    </w:p>
    <w:p w14:paraId="244F9E05">
      <w:pPr>
        <w:keepNext w:val="0"/>
        <w:keepLines w:val="0"/>
        <w:pageBreakBefore w:val="0"/>
        <w:kinsoku/>
        <w:wordWrap/>
        <w:overflowPunct/>
        <w:topLinePunct w:val="0"/>
        <w:autoSpaceDE/>
        <w:autoSpaceDN/>
        <w:bidi w:val="0"/>
        <w:spacing w:before="120" w:after="120" w:line="460" w:lineRule="exact"/>
        <w:rPr>
          <w:rFonts w:hint="eastAsia" w:ascii="仿宋" w:hAnsi="仿宋" w:eastAsia="仿宋" w:cs="仿宋"/>
          <w:color w:val="auto"/>
          <w:sz w:val="24"/>
          <w:szCs w:val="24"/>
          <w:highlight w:val="none"/>
        </w:rPr>
      </w:pPr>
    </w:p>
    <w:p w14:paraId="3702E721">
      <w:pPr>
        <w:pStyle w:val="2"/>
        <w:keepNext w:val="0"/>
        <w:keepLines w:val="0"/>
        <w:pageBreakBefore w:val="0"/>
        <w:kinsoku/>
        <w:wordWrap/>
        <w:overflowPunct/>
        <w:topLinePunct w:val="0"/>
        <w:autoSpaceDE/>
        <w:autoSpaceDN/>
        <w:bidi w:val="0"/>
        <w:spacing w:line="460" w:lineRule="exact"/>
        <w:rPr>
          <w:rFonts w:hint="eastAsia" w:ascii="仿宋" w:hAnsi="仿宋" w:eastAsia="仿宋" w:cs="仿宋"/>
          <w:color w:val="auto"/>
          <w:sz w:val="24"/>
          <w:szCs w:val="24"/>
          <w:highlight w:val="none"/>
        </w:rPr>
      </w:pPr>
    </w:p>
    <w:p w14:paraId="0D47DE56">
      <w:pPr>
        <w:pStyle w:val="49"/>
        <w:keepNext w:val="0"/>
        <w:keepLines w:val="0"/>
        <w:pageBreakBefore w:val="0"/>
        <w:kinsoku/>
        <w:wordWrap/>
        <w:overflowPunct/>
        <w:topLinePunct w:val="0"/>
        <w:autoSpaceDE/>
        <w:autoSpaceDN/>
        <w:bidi w:val="0"/>
        <w:spacing w:line="460" w:lineRule="exact"/>
        <w:ind w:left="0" w:leftChars="0" w:firstLine="0" w:firstLineChars="0"/>
        <w:rPr>
          <w:rFonts w:hint="eastAsia" w:ascii="仿宋" w:hAnsi="仿宋" w:eastAsia="仿宋" w:cs="仿宋"/>
          <w:color w:val="auto"/>
          <w:sz w:val="24"/>
          <w:szCs w:val="24"/>
          <w:highlight w:val="none"/>
        </w:rPr>
      </w:pPr>
    </w:p>
    <w:p w14:paraId="6199DE40">
      <w:pPr>
        <w:pStyle w:val="49"/>
        <w:keepNext w:val="0"/>
        <w:keepLines w:val="0"/>
        <w:pageBreakBefore w:val="0"/>
        <w:kinsoku/>
        <w:wordWrap/>
        <w:overflowPunct/>
        <w:topLinePunct w:val="0"/>
        <w:autoSpaceDE/>
        <w:autoSpaceDN/>
        <w:bidi w:val="0"/>
        <w:spacing w:line="460" w:lineRule="exact"/>
        <w:rPr>
          <w:rFonts w:hint="eastAsia" w:ascii="仿宋" w:hAnsi="仿宋" w:eastAsia="仿宋" w:cs="仿宋"/>
          <w:color w:val="auto"/>
          <w:sz w:val="24"/>
          <w:szCs w:val="24"/>
          <w:highlight w:val="none"/>
        </w:rPr>
      </w:pPr>
    </w:p>
    <w:p w14:paraId="230CD8FE">
      <w:pPr>
        <w:pStyle w:val="2"/>
        <w:keepNext w:val="0"/>
        <w:keepLines w:val="0"/>
        <w:pageBreakBefore w:val="0"/>
        <w:kinsoku/>
        <w:wordWrap/>
        <w:overflowPunct/>
        <w:topLinePunct w:val="0"/>
        <w:autoSpaceDE/>
        <w:autoSpaceDN/>
        <w:bidi w:val="0"/>
        <w:spacing w:before="120" w:line="460" w:lineRule="exact"/>
        <w:rPr>
          <w:rFonts w:hint="eastAsia" w:ascii="仿宋" w:hAnsi="仿宋" w:eastAsia="仿宋" w:cs="仿宋"/>
          <w:color w:val="auto"/>
          <w:sz w:val="32"/>
          <w:szCs w:val="32"/>
          <w:highlight w:val="none"/>
        </w:rPr>
      </w:pPr>
    </w:p>
    <w:bookmarkEnd w:id="23"/>
    <w:bookmarkEnd w:id="169"/>
    <w:p w14:paraId="3871A8CA">
      <w:pPr>
        <w:pStyle w:val="5"/>
        <w:spacing w:line="240" w:lineRule="auto"/>
        <w:ind w:firstLine="321" w:firstLineChars="100"/>
        <w:rPr>
          <w:rFonts w:hint="eastAsia" w:ascii="仿宋" w:hAnsi="仿宋" w:eastAsia="仿宋" w:cs="仿宋"/>
          <w:color w:val="auto"/>
          <w:highlight w:val="none"/>
          <w:lang w:val="en-US"/>
        </w:rPr>
      </w:pPr>
      <w:bookmarkStart w:id="170" w:name="_Toc25663"/>
      <w:bookmarkStart w:id="171" w:name="_Toc74320805"/>
    </w:p>
    <w:p w14:paraId="2B007622">
      <w:pPr>
        <w:rPr>
          <w:rFonts w:hint="eastAsia" w:ascii="仿宋" w:hAnsi="仿宋" w:eastAsia="仿宋" w:cs="仿宋"/>
          <w:color w:val="auto"/>
          <w:highlight w:val="none"/>
        </w:rPr>
      </w:pPr>
    </w:p>
    <w:p w14:paraId="5D6E38CD">
      <w:pPr>
        <w:rPr>
          <w:rFonts w:hint="eastAsia" w:ascii="仿宋" w:hAnsi="仿宋" w:eastAsia="仿宋" w:cs="仿宋"/>
          <w:color w:val="auto"/>
          <w:highlight w:val="none"/>
        </w:rPr>
      </w:pPr>
    </w:p>
    <w:p w14:paraId="5D547B39">
      <w:pPr>
        <w:jc w:val="left"/>
        <w:rPr>
          <w:rFonts w:hint="eastAsia" w:ascii="仿宋" w:hAnsi="仿宋" w:eastAsia="仿宋" w:cs="仿宋"/>
          <w:color w:val="auto"/>
          <w:highlight w:val="none"/>
        </w:rPr>
      </w:pPr>
    </w:p>
    <w:p w14:paraId="3DD21A03">
      <w:pPr>
        <w:jc w:val="center"/>
        <w:rPr>
          <w:rFonts w:hint="eastAsia" w:ascii="仿宋" w:hAnsi="仿宋" w:eastAsia="仿宋" w:cs="仿宋"/>
          <w:color w:val="auto"/>
          <w:sz w:val="56"/>
          <w:highlight w:val="none"/>
        </w:rPr>
      </w:pPr>
    </w:p>
    <w:p w14:paraId="61DBC6DF">
      <w:pPr>
        <w:jc w:val="center"/>
        <w:rPr>
          <w:rFonts w:hint="eastAsia" w:ascii="仿宋" w:hAnsi="仿宋" w:eastAsia="仿宋" w:cs="仿宋"/>
          <w:color w:val="auto"/>
          <w:sz w:val="56"/>
          <w:highlight w:val="none"/>
        </w:rPr>
      </w:pPr>
    </w:p>
    <w:p w14:paraId="028B2B43">
      <w:pPr>
        <w:rPr>
          <w:rFonts w:hint="eastAsia" w:ascii="仿宋" w:hAnsi="仿宋" w:eastAsia="仿宋" w:cs="仿宋"/>
          <w:color w:val="auto"/>
          <w:highlight w:val="none"/>
        </w:rPr>
      </w:pPr>
    </w:p>
    <w:p w14:paraId="616BF6A1">
      <w:pPr>
        <w:rPr>
          <w:rFonts w:hint="eastAsia" w:ascii="仿宋" w:hAnsi="仿宋" w:eastAsia="仿宋" w:cs="仿宋"/>
          <w:color w:val="auto"/>
          <w:highlight w:val="none"/>
        </w:rPr>
      </w:pPr>
    </w:p>
    <w:p w14:paraId="029E0659">
      <w:pPr>
        <w:jc w:val="center"/>
        <w:rPr>
          <w:rFonts w:hint="eastAsia" w:ascii="仿宋" w:hAnsi="仿宋" w:eastAsia="仿宋" w:cs="仿宋"/>
          <w:color w:val="auto"/>
          <w:sz w:val="56"/>
          <w:highlight w:val="none"/>
        </w:rPr>
      </w:pPr>
    </w:p>
    <w:p w14:paraId="4429C6C0">
      <w:pPr>
        <w:rPr>
          <w:rFonts w:hint="eastAsia" w:ascii="仿宋" w:hAnsi="仿宋" w:eastAsia="仿宋" w:cs="仿宋"/>
          <w:color w:val="auto"/>
          <w:sz w:val="56"/>
          <w:highlight w:val="none"/>
        </w:rPr>
      </w:pPr>
      <w:r>
        <w:rPr>
          <w:rFonts w:hint="eastAsia" w:ascii="仿宋" w:hAnsi="仿宋" w:eastAsia="仿宋" w:cs="仿宋"/>
          <w:color w:val="auto"/>
          <w:sz w:val="56"/>
          <w:highlight w:val="none"/>
        </w:rPr>
        <w:br w:type="page"/>
      </w:r>
    </w:p>
    <w:p w14:paraId="184F55D5">
      <w:pPr>
        <w:jc w:val="center"/>
        <w:rPr>
          <w:rFonts w:hint="eastAsia" w:ascii="仿宋" w:hAnsi="仿宋" w:eastAsia="仿宋" w:cs="仿宋"/>
          <w:color w:val="auto"/>
          <w:sz w:val="56"/>
          <w:highlight w:val="none"/>
        </w:rPr>
      </w:pPr>
      <w:r>
        <w:rPr>
          <w:rFonts w:hint="eastAsia" w:ascii="仿宋" w:hAnsi="仿宋" w:eastAsia="仿宋" w:cs="仿宋"/>
          <w:color w:val="auto"/>
          <w:sz w:val="56"/>
          <w:highlight w:val="none"/>
        </w:rPr>
        <w:t>医疗设备购销合同</w:t>
      </w:r>
    </w:p>
    <w:p w14:paraId="4DB99078">
      <w:pPr>
        <w:jc w:val="center"/>
        <w:rPr>
          <w:rFonts w:hint="eastAsia" w:ascii="仿宋" w:hAnsi="仿宋" w:eastAsia="仿宋" w:cs="仿宋"/>
          <w:b/>
          <w:bCs/>
          <w:color w:val="auto"/>
          <w:sz w:val="56"/>
          <w:highlight w:val="none"/>
        </w:rPr>
      </w:pPr>
    </w:p>
    <w:p w14:paraId="3362274F">
      <w:pPr>
        <w:jc w:val="center"/>
        <w:rPr>
          <w:rFonts w:hint="eastAsia" w:ascii="仿宋" w:hAnsi="仿宋" w:eastAsia="仿宋" w:cs="仿宋"/>
          <w:b/>
          <w:bCs/>
          <w:color w:val="auto"/>
          <w:sz w:val="24"/>
          <w:highlight w:val="none"/>
        </w:rPr>
      </w:pPr>
    </w:p>
    <w:p w14:paraId="4CA63957">
      <w:pPr>
        <w:jc w:val="center"/>
        <w:rPr>
          <w:rFonts w:hint="eastAsia" w:ascii="仿宋" w:hAnsi="仿宋" w:eastAsia="仿宋" w:cs="仿宋"/>
          <w:b/>
          <w:bCs/>
          <w:color w:val="auto"/>
          <w:sz w:val="24"/>
          <w:highlight w:val="none"/>
        </w:rPr>
      </w:pPr>
    </w:p>
    <w:p w14:paraId="7975C329">
      <w:pPr>
        <w:jc w:val="center"/>
        <w:rPr>
          <w:rFonts w:hint="eastAsia" w:ascii="仿宋" w:hAnsi="仿宋" w:eastAsia="仿宋" w:cs="仿宋"/>
          <w:b/>
          <w:bCs/>
          <w:color w:val="auto"/>
          <w:sz w:val="24"/>
          <w:highlight w:val="none"/>
        </w:rPr>
      </w:pPr>
    </w:p>
    <w:p w14:paraId="2F51DEA0">
      <w:pPr>
        <w:jc w:val="center"/>
        <w:rPr>
          <w:rFonts w:hint="eastAsia" w:ascii="仿宋" w:hAnsi="仿宋" w:eastAsia="仿宋" w:cs="仿宋"/>
          <w:b/>
          <w:bCs/>
          <w:color w:val="auto"/>
          <w:sz w:val="24"/>
          <w:highlight w:val="none"/>
        </w:rPr>
      </w:pPr>
    </w:p>
    <w:p w14:paraId="6B460A39">
      <w:pPr>
        <w:jc w:val="center"/>
        <w:rPr>
          <w:rFonts w:hint="eastAsia" w:ascii="仿宋" w:hAnsi="仿宋" w:eastAsia="仿宋" w:cs="仿宋"/>
          <w:b/>
          <w:bCs/>
          <w:color w:val="auto"/>
          <w:sz w:val="24"/>
          <w:highlight w:val="none"/>
        </w:rPr>
      </w:pPr>
    </w:p>
    <w:p w14:paraId="68CC8E52">
      <w:pPr>
        <w:jc w:val="center"/>
        <w:rPr>
          <w:rFonts w:hint="eastAsia" w:ascii="仿宋" w:hAnsi="仿宋" w:eastAsia="仿宋" w:cs="仿宋"/>
          <w:b/>
          <w:bCs/>
          <w:color w:val="auto"/>
          <w:sz w:val="36"/>
          <w:highlight w:val="none"/>
        </w:rPr>
      </w:pPr>
    </w:p>
    <w:p w14:paraId="0558CC79">
      <w:pPr>
        <w:jc w:val="center"/>
        <w:rPr>
          <w:rFonts w:hint="eastAsia" w:ascii="仿宋" w:hAnsi="仿宋" w:eastAsia="仿宋" w:cs="仿宋"/>
          <w:b/>
          <w:bCs/>
          <w:color w:val="auto"/>
          <w:sz w:val="36"/>
          <w:highlight w:val="none"/>
        </w:rPr>
      </w:pPr>
    </w:p>
    <w:p w14:paraId="6AF28FCB">
      <w:pPr>
        <w:rPr>
          <w:rFonts w:hint="eastAsia" w:ascii="仿宋" w:hAnsi="仿宋" w:eastAsia="仿宋" w:cs="仿宋"/>
          <w:color w:val="auto"/>
          <w:highlight w:val="none"/>
        </w:rPr>
      </w:pPr>
    </w:p>
    <w:p w14:paraId="3CCF45C5">
      <w:pPr>
        <w:spacing w:line="700" w:lineRule="exact"/>
        <w:ind w:firstLine="1807" w:firstLineChars="500"/>
        <w:jc w:val="left"/>
        <w:rPr>
          <w:rFonts w:hint="eastAsia" w:ascii="仿宋" w:hAnsi="仿宋" w:eastAsia="仿宋" w:cs="仿宋"/>
          <w:b/>
          <w:bCs/>
          <w:color w:val="auto"/>
          <w:sz w:val="36"/>
          <w:highlight w:val="none"/>
        </w:rPr>
      </w:pPr>
      <w:r>
        <w:rPr>
          <w:rFonts w:hint="eastAsia" w:ascii="仿宋" w:hAnsi="仿宋" w:eastAsia="仿宋" w:cs="仿宋"/>
          <w:b/>
          <w:bCs/>
          <w:color w:val="auto"/>
          <w:sz w:val="36"/>
          <w:highlight w:val="none"/>
        </w:rPr>
        <w:t xml:space="preserve">甲方： </w:t>
      </w:r>
    </w:p>
    <w:p w14:paraId="1ED93A3E">
      <w:pPr>
        <w:spacing w:line="700" w:lineRule="exact"/>
        <w:ind w:firstLine="1807" w:firstLineChars="500"/>
        <w:jc w:val="left"/>
        <w:rPr>
          <w:rFonts w:hint="eastAsia" w:ascii="仿宋" w:hAnsi="仿宋" w:eastAsia="仿宋" w:cs="仿宋"/>
          <w:b/>
          <w:bCs/>
          <w:color w:val="auto"/>
          <w:sz w:val="36"/>
          <w:highlight w:val="none"/>
          <w:u w:val="single"/>
        </w:rPr>
      </w:pPr>
      <w:r>
        <w:rPr>
          <w:rFonts w:hint="eastAsia" w:ascii="仿宋" w:hAnsi="仿宋" w:eastAsia="仿宋" w:cs="仿宋"/>
          <w:b/>
          <w:bCs/>
          <w:color w:val="auto"/>
          <w:sz w:val="36"/>
          <w:highlight w:val="none"/>
        </w:rPr>
        <w:t>乙方：</w:t>
      </w:r>
    </w:p>
    <w:p w14:paraId="04E8DF4B">
      <w:pPr>
        <w:spacing w:line="360" w:lineRule="auto"/>
        <w:ind w:firstLine="1807" w:firstLineChars="500"/>
        <w:jc w:val="left"/>
        <w:rPr>
          <w:rFonts w:hint="eastAsia" w:ascii="仿宋" w:hAnsi="仿宋" w:eastAsia="仿宋" w:cs="仿宋"/>
          <w:b/>
          <w:bCs/>
          <w:color w:val="auto"/>
          <w:sz w:val="36"/>
          <w:highlight w:val="none"/>
        </w:rPr>
      </w:pPr>
    </w:p>
    <w:p w14:paraId="32E97CB3">
      <w:pPr>
        <w:spacing w:line="360" w:lineRule="auto"/>
        <w:ind w:firstLine="1807" w:firstLineChars="500"/>
        <w:jc w:val="left"/>
        <w:rPr>
          <w:rFonts w:hint="eastAsia" w:ascii="仿宋" w:hAnsi="仿宋" w:eastAsia="仿宋" w:cs="仿宋"/>
          <w:b/>
          <w:bCs/>
          <w:color w:val="auto"/>
          <w:sz w:val="36"/>
          <w:highlight w:val="none"/>
        </w:rPr>
      </w:pPr>
    </w:p>
    <w:p w14:paraId="2C80085A">
      <w:pPr>
        <w:spacing w:line="360" w:lineRule="auto"/>
        <w:ind w:firstLine="1807" w:firstLineChars="500"/>
        <w:jc w:val="left"/>
        <w:rPr>
          <w:rFonts w:hint="eastAsia" w:ascii="仿宋" w:hAnsi="仿宋" w:eastAsia="仿宋" w:cs="仿宋"/>
          <w:b/>
          <w:bCs/>
          <w:color w:val="auto"/>
          <w:sz w:val="36"/>
          <w:highlight w:val="none"/>
        </w:rPr>
      </w:pPr>
    </w:p>
    <w:p w14:paraId="6B41BC8E">
      <w:pPr>
        <w:snapToGrid w:val="0"/>
        <w:spacing w:line="360" w:lineRule="auto"/>
        <w:jc w:val="center"/>
        <w:rPr>
          <w:rFonts w:hint="eastAsia" w:ascii="仿宋" w:hAnsi="仿宋" w:eastAsia="仿宋" w:cs="仿宋"/>
          <w:b/>
          <w:bCs/>
          <w:color w:val="auto"/>
          <w:sz w:val="36"/>
          <w:highlight w:val="none"/>
        </w:rPr>
      </w:pPr>
      <w:r>
        <w:rPr>
          <w:rFonts w:hint="eastAsia" w:ascii="仿宋" w:hAnsi="仿宋" w:eastAsia="仿宋" w:cs="仿宋"/>
          <w:b/>
          <w:bCs/>
          <w:color w:val="auto"/>
          <w:sz w:val="36"/>
          <w:highlight w:val="none"/>
        </w:rPr>
        <w:t>日    期：     年   月   日</w:t>
      </w:r>
    </w:p>
    <w:p w14:paraId="6BB2CC77">
      <w:pPr>
        <w:pStyle w:val="2"/>
        <w:rPr>
          <w:rFonts w:hint="eastAsia" w:ascii="仿宋" w:hAnsi="仿宋" w:eastAsia="仿宋" w:cs="仿宋"/>
          <w:color w:val="auto"/>
          <w:highlight w:val="none"/>
        </w:rPr>
      </w:pPr>
    </w:p>
    <w:p w14:paraId="5B3F1E6F">
      <w:pPr>
        <w:snapToGrid w:val="0"/>
        <w:jc w:val="center"/>
        <w:rPr>
          <w:rFonts w:hint="eastAsia" w:ascii="仿宋" w:hAnsi="仿宋" w:eastAsia="仿宋" w:cs="仿宋"/>
          <w:bCs/>
          <w:color w:val="auto"/>
          <w:sz w:val="32"/>
          <w:szCs w:val="32"/>
          <w:highlight w:val="none"/>
        </w:rPr>
      </w:pPr>
    </w:p>
    <w:p w14:paraId="553F32DF">
      <w:pPr>
        <w:snapToGrid w:val="0"/>
        <w:spacing w:line="360" w:lineRule="auto"/>
        <w:jc w:val="center"/>
        <w:rPr>
          <w:rFonts w:hint="eastAsia" w:ascii="仿宋" w:hAnsi="仿宋" w:eastAsia="仿宋" w:cs="仿宋"/>
          <w:b/>
          <w:bCs/>
          <w:color w:val="auto"/>
          <w:sz w:val="36"/>
          <w:szCs w:val="44"/>
          <w:highlight w:val="none"/>
        </w:rPr>
      </w:pPr>
    </w:p>
    <w:p w14:paraId="728044CC">
      <w:pPr>
        <w:snapToGrid w:val="0"/>
        <w:ind w:right="480" w:firstLine="723" w:firstLineChars="200"/>
        <w:jc w:val="center"/>
        <w:rPr>
          <w:rFonts w:hint="eastAsia" w:ascii="仿宋" w:hAnsi="仿宋" w:eastAsia="仿宋" w:cs="仿宋"/>
          <w:b/>
          <w:bCs/>
          <w:color w:val="auto"/>
          <w:sz w:val="36"/>
          <w:szCs w:val="36"/>
          <w:highlight w:val="none"/>
        </w:rPr>
      </w:pPr>
    </w:p>
    <w:bookmarkEnd w:id="170"/>
    <w:p w14:paraId="77B37E58">
      <w:pP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br w:type="page"/>
      </w:r>
    </w:p>
    <w:p w14:paraId="13100515">
      <w:pPr>
        <w:widowControl w:val="0"/>
        <w:kinsoku/>
        <w:autoSpaceDE/>
        <w:autoSpaceDN/>
        <w:adjustRightInd/>
        <w:snapToGrid w:val="0"/>
        <w:spacing w:line="360" w:lineRule="auto"/>
        <w:ind w:right="48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采购合同（合同主要条款及格式）</w:t>
      </w:r>
    </w:p>
    <w:p w14:paraId="2C3DC564">
      <w:pPr>
        <w:widowControl w:val="0"/>
        <w:kinsoku/>
        <w:autoSpaceDE/>
        <w:autoSpaceDN/>
        <w:adjustRightInd/>
        <w:snapToGrid w:val="0"/>
        <w:spacing w:line="360" w:lineRule="auto"/>
        <w:ind w:right="480"/>
        <w:jc w:val="center"/>
        <w:textAlignment w:val="auto"/>
        <w:rPr>
          <w:rFonts w:hint="eastAsia" w:ascii="仿宋" w:hAnsi="仿宋" w:eastAsia="仿宋" w:cs="仿宋"/>
          <w:b/>
          <w:bCs/>
          <w:color w:val="auto"/>
          <w:sz w:val="24"/>
          <w:szCs w:val="24"/>
          <w:highlight w:val="none"/>
          <w:lang w:eastAsia="zh-CN"/>
        </w:rPr>
      </w:pPr>
    </w:p>
    <w:p w14:paraId="6C6FD71D">
      <w:pPr>
        <w:widowControl w:val="0"/>
        <w:kinsoku/>
        <w:autoSpaceDE/>
        <w:autoSpaceDN/>
        <w:adjustRightInd/>
        <w:snapToGrid w:val="0"/>
        <w:spacing w:line="360" w:lineRule="auto"/>
        <w:ind w:right="480"/>
        <w:jc w:val="both"/>
        <w:textAlignment w:val="auto"/>
        <w:rPr>
          <w:rFonts w:hint="eastAsia" w:ascii="仿宋" w:hAnsi="仿宋" w:eastAsia="仿宋" w:cs="仿宋"/>
          <w:bCs/>
          <w:color w:val="auto"/>
          <w:kern w:val="2"/>
          <w:sz w:val="24"/>
          <w:szCs w:val="24"/>
          <w:highlight w:val="none"/>
          <w:u w:val="single"/>
          <w:lang w:eastAsia="zh-CN"/>
        </w:rPr>
      </w:pPr>
      <w:r>
        <w:rPr>
          <w:rFonts w:hint="eastAsia" w:ascii="仿宋" w:hAnsi="仿宋" w:eastAsia="仿宋" w:cs="仿宋"/>
          <w:color w:val="auto"/>
          <w:kern w:val="2"/>
          <w:sz w:val="24"/>
          <w:szCs w:val="24"/>
          <w:highlight w:val="none"/>
          <w:lang w:eastAsia="zh-CN"/>
        </w:rPr>
        <w:t>采购人（甲方）：广西壮族自治区南溪山医院（广西壮族自治区第二人民医院）</w:t>
      </w:r>
    </w:p>
    <w:p w14:paraId="75A86640">
      <w:pPr>
        <w:widowControl w:val="0"/>
        <w:kinsoku/>
        <w:autoSpaceDE/>
        <w:autoSpaceDN/>
        <w:adjustRightInd/>
        <w:snapToGrid w:val="0"/>
        <w:spacing w:line="360" w:lineRule="auto"/>
        <w:jc w:val="both"/>
        <w:textAlignment w:val="auto"/>
        <w:rPr>
          <w:rFonts w:hint="eastAsia" w:ascii="仿宋" w:hAnsi="仿宋" w:eastAsia="仿宋" w:cs="仿宋"/>
          <w:color w:val="auto"/>
          <w:kern w:val="2"/>
          <w:sz w:val="24"/>
          <w:szCs w:val="24"/>
          <w:highlight w:val="none"/>
          <w:u w:val="single"/>
          <w:lang w:eastAsia="zh-CN"/>
        </w:rPr>
      </w:pPr>
      <w:r>
        <w:rPr>
          <w:rFonts w:hint="eastAsia" w:ascii="仿宋" w:hAnsi="仿宋" w:eastAsia="仿宋" w:cs="仿宋"/>
          <w:color w:val="auto"/>
          <w:kern w:val="2"/>
          <w:sz w:val="24"/>
          <w:szCs w:val="24"/>
          <w:highlight w:val="none"/>
          <w:lang w:eastAsia="zh-CN"/>
        </w:rPr>
        <w:t>供应商（乙方）：</w:t>
      </w:r>
      <w:r>
        <w:rPr>
          <w:rFonts w:hint="eastAsia" w:ascii="仿宋" w:hAnsi="仿宋" w:eastAsia="仿宋" w:cs="仿宋"/>
          <w:color w:val="auto"/>
          <w:kern w:val="2"/>
          <w:sz w:val="24"/>
          <w:szCs w:val="24"/>
          <w:highlight w:val="none"/>
          <w:u w:val="single"/>
          <w:lang w:eastAsia="zh-CN"/>
        </w:rPr>
        <w:t xml:space="preserve">                         </w:t>
      </w:r>
    </w:p>
    <w:p w14:paraId="58C22128">
      <w:pPr>
        <w:widowControl w:val="0"/>
        <w:kinsoku/>
        <w:autoSpaceDE/>
        <w:autoSpaceDN/>
        <w:adjustRightInd/>
        <w:snapToGrid w:val="0"/>
        <w:spacing w:line="360" w:lineRule="auto"/>
        <w:jc w:val="both"/>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lang w:eastAsia="zh-CN"/>
        </w:rPr>
        <w:t>采购计划文号：</w:t>
      </w:r>
    </w:p>
    <w:p w14:paraId="2B15A7DB">
      <w:pPr>
        <w:widowControl w:val="0"/>
        <w:kinsoku/>
        <w:autoSpaceDE/>
        <w:autoSpaceDN/>
        <w:adjustRightInd/>
        <w:snapToGrid w:val="0"/>
        <w:spacing w:line="360" w:lineRule="auto"/>
        <w:jc w:val="both"/>
        <w:textAlignment w:val="auto"/>
        <w:rPr>
          <w:rFonts w:hint="eastAsia" w:ascii="仿宋" w:hAnsi="仿宋" w:eastAsia="仿宋" w:cs="仿宋"/>
          <w:color w:val="auto"/>
          <w:kern w:val="2"/>
          <w:sz w:val="24"/>
          <w:szCs w:val="24"/>
          <w:highlight w:val="none"/>
          <w:u w:val="single"/>
          <w:lang w:eastAsia="zh-CN"/>
        </w:rPr>
      </w:pPr>
      <w:r>
        <w:rPr>
          <w:rFonts w:hint="eastAsia" w:ascii="仿宋" w:hAnsi="仿宋" w:eastAsia="仿宋" w:cs="仿宋"/>
          <w:color w:val="auto"/>
          <w:kern w:val="2"/>
          <w:sz w:val="24"/>
          <w:szCs w:val="24"/>
          <w:highlight w:val="none"/>
          <w:lang w:eastAsia="zh-CN"/>
        </w:rPr>
        <w:t>项目名称：</w:t>
      </w:r>
      <w:r>
        <w:rPr>
          <w:rFonts w:hint="eastAsia" w:ascii="仿宋" w:hAnsi="仿宋" w:eastAsia="仿宋" w:cs="仿宋"/>
          <w:color w:val="auto"/>
          <w:kern w:val="2"/>
          <w:sz w:val="24"/>
          <w:szCs w:val="24"/>
          <w:highlight w:val="none"/>
          <w:u w:val="single"/>
          <w:lang w:eastAsia="zh-CN"/>
        </w:rPr>
        <w:t xml:space="preserve">                           </w:t>
      </w:r>
      <w:r>
        <w:rPr>
          <w:rFonts w:hint="eastAsia" w:ascii="仿宋" w:hAnsi="仿宋" w:eastAsia="仿宋" w:cs="仿宋"/>
          <w:color w:val="auto"/>
          <w:kern w:val="2"/>
          <w:sz w:val="24"/>
          <w:szCs w:val="24"/>
          <w:highlight w:val="none"/>
          <w:lang w:eastAsia="zh-CN"/>
        </w:rPr>
        <w:t>项目编号：</w:t>
      </w:r>
      <w:r>
        <w:rPr>
          <w:rFonts w:hint="eastAsia" w:ascii="仿宋" w:hAnsi="仿宋" w:eastAsia="仿宋" w:cs="仿宋"/>
          <w:color w:val="auto"/>
          <w:kern w:val="2"/>
          <w:sz w:val="24"/>
          <w:szCs w:val="24"/>
          <w:highlight w:val="none"/>
          <w:u w:val="single"/>
          <w:lang w:eastAsia="zh-CN"/>
        </w:rPr>
        <w:t xml:space="preserve">                       </w:t>
      </w:r>
    </w:p>
    <w:p w14:paraId="24359061">
      <w:pPr>
        <w:widowControl w:val="0"/>
        <w:kinsoku/>
        <w:autoSpaceDE/>
        <w:autoSpaceDN/>
        <w:adjustRightInd/>
        <w:snapToGrid w:val="0"/>
        <w:spacing w:line="360" w:lineRule="auto"/>
        <w:jc w:val="both"/>
        <w:textAlignment w:val="auto"/>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lang w:eastAsia="zh-CN"/>
        </w:rPr>
        <w:t>合同类型：买卖合同</w:t>
      </w:r>
    </w:p>
    <w:p w14:paraId="7732C2DC">
      <w:pPr>
        <w:rPr>
          <w:rFonts w:hint="eastAsia" w:ascii="仿宋" w:hAnsi="仿宋" w:eastAsia="仿宋" w:cs="仿宋"/>
          <w:sz w:val="24"/>
          <w:szCs w:val="24"/>
          <w:highlight w:val="none"/>
        </w:rPr>
      </w:pPr>
      <w:r>
        <w:rPr>
          <w:rFonts w:hint="eastAsia" w:ascii="仿宋" w:hAnsi="仿宋" w:eastAsia="仿宋" w:cs="仿宋"/>
          <w:color w:val="auto"/>
          <w:kern w:val="2"/>
          <w:sz w:val="24"/>
          <w:szCs w:val="24"/>
          <w:highlight w:val="none"/>
          <w:lang w:eastAsia="zh-CN"/>
        </w:rPr>
        <w:t>签订地点：广西壮族自治区南溪山医院（广西壮族自治区第二人民医院）</w:t>
      </w:r>
    </w:p>
    <w:p w14:paraId="69CF02B0">
      <w:pPr>
        <w:pStyle w:val="27"/>
        <w:adjustRightInd w:val="0"/>
        <w:snapToGrid w:val="0"/>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根据《中华人民共和国政府采购法》、《政府采购货物和服务招标投标管理办法》、《中华人民共和国民法典》等法律法规规定，按照招标文件规定条款和乙方投标文件承诺，甲乙双方签订本合同。</w:t>
      </w:r>
    </w:p>
    <w:p w14:paraId="53D0D281">
      <w:pPr>
        <w:pStyle w:val="4"/>
        <w:bidi w:val="0"/>
        <w:ind w:firstLine="482" w:firstLineChars="200"/>
        <w:rPr>
          <w:rFonts w:hint="eastAsia" w:ascii="仿宋" w:hAnsi="仿宋" w:eastAsia="仿宋" w:cs="仿宋"/>
          <w:sz w:val="24"/>
          <w:szCs w:val="24"/>
          <w:highlight w:val="none"/>
          <w:lang w:eastAsia="zh-CN"/>
        </w:rPr>
      </w:pPr>
      <w:bookmarkStart w:id="172" w:name="_Toc30699"/>
      <w:r>
        <w:rPr>
          <w:rFonts w:hint="eastAsia" w:ascii="仿宋" w:hAnsi="仿宋" w:eastAsia="仿宋" w:cs="仿宋"/>
          <w:sz w:val="24"/>
          <w:szCs w:val="24"/>
          <w:highlight w:val="none"/>
        </w:rPr>
        <w:t>第一条　合同标的</w:t>
      </w:r>
      <w:bookmarkEnd w:id="172"/>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lang w:val="en-US" w:eastAsia="zh-CN"/>
        </w:rPr>
        <w:t>分标</w:t>
      </w:r>
      <w:r>
        <w:rPr>
          <w:rFonts w:hint="eastAsia" w:ascii="仿宋" w:hAnsi="仿宋" w:eastAsia="仿宋" w:cs="仿宋"/>
          <w:sz w:val="24"/>
          <w:szCs w:val="24"/>
          <w:highlight w:val="none"/>
          <w:lang w:eastAsia="zh-CN"/>
        </w:rPr>
        <w:t>）</w:t>
      </w:r>
    </w:p>
    <w:tbl>
      <w:tblPr>
        <w:tblStyle w:val="50"/>
        <w:tblW w:w="95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290"/>
        <w:gridCol w:w="1305"/>
        <w:gridCol w:w="1019"/>
        <w:gridCol w:w="801"/>
        <w:gridCol w:w="1060"/>
        <w:gridCol w:w="788"/>
        <w:gridCol w:w="662"/>
        <w:gridCol w:w="935"/>
        <w:gridCol w:w="1050"/>
      </w:tblGrid>
      <w:tr w14:paraId="21005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645" w:type="dxa"/>
            <w:noWrap w:val="0"/>
            <w:vAlign w:val="center"/>
          </w:tcPr>
          <w:p w14:paraId="0E462576">
            <w:pPr>
              <w:spacing w:line="36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序号</w:t>
            </w:r>
          </w:p>
        </w:tc>
        <w:tc>
          <w:tcPr>
            <w:tcW w:w="1290" w:type="dxa"/>
            <w:noWrap w:val="0"/>
            <w:vAlign w:val="center"/>
          </w:tcPr>
          <w:p w14:paraId="33FC7B77">
            <w:pPr>
              <w:spacing w:line="360" w:lineRule="exact"/>
              <w:jc w:val="center"/>
              <w:rPr>
                <w:rFonts w:hint="eastAsia" w:ascii="仿宋" w:hAnsi="仿宋" w:eastAsia="仿宋" w:cs="仿宋"/>
                <w:color w:val="000000"/>
                <w:kern w:val="0"/>
                <w:sz w:val="24"/>
                <w:szCs w:val="24"/>
                <w:highlight w:val="none"/>
                <w:lang w:bidi="ar"/>
              </w:rPr>
            </w:pPr>
            <w:r>
              <w:rPr>
                <w:rFonts w:hint="eastAsia" w:ascii="仿宋" w:hAnsi="仿宋" w:eastAsia="仿宋" w:cs="仿宋"/>
                <w:color w:val="000000"/>
                <w:kern w:val="0"/>
                <w:sz w:val="24"/>
                <w:szCs w:val="24"/>
                <w:highlight w:val="none"/>
                <w:lang w:bidi="ar"/>
              </w:rPr>
              <w:t>标的</w:t>
            </w:r>
          </w:p>
          <w:p w14:paraId="3B3396BF">
            <w:pPr>
              <w:spacing w:line="36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名称</w:t>
            </w:r>
          </w:p>
        </w:tc>
        <w:tc>
          <w:tcPr>
            <w:tcW w:w="1305" w:type="dxa"/>
            <w:noWrap w:val="0"/>
            <w:vAlign w:val="center"/>
          </w:tcPr>
          <w:p w14:paraId="5A1C3D3A">
            <w:pPr>
              <w:spacing w:line="360" w:lineRule="exact"/>
              <w:jc w:val="center"/>
              <w:rPr>
                <w:rFonts w:hint="eastAsia" w:ascii="仿宋" w:hAnsi="仿宋" w:eastAsia="仿宋" w:cs="仿宋"/>
                <w:color w:val="000000"/>
                <w:kern w:val="0"/>
                <w:sz w:val="24"/>
                <w:szCs w:val="24"/>
                <w:highlight w:val="none"/>
                <w:lang w:bidi="ar"/>
              </w:rPr>
            </w:pPr>
            <w:r>
              <w:rPr>
                <w:rFonts w:hint="eastAsia" w:ascii="仿宋" w:hAnsi="仿宋" w:eastAsia="仿宋" w:cs="仿宋"/>
                <w:color w:val="000000"/>
                <w:kern w:val="0"/>
                <w:sz w:val="24"/>
                <w:szCs w:val="24"/>
                <w:highlight w:val="none"/>
                <w:lang w:bidi="ar"/>
              </w:rPr>
              <w:t>产品</w:t>
            </w:r>
          </w:p>
          <w:p w14:paraId="0DD19E4E">
            <w:pPr>
              <w:spacing w:line="36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名称</w:t>
            </w:r>
          </w:p>
        </w:tc>
        <w:tc>
          <w:tcPr>
            <w:tcW w:w="1019" w:type="dxa"/>
            <w:noWrap w:val="0"/>
            <w:vAlign w:val="center"/>
          </w:tcPr>
          <w:p w14:paraId="36D7D973">
            <w:pPr>
              <w:spacing w:line="36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商标品牌</w:t>
            </w:r>
          </w:p>
        </w:tc>
        <w:tc>
          <w:tcPr>
            <w:tcW w:w="801" w:type="dxa"/>
            <w:noWrap w:val="0"/>
            <w:vAlign w:val="center"/>
          </w:tcPr>
          <w:p w14:paraId="36585535">
            <w:pPr>
              <w:spacing w:line="36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规格型号</w:t>
            </w:r>
          </w:p>
        </w:tc>
        <w:tc>
          <w:tcPr>
            <w:tcW w:w="1060" w:type="dxa"/>
            <w:noWrap w:val="0"/>
            <w:vAlign w:val="center"/>
          </w:tcPr>
          <w:p w14:paraId="115F414F">
            <w:pPr>
              <w:spacing w:line="36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生产</w:t>
            </w:r>
          </w:p>
          <w:p w14:paraId="38771618">
            <w:pPr>
              <w:spacing w:line="36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厂家</w:t>
            </w:r>
          </w:p>
        </w:tc>
        <w:tc>
          <w:tcPr>
            <w:tcW w:w="788" w:type="dxa"/>
            <w:noWrap w:val="0"/>
            <w:vAlign w:val="center"/>
          </w:tcPr>
          <w:p w14:paraId="709D9882">
            <w:pPr>
              <w:spacing w:line="36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数量</w:t>
            </w:r>
          </w:p>
        </w:tc>
        <w:tc>
          <w:tcPr>
            <w:tcW w:w="662" w:type="dxa"/>
            <w:noWrap w:val="0"/>
            <w:vAlign w:val="center"/>
          </w:tcPr>
          <w:p w14:paraId="2F7F58C8">
            <w:pPr>
              <w:spacing w:line="36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单位</w:t>
            </w:r>
          </w:p>
        </w:tc>
        <w:tc>
          <w:tcPr>
            <w:tcW w:w="935" w:type="dxa"/>
            <w:noWrap w:val="0"/>
            <w:vAlign w:val="center"/>
          </w:tcPr>
          <w:p w14:paraId="51616817">
            <w:pPr>
              <w:spacing w:line="36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单价(元)</w:t>
            </w:r>
          </w:p>
        </w:tc>
        <w:tc>
          <w:tcPr>
            <w:tcW w:w="1050" w:type="dxa"/>
            <w:noWrap w:val="0"/>
            <w:vAlign w:val="center"/>
          </w:tcPr>
          <w:p w14:paraId="48814131">
            <w:pPr>
              <w:spacing w:line="36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金额(元)</w:t>
            </w:r>
          </w:p>
        </w:tc>
      </w:tr>
      <w:tr w14:paraId="466BC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645" w:type="dxa"/>
            <w:noWrap w:val="0"/>
            <w:vAlign w:val="center"/>
          </w:tcPr>
          <w:p w14:paraId="272A5172">
            <w:pPr>
              <w:widowControl/>
              <w:adjustRightInd w:val="0"/>
              <w:snapToGrid w:val="0"/>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1</w:t>
            </w:r>
          </w:p>
        </w:tc>
        <w:tc>
          <w:tcPr>
            <w:tcW w:w="1290" w:type="dxa"/>
            <w:noWrap w:val="0"/>
            <w:vAlign w:val="center"/>
          </w:tcPr>
          <w:p w14:paraId="1BEFE8CD">
            <w:pPr>
              <w:rPr>
                <w:rFonts w:hint="eastAsia" w:ascii="仿宋" w:hAnsi="仿宋" w:eastAsia="仿宋" w:cs="仿宋"/>
                <w:color w:val="000000"/>
                <w:kern w:val="0"/>
                <w:sz w:val="24"/>
                <w:szCs w:val="24"/>
                <w:highlight w:val="none"/>
                <w:lang w:bidi="ar"/>
              </w:rPr>
            </w:pPr>
          </w:p>
        </w:tc>
        <w:tc>
          <w:tcPr>
            <w:tcW w:w="1305" w:type="dxa"/>
            <w:noWrap w:val="0"/>
            <w:vAlign w:val="center"/>
          </w:tcPr>
          <w:p w14:paraId="0FCC7C3F">
            <w:pPr>
              <w:rPr>
                <w:rFonts w:hint="eastAsia" w:ascii="仿宋" w:hAnsi="仿宋" w:eastAsia="仿宋" w:cs="仿宋"/>
                <w:color w:val="000000"/>
                <w:sz w:val="24"/>
                <w:szCs w:val="24"/>
                <w:highlight w:val="none"/>
              </w:rPr>
            </w:pPr>
          </w:p>
        </w:tc>
        <w:tc>
          <w:tcPr>
            <w:tcW w:w="1019" w:type="dxa"/>
            <w:noWrap w:val="0"/>
            <w:vAlign w:val="center"/>
          </w:tcPr>
          <w:p w14:paraId="1A51CF2F">
            <w:pPr>
              <w:rPr>
                <w:rFonts w:hint="eastAsia" w:ascii="仿宋" w:hAnsi="仿宋" w:eastAsia="仿宋" w:cs="仿宋"/>
                <w:color w:val="000000"/>
                <w:sz w:val="24"/>
                <w:szCs w:val="24"/>
                <w:highlight w:val="none"/>
              </w:rPr>
            </w:pPr>
          </w:p>
        </w:tc>
        <w:tc>
          <w:tcPr>
            <w:tcW w:w="801" w:type="dxa"/>
            <w:noWrap w:val="0"/>
            <w:vAlign w:val="center"/>
          </w:tcPr>
          <w:p w14:paraId="2968DA5E">
            <w:pPr>
              <w:rPr>
                <w:rFonts w:hint="eastAsia" w:ascii="仿宋" w:hAnsi="仿宋" w:eastAsia="仿宋" w:cs="仿宋"/>
                <w:color w:val="000000"/>
                <w:kern w:val="0"/>
                <w:sz w:val="24"/>
                <w:szCs w:val="24"/>
                <w:highlight w:val="none"/>
                <w:lang w:bidi="ar"/>
              </w:rPr>
            </w:pPr>
          </w:p>
        </w:tc>
        <w:tc>
          <w:tcPr>
            <w:tcW w:w="1060" w:type="dxa"/>
            <w:noWrap w:val="0"/>
            <w:vAlign w:val="center"/>
          </w:tcPr>
          <w:p w14:paraId="7FD5E378">
            <w:pPr>
              <w:rPr>
                <w:rFonts w:hint="eastAsia" w:ascii="仿宋" w:hAnsi="仿宋" w:eastAsia="仿宋" w:cs="仿宋"/>
                <w:color w:val="000000"/>
                <w:sz w:val="24"/>
                <w:szCs w:val="24"/>
                <w:highlight w:val="none"/>
              </w:rPr>
            </w:pPr>
          </w:p>
        </w:tc>
        <w:tc>
          <w:tcPr>
            <w:tcW w:w="788" w:type="dxa"/>
            <w:noWrap w:val="0"/>
            <w:vAlign w:val="center"/>
          </w:tcPr>
          <w:p w14:paraId="70F3A46B">
            <w:pPr>
              <w:widowControl/>
              <w:adjustRightInd w:val="0"/>
              <w:snapToGrid w:val="0"/>
              <w:rPr>
                <w:rFonts w:hint="eastAsia" w:ascii="仿宋" w:hAnsi="仿宋" w:eastAsia="仿宋" w:cs="仿宋"/>
                <w:color w:val="000000"/>
                <w:kern w:val="0"/>
                <w:sz w:val="24"/>
                <w:szCs w:val="24"/>
                <w:highlight w:val="none"/>
              </w:rPr>
            </w:pPr>
          </w:p>
        </w:tc>
        <w:tc>
          <w:tcPr>
            <w:tcW w:w="662" w:type="dxa"/>
            <w:noWrap w:val="0"/>
            <w:vAlign w:val="center"/>
          </w:tcPr>
          <w:p w14:paraId="310F2C14">
            <w:pPr>
              <w:widowControl/>
              <w:adjustRightInd w:val="0"/>
              <w:snapToGrid w:val="0"/>
              <w:rPr>
                <w:rFonts w:hint="eastAsia" w:ascii="仿宋" w:hAnsi="仿宋" w:eastAsia="仿宋" w:cs="仿宋"/>
                <w:color w:val="000000"/>
                <w:kern w:val="0"/>
                <w:sz w:val="24"/>
                <w:szCs w:val="24"/>
                <w:highlight w:val="none"/>
              </w:rPr>
            </w:pPr>
          </w:p>
        </w:tc>
        <w:tc>
          <w:tcPr>
            <w:tcW w:w="935" w:type="dxa"/>
            <w:noWrap w:val="0"/>
            <w:vAlign w:val="center"/>
          </w:tcPr>
          <w:p w14:paraId="6FE0B24E">
            <w:pPr>
              <w:rPr>
                <w:rFonts w:hint="eastAsia" w:ascii="仿宋" w:hAnsi="仿宋" w:eastAsia="仿宋" w:cs="仿宋"/>
                <w:color w:val="000000"/>
                <w:sz w:val="24"/>
                <w:szCs w:val="24"/>
                <w:highlight w:val="none"/>
              </w:rPr>
            </w:pPr>
          </w:p>
        </w:tc>
        <w:tc>
          <w:tcPr>
            <w:tcW w:w="1050" w:type="dxa"/>
            <w:noWrap w:val="0"/>
            <w:vAlign w:val="center"/>
          </w:tcPr>
          <w:p w14:paraId="269465D6">
            <w:pPr>
              <w:rPr>
                <w:rFonts w:hint="eastAsia" w:ascii="仿宋" w:hAnsi="仿宋" w:eastAsia="仿宋" w:cs="仿宋"/>
                <w:color w:val="000000"/>
                <w:sz w:val="24"/>
                <w:szCs w:val="24"/>
                <w:highlight w:val="none"/>
              </w:rPr>
            </w:pPr>
          </w:p>
        </w:tc>
      </w:tr>
      <w:tr w14:paraId="0BBBF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645" w:type="dxa"/>
            <w:noWrap w:val="0"/>
            <w:vAlign w:val="center"/>
          </w:tcPr>
          <w:p w14:paraId="5A90DC0F">
            <w:pPr>
              <w:widowControl/>
              <w:adjustRightInd w:val="0"/>
              <w:snapToGrid w:val="0"/>
              <w:jc w:val="center"/>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w:t>
            </w:r>
          </w:p>
        </w:tc>
        <w:tc>
          <w:tcPr>
            <w:tcW w:w="1290" w:type="dxa"/>
            <w:noWrap w:val="0"/>
            <w:vAlign w:val="center"/>
          </w:tcPr>
          <w:p w14:paraId="63CB99F3">
            <w:pPr>
              <w:rPr>
                <w:rFonts w:hint="eastAsia" w:ascii="仿宋" w:hAnsi="仿宋" w:eastAsia="仿宋" w:cs="仿宋"/>
                <w:color w:val="000000"/>
                <w:kern w:val="0"/>
                <w:sz w:val="24"/>
                <w:szCs w:val="24"/>
                <w:highlight w:val="none"/>
                <w:lang w:bidi="ar"/>
              </w:rPr>
            </w:pPr>
          </w:p>
        </w:tc>
        <w:tc>
          <w:tcPr>
            <w:tcW w:w="1305" w:type="dxa"/>
            <w:noWrap w:val="0"/>
            <w:vAlign w:val="center"/>
          </w:tcPr>
          <w:p w14:paraId="7ED34C60">
            <w:pPr>
              <w:rPr>
                <w:rFonts w:hint="eastAsia" w:ascii="仿宋" w:hAnsi="仿宋" w:eastAsia="仿宋" w:cs="仿宋"/>
                <w:color w:val="000000"/>
                <w:sz w:val="24"/>
                <w:szCs w:val="24"/>
                <w:highlight w:val="none"/>
              </w:rPr>
            </w:pPr>
          </w:p>
        </w:tc>
        <w:tc>
          <w:tcPr>
            <w:tcW w:w="1019" w:type="dxa"/>
            <w:noWrap w:val="0"/>
            <w:vAlign w:val="center"/>
          </w:tcPr>
          <w:p w14:paraId="1E02A773">
            <w:pPr>
              <w:rPr>
                <w:rFonts w:hint="eastAsia" w:ascii="仿宋" w:hAnsi="仿宋" w:eastAsia="仿宋" w:cs="仿宋"/>
                <w:color w:val="000000"/>
                <w:sz w:val="24"/>
                <w:szCs w:val="24"/>
                <w:highlight w:val="none"/>
              </w:rPr>
            </w:pPr>
          </w:p>
        </w:tc>
        <w:tc>
          <w:tcPr>
            <w:tcW w:w="801" w:type="dxa"/>
            <w:noWrap w:val="0"/>
            <w:vAlign w:val="center"/>
          </w:tcPr>
          <w:p w14:paraId="011C6BB1">
            <w:pPr>
              <w:rPr>
                <w:rFonts w:hint="eastAsia" w:ascii="仿宋" w:hAnsi="仿宋" w:eastAsia="仿宋" w:cs="仿宋"/>
                <w:color w:val="000000"/>
                <w:kern w:val="0"/>
                <w:sz w:val="24"/>
                <w:szCs w:val="24"/>
                <w:highlight w:val="none"/>
                <w:lang w:bidi="ar"/>
              </w:rPr>
            </w:pPr>
          </w:p>
        </w:tc>
        <w:tc>
          <w:tcPr>
            <w:tcW w:w="1060" w:type="dxa"/>
            <w:noWrap w:val="0"/>
            <w:vAlign w:val="center"/>
          </w:tcPr>
          <w:p w14:paraId="183F2F35">
            <w:pPr>
              <w:rPr>
                <w:rFonts w:hint="eastAsia" w:ascii="仿宋" w:hAnsi="仿宋" w:eastAsia="仿宋" w:cs="仿宋"/>
                <w:color w:val="000000"/>
                <w:sz w:val="24"/>
                <w:szCs w:val="24"/>
                <w:highlight w:val="none"/>
              </w:rPr>
            </w:pPr>
          </w:p>
        </w:tc>
        <w:tc>
          <w:tcPr>
            <w:tcW w:w="788" w:type="dxa"/>
            <w:noWrap w:val="0"/>
            <w:vAlign w:val="center"/>
          </w:tcPr>
          <w:p w14:paraId="32A6E594">
            <w:pPr>
              <w:widowControl/>
              <w:adjustRightInd w:val="0"/>
              <w:snapToGrid w:val="0"/>
              <w:rPr>
                <w:rFonts w:hint="eastAsia" w:ascii="仿宋" w:hAnsi="仿宋" w:eastAsia="仿宋" w:cs="仿宋"/>
                <w:color w:val="000000"/>
                <w:kern w:val="0"/>
                <w:sz w:val="24"/>
                <w:szCs w:val="24"/>
                <w:highlight w:val="none"/>
              </w:rPr>
            </w:pPr>
          </w:p>
        </w:tc>
        <w:tc>
          <w:tcPr>
            <w:tcW w:w="662" w:type="dxa"/>
            <w:noWrap w:val="0"/>
            <w:vAlign w:val="center"/>
          </w:tcPr>
          <w:p w14:paraId="0F0F14EE">
            <w:pPr>
              <w:widowControl/>
              <w:adjustRightInd w:val="0"/>
              <w:snapToGrid w:val="0"/>
              <w:rPr>
                <w:rFonts w:hint="eastAsia" w:ascii="仿宋" w:hAnsi="仿宋" w:eastAsia="仿宋" w:cs="仿宋"/>
                <w:color w:val="000000"/>
                <w:kern w:val="0"/>
                <w:sz w:val="24"/>
                <w:szCs w:val="24"/>
                <w:highlight w:val="none"/>
              </w:rPr>
            </w:pPr>
          </w:p>
        </w:tc>
        <w:tc>
          <w:tcPr>
            <w:tcW w:w="935" w:type="dxa"/>
            <w:noWrap w:val="0"/>
            <w:vAlign w:val="center"/>
          </w:tcPr>
          <w:p w14:paraId="18523B34">
            <w:pPr>
              <w:rPr>
                <w:rFonts w:hint="eastAsia" w:ascii="仿宋" w:hAnsi="仿宋" w:eastAsia="仿宋" w:cs="仿宋"/>
                <w:color w:val="000000"/>
                <w:sz w:val="24"/>
                <w:szCs w:val="24"/>
                <w:highlight w:val="none"/>
              </w:rPr>
            </w:pPr>
          </w:p>
        </w:tc>
        <w:tc>
          <w:tcPr>
            <w:tcW w:w="1050" w:type="dxa"/>
            <w:noWrap w:val="0"/>
            <w:vAlign w:val="center"/>
          </w:tcPr>
          <w:p w14:paraId="09A19862">
            <w:pPr>
              <w:rPr>
                <w:rFonts w:hint="eastAsia" w:ascii="仿宋" w:hAnsi="仿宋" w:eastAsia="仿宋" w:cs="仿宋"/>
                <w:color w:val="000000"/>
                <w:sz w:val="24"/>
                <w:szCs w:val="24"/>
                <w:highlight w:val="none"/>
              </w:rPr>
            </w:pPr>
          </w:p>
        </w:tc>
      </w:tr>
      <w:tr w14:paraId="3E2EB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9555" w:type="dxa"/>
            <w:gridSpan w:val="10"/>
            <w:noWrap w:val="0"/>
            <w:vAlign w:val="center"/>
          </w:tcPr>
          <w:p w14:paraId="6DE26004">
            <w:pP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人民币合计金额(大写) ：                    (小写)¥：</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rPr>
              <w:t>元</w:t>
            </w:r>
          </w:p>
        </w:tc>
      </w:tr>
    </w:tbl>
    <w:p w14:paraId="39DB43C0">
      <w:pPr>
        <w:pStyle w:val="4"/>
        <w:bidi w:val="0"/>
        <w:ind w:firstLine="482" w:firstLineChars="200"/>
        <w:rPr>
          <w:rFonts w:hint="eastAsia" w:ascii="仿宋" w:hAnsi="仿宋" w:eastAsia="仿宋" w:cs="仿宋"/>
          <w:sz w:val="24"/>
          <w:szCs w:val="24"/>
          <w:highlight w:val="none"/>
        </w:rPr>
      </w:pPr>
      <w:bookmarkStart w:id="173" w:name="_Toc6425"/>
      <w:r>
        <w:rPr>
          <w:rFonts w:hint="eastAsia" w:ascii="仿宋" w:hAnsi="仿宋" w:eastAsia="仿宋" w:cs="仿宋"/>
          <w:sz w:val="24"/>
          <w:szCs w:val="24"/>
          <w:highlight w:val="none"/>
        </w:rPr>
        <w:t>第二条　标的质量</w:t>
      </w:r>
      <w:bookmarkEnd w:id="173"/>
    </w:p>
    <w:p w14:paraId="2095D579">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1.乙方所提供标的的名称、商标品牌、生产厂家、规格型号、技术参数</w:t>
      </w:r>
      <w:r>
        <w:rPr>
          <w:rFonts w:hint="eastAsia" w:ascii="仿宋" w:hAnsi="仿宋" w:eastAsia="仿宋" w:cs="仿宋"/>
          <w:color w:val="000000"/>
          <w:spacing w:val="-6"/>
          <w:sz w:val="24"/>
          <w:szCs w:val="24"/>
          <w:highlight w:val="none"/>
        </w:rPr>
        <w:t>等内容必须与乙方投标文件及有关承诺相一致，且满足项目实施要求。</w:t>
      </w:r>
    </w:p>
    <w:p w14:paraId="16E44D0A">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2.乙方所提供的货物必须是全新、未使用的原装产品，且在正常安装、</w:t>
      </w:r>
      <w:r>
        <w:rPr>
          <w:rFonts w:hint="eastAsia" w:ascii="仿宋" w:hAnsi="仿宋" w:eastAsia="仿宋" w:cs="仿宋"/>
          <w:color w:val="000000"/>
          <w:spacing w:val="-6"/>
          <w:sz w:val="24"/>
          <w:szCs w:val="24"/>
          <w:highlight w:val="none"/>
        </w:rPr>
        <w:t>使用和保养条件下，其使用寿命期内各项指标均达到投标文件的承诺。</w:t>
      </w:r>
    </w:p>
    <w:p w14:paraId="09C2C078">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乙方在交付产品后，甲方在任何时间如发现乙方所交付的产品不符合甲方招标文件要求或乙方在投标文件中的承诺，乙方应当提供相关证明材料或鉴定报告予以作证，乙方无法证明其交付的产品符合招标文件或投标文件的，按质量不合格处理。</w:t>
      </w:r>
    </w:p>
    <w:p w14:paraId="547F6296">
      <w:pPr>
        <w:pStyle w:val="4"/>
        <w:bidi w:val="0"/>
        <w:ind w:firstLine="482" w:firstLineChars="200"/>
        <w:rPr>
          <w:rFonts w:hint="eastAsia" w:ascii="仿宋" w:hAnsi="仿宋" w:eastAsia="仿宋" w:cs="仿宋"/>
          <w:color w:val="000000"/>
          <w:sz w:val="24"/>
          <w:szCs w:val="24"/>
          <w:highlight w:val="none"/>
        </w:rPr>
      </w:pPr>
      <w:bookmarkStart w:id="174" w:name="_Toc15229"/>
      <w:r>
        <w:rPr>
          <w:rFonts w:hint="eastAsia" w:ascii="仿宋" w:hAnsi="仿宋" w:eastAsia="仿宋" w:cs="仿宋"/>
          <w:sz w:val="24"/>
          <w:szCs w:val="24"/>
          <w:highlight w:val="none"/>
        </w:rPr>
        <w:t>第三条　履行时间（期限）、地点和方式</w:t>
      </w:r>
      <w:bookmarkEnd w:id="174"/>
    </w:p>
    <w:p w14:paraId="0D8C62C5">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1.履行时间（期限）：自签订合同之日起</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rPr>
        <w:t>个日历日内安装调试合格完毕并交付使用。</w:t>
      </w:r>
    </w:p>
    <w:p w14:paraId="1A4E887C">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2.履行地点：广西桂林市内甲方指定地点。</w:t>
      </w:r>
    </w:p>
    <w:p w14:paraId="60A35E9B">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3.履行方式:</w:t>
      </w:r>
    </w:p>
    <w:p w14:paraId="34ACE208">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（1）乙方负责货物运输，货物的运输方式：</w:t>
      </w:r>
      <w:r>
        <w:rPr>
          <w:rFonts w:hint="eastAsia" w:ascii="仿宋" w:hAnsi="仿宋" w:eastAsia="仿宋" w:cs="仿宋"/>
          <w:color w:val="000000"/>
          <w:sz w:val="24"/>
          <w:szCs w:val="24"/>
          <w:highlight w:val="none"/>
          <w:u w:val="single"/>
        </w:rPr>
        <w:t xml:space="preserve">  不限  </w:t>
      </w:r>
      <w:r>
        <w:rPr>
          <w:rFonts w:hint="eastAsia" w:ascii="仿宋" w:hAnsi="仿宋" w:eastAsia="仿宋" w:cs="仿宋"/>
          <w:color w:val="000000"/>
          <w:sz w:val="24"/>
          <w:szCs w:val="24"/>
          <w:highlight w:val="none"/>
        </w:rPr>
        <w:t>。</w:t>
      </w:r>
    </w:p>
    <w:p w14:paraId="455DB80A">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（2）交货方式：</w:t>
      </w:r>
    </w:p>
    <w:p w14:paraId="6F422ED1">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☑乙方将货物送到甲方指定地点。</w:t>
      </w:r>
    </w:p>
    <w:p w14:paraId="1876131E">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□甲方自行到乙方指定地点提货。</w:t>
      </w:r>
    </w:p>
    <w:p w14:paraId="494A7F7C">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□其他：</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rPr>
        <w:t>。</w:t>
      </w:r>
    </w:p>
    <w:p w14:paraId="419F118A">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（3）卸货费用由乙方承担。</w:t>
      </w:r>
    </w:p>
    <w:p w14:paraId="056B670F">
      <w:pPr>
        <w:pStyle w:val="4"/>
        <w:bidi w:val="0"/>
        <w:ind w:firstLine="482" w:firstLineChars="200"/>
        <w:rPr>
          <w:rFonts w:hint="eastAsia" w:ascii="仿宋" w:hAnsi="仿宋" w:eastAsia="仿宋" w:cs="仿宋"/>
          <w:sz w:val="24"/>
          <w:szCs w:val="24"/>
          <w:highlight w:val="none"/>
        </w:rPr>
      </w:pPr>
      <w:bookmarkStart w:id="175" w:name="_Toc17278"/>
      <w:r>
        <w:rPr>
          <w:rFonts w:hint="eastAsia" w:ascii="仿宋" w:hAnsi="仿宋" w:eastAsia="仿宋" w:cs="仿宋"/>
          <w:sz w:val="24"/>
          <w:szCs w:val="24"/>
          <w:highlight w:val="none"/>
        </w:rPr>
        <w:t>第四条　包装方式及运输</w:t>
      </w:r>
      <w:bookmarkEnd w:id="175"/>
    </w:p>
    <w:p w14:paraId="18B4F161">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1.乙方提供的货物均应按投标文件承诺的包装要求进行包装及运输,要求为原厂原包装，包装完好完整、无破损、未开封。国家对包装及运输有相关强制性标准或要求的，乙方应当执行。</w:t>
      </w:r>
    </w:p>
    <w:p w14:paraId="3E674BBD">
      <w:pPr>
        <w:pStyle w:val="27"/>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2.乙方的包装及运输应综合考虑运输距离、防水、防潮、防震、防锈和防破损装卸等要求，以保证货物安全、完好运达甲方指定地点。国家对包装及运输有相关强制性标准或要求的，乙方应当执行。</w:t>
      </w:r>
    </w:p>
    <w:p w14:paraId="202FCCEE">
      <w:pPr>
        <w:pStyle w:val="2"/>
        <w:spacing w:after="0"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3.货物的使用说明书（货物属于进口产品的，供货时应同时附上中文使用说明书）、质量检验证明书、质量合格证、随配附件和工具以及清单一并附于货物包装内。</w:t>
      </w:r>
    </w:p>
    <w:p w14:paraId="1C25740C">
      <w:pPr>
        <w:pStyle w:val="27"/>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4.产品（含包装）运抵甲方指定交付地点并经甲方验收合格前发生损坏及相关风险由乙方自行承担。</w:t>
      </w:r>
    </w:p>
    <w:p w14:paraId="1339B80D">
      <w:pPr>
        <w:pStyle w:val="27"/>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5.乙方负责货物运输，货物运输合理损耗及计算方法：</w:t>
      </w:r>
      <w:r>
        <w:rPr>
          <w:rFonts w:hint="eastAsia" w:ascii="仿宋" w:hAnsi="仿宋" w:eastAsia="仿宋" w:cs="仿宋"/>
          <w:color w:val="000000"/>
          <w:sz w:val="24"/>
          <w:szCs w:val="24"/>
          <w:highlight w:val="none"/>
          <w:u w:val="single"/>
        </w:rPr>
        <w:t>由乙方负责</w:t>
      </w:r>
      <w:r>
        <w:rPr>
          <w:rFonts w:hint="eastAsia" w:ascii="仿宋" w:hAnsi="仿宋" w:eastAsia="仿宋" w:cs="仿宋"/>
          <w:color w:val="000000"/>
          <w:sz w:val="24"/>
          <w:szCs w:val="24"/>
          <w:highlight w:val="none"/>
        </w:rPr>
        <w:t>。</w:t>
      </w:r>
    </w:p>
    <w:p w14:paraId="432F3DF1">
      <w:pPr>
        <w:pStyle w:val="27"/>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6.乙方在货物发运手续办理完毕后二十四小时内或货到甲方四十八小时前通知甲方，以准备接货。</w:t>
      </w:r>
    </w:p>
    <w:p w14:paraId="15B20190">
      <w:pPr>
        <w:pStyle w:val="27"/>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7.乙方应将所提供货物的装箱清单、用户手册、原厂保修卡、随机资料、工具和备品、备件等一并交付给甲方，如有缺失应及时补齐，否则视为逾期交货。</w:t>
      </w:r>
    </w:p>
    <w:p w14:paraId="05498F52">
      <w:pPr>
        <w:pStyle w:val="4"/>
        <w:bidi w:val="0"/>
        <w:ind w:firstLine="482" w:firstLineChars="200"/>
        <w:rPr>
          <w:rFonts w:hint="eastAsia" w:ascii="仿宋" w:hAnsi="仿宋" w:eastAsia="仿宋" w:cs="仿宋"/>
          <w:sz w:val="24"/>
          <w:szCs w:val="24"/>
          <w:highlight w:val="none"/>
        </w:rPr>
      </w:pPr>
      <w:bookmarkStart w:id="176" w:name="_Toc6945"/>
      <w:r>
        <w:rPr>
          <w:rFonts w:hint="eastAsia" w:ascii="仿宋" w:hAnsi="仿宋" w:eastAsia="仿宋" w:cs="仿宋"/>
          <w:sz w:val="24"/>
          <w:szCs w:val="24"/>
          <w:highlight w:val="none"/>
        </w:rPr>
        <w:t>第五条　安装和培训</w:t>
      </w:r>
      <w:bookmarkEnd w:id="176"/>
    </w:p>
    <w:p w14:paraId="51D36EA9">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1.安装时间及地点：</w:t>
      </w:r>
      <w:r>
        <w:rPr>
          <w:rFonts w:hint="eastAsia" w:ascii="仿宋" w:hAnsi="仿宋" w:eastAsia="仿宋" w:cs="仿宋"/>
          <w:color w:val="000000"/>
          <w:sz w:val="24"/>
          <w:szCs w:val="24"/>
          <w:highlight w:val="none"/>
          <w:u w:val="single"/>
        </w:rPr>
        <w:t>甲方指定的时间和地点</w:t>
      </w:r>
      <w:r>
        <w:rPr>
          <w:rFonts w:hint="eastAsia" w:ascii="仿宋" w:hAnsi="仿宋" w:eastAsia="仿宋" w:cs="仿宋"/>
          <w:color w:val="000000"/>
          <w:sz w:val="24"/>
          <w:szCs w:val="24"/>
          <w:highlight w:val="none"/>
        </w:rPr>
        <w:t>。</w:t>
      </w:r>
    </w:p>
    <w:p w14:paraId="7E59D7D5">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2.安装要求：</w:t>
      </w:r>
      <w:r>
        <w:rPr>
          <w:rFonts w:hint="eastAsia" w:ascii="仿宋" w:hAnsi="仿宋" w:eastAsia="仿宋" w:cs="仿宋"/>
          <w:color w:val="000000"/>
          <w:sz w:val="24"/>
          <w:szCs w:val="24"/>
          <w:highlight w:val="none"/>
          <w:u w:val="single"/>
        </w:rPr>
        <w:t>乙方应当按招标文件要求或甲方要求进行安装</w:t>
      </w:r>
      <w:r>
        <w:rPr>
          <w:rFonts w:hint="eastAsia" w:ascii="仿宋" w:hAnsi="仿宋" w:eastAsia="仿宋" w:cs="仿宋"/>
          <w:color w:val="000000"/>
          <w:sz w:val="24"/>
          <w:szCs w:val="24"/>
          <w:highlight w:val="none"/>
        </w:rPr>
        <w:t>。</w:t>
      </w:r>
    </w:p>
    <w:p w14:paraId="3CE7AE6B">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3.甲方应提供必要安装条件（如场地、电源、水源等）。</w:t>
      </w:r>
    </w:p>
    <w:p w14:paraId="6D4910EC">
      <w:pPr>
        <w:pStyle w:val="2"/>
        <w:spacing w:after="0" w:line="360" w:lineRule="auto"/>
        <w:ind w:firstLine="480" w:firstLineChars="20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乙方应当按照投标文件的承诺负责对甲方有关人员进行培训，使甲方使用人员熟练掌握设备的全部功能，培训的相关费用包括在合同价款中，甲方不再另行支付。培训时间：货物安装调试合格完毕并交付使用后的</w:t>
      </w:r>
      <w:r>
        <w:rPr>
          <w:rFonts w:hint="eastAsia" w:ascii="仿宋" w:hAnsi="仿宋" w:eastAsia="仿宋" w:cs="仿宋"/>
          <w:color w:val="000000"/>
          <w:sz w:val="24"/>
          <w:szCs w:val="24"/>
          <w:highlight w:val="none"/>
          <w:u w:val="single"/>
          <w:lang w:val="en-US" w:eastAsia="zh-CN"/>
        </w:rPr>
        <w:t xml:space="preserve"> 1</w:t>
      </w:r>
      <w:r>
        <w:rPr>
          <w:rFonts w:hint="eastAsia" w:ascii="仿宋" w:hAnsi="仿宋" w:eastAsia="仿宋" w:cs="仿宋"/>
          <w:color w:val="000000"/>
          <w:sz w:val="24"/>
          <w:szCs w:val="24"/>
          <w:highlight w:val="none"/>
          <w:lang w:val="en-US" w:eastAsia="zh-CN"/>
        </w:rPr>
        <w:t>天内，具体时间由甲方指定；培训地点：</w:t>
      </w:r>
      <w:r>
        <w:rPr>
          <w:rFonts w:hint="eastAsia" w:ascii="仿宋" w:hAnsi="仿宋" w:eastAsia="仿宋" w:cs="仿宋"/>
          <w:color w:val="000000"/>
          <w:sz w:val="24"/>
          <w:szCs w:val="24"/>
          <w:highlight w:val="none"/>
          <w:u w:val="single"/>
          <w:lang w:val="en-US" w:eastAsia="zh-CN"/>
        </w:rPr>
        <w:t>广西桂林市内采购人指定地点</w:t>
      </w:r>
      <w:r>
        <w:rPr>
          <w:rFonts w:hint="eastAsia" w:ascii="仿宋" w:hAnsi="仿宋" w:eastAsia="仿宋" w:cs="仿宋"/>
          <w:color w:val="000000"/>
          <w:sz w:val="24"/>
          <w:szCs w:val="24"/>
          <w:highlight w:val="none"/>
          <w:lang w:val="en-US" w:eastAsia="zh-CN"/>
        </w:rPr>
        <w:t>。</w:t>
      </w:r>
    </w:p>
    <w:p w14:paraId="66EDA73D">
      <w:pPr>
        <w:pStyle w:val="2"/>
        <w:spacing w:after="0" w:line="360" w:lineRule="auto"/>
        <w:ind w:firstLine="480" w:firstLineChars="20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5.乙方在安装、调试以及培训期间，应采取严格安全保障措施，承担安全保障义务，安装调试以及培训期间发生的人身或财产损害事件，一切责任与法律后果均由乙方自行承担，给甲方造成损失的，乙方应当予以全部赔偿。</w:t>
      </w:r>
    </w:p>
    <w:p w14:paraId="4C61CDBE">
      <w:pPr>
        <w:pStyle w:val="4"/>
        <w:bidi w:val="0"/>
        <w:ind w:firstLine="482" w:firstLineChars="200"/>
        <w:rPr>
          <w:rFonts w:hint="eastAsia" w:ascii="仿宋" w:hAnsi="仿宋" w:eastAsia="仿宋" w:cs="仿宋"/>
          <w:sz w:val="24"/>
          <w:szCs w:val="24"/>
          <w:highlight w:val="none"/>
        </w:rPr>
      </w:pPr>
      <w:bookmarkStart w:id="177" w:name="_Toc19891"/>
      <w:r>
        <w:rPr>
          <w:rFonts w:hint="eastAsia" w:ascii="仿宋" w:hAnsi="仿宋" w:eastAsia="仿宋" w:cs="仿宋"/>
          <w:sz w:val="24"/>
          <w:szCs w:val="24"/>
          <w:highlight w:val="none"/>
        </w:rPr>
        <w:t>第六条　合同价款及支付</w:t>
      </w:r>
      <w:bookmarkEnd w:id="177"/>
    </w:p>
    <w:p w14:paraId="0C8FCA19">
      <w:pPr>
        <w:pStyle w:val="27"/>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1.本合同以人民币付款。</w:t>
      </w:r>
    </w:p>
    <w:p w14:paraId="4CA729B0">
      <w:pPr>
        <w:pStyle w:val="27"/>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2.合同价款 (人民币):（大写）：</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u w:val="single"/>
          <w:lang w:val="en-US" w:eastAsia="zh-CN"/>
        </w:rPr>
        <w:t xml:space="preserve"> </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rPr>
        <w:t xml:space="preserve">（小写） ¥ </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rPr>
        <w:t>。</w:t>
      </w:r>
    </w:p>
    <w:p w14:paraId="1E1BD509">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3.资金性质：</w:t>
      </w:r>
      <w:r>
        <w:rPr>
          <w:rFonts w:hint="eastAsia" w:ascii="仿宋" w:hAnsi="仿宋" w:eastAsia="仿宋" w:cs="仿宋"/>
          <w:color w:val="000000"/>
          <w:sz w:val="24"/>
          <w:szCs w:val="24"/>
          <w:highlight w:val="none"/>
          <w:u w:val="single"/>
        </w:rPr>
        <w:t>财政性资金</w:t>
      </w:r>
      <w:r>
        <w:rPr>
          <w:rFonts w:hint="eastAsia" w:ascii="仿宋" w:hAnsi="仿宋" w:eastAsia="仿宋" w:cs="仿宋"/>
          <w:color w:val="000000"/>
          <w:sz w:val="24"/>
          <w:szCs w:val="24"/>
          <w:highlight w:val="none"/>
        </w:rPr>
        <w:t>。</w:t>
      </w:r>
    </w:p>
    <w:p w14:paraId="2BEA47FB">
      <w:pPr>
        <w:pStyle w:val="2"/>
        <w:spacing w:after="0"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4.合同价款是履行合同的最终价格，包括所提供的货物（包括备品备件、专用工具等）的价格，</w:t>
      </w:r>
      <w:r>
        <w:rPr>
          <w:rFonts w:hint="eastAsia" w:ascii="仿宋" w:hAnsi="仿宋" w:eastAsia="仿宋" w:cs="仿宋"/>
          <w:color w:val="000000"/>
          <w:sz w:val="24"/>
          <w:szCs w:val="24"/>
          <w:highlight w:val="none"/>
          <w:lang w:val="en-US" w:eastAsia="zh-CN"/>
        </w:rPr>
        <w:t>以及</w:t>
      </w:r>
      <w:r>
        <w:rPr>
          <w:rFonts w:hint="eastAsia" w:ascii="仿宋" w:hAnsi="仿宋" w:eastAsia="仿宋" w:cs="仿宋"/>
          <w:color w:val="000000"/>
          <w:sz w:val="24"/>
          <w:szCs w:val="24"/>
          <w:highlight w:val="none"/>
        </w:rPr>
        <w:t>投标货物包装、运输、装卸、送货上门、安装、调试、检验、售后服务、技术服务、培训、保险、税金、招标文件要求提供的所有伴随服务、工程等费用和税费。</w:t>
      </w:r>
    </w:p>
    <w:p w14:paraId="0C92FDB5">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bCs/>
          <w:color w:val="000000"/>
          <w:sz w:val="24"/>
          <w:szCs w:val="24"/>
          <w:highlight w:val="none"/>
        </w:rPr>
        <w:t>5.</w:t>
      </w:r>
      <w:r>
        <w:rPr>
          <w:rFonts w:hint="eastAsia" w:ascii="仿宋" w:hAnsi="仿宋" w:eastAsia="仿宋" w:cs="仿宋"/>
          <w:color w:val="000000"/>
          <w:sz w:val="24"/>
          <w:szCs w:val="24"/>
          <w:highlight w:val="none"/>
        </w:rPr>
        <w:t>付款进度安排:付款进度安排:签订合同后30个工作日内，支付合同价款的30%，设备安装验收合格正常使用后30个工作日内，支付合同价款的70%。乙方须在设备验收合格后及时向甲方提供符合国家规定及甲方要求的全额有效的税务发票，甲方未收到发票的，有权不予支付相应款项直至乙方提供合格发票，并不承担延迟付款责任。发票认证通过是付款的必要前提之一</w:t>
      </w:r>
      <w:r>
        <w:rPr>
          <w:rFonts w:hint="eastAsia" w:ascii="仿宋" w:hAnsi="仿宋" w:eastAsia="仿宋" w:cs="仿宋"/>
          <w:color w:val="000000"/>
          <w:spacing w:val="-6"/>
          <w:sz w:val="24"/>
          <w:szCs w:val="24"/>
          <w:highlight w:val="none"/>
        </w:rPr>
        <w:t>。</w:t>
      </w:r>
    </w:p>
    <w:p w14:paraId="3068230C">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6.资金支付方式：</w:t>
      </w:r>
      <w:r>
        <w:rPr>
          <w:rFonts w:hint="eastAsia" w:ascii="仿宋" w:hAnsi="仿宋" w:eastAsia="仿宋" w:cs="仿宋"/>
          <w:color w:val="000000"/>
          <w:sz w:val="24"/>
          <w:szCs w:val="24"/>
          <w:highlight w:val="none"/>
          <w:u w:val="single"/>
        </w:rPr>
        <w:t xml:space="preserve">    （银行转账）   </w:t>
      </w:r>
      <w:r>
        <w:rPr>
          <w:rFonts w:hint="eastAsia" w:ascii="仿宋" w:hAnsi="仿宋" w:eastAsia="仿宋" w:cs="仿宋"/>
          <w:color w:val="000000"/>
          <w:sz w:val="24"/>
          <w:szCs w:val="24"/>
          <w:highlight w:val="none"/>
        </w:rPr>
        <w:t xml:space="preserve">。 </w:t>
      </w:r>
    </w:p>
    <w:p w14:paraId="022B8005">
      <w:pPr>
        <w:pStyle w:val="18"/>
        <w:spacing w:line="360" w:lineRule="auto"/>
        <w:ind w:firstLine="480" w:firstLineChars="20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乙方</w:t>
      </w:r>
      <w:r>
        <w:rPr>
          <w:rFonts w:hint="eastAsia" w:ascii="仿宋" w:hAnsi="仿宋" w:eastAsia="仿宋" w:cs="仿宋"/>
          <w:color w:val="000000"/>
          <w:sz w:val="24"/>
          <w:szCs w:val="24"/>
          <w:highlight w:val="none"/>
        </w:rPr>
        <w:t>银行账户</w:t>
      </w:r>
      <w:r>
        <w:rPr>
          <w:rFonts w:hint="eastAsia" w:ascii="仿宋" w:hAnsi="仿宋" w:eastAsia="仿宋" w:cs="仿宋"/>
          <w:color w:val="000000"/>
          <w:sz w:val="24"/>
          <w:szCs w:val="24"/>
          <w:highlight w:val="none"/>
          <w:lang w:val="en-US" w:eastAsia="zh-CN"/>
        </w:rPr>
        <w:t>信息：</w:t>
      </w:r>
    </w:p>
    <w:p w14:paraId="20A516D3">
      <w:pPr>
        <w:pStyle w:val="18"/>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开户银行：XX银行XX支行</w:t>
      </w:r>
    </w:p>
    <w:p w14:paraId="02D6BC12">
      <w:pPr>
        <w:pStyle w:val="18"/>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账号名称：XX</w:t>
      </w:r>
    </w:p>
    <w:p w14:paraId="20AD231E">
      <w:pPr>
        <w:pStyle w:val="18"/>
        <w:spacing w:line="360" w:lineRule="auto"/>
        <w:ind w:firstLine="480" w:firstLineChars="20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rPr>
        <w:t>账号：XX</w:t>
      </w:r>
    </w:p>
    <w:p w14:paraId="255CBA7E">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7.采购合同履行中，甲方需追加与合同标的相同的货物的，在不改变合同其他条款的前提下，可以与乙方协商签订补充合同，但所有补充合同的采购金额不得超过原合同采购金额的10%。</w:t>
      </w:r>
    </w:p>
    <w:p w14:paraId="45EFE372">
      <w:pPr>
        <w:pStyle w:val="4"/>
        <w:bidi w:val="0"/>
        <w:ind w:firstLine="482" w:firstLineChars="200"/>
        <w:rPr>
          <w:rFonts w:hint="eastAsia" w:ascii="仿宋" w:hAnsi="仿宋" w:eastAsia="仿宋" w:cs="仿宋"/>
          <w:sz w:val="24"/>
          <w:szCs w:val="24"/>
          <w:highlight w:val="none"/>
        </w:rPr>
      </w:pPr>
      <w:bookmarkStart w:id="178" w:name="_Toc12349"/>
      <w:r>
        <w:rPr>
          <w:rFonts w:hint="eastAsia" w:ascii="仿宋" w:hAnsi="仿宋" w:eastAsia="仿宋" w:cs="仿宋"/>
          <w:sz w:val="24"/>
          <w:szCs w:val="24"/>
          <w:highlight w:val="none"/>
        </w:rPr>
        <w:t xml:space="preserve">第七条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保险、税费</w:t>
      </w:r>
      <w:bookmarkEnd w:id="178"/>
    </w:p>
    <w:p w14:paraId="28D32FB8">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bCs/>
          <w:color w:val="000000"/>
          <w:kern w:val="0"/>
          <w:sz w:val="24"/>
          <w:szCs w:val="24"/>
          <w:highlight w:val="none"/>
        </w:rPr>
        <w:t>1.若乙方为本项目标的及标的涉及的相关材料、设备、人员、运输等购买保险的，相关费用由乙方自行承担。</w:t>
      </w:r>
    </w:p>
    <w:p w14:paraId="5CC9729D">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2.本合同执行中相关的一切税费均由乙方负担。</w:t>
      </w:r>
    </w:p>
    <w:p w14:paraId="70CB00EF">
      <w:pPr>
        <w:pStyle w:val="4"/>
        <w:bidi w:val="0"/>
        <w:ind w:firstLine="482" w:firstLineChars="200"/>
        <w:rPr>
          <w:rFonts w:hint="eastAsia" w:ascii="仿宋" w:hAnsi="仿宋" w:eastAsia="仿宋" w:cs="仿宋"/>
          <w:sz w:val="24"/>
          <w:szCs w:val="24"/>
          <w:highlight w:val="none"/>
        </w:rPr>
      </w:pPr>
      <w:bookmarkStart w:id="179" w:name="_Toc26057"/>
      <w:r>
        <w:rPr>
          <w:rFonts w:hint="eastAsia" w:ascii="仿宋" w:hAnsi="仿宋" w:eastAsia="仿宋" w:cs="仿宋"/>
          <w:sz w:val="24"/>
          <w:szCs w:val="24"/>
          <w:highlight w:val="none"/>
        </w:rPr>
        <w:t>第八条　验收、交付标准和方法</w:t>
      </w:r>
      <w:bookmarkEnd w:id="179"/>
    </w:p>
    <w:p w14:paraId="55A84476">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1.履约验收时间：</w:t>
      </w:r>
    </w:p>
    <w:p w14:paraId="34ED5431">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（1）初步验收：标的到达甲方指定地点之日起7个工作日内。</w:t>
      </w:r>
    </w:p>
    <w:p w14:paraId="5BB003CD">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（2）交付验收：标的安装调试完毕之日起7个工作日内。</w:t>
      </w:r>
    </w:p>
    <w:p w14:paraId="1275791E">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（3）最终验收：乙方履行完合同约定的应当由乙方履行的全部事项之日起7个工作日内。</w:t>
      </w:r>
    </w:p>
    <w:p w14:paraId="53F56E1B">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2.履约验收程序：</w:t>
      </w:r>
    </w:p>
    <w:p w14:paraId="3F8EDC74">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标的到达甲方指定地点，甲方在规定的时间内进行初步验收；初步验收合格、标的安装调试完毕后，甲方在规定的时间内进行交付验收；交付验收合格，乙方履行完合同约定的应当由乙方履行的全部事项之日起7个工作日内进行最终验收。</w:t>
      </w:r>
    </w:p>
    <w:p w14:paraId="37E1D949">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3.履约验收内容：</w:t>
      </w:r>
    </w:p>
    <w:p w14:paraId="519ABA51">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甲方依据招标文件相关要求、乙方的投标承诺以及国家有关质量标准，就乙方对标的每一项技术、商务要求等相关内容进行验收。</w:t>
      </w:r>
    </w:p>
    <w:p w14:paraId="26DABA7B">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4.履约验收标准：</w:t>
      </w:r>
    </w:p>
    <w:p w14:paraId="012E160B">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（1）初步验收：</w:t>
      </w:r>
    </w:p>
    <w:p w14:paraId="3EDF4537">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标的在规定的时间内到货，标的（含包装）完整、完好，与投标承诺的产品（制造商、品牌、规格型号等）一致，标的无明显瑕疵、无损坏，装箱清单、用户手册、原厂保修卡、安装操作使用和维护手册、随机资料等所有技术资料、工具和备品、备件齐全。全部满足以上情形的，视为初步验收合格，标的不符合上述情形的，甲方在初步验收后七个工作日内以书面形式向乙方提出，乙方应自收到甲方书面异议后七个工作日内及时予以解决，否则，视为初步验收不合格，不予进行交付验收。</w:t>
      </w:r>
    </w:p>
    <w:p w14:paraId="1365FA11">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（2）交付验收：</w:t>
      </w:r>
    </w:p>
    <w:p w14:paraId="697BD508">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标的的技术指标与乙方的投标承诺一致或更高，且满足招标文件全部实质性要求，视为交付验收合格。标的不符合上述情形的，甲方在交付验收后七个工作日内以书面形式向乙方提出，乙方应自收到甲方书面异议后七个工作日内及时予以解决，否则，视为交付验收不合格。</w:t>
      </w:r>
    </w:p>
    <w:p w14:paraId="185CDA85">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（3）最终验收：</w:t>
      </w:r>
    </w:p>
    <w:p w14:paraId="69FFA7A0">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标的交付验收合格投入使用后，乙方提供的售后服务与其投标承诺一致或更优，且乙方履行完合同约定的应当由乙方履行的全部事项之，视为最终验收合格。</w:t>
      </w:r>
    </w:p>
    <w:p w14:paraId="7F50C511">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5.其他事项：</w:t>
      </w:r>
    </w:p>
    <w:p w14:paraId="6C08ACDB">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（1）验收时，甲方与乙方双方应当派员在场，并对验收结果签署意见，否则视为其同意验收结果。</w:t>
      </w:r>
    </w:p>
    <w:p w14:paraId="2230E1F1">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由于乙方的原因造成甲方验收不合格、影响甲方正常使用的，由此造成的损失由乙方承担。初步验收或交付验收不合格的，甲方有权终止合同并全部退货，同时报相关监督管理部门处理，由此造成甲方经济损失的由乙方负责承担全部赔偿责任。</w:t>
      </w:r>
    </w:p>
    <w:p w14:paraId="5E861D1F">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（3）对技术复杂的货物，甲方可请国家认可的专业检测机构参与初步验收及交付验收，并由其出具质量检测报告，费用由乙方承担。</w:t>
      </w:r>
    </w:p>
    <w:p w14:paraId="66A5D135">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（4）验收过程中所产生的一切费用均由乙方承担，乙方在投标报价时应综合考虑相关费用。</w:t>
      </w:r>
    </w:p>
    <w:p w14:paraId="75E60D15">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（5）甲方对产品的验收不免除乙方的质量保证责任。</w:t>
      </w:r>
    </w:p>
    <w:p w14:paraId="7685096A">
      <w:pPr>
        <w:spacing w:line="360" w:lineRule="auto"/>
        <w:ind w:firstLine="480" w:firstLineChars="200"/>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6</w:t>
      </w:r>
      <w:r>
        <w:rPr>
          <w:rFonts w:hint="eastAsia" w:ascii="仿宋" w:hAnsi="仿宋" w:eastAsia="仿宋" w:cs="仿宋"/>
          <w:color w:val="000000"/>
          <w:sz w:val="24"/>
          <w:szCs w:val="24"/>
          <w:highlight w:val="none"/>
        </w:rPr>
        <w:t>.交付标准和方法</w:t>
      </w:r>
      <w:r>
        <w:rPr>
          <w:rFonts w:hint="eastAsia" w:ascii="仿宋" w:hAnsi="仿宋" w:eastAsia="仿宋" w:cs="仿宋"/>
          <w:color w:val="000000"/>
          <w:sz w:val="24"/>
          <w:szCs w:val="24"/>
          <w:highlight w:val="none"/>
          <w:lang w:eastAsia="zh-CN"/>
        </w:rPr>
        <w:t>：</w:t>
      </w:r>
    </w:p>
    <w:p w14:paraId="06934988">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（1）除售后服务</w:t>
      </w:r>
      <w:r>
        <w:rPr>
          <w:rFonts w:hint="eastAsia" w:ascii="仿宋" w:hAnsi="仿宋" w:eastAsia="仿宋" w:cs="仿宋"/>
          <w:color w:val="000000"/>
          <w:spacing w:val="11"/>
          <w:sz w:val="24"/>
          <w:szCs w:val="24"/>
          <w:highlight w:val="none"/>
        </w:rPr>
        <w:t>验收外，验收结论合格的，乙方应自收到验收书</w:t>
      </w:r>
      <w:r>
        <w:rPr>
          <w:rFonts w:hint="eastAsia" w:ascii="仿宋" w:hAnsi="仿宋" w:eastAsia="仿宋" w:cs="仿宋"/>
          <w:color w:val="000000"/>
          <w:sz w:val="24"/>
          <w:szCs w:val="24"/>
          <w:highlight w:val="none"/>
        </w:rPr>
        <w:t>后</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rPr>
        <w:t>日内向甲方交付使用。</w:t>
      </w:r>
    </w:p>
    <w:p w14:paraId="04E951FD">
      <w:pPr>
        <w:spacing w:line="360" w:lineRule="auto"/>
        <w:ind w:firstLine="480" w:firstLineChars="200"/>
        <w:rPr>
          <w:rFonts w:hint="eastAsia" w:ascii="仿宋" w:hAnsi="仿宋" w:eastAsia="仿宋" w:cs="仿宋"/>
          <w:b/>
          <w:color w:val="000000"/>
          <w:sz w:val="24"/>
          <w:szCs w:val="24"/>
          <w:highlight w:val="none"/>
        </w:rPr>
      </w:pPr>
      <w:r>
        <w:rPr>
          <w:rFonts w:hint="eastAsia" w:ascii="仿宋" w:hAnsi="仿宋" w:eastAsia="仿宋" w:cs="仿宋"/>
          <w:color w:val="000000"/>
          <w:sz w:val="24"/>
          <w:szCs w:val="24"/>
          <w:highlight w:val="none"/>
        </w:rPr>
        <w:t>（2）货物的所有权和风险自交付验收合格时起由乙方转移至甲方，货物交付甲方且经验收合格之前所有风险均由乙方承担。</w:t>
      </w:r>
    </w:p>
    <w:p w14:paraId="163F55FE">
      <w:pPr>
        <w:pStyle w:val="4"/>
        <w:bidi w:val="0"/>
        <w:ind w:firstLine="482" w:firstLineChars="200"/>
        <w:rPr>
          <w:rFonts w:hint="eastAsia" w:ascii="仿宋" w:hAnsi="仿宋" w:eastAsia="仿宋" w:cs="仿宋"/>
          <w:sz w:val="24"/>
          <w:szCs w:val="24"/>
          <w:highlight w:val="none"/>
        </w:rPr>
      </w:pPr>
      <w:bookmarkStart w:id="180" w:name="_Toc2521"/>
      <w:r>
        <w:rPr>
          <w:rFonts w:hint="eastAsia" w:ascii="仿宋" w:hAnsi="仿宋" w:eastAsia="仿宋" w:cs="仿宋"/>
          <w:sz w:val="24"/>
          <w:szCs w:val="24"/>
          <w:highlight w:val="none"/>
        </w:rPr>
        <w:t>第九条  售后服务</w:t>
      </w:r>
      <w:bookmarkEnd w:id="180"/>
    </w:p>
    <w:p w14:paraId="073B629F">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1.乙方应按照国家有关法律法规规定以及投标承诺，为甲方提供售后服务。</w:t>
      </w:r>
    </w:p>
    <w:p w14:paraId="75966B29">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2.质量保修范围:</w:t>
      </w:r>
      <w:r>
        <w:rPr>
          <w:rFonts w:hint="eastAsia" w:ascii="仿宋" w:hAnsi="仿宋" w:eastAsia="仿宋" w:cs="仿宋"/>
          <w:color w:val="000000"/>
          <w:sz w:val="24"/>
          <w:szCs w:val="24"/>
          <w:highlight w:val="none"/>
          <w:u w:val="single"/>
        </w:rPr>
        <w:t xml:space="preserve"> 本项目采购范围内的所有设备</w:t>
      </w:r>
      <w:r>
        <w:rPr>
          <w:rFonts w:hint="eastAsia" w:ascii="仿宋" w:hAnsi="仿宋" w:eastAsia="仿宋" w:cs="仿宋"/>
          <w:color w:val="000000"/>
          <w:sz w:val="24"/>
          <w:szCs w:val="24"/>
          <w:highlight w:val="none"/>
        </w:rPr>
        <w:t>。免费保修期内上门维修（维修费和元器件费包含在投标报价中）、更换零部件，软件终身免费升级服务，设备生产厂家提供远程联机维护服务，能对设备进行软件升级及故障分析；保修期：按乙方投标承诺（且不低于甲方要求）执行。</w:t>
      </w:r>
    </w:p>
    <w:p w14:paraId="5EAEBCF3">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3.免费保修期：</w:t>
      </w:r>
      <w:r>
        <w:rPr>
          <w:rFonts w:hint="eastAsia" w:ascii="仿宋" w:hAnsi="仿宋" w:eastAsia="仿宋" w:cs="仿宋"/>
          <w:bCs/>
          <w:color w:val="000000"/>
          <w:sz w:val="24"/>
          <w:szCs w:val="24"/>
          <w:highlight w:val="none"/>
        </w:rPr>
        <w:t>按国家有关产品“三包”规定执行“三包”；免费保修期为</w:t>
      </w:r>
      <w:r>
        <w:rPr>
          <w:rFonts w:hint="eastAsia" w:ascii="仿宋" w:hAnsi="仿宋" w:eastAsia="仿宋" w:cs="仿宋"/>
          <w:bCs/>
          <w:color w:val="000000"/>
          <w:sz w:val="24"/>
          <w:szCs w:val="24"/>
          <w:highlight w:val="none"/>
          <w:u w:val="single"/>
        </w:rPr>
        <w:t xml:space="preserve">    </w:t>
      </w:r>
      <w:r>
        <w:rPr>
          <w:rFonts w:hint="eastAsia" w:ascii="仿宋" w:hAnsi="仿宋" w:eastAsia="仿宋" w:cs="仿宋"/>
          <w:bCs/>
          <w:color w:val="000000"/>
          <w:sz w:val="24"/>
          <w:szCs w:val="24"/>
          <w:highlight w:val="none"/>
        </w:rPr>
        <w:t>年（免费保修期从设备验收合格之日起计算），免费保修期内上门维修不收取任何费用，</w:t>
      </w:r>
      <w:r>
        <w:rPr>
          <w:rFonts w:hint="eastAsia" w:ascii="仿宋" w:hAnsi="仿宋" w:eastAsia="仿宋" w:cs="仿宋"/>
          <w:bCs/>
          <w:color w:val="000000"/>
          <w:sz w:val="24"/>
          <w:szCs w:val="24"/>
          <w:highlight w:val="none"/>
          <w:u w:val="single"/>
        </w:rPr>
        <w:t>提供备用机</w:t>
      </w:r>
      <w:r>
        <w:rPr>
          <w:rFonts w:hint="eastAsia" w:ascii="仿宋" w:hAnsi="仿宋" w:eastAsia="仿宋" w:cs="仿宋"/>
          <w:bCs/>
          <w:color w:val="000000"/>
          <w:sz w:val="24"/>
          <w:szCs w:val="24"/>
          <w:highlight w:val="none"/>
        </w:rPr>
        <w:t>。</w:t>
      </w:r>
    </w:p>
    <w:p w14:paraId="0B463DBC">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4.在免费保修期内因货物本身的质量问题发生故障，乙方应负责免费修理和更换零部件。对达不到技术要求者，根据实际情况，甲方有权按以下办法处理：</w:t>
      </w:r>
    </w:p>
    <w:p w14:paraId="055235B7">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（1）更换：由乙方承担所发生的全部费用。</w:t>
      </w:r>
    </w:p>
    <w:p w14:paraId="20B83DB2">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（2）贬值处理：由甲乙双方合议定价。</w:t>
      </w:r>
    </w:p>
    <w:p w14:paraId="72468479">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（3）退货处理：乙方应退还甲方支付的合同款，同时应承担该货物的直接费用（运输、保险、检验、货款利息及银行手续费等）。</w:t>
      </w:r>
    </w:p>
    <w:p w14:paraId="115ECB5F">
      <w:pPr>
        <w:pStyle w:val="27"/>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5.如在使用过程中发生质量问题，乙方在接到甲方通知后</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rPr>
        <w:t>小时内响应，</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rPr>
        <w:t>小时内到达现场进行处理，到达现场后</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rPr>
        <w:t>小时内排除故障，恢复正常使用。乙方逾期响应、到达现场、排除故障或者无法排除故障的，甲方有权自行或寻找第三方机构获得维修、维护等售后服务，全部费用由乙方承担，且无需经过乙方同意、确认。</w:t>
      </w:r>
    </w:p>
    <w:p w14:paraId="25072F8F">
      <w:pPr>
        <w:pStyle w:val="27"/>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6.在免费保修期内，乙方应对货物出现的质量及安全问题负责处理解决并承担一切费用。</w:t>
      </w:r>
    </w:p>
    <w:p w14:paraId="023DA931">
      <w:pPr>
        <w:pStyle w:val="27"/>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7.本项目采购范围内的货物因人为因素出现的故障不在免费保修范围内。超过免费保修期的机器设备，提供终生维修服务，乙方仅收取合理成本。</w:t>
      </w:r>
    </w:p>
    <w:p w14:paraId="77B822DE">
      <w:pPr>
        <w:pStyle w:val="27"/>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8.乙方提供的货物在免费保修期内，因设计、工艺或材料的缺陷和其它质量原因造成的问题，由乙方负责，费用从最后一笔支付的合同价款当中扣除，不足以扣除的，由乙方另行支付。</w:t>
      </w:r>
    </w:p>
    <w:p w14:paraId="353082B1">
      <w:pPr>
        <w:spacing w:line="360" w:lineRule="auto"/>
        <w:ind w:firstLine="480" w:firstLineChars="200"/>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9.乙方提供的服务承诺和售后服务及免费保修期责任等其它具体约定事项。（见合同附件）</w:t>
      </w:r>
    </w:p>
    <w:p w14:paraId="395738DF">
      <w:pPr>
        <w:pStyle w:val="4"/>
        <w:bidi w:val="0"/>
        <w:ind w:firstLine="482" w:firstLineChars="200"/>
        <w:rPr>
          <w:rFonts w:hint="eastAsia" w:ascii="仿宋" w:hAnsi="仿宋" w:eastAsia="仿宋" w:cs="仿宋"/>
          <w:sz w:val="24"/>
          <w:szCs w:val="24"/>
          <w:highlight w:val="none"/>
        </w:rPr>
      </w:pPr>
      <w:bookmarkStart w:id="181" w:name="_Toc31485"/>
      <w:r>
        <w:rPr>
          <w:rFonts w:hint="eastAsia" w:ascii="仿宋" w:hAnsi="仿宋" w:eastAsia="仿宋" w:cs="仿宋"/>
          <w:sz w:val="24"/>
          <w:szCs w:val="24"/>
          <w:highlight w:val="none"/>
        </w:rPr>
        <w:t>第十条　履约保证金</w:t>
      </w:r>
      <w:bookmarkEnd w:id="181"/>
    </w:p>
    <w:p w14:paraId="3A4A6F35">
      <w:pPr>
        <w:autoSpaceDE w:val="0"/>
        <w:autoSpaceDN w:val="0"/>
        <w:spacing w:line="360" w:lineRule="auto"/>
        <w:ind w:firstLine="484" w:firstLineChars="202"/>
        <w:textAlignment w:val="bottom"/>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1.履约保证金金额：本项目不收取履约保证金。</w:t>
      </w:r>
    </w:p>
    <w:p w14:paraId="3A8507CF">
      <w:pPr>
        <w:pStyle w:val="4"/>
        <w:bidi w:val="0"/>
        <w:ind w:firstLine="480" w:firstLineChars="200"/>
        <w:rPr>
          <w:rFonts w:hint="eastAsia" w:ascii="仿宋" w:hAnsi="仿宋" w:eastAsia="仿宋" w:cs="仿宋"/>
          <w:b w:val="0"/>
          <w:bCs/>
          <w:sz w:val="24"/>
          <w:szCs w:val="24"/>
          <w:highlight w:val="none"/>
        </w:rPr>
      </w:pPr>
      <w:bookmarkStart w:id="182" w:name="_Toc27705"/>
      <w:r>
        <w:rPr>
          <w:rFonts w:hint="eastAsia" w:ascii="仿宋" w:hAnsi="仿宋" w:eastAsia="仿宋" w:cs="仿宋"/>
          <w:b w:val="0"/>
          <w:bCs/>
          <w:sz w:val="24"/>
          <w:szCs w:val="24"/>
          <w:highlight w:val="none"/>
        </w:rPr>
        <w:t>2.履约保证金的形式：银行转账、银行保函、电子保函等。</w:t>
      </w:r>
    </w:p>
    <w:p w14:paraId="69301DE1">
      <w:pPr>
        <w:pStyle w:val="4"/>
        <w:bidi w:val="0"/>
        <w:ind w:firstLine="480" w:firstLineChars="200"/>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3.履约保证金的缴纳时间：乙方在收到中标通知书后正式签订合同前向甲方足额提交履约保证金，否则甲方可以取消其中标资格。</w:t>
      </w:r>
    </w:p>
    <w:p w14:paraId="0380A960">
      <w:pPr>
        <w:pStyle w:val="4"/>
        <w:bidi w:val="0"/>
        <w:ind w:firstLine="482"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第十一条　违约责任</w:t>
      </w:r>
      <w:bookmarkEnd w:id="182"/>
    </w:p>
    <w:p w14:paraId="798509F9">
      <w:pPr>
        <w:pStyle w:val="27"/>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1.合同一方不履行合同义务、履行合同义务不符合约定或者违反合同项下所作保证的， 应向对方承担继续履行、采取修理、更换、退货等补救措施或者赔偿损失等违约责任。</w:t>
      </w:r>
    </w:p>
    <w:p w14:paraId="61F5A79C">
      <w:pPr>
        <w:pStyle w:val="27"/>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2.乙方延迟交付货物的，应向甲方支付延迟违约金。延迟违约金的计算方法如下：每延迟一天向对方偿付货款总额3‰违约金，超过30 天甲方有权解除合同，乙方承担因此给甲方造成的全部损失，并按照货款总额的15%向甲方支付违约金，且乙方应当退还甲方支付过的全部费用。如延迟交付必然导致合同货物安装、调试、验收等工作推迟的，相关工作应相应顺延。</w:t>
      </w:r>
    </w:p>
    <w:p w14:paraId="368B1B5C">
      <w:pPr>
        <w:pStyle w:val="27"/>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甲方未能按合同约定支付合同价款的，经乙方书面催告，甲方无正当理由在合理期限（不少于10个工作日）内仍未支付的，自合理期限届满之次日起，应向乙方支付延迟付款违约金。延迟付款违约金的计算方法如下：每延迟一天向乙方偿付当期应付未付金额0.3‰违约金，但违约金累计不得超过当期应付未付总额的5%。</w:t>
      </w:r>
    </w:p>
    <w:p w14:paraId="5581C22B">
      <w:pPr>
        <w:pStyle w:val="27"/>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乙方提供的产品不符合本合同约定或存在质量问题的，乙方应当按照本合同约定以及甲方要求进行退换，并承担由此产生的一切费用，因退换导致逾期交货的，乙方应当按照本合同第十一条第2点的内容承担逾期交货违约责任；乙方拒绝退换的，甲方有权解除合同，乙方应当自行取回货物，甲方不承担任何保管义务，并且乙方应当按照合同总金额的15%向甲方支付违约金。</w:t>
      </w:r>
    </w:p>
    <w:p w14:paraId="468302BA">
      <w:pPr>
        <w:pStyle w:val="27"/>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5.乙方未按本合同和投标承诺提供售后服务的，经甲方书面催告1次仍不整改的，乙方应按本合同价款（报酬）的 5%向甲方支付违约金，同时甲方有权寻找第三方机构获得售后服务，全部费用由乙方承担，且无需经过乙方同意、确认。乙方经甲方书面催告3次仍不整改的，甲方有权解除合同，甲方解除合同的，无需向乙方支付任何设备使用费、折旧费以及其他补偿，乙方应当退还甲方支付过的费用，并自行取回货物，甲方不承担任何保管义务。</w:t>
      </w:r>
    </w:p>
    <w:p w14:paraId="6798DA58">
      <w:pPr>
        <w:pStyle w:val="27"/>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6.因某一方原因导致变更、中止或者终止政府采购合同的，该方应当对另一方受到的损失予以赔偿或者补偿。</w:t>
      </w:r>
    </w:p>
    <w:p w14:paraId="6A7F05AF">
      <w:pPr>
        <w:pStyle w:val="27"/>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7.其它违约责任按《中华人民共和国民法典》处理。</w:t>
      </w:r>
    </w:p>
    <w:p w14:paraId="63E72D03">
      <w:pPr>
        <w:pStyle w:val="4"/>
        <w:bidi w:val="0"/>
        <w:ind w:firstLine="482" w:firstLineChars="200"/>
        <w:rPr>
          <w:rFonts w:hint="eastAsia" w:ascii="仿宋" w:hAnsi="仿宋" w:eastAsia="仿宋" w:cs="仿宋"/>
          <w:sz w:val="24"/>
          <w:szCs w:val="24"/>
          <w:highlight w:val="none"/>
        </w:rPr>
      </w:pPr>
      <w:bookmarkStart w:id="183" w:name="_Toc31008"/>
      <w:r>
        <w:rPr>
          <w:rFonts w:hint="eastAsia" w:ascii="仿宋" w:hAnsi="仿宋" w:eastAsia="仿宋" w:cs="仿宋"/>
          <w:sz w:val="24"/>
          <w:szCs w:val="24"/>
          <w:highlight w:val="none"/>
        </w:rPr>
        <w:t>第十二条  不可抗力事件处理</w:t>
      </w:r>
      <w:bookmarkEnd w:id="183"/>
    </w:p>
    <w:p w14:paraId="79AEA04D">
      <w:pPr>
        <w:pStyle w:val="27"/>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1.在合同有效期内，任何一方因不可抗力事件导致不能履行合同，则合同履行期可延长，其延长期与不可抗力影响期相同。</w:t>
      </w:r>
    </w:p>
    <w:p w14:paraId="60BF650D">
      <w:pPr>
        <w:pStyle w:val="27"/>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2.不可抗力事件发生后，应立即通知对方，并寄送有关权威机构出具的证明。</w:t>
      </w:r>
    </w:p>
    <w:p w14:paraId="05808181">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3.不可抗力事件延续一百二十天以上，双方应通过友好协商，确定是否继续履行合同。</w:t>
      </w:r>
    </w:p>
    <w:p w14:paraId="01B78EB9">
      <w:pPr>
        <w:pStyle w:val="4"/>
        <w:bidi w:val="0"/>
        <w:ind w:firstLine="482" w:firstLineChars="200"/>
        <w:rPr>
          <w:rFonts w:hint="eastAsia" w:ascii="仿宋" w:hAnsi="仿宋" w:eastAsia="仿宋" w:cs="仿宋"/>
          <w:sz w:val="24"/>
          <w:szCs w:val="24"/>
          <w:highlight w:val="none"/>
        </w:rPr>
      </w:pPr>
      <w:bookmarkStart w:id="184" w:name="_Toc21414"/>
      <w:r>
        <w:rPr>
          <w:rFonts w:hint="eastAsia" w:ascii="仿宋" w:hAnsi="仿宋" w:eastAsia="仿宋" w:cs="仿宋"/>
          <w:sz w:val="24"/>
          <w:szCs w:val="24"/>
          <w:highlight w:val="none"/>
        </w:rPr>
        <w:t>第十三条  合同争议解决</w:t>
      </w:r>
      <w:bookmarkEnd w:id="184"/>
    </w:p>
    <w:p w14:paraId="0451141A">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因货物质量问题发生争议的，应邀请国家认可的质量检测机构对货物质量进行鉴定，鉴定工作由乙方负责，鉴定费用由乙方先行垫付。货物符合标准的，鉴定费由甲方承担；货物不符合标准的，鉴定费由乙方承担。</w:t>
      </w:r>
    </w:p>
    <w:p w14:paraId="40549CA0">
      <w:pPr>
        <w:autoSpaceDE w:val="0"/>
        <w:autoSpaceDN w:val="0"/>
        <w:spacing w:line="360" w:lineRule="auto"/>
        <w:ind w:left="100" w:right="42" w:firstLine="42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因履行本合同引起的或者与本合同有关的争议，甲乙双方应首先通过友好协商解决，如果协商不能解决，应向甲方所在地有管辖权的人民法院提起诉讼。守约方有权要求违约方支付因维护自身权益所支出的诉讼费、律师费、交通费、保险费、保全费、执行费等一切费用。</w:t>
      </w:r>
    </w:p>
    <w:p w14:paraId="02C771D2">
      <w:pPr>
        <w:autoSpaceDE w:val="0"/>
        <w:autoSpaceDN w:val="0"/>
        <w:spacing w:line="360" w:lineRule="auto"/>
        <w:ind w:left="100" w:right="42" w:firstLine="42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本合同所留单位地址为各方居住地址或者主要办事机构所在地址，本合同履行过程中发生任何纠纷，则前述地址视为法院邮寄法律文书及邮寄催收函、律师函、工作联系函等文件的法定送达地址。所留电话为文件邮寄的联系电话，邮件一旦邮寄，不管是否签收即视为送达，拒收或者退件，以拒收或者退件时间为送达时间。</w:t>
      </w:r>
    </w:p>
    <w:p w14:paraId="272FF7E7">
      <w:pPr>
        <w:pStyle w:val="4"/>
        <w:bidi w:val="0"/>
        <w:ind w:firstLine="482" w:firstLineChars="200"/>
        <w:rPr>
          <w:rFonts w:hint="eastAsia" w:ascii="仿宋" w:hAnsi="仿宋" w:eastAsia="仿宋" w:cs="仿宋"/>
          <w:sz w:val="24"/>
          <w:szCs w:val="24"/>
          <w:highlight w:val="none"/>
        </w:rPr>
      </w:pPr>
      <w:bookmarkStart w:id="185" w:name="_Toc17686"/>
      <w:r>
        <w:rPr>
          <w:rFonts w:hint="eastAsia" w:ascii="仿宋" w:hAnsi="仿宋" w:eastAsia="仿宋" w:cs="仿宋"/>
          <w:sz w:val="24"/>
          <w:szCs w:val="24"/>
          <w:highlight w:val="none"/>
        </w:rPr>
        <w:t>第十四条　合同的变更、中止或者终止</w:t>
      </w:r>
      <w:bookmarkEnd w:id="185"/>
    </w:p>
    <w:p w14:paraId="43F00F1F">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1.除《中华人民共和国政府采购法》第五十条规定的情形外，本合同一经签订，甲乙双方不得擅自变更、中止或者终止合同。</w:t>
      </w:r>
    </w:p>
    <w:p w14:paraId="4748E70A">
      <w:pPr>
        <w:pStyle w:val="2"/>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2.采购合同继续履行将损害国家利益和社会公共利益的，双方当事人应当变更、中止或者终止合同。有过错的一方应当承担赔偿责任，双方都有过错的，各自承担相应的责任。</w:t>
      </w:r>
    </w:p>
    <w:p w14:paraId="49516D07">
      <w:pPr>
        <w:pStyle w:val="4"/>
        <w:bidi w:val="0"/>
        <w:ind w:firstLine="482" w:firstLineChars="200"/>
        <w:rPr>
          <w:rFonts w:hint="eastAsia" w:ascii="仿宋" w:hAnsi="仿宋" w:eastAsia="仿宋" w:cs="仿宋"/>
          <w:sz w:val="24"/>
          <w:szCs w:val="24"/>
          <w:highlight w:val="none"/>
        </w:rPr>
      </w:pPr>
      <w:bookmarkStart w:id="186" w:name="_Toc8107"/>
      <w:r>
        <w:rPr>
          <w:rFonts w:hint="eastAsia" w:ascii="仿宋" w:hAnsi="仿宋" w:eastAsia="仿宋" w:cs="仿宋"/>
          <w:sz w:val="24"/>
          <w:szCs w:val="24"/>
          <w:highlight w:val="none"/>
        </w:rPr>
        <w:t>第十五条　知识产权、权利保证和保密要求</w:t>
      </w:r>
      <w:bookmarkEnd w:id="186"/>
    </w:p>
    <w:p w14:paraId="58272C5F">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1.甲方在履行合同过程中提供给乙方的全部图纸、文件和其他含有数据和信息的资料，其知识产权属于甲方。</w:t>
      </w:r>
    </w:p>
    <w:p w14:paraId="10BC927B">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2.除招标采购需求另有约定外，甲方不因签署和履行合同而享有乙方在履行合同过程中提供给甲方的图纸、文件、配套软件、电子辅助程序和其他含有数据和信息的资料的知识产权。</w:t>
      </w:r>
    </w:p>
    <w:p w14:paraId="6E4E3B03">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乙方应保证所提供货物在使用时不会侵犯任何第三方的知识产权或者其他权利。如合同货物涉及知识产权，则乙方保证甲方在使用合同货物过程中免于受到第三方提出的有关知识产权侵权的主张、索赔或诉讼的伤害。</w:t>
      </w:r>
    </w:p>
    <w:p w14:paraId="7C894F66">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4.如果甲方收到任何第三方有关知识产权或其他权利的主张、索赔或诉讼，乙方在收到甲方通知后， 应以甲方名义并在甲方的协助下，自负费用处理与第三方的索赔或诉讼，并赔偿甲方因此发生的费用和遭受的损失。如果乙方拒绝处理前述索赔或诉讼或在收到甲方通知后3日内未作表示，甲方可以自己的名义进行这些索赔或诉讼，因此发生的费用和遭受的损失均应由乙方承担，包括但不限于支付给第三方的赔偿金、补偿金、因消除负面影响或舆情产生的全部费用、因涉纠纷发生的律师费、诉讼费、保全费、保全担保保险费、差旅费等。</w:t>
      </w:r>
    </w:p>
    <w:p w14:paraId="1DC44CE5">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5.未经甲方书面同意，乙方不得将由甲方提供的有关合同或者任何合同条款、规格、计划、图纸、样品或者资料提供给与履行本合同无关的任何其他人。即使向履行本合同有关的其他人员提供，也应注意保密并限于履行合同的必需范围。</w:t>
      </w:r>
    </w:p>
    <w:p w14:paraId="47D1C164">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6.乙方保证将要交付的货物的所有权完全属于乙方且无任何抵押、质押、查封等产权瑕疵。</w:t>
      </w:r>
    </w:p>
    <w:p w14:paraId="37484C83">
      <w:pPr>
        <w:pStyle w:val="4"/>
        <w:bidi w:val="0"/>
        <w:ind w:firstLine="482" w:firstLineChars="200"/>
        <w:rPr>
          <w:rFonts w:hint="eastAsia" w:ascii="仿宋" w:hAnsi="仿宋" w:eastAsia="仿宋" w:cs="仿宋"/>
          <w:sz w:val="24"/>
          <w:szCs w:val="24"/>
          <w:highlight w:val="none"/>
        </w:rPr>
      </w:pPr>
      <w:bookmarkStart w:id="187" w:name="_Toc11630"/>
      <w:r>
        <w:rPr>
          <w:rFonts w:hint="eastAsia" w:ascii="仿宋" w:hAnsi="仿宋" w:eastAsia="仿宋" w:cs="仿宋"/>
          <w:sz w:val="24"/>
          <w:szCs w:val="24"/>
          <w:highlight w:val="none"/>
        </w:rPr>
        <w:t>第十六条  合同生效及其它</w:t>
      </w:r>
      <w:bookmarkEnd w:id="187"/>
    </w:p>
    <w:p w14:paraId="7331255C">
      <w:pPr>
        <w:pStyle w:val="27"/>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1.合同经双方法定代表人或者委托代理人签字并加盖单位公章后生效（委托代理人签字的需后附授权委托书，格式自拟）。</w:t>
      </w:r>
    </w:p>
    <w:p w14:paraId="131C6117">
      <w:pPr>
        <w:pStyle w:val="2"/>
        <w:spacing w:after="0"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2.合同执行中涉及采购资金和采购内容修改或者补充的，并签书面补充协议，方可作为主合同不可分割的一部分。</w:t>
      </w:r>
    </w:p>
    <w:p w14:paraId="02CCE4CA">
      <w:pPr>
        <w:pStyle w:val="2"/>
        <w:spacing w:after="0"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3.合同生效后，甲乙双方不得因姓名、名称的变更或者法定代表人、负责人、承办人的变动而不履行合同义务。</w:t>
      </w:r>
    </w:p>
    <w:p w14:paraId="6D2456BF">
      <w:pPr>
        <w:pStyle w:val="27"/>
        <w:spacing w:line="360" w:lineRule="auto"/>
        <w:ind w:left="420" w:left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4.本合同未尽事宜，遵照《中华人民共和国民法典》有关条文执行。</w:t>
      </w:r>
    </w:p>
    <w:p w14:paraId="59C9CD1F">
      <w:pPr>
        <w:pStyle w:val="4"/>
        <w:bidi w:val="0"/>
        <w:ind w:firstLine="482" w:firstLineChars="200"/>
        <w:rPr>
          <w:rFonts w:hint="eastAsia" w:ascii="仿宋" w:hAnsi="仿宋" w:eastAsia="仿宋" w:cs="仿宋"/>
          <w:sz w:val="24"/>
          <w:szCs w:val="24"/>
          <w:highlight w:val="none"/>
        </w:rPr>
      </w:pPr>
      <w:bookmarkStart w:id="188" w:name="_Toc27920"/>
      <w:r>
        <w:rPr>
          <w:rFonts w:hint="eastAsia" w:ascii="仿宋" w:hAnsi="仿宋" w:eastAsia="仿宋" w:cs="仿宋"/>
          <w:sz w:val="24"/>
          <w:szCs w:val="24"/>
          <w:highlight w:val="none"/>
        </w:rPr>
        <w:t>第十七条　签订本合同依据</w:t>
      </w:r>
      <w:bookmarkEnd w:id="188"/>
    </w:p>
    <w:p w14:paraId="0E7CFE1A">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1.采购招标文件；</w:t>
      </w:r>
    </w:p>
    <w:p w14:paraId="531C8A73">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2.乙方提供的投标文件；</w:t>
      </w:r>
    </w:p>
    <w:p w14:paraId="7A9637B0">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3.中标通知书。</w:t>
      </w:r>
    </w:p>
    <w:p w14:paraId="211E7C8C">
      <w:pPr>
        <w:pStyle w:val="4"/>
        <w:bidi w:val="0"/>
        <w:ind w:firstLine="482" w:firstLineChars="200"/>
        <w:rPr>
          <w:rFonts w:hint="eastAsia" w:ascii="仿宋" w:hAnsi="仿宋" w:eastAsia="仿宋" w:cs="仿宋"/>
          <w:sz w:val="24"/>
          <w:szCs w:val="24"/>
          <w:highlight w:val="none"/>
        </w:rPr>
      </w:pPr>
      <w:bookmarkStart w:id="189" w:name="_Toc28440"/>
      <w:r>
        <w:rPr>
          <w:rFonts w:hint="eastAsia" w:ascii="仿宋" w:hAnsi="仿宋" w:eastAsia="仿宋" w:cs="仿宋"/>
          <w:sz w:val="24"/>
          <w:szCs w:val="24"/>
          <w:highlight w:val="none"/>
        </w:rPr>
        <w:t>第十八条　廉洁承诺</w:t>
      </w:r>
      <w:bookmarkEnd w:id="189"/>
    </w:p>
    <w:p w14:paraId="0A651E90">
      <w:pPr>
        <w:pStyle w:val="27"/>
        <w:spacing w:line="360" w:lineRule="auto"/>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为保证医疗设备购销领域活动的廉洁性，防止各类违法违纪案件的发生，乙方供货公司和所属人员庄严承诺如下：</w:t>
      </w:r>
    </w:p>
    <w:p w14:paraId="0D502B6E">
      <w:pPr>
        <w:pStyle w:val="27"/>
        <w:spacing w:line="360" w:lineRule="auto"/>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1.遵守国家的法律法规。依法处理医疗设备购销业务，保证不搞违法乱纪活动，自觉接受执法执纪部门的监督检查；</w:t>
      </w:r>
    </w:p>
    <w:p w14:paraId="6D70B427">
      <w:pPr>
        <w:pStyle w:val="27"/>
        <w:spacing w:line="360" w:lineRule="auto"/>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2.在医疗设备购销领域中，保证不以任何形式给予医院工作人员回扣、好处费等；</w:t>
      </w:r>
    </w:p>
    <w:p w14:paraId="3D61E20D">
      <w:pPr>
        <w:pStyle w:val="27"/>
        <w:spacing w:line="360" w:lineRule="auto"/>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3.在正常业务交往中，保证不赠送各种礼金、有价证券和贵重物品，不给对方报销应由个人支付的费用；</w:t>
      </w:r>
    </w:p>
    <w:p w14:paraId="33AC2A3A">
      <w:pPr>
        <w:pStyle w:val="27"/>
        <w:spacing w:line="360" w:lineRule="auto"/>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4.维护正常的医疗秩序，保证不以宴请、高消费娱乐、提供国（境）外学术活动等手段影响医生的用药选择权；</w:t>
      </w:r>
    </w:p>
    <w:p w14:paraId="5BDCF56F">
      <w:pPr>
        <w:pStyle w:val="27"/>
        <w:spacing w:line="360" w:lineRule="auto"/>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5.乙方给医院的捐赠款物，保证严格按照《中华人民共和国公益事业捐赠法》和《卫生计生单位接受公益事业捐赠管理办法》（国卫财务发2015 77号）等法律法规执行；</w:t>
      </w:r>
    </w:p>
    <w:p w14:paraId="64FE8E90">
      <w:pPr>
        <w:pStyle w:val="27"/>
        <w:spacing w:line="360" w:lineRule="auto"/>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6.严格对业务代表进行管理，不进入医院门诊、病区、科室向医护人员推销医疗产品，业务代表不得以任何理由让临床、设备、信息等有关人员统计医生处方和有关耗材的用量信息或要求相关人员为此提供便利；</w:t>
      </w:r>
    </w:p>
    <w:p w14:paraId="093C8570">
      <w:pPr>
        <w:pStyle w:val="27"/>
        <w:spacing w:line="360" w:lineRule="auto"/>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以上承诺如有违反，乙方愿意按照《国家卫生计生委关于建立医药购销领域商业贿赂不良记录的规定》（国卫法制发〔2013〕50号）等相关规定处理。如果情节严重的移交司法机关处理。</w:t>
      </w:r>
    </w:p>
    <w:p w14:paraId="24F49F9E">
      <w:pPr>
        <w:spacing w:line="360" w:lineRule="auto"/>
        <w:ind w:firstLine="482" w:firstLineChars="200"/>
        <w:rPr>
          <w:rFonts w:hint="eastAsia" w:ascii="仿宋" w:hAnsi="仿宋" w:eastAsia="仿宋" w:cs="仿宋"/>
          <w:color w:val="000000"/>
          <w:sz w:val="24"/>
          <w:szCs w:val="24"/>
          <w:highlight w:val="none"/>
        </w:rPr>
      </w:pPr>
      <w:r>
        <w:rPr>
          <w:rFonts w:hint="eastAsia" w:ascii="仿宋" w:hAnsi="仿宋" w:eastAsia="仿宋" w:cs="仿宋"/>
          <w:b/>
          <w:color w:val="000000"/>
          <w:sz w:val="24"/>
          <w:szCs w:val="24"/>
          <w:highlight w:val="none"/>
        </w:rPr>
        <w:t>第十九条　</w:t>
      </w:r>
      <w:r>
        <w:rPr>
          <w:rFonts w:hint="eastAsia" w:ascii="仿宋" w:hAnsi="仿宋" w:eastAsia="仿宋" w:cs="仿宋"/>
          <w:color w:val="000000"/>
          <w:sz w:val="24"/>
          <w:szCs w:val="24"/>
          <w:highlight w:val="none"/>
        </w:rPr>
        <w:t>本合同一式陆份，具有同等法律效力。甲方肆份，乙方壹份，</w:t>
      </w:r>
      <w:r>
        <w:rPr>
          <w:rFonts w:hint="eastAsia" w:ascii="仿宋" w:hAnsi="仿宋" w:eastAsia="仿宋" w:cs="仿宋"/>
          <w:color w:val="000000"/>
          <w:spacing w:val="4"/>
          <w:sz w:val="24"/>
          <w:szCs w:val="24"/>
          <w:highlight w:val="none"/>
        </w:rPr>
        <w:t>采购代理机构</w:t>
      </w:r>
      <w:r>
        <w:rPr>
          <w:rFonts w:hint="eastAsia" w:ascii="仿宋" w:hAnsi="仿宋" w:eastAsia="仿宋" w:cs="仿宋"/>
          <w:color w:val="000000"/>
          <w:sz w:val="24"/>
          <w:szCs w:val="24"/>
          <w:highlight w:val="none"/>
        </w:rPr>
        <w:t>壹份。本合同经甲乙双方法定代表人或授权代表签字并加盖单位公章后生效。</w:t>
      </w:r>
    </w:p>
    <w:p w14:paraId="1D811E31">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附：</w:t>
      </w:r>
    </w:p>
    <w:p w14:paraId="518DB025">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1.中标通知书；</w:t>
      </w:r>
    </w:p>
    <w:p w14:paraId="363762C7">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2.招标文件技术、商务要求；</w:t>
      </w:r>
    </w:p>
    <w:p w14:paraId="7FFF8F77">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3.乙方的投标声明、开标一览表、技术要求偏离表、商务要求偏离表、设备性能配置清单及参数（如有）、售后服务方案（如有）、选配件、专用耗材、售后服务优惠表（如有）；</w:t>
      </w:r>
    </w:p>
    <w:p w14:paraId="02C1D39D">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4.乙方的营业执照等主体证明文件、医疗器械经营许可证（或医疗器械经营备案凭证）；</w:t>
      </w:r>
    </w:p>
    <w:p w14:paraId="0DABAE5D">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5.制造商授权书（如有）；</w:t>
      </w:r>
    </w:p>
    <w:p w14:paraId="61847525">
      <w:pPr>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6.制造商相关资质及合同标的对应的医疗器械注册证复印件等。</w:t>
      </w:r>
    </w:p>
    <w:p w14:paraId="7119919B">
      <w:pPr>
        <w:spacing w:line="360" w:lineRule="auto"/>
        <w:ind w:firstLine="480" w:firstLineChars="200"/>
        <w:rPr>
          <w:rFonts w:hint="eastAsia" w:ascii="仿宋" w:hAnsi="仿宋" w:eastAsia="仿宋" w:cs="仿宋"/>
          <w:color w:val="000000"/>
          <w:sz w:val="24"/>
          <w:szCs w:val="24"/>
          <w:highlight w:val="none"/>
          <w:lang w:val="en-US"/>
        </w:rPr>
      </w:pPr>
      <w:r>
        <w:rPr>
          <w:rFonts w:hint="eastAsia" w:ascii="仿宋" w:hAnsi="仿宋" w:eastAsia="仿宋" w:cs="仿宋"/>
          <w:color w:val="000000"/>
          <w:sz w:val="24"/>
          <w:szCs w:val="24"/>
          <w:highlight w:val="none"/>
        </w:rPr>
        <w:t>（以下无正文，为签署页）</w:t>
      </w:r>
    </w:p>
    <w:tbl>
      <w:tblPr>
        <w:tblStyle w:val="50"/>
        <w:tblW w:w="92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8"/>
        <w:gridCol w:w="4650"/>
      </w:tblGrid>
      <w:tr w14:paraId="69905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jc w:val="center"/>
        </w:trPr>
        <w:tc>
          <w:tcPr>
            <w:tcW w:w="4598" w:type="dxa"/>
            <w:tcBorders>
              <w:top w:val="single" w:color="auto" w:sz="4" w:space="0"/>
              <w:left w:val="single" w:color="auto" w:sz="4" w:space="0"/>
              <w:bottom w:val="single" w:color="auto" w:sz="4" w:space="0"/>
              <w:right w:val="single" w:color="auto" w:sz="4" w:space="0"/>
            </w:tcBorders>
            <w:noWrap w:val="0"/>
            <w:vAlign w:val="center"/>
          </w:tcPr>
          <w:p w14:paraId="7158A0E7">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甲方（章）广西壮族自治区南溪山医院（广西壮族自治区第二人民医院）   </w:t>
            </w:r>
          </w:p>
        </w:tc>
        <w:tc>
          <w:tcPr>
            <w:tcW w:w="4650" w:type="dxa"/>
            <w:tcBorders>
              <w:top w:val="single" w:color="auto" w:sz="4" w:space="0"/>
              <w:left w:val="single" w:color="auto" w:sz="4" w:space="0"/>
              <w:bottom w:val="single" w:color="auto" w:sz="4" w:space="0"/>
              <w:right w:val="single" w:color="auto" w:sz="4" w:space="0"/>
            </w:tcBorders>
            <w:noWrap w:val="0"/>
            <w:vAlign w:val="center"/>
          </w:tcPr>
          <w:p w14:paraId="0368B3DA">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乙方（章）</w:t>
            </w:r>
          </w:p>
        </w:tc>
      </w:tr>
      <w:tr w14:paraId="2BC30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4598" w:type="dxa"/>
            <w:tcBorders>
              <w:top w:val="single" w:color="auto" w:sz="4" w:space="0"/>
              <w:left w:val="single" w:color="auto" w:sz="4" w:space="0"/>
              <w:bottom w:val="single" w:color="auto" w:sz="4" w:space="0"/>
              <w:right w:val="single" w:color="auto" w:sz="4" w:space="0"/>
            </w:tcBorders>
            <w:noWrap w:val="0"/>
            <w:vAlign w:val="center"/>
          </w:tcPr>
          <w:p w14:paraId="4E706634">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单位地址：桂林市象山区崇信路46号</w:t>
            </w:r>
          </w:p>
        </w:tc>
        <w:tc>
          <w:tcPr>
            <w:tcW w:w="4650" w:type="dxa"/>
            <w:tcBorders>
              <w:top w:val="single" w:color="auto" w:sz="4" w:space="0"/>
              <w:left w:val="single" w:color="auto" w:sz="4" w:space="0"/>
              <w:bottom w:val="single" w:color="auto" w:sz="4" w:space="0"/>
              <w:right w:val="single" w:color="auto" w:sz="4" w:space="0"/>
            </w:tcBorders>
            <w:noWrap w:val="0"/>
            <w:vAlign w:val="center"/>
          </w:tcPr>
          <w:p w14:paraId="358C8D6C">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单位地址： </w:t>
            </w:r>
          </w:p>
        </w:tc>
      </w:tr>
      <w:tr w14:paraId="2B8EE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4598" w:type="dxa"/>
            <w:tcBorders>
              <w:top w:val="single" w:color="auto" w:sz="4" w:space="0"/>
              <w:left w:val="single" w:color="auto" w:sz="4" w:space="0"/>
              <w:bottom w:val="single" w:color="auto" w:sz="4" w:space="0"/>
              <w:right w:val="single" w:color="auto" w:sz="4" w:space="0"/>
            </w:tcBorders>
            <w:noWrap w:val="0"/>
            <w:vAlign w:val="center"/>
          </w:tcPr>
          <w:p w14:paraId="4E0C400A">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法定代表人：</w:t>
            </w:r>
          </w:p>
        </w:tc>
        <w:tc>
          <w:tcPr>
            <w:tcW w:w="4650" w:type="dxa"/>
            <w:tcBorders>
              <w:top w:val="single" w:color="auto" w:sz="4" w:space="0"/>
              <w:left w:val="single" w:color="auto" w:sz="4" w:space="0"/>
              <w:bottom w:val="single" w:color="auto" w:sz="4" w:space="0"/>
              <w:right w:val="single" w:color="auto" w:sz="4" w:space="0"/>
            </w:tcBorders>
            <w:noWrap w:val="0"/>
            <w:vAlign w:val="center"/>
          </w:tcPr>
          <w:p w14:paraId="614CF9F0">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法定代表人： </w:t>
            </w:r>
          </w:p>
        </w:tc>
      </w:tr>
      <w:tr w14:paraId="09132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4598" w:type="dxa"/>
            <w:tcBorders>
              <w:top w:val="single" w:color="auto" w:sz="4" w:space="0"/>
              <w:left w:val="single" w:color="auto" w:sz="4" w:space="0"/>
              <w:bottom w:val="single" w:color="auto" w:sz="4" w:space="0"/>
              <w:right w:val="single" w:color="auto" w:sz="4" w:space="0"/>
            </w:tcBorders>
            <w:noWrap w:val="0"/>
            <w:vAlign w:val="center"/>
          </w:tcPr>
          <w:p w14:paraId="3D7F2336">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委托代理人：</w:t>
            </w:r>
          </w:p>
        </w:tc>
        <w:tc>
          <w:tcPr>
            <w:tcW w:w="4650" w:type="dxa"/>
            <w:tcBorders>
              <w:top w:val="single" w:color="auto" w:sz="4" w:space="0"/>
              <w:left w:val="single" w:color="auto" w:sz="4" w:space="0"/>
              <w:bottom w:val="single" w:color="auto" w:sz="4" w:space="0"/>
              <w:right w:val="single" w:color="auto" w:sz="4" w:space="0"/>
            </w:tcBorders>
            <w:noWrap w:val="0"/>
            <w:vAlign w:val="center"/>
          </w:tcPr>
          <w:p w14:paraId="094A1529">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委托代理人：       手机号：</w:t>
            </w:r>
          </w:p>
        </w:tc>
      </w:tr>
      <w:tr w14:paraId="07169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0" w:hRule="atLeast"/>
          <w:jc w:val="center"/>
        </w:trPr>
        <w:tc>
          <w:tcPr>
            <w:tcW w:w="4598" w:type="dxa"/>
            <w:tcBorders>
              <w:top w:val="single" w:color="auto" w:sz="4" w:space="0"/>
              <w:left w:val="single" w:color="auto" w:sz="4" w:space="0"/>
              <w:bottom w:val="single" w:color="auto" w:sz="4" w:space="0"/>
              <w:right w:val="single" w:color="auto" w:sz="4" w:space="0"/>
            </w:tcBorders>
            <w:noWrap w:val="0"/>
            <w:vAlign w:val="center"/>
          </w:tcPr>
          <w:p w14:paraId="12392D51">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电话：0773-3831227</w:t>
            </w:r>
          </w:p>
        </w:tc>
        <w:tc>
          <w:tcPr>
            <w:tcW w:w="4650" w:type="dxa"/>
            <w:tcBorders>
              <w:top w:val="single" w:color="auto" w:sz="4" w:space="0"/>
              <w:left w:val="single" w:color="auto" w:sz="4" w:space="0"/>
              <w:bottom w:val="single" w:color="auto" w:sz="4" w:space="0"/>
              <w:right w:val="single" w:color="auto" w:sz="4" w:space="0"/>
            </w:tcBorders>
            <w:noWrap w:val="0"/>
            <w:vAlign w:val="center"/>
          </w:tcPr>
          <w:p w14:paraId="51D2D08A">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电话：</w:t>
            </w:r>
          </w:p>
        </w:tc>
      </w:tr>
      <w:tr w14:paraId="2E6D3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4598" w:type="dxa"/>
            <w:tcBorders>
              <w:top w:val="single" w:color="auto" w:sz="4" w:space="0"/>
              <w:left w:val="single" w:color="auto" w:sz="4" w:space="0"/>
              <w:bottom w:val="single" w:color="auto" w:sz="4" w:space="0"/>
              <w:right w:val="single" w:color="auto" w:sz="4" w:space="0"/>
            </w:tcBorders>
            <w:noWrap w:val="0"/>
            <w:vAlign w:val="center"/>
          </w:tcPr>
          <w:p w14:paraId="2B2A2AF1">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电子邮箱：nysbk3831227@163.com</w:t>
            </w:r>
          </w:p>
        </w:tc>
        <w:tc>
          <w:tcPr>
            <w:tcW w:w="4650" w:type="dxa"/>
            <w:tcBorders>
              <w:top w:val="single" w:color="auto" w:sz="4" w:space="0"/>
              <w:left w:val="single" w:color="auto" w:sz="4" w:space="0"/>
              <w:bottom w:val="single" w:color="auto" w:sz="4" w:space="0"/>
              <w:right w:val="single" w:color="auto" w:sz="4" w:space="0"/>
            </w:tcBorders>
            <w:noWrap w:val="0"/>
            <w:vAlign w:val="center"/>
          </w:tcPr>
          <w:p w14:paraId="61E2E962">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电子邮箱：</w:t>
            </w:r>
          </w:p>
        </w:tc>
      </w:tr>
      <w:tr w14:paraId="1A3EC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5" w:hRule="atLeast"/>
          <w:jc w:val="center"/>
        </w:trPr>
        <w:tc>
          <w:tcPr>
            <w:tcW w:w="4598" w:type="dxa"/>
            <w:tcBorders>
              <w:top w:val="single" w:color="auto" w:sz="4" w:space="0"/>
              <w:left w:val="single" w:color="auto" w:sz="4" w:space="0"/>
              <w:bottom w:val="single" w:color="auto" w:sz="4" w:space="0"/>
              <w:right w:val="single" w:color="auto" w:sz="4" w:space="0"/>
            </w:tcBorders>
            <w:noWrap w:val="0"/>
            <w:vAlign w:val="center"/>
          </w:tcPr>
          <w:p w14:paraId="5210258C">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纳税人识别号： 12450000498502373N</w:t>
            </w:r>
          </w:p>
        </w:tc>
        <w:tc>
          <w:tcPr>
            <w:tcW w:w="4650" w:type="dxa"/>
            <w:tcBorders>
              <w:top w:val="single" w:color="auto" w:sz="4" w:space="0"/>
              <w:left w:val="single" w:color="auto" w:sz="4" w:space="0"/>
              <w:bottom w:val="single" w:color="auto" w:sz="4" w:space="0"/>
              <w:right w:val="single" w:color="auto" w:sz="4" w:space="0"/>
            </w:tcBorders>
            <w:noWrap w:val="0"/>
            <w:vAlign w:val="center"/>
          </w:tcPr>
          <w:p w14:paraId="514AF0E5">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纳税人识别号：</w:t>
            </w:r>
          </w:p>
        </w:tc>
      </w:tr>
      <w:tr w14:paraId="493A4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jc w:val="center"/>
        </w:trPr>
        <w:tc>
          <w:tcPr>
            <w:tcW w:w="4598" w:type="dxa"/>
            <w:tcBorders>
              <w:top w:val="single" w:color="auto" w:sz="4" w:space="0"/>
              <w:left w:val="single" w:color="auto" w:sz="4" w:space="0"/>
              <w:bottom w:val="single" w:color="auto" w:sz="4" w:space="0"/>
              <w:right w:val="single" w:color="auto" w:sz="4" w:space="0"/>
            </w:tcBorders>
            <w:noWrap w:val="0"/>
            <w:vAlign w:val="center"/>
          </w:tcPr>
          <w:p w14:paraId="76D9E9DA">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开户银行：中国建设银行股份有限公司桂林城南支行</w:t>
            </w:r>
          </w:p>
        </w:tc>
        <w:tc>
          <w:tcPr>
            <w:tcW w:w="4650" w:type="dxa"/>
            <w:tcBorders>
              <w:top w:val="single" w:color="auto" w:sz="4" w:space="0"/>
              <w:left w:val="single" w:color="auto" w:sz="4" w:space="0"/>
              <w:bottom w:val="single" w:color="auto" w:sz="4" w:space="0"/>
              <w:right w:val="single" w:color="auto" w:sz="4" w:space="0"/>
            </w:tcBorders>
            <w:noWrap w:val="0"/>
            <w:vAlign w:val="center"/>
          </w:tcPr>
          <w:p w14:paraId="6D10A9B6">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开户银行：</w:t>
            </w:r>
          </w:p>
        </w:tc>
      </w:tr>
      <w:tr w14:paraId="11A98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4598" w:type="dxa"/>
            <w:tcBorders>
              <w:top w:val="single" w:color="auto" w:sz="4" w:space="0"/>
              <w:left w:val="single" w:color="auto" w:sz="4" w:space="0"/>
              <w:bottom w:val="single" w:color="auto" w:sz="4" w:space="0"/>
              <w:right w:val="single" w:color="auto" w:sz="4" w:space="0"/>
            </w:tcBorders>
            <w:noWrap w:val="0"/>
            <w:vAlign w:val="center"/>
          </w:tcPr>
          <w:p w14:paraId="5211D306">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账号：45001635305059666666</w:t>
            </w:r>
          </w:p>
        </w:tc>
        <w:tc>
          <w:tcPr>
            <w:tcW w:w="4650" w:type="dxa"/>
            <w:tcBorders>
              <w:top w:val="single" w:color="auto" w:sz="4" w:space="0"/>
              <w:left w:val="single" w:color="auto" w:sz="4" w:space="0"/>
              <w:bottom w:val="single" w:color="auto" w:sz="4" w:space="0"/>
              <w:right w:val="single" w:color="auto" w:sz="4" w:space="0"/>
            </w:tcBorders>
            <w:noWrap w:val="0"/>
            <w:vAlign w:val="center"/>
          </w:tcPr>
          <w:p w14:paraId="53555FD5">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账号：</w:t>
            </w:r>
          </w:p>
        </w:tc>
      </w:tr>
      <w:tr w14:paraId="53A8D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5" w:hRule="atLeast"/>
          <w:jc w:val="center"/>
        </w:trPr>
        <w:tc>
          <w:tcPr>
            <w:tcW w:w="4598" w:type="dxa"/>
            <w:tcBorders>
              <w:top w:val="single" w:color="auto" w:sz="4" w:space="0"/>
              <w:left w:val="single" w:color="auto" w:sz="4" w:space="0"/>
              <w:bottom w:val="single" w:color="auto" w:sz="4" w:space="0"/>
              <w:right w:val="single" w:color="auto" w:sz="4" w:space="0"/>
            </w:tcBorders>
            <w:noWrap w:val="0"/>
            <w:vAlign w:val="center"/>
          </w:tcPr>
          <w:p w14:paraId="27685FB7">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邮政编码：541002</w:t>
            </w:r>
          </w:p>
        </w:tc>
        <w:tc>
          <w:tcPr>
            <w:tcW w:w="4650" w:type="dxa"/>
            <w:tcBorders>
              <w:top w:val="single" w:color="auto" w:sz="4" w:space="0"/>
              <w:left w:val="single" w:color="auto" w:sz="4" w:space="0"/>
              <w:bottom w:val="single" w:color="auto" w:sz="4" w:space="0"/>
              <w:right w:val="single" w:color="auto" w:sz="4" w:space="0"/>
            </w:tcBorders>
            <w:noWrap w:val="0"/>
            <w:vAlign w:val="center"/>
          </w:tcPr>
          <w:p w14:paraId="1437C95D">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邮政编码：</w:t>
            </w:r>
          </w:p>
        </w:tc>
      </w:tr>
      <w:tr w14:paraId="776EF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4" w:hRule="atLeast"/>
          <w:jc w:val="center"/>
        </w:trPr>
        <w:tc>
          <w:tcPr>
            <w:tcW w:w="9248" w:type="dxa"/>
            <w:gridSpan w:val="2"/>
            <w:tcBorders>
              <w:top w:val="single" w:color="auto" w:sz="4" w:space="0"/>
              <w:left w:val="single" w:color="auto" w:sz="4" w:space="0"/>
              <w:bottom w:val="single" w:color="auto" w:sz="4" w:space="0"/>
              <w:right w:val="single" w:color="auto" w:sz="4" w:space="0"/>
            </w:tcBorders>
            <w:noWrap w:val="0"/>
            <w:vAlign w:val="top"/>
          </w:tcPr>
          <w:p w14:paraId="1770E3B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签订时间：</w:t>
            </w:r>
          </w:p>
          <w:p w14:paraId="09805117">
            <w:pPr>
              <w:adjustRightInd w:val="0"/>
              <w:snapToGrid w:val="0"/>
              <w:spacing w:line="360" w:lineRule="auto"/>
              <w:ind w:firstLine="2880" w:firstLineChars="1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年 　  月 　  日</w:t>
            </w:r>
          </w:p>
        </w:tc>
      </w:tr>
    </w:tbl>
    <w:p w14:paraId="1ED3D521">
      <w:pPr>
        <w:pStyle w:val="148"/>
        <w:spacing w:line="360" w:lineRule="auto"/>
        <w:ind w:left="0" w:lef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000000"/>
          <w:sz w:val="24"/>
          <w:szCs w:val="24"/>
          <w:highlight w:val="none"/>
        </w:rPr>
        <w:t>备注：乙方合同签订开户银行及银行账号与乙方开具付款发票开户银行及银行账号完全一致。每份附设备配置清单及参数，公司营业执照，公司经营许可证、设备注册证、委托代理人授权书，法人及代理人身份证复印件；金额大小写之间不能留空白。</w:t>
      </w:r>
    </w:p>
    <w:p w14:paraId="3545B6A0">
      <w:pPr>
        <w:rPr>
          <w:sz w:val="21"/>
          <w:szCs w:val="21"/>
          <w:highlight w:val="none"/>
        </w:rPr>
      </w:pPr>
    </w:p>
    <w:p w14:paraId="039AAF43">
      <w:pPr>
        <w:pStyle w:val="3"/>
        <w:keepNext w:val="0"/>
        <w:keepLines w:val="0"/>
        <w:pageBreakBefore/>
        <w:spacing w:before="0" w:after="0" w:line="360" w:lineRule="auto"/>
        <w:jc w:val="center"/>
        <w:textAlignment w:val="center"/>
        <w:rPr>
          <w:rFonts w:hint="eastAsia" w:ascii="仿宋" w:hAnsi="仿宋" w:eastAsia="仿宋" w:cs="仿宋"/>
          <w:color w:val="auto"/>
          <w:highlight w:val="none"/>
        </w:rPr>
      </w:pPr>
      <w:r>
        <w:rPr>
          <w:rFonts w:hint="eastAsia" w:ascii="仿宋" w:hAnsi="仿宋" w:eastAsia="仿宋" w:cs="仿宋"/>
          <w:color w:val="auto"/>
          <w:highlight w:val="none"/>
        </w:rPr>
        <w:t>第六章　投标文件格式</w:t>
      </w:r>
      <w:bookmarkEnd w:id="171"/>
    </w:p>
    <w:p w14:paraId="7DEE0B4C">
      <w:pPr>
        <w:rPr>
          <w:rFonts w:hint="eastAsia" w:ascii="仿宋" w:hAnsi="仿宋" w:eastAsia="仿宋" w:cs="仿宋"/>
          <w:b/>
          <w:color w:val="auto"/>
          <w:sz w:val="28"/>
          <w:szCs w:val="28"/>
          <w:highlight w:val="none"/>
        </w:rPr>
      </w:pPr>
      <w:bookmarkStart w:id="190" w:name="_Toc19686836"/>
      <w:bookmarkStart w:id="191" w:name="_Toc254970557"/>
      <w:bookmarkStart w:id="192" w:name="_Toc254970698"/>
      <w:r>
        <w:rPr>
          <w:rFonts w:hint="eastAsia" w:ascii="仿宋" w:hAnsi="仿宋" w:eastAsia="仿宋" w:cs="仿宋"/>
          <w:b/>
          <w:color w:val="auto"/>
          <w:sz w:val="28"/>
          <w:szCs w:val="28"/>
          <w:highlight w:val="none"/>
        </w:rPr>
        <w:t>一、报价文件格式</w:t>
      </w:r>
      <w:bookmarkEnd w:id="190"/>
    </w:p>
    <w:p w14:paraId="09F883CA">
      <w:pPr>
        <w:snapToGrid w:val="0"/>
        <w:spacing w:before="120" w:beforeLines="50" w:after="50" w:line="360" w:lineRule="auto"/>
        <w:ind w:left="142"/>
        <w:jc w:val="left"/>
        <w:rPr>
          <w:rFonts w:hint="eastAsia" w:ascii="仿宋" w:hAnsi="仿宋" w:eastAsia="仿宋" w:cs="仿宋"/>
          <w:color w:val="auto"/>
          <w:sz w:val="24"/>
          <w:szCs w:val="20"/>
          <w:highlight w:val="none"/>
        </w:rPr>
      </w:pPr>
      <w:r>
        <w:rPr>
          <w:rFonts w:hint="eastAsia" w:ascii="仿宋" w:hAnsi="仿宋" w:eastAsia="仿宋" w:cs="仿宋"/>
          <w:b/>
          <w:color w:val="auto"/>
          <w:sz w:val="24"/>
          <w:highlight w:val="none"/>
        </w:rPr>
        <w:t xml:space="preserve">1. 报价文件封面格式： </w:t>
      </w:r>
    </w:p>
    <w:p w14:paraId="621280DC">
      <w:pPr>
        <w:snapToGrid w:val="0"/>
        <w:spacing w:before="120" w:beforeLines="50" w:after="50" w:line="400" w:lineRule="exact"/>
        <w:rPr>
          <w:rFonts w:hint="eastAsia" w:ascii="仿宋" w:hAnsi="仿宋" w:eastAsia="仿宋" w:cs="仿宋"/>
          <w:bCs/>
          <w:color w:val="auto"/>
          <w:sz w:val="32"/>
          <w:szCs w:val="20"/>
          <w:highlight w:val="none"/>
        </w:rPr>
      </w:pPr>
    </w:p>
    <w:p w14:paraId="1A076E4E">
      <w:pPr>
        <w:snapToGrid w:val="0"/>
        <w:spacing w:before="120" w:beforeLines="50" w:after="50" w:line="400" w:lineRule="exact"/>
        <w:jc w:val="center"/>
        <w:rPr>
          <w:rFonts w:hint="eastAsia" w:ascii="仿宋" w:hAnsi="仿宋" w:eastAsia="仿宋" w:cs="仿宋"/>
          <w:bCs/>
          <w:color w:val="auto"/>
          <w:sz w:val="24"/>
          <w:szCs w:val="20"/>
          <w:highlight w:val="none"/>
        </w:rPr>
      </w:pPr>
    </w:p>
    <w:p w14:paraId="61C89312">
      <w:pPr>
        <w:snapToGrid w:val="0"/>
        <w:spacing w:before="120" w:beforeLines="50" w:after="50"/>
        <w:jc w:val="center"/>
        <w:rPr>
          <w:rFonts w:hint="eastAsia" w:ascii="仿宋" w:hAnsi="仿宋" w:eastAsia="仿宋" w:cs="仿宋"/>
          <w:color w:val="auto"/>
          <w:sz w:val="84"/>
          <w:szCs w:val="84"/>
          <w:highlight w:val="none"/>
        </w:rPr>
      </w:pPr>
      <w:r>
        <w:rPr>
          <w:rFonts w:hint="eastAsia" w:ascii="仿宋" w:hAnsi="仿宋" w:eastAsia="仿宋" w:cs="仿宋"/>
          <w:color w:val="auto"/>
          <w:sz w:val="84"/>
          <w:szCs w:val="84"/>
          <w:highlight w:val="none"/>
        </w:rPr>
        <w:t>投  标  文  件</w:t>
      </w:r>
    </w:p>
    <w:p w14:paraId="45FAFB5D">
      <w:pPr>
        <w:snapToGrid w:val="0"/>
        <w:spacing w:before="120" w:beforeLines="50" w:after="50" w:line="400" w:lineRule="exact"/>
        <w:jc w:val="center"/>
        <w:rPr>
          <w:rFonts w:hint="eastAsia" w:ascii="仿宋" w:hAnsi="仿宋" w:eastAsia="仿宋" w:cs="仿宋"/>
          <w:bCs/>
          <w:color w:val="auto"/>
          <w:sz w:val="32"/>
          <w:szCs w:val="32"/>
          <w:highlight w:val="none"/>
        </w:rPr>
      </w:pPr>
    </w:p>
    <w:p w14:paraId="700A33D6">
      <w:pPr>
        <w:snapToGrid w:val="0"/>
        <w:spacing w:before="120" w:beforeLines="50" w:after="50" w:line="400" w:lineRule="exact"/>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报  价  文  件</w:t>
      </w:r>
    </w:p>
    <w:p w14:paraId="6B526F4C">
      <w:pPr>
        <w:snapToGrid w:val="0"/>
        <w:spacing w:before="120" w:beforeLines="50" w:after="50" w:line="400" w:lineRule="exact"/>
        <w:rPr>
          <w:rFonts w:hint="eastAsia" w:ascii="仿宋" w:hAnsi="仿宋" w:eastAsia="仿宋" w:cs="仿宋"/>
          <w:bCs/>
          <w:color w:val="auto"/>
          <w:sz w:val="24"/>
          <w:szCs w:val="20"/>
          <w:highlight w:val="none"/>
        </w:rPr>
      </w:pPr>
    </w:p>
    <w:p w14:paraId="15AC7C83">
      <w:pPr>
        <w:snapToGrid w:val="0"/>
        <w:spacing w:before="120" w:beforeLines="50" w:after="50" w:line="400" w:lineRule="exact"/>
        <w:rPr>
          <w:rFonts w:hint="eastAsia" w:ascii="仿宋" w:hAnsi="仿宋" w:eastAsia="仿宋" w:cs="仿宋"/>
          <w:bCs/>
          <w:color w:val="auto"/>
          <w:sz w:val="24"/>
          <w:szCs w:val="20"/>
          <w:highlight w:val="none"/>
        </w:rPr>
      </w:pPr>
    </w:p>
    <w:p w14:paraId="0A072F3D">
      <w:pPr>
        <w:snapToGrid w:val="0"/>
        <w:spacing w:before="120" w:beforeLines="50" w:after="50" w:line="400" w:lineRule="exact"/>
        <w:rPr>
          <w:rFonts w:hint="eastAsia" w:ascii="仿宋" w:hAnsi="仿宋" w:eastAsia="仿宋" w:cs="仿宋"/>
          <w:bCs/>
          <w:color w:val="auto"/>
          <w:sz w:val="24"/>
          <w:szCs w:val="20"/>
          <w:highlight w:val="none"/>
        </w:rPr>
      </w:pPr>
    </w:p>
    <w:p w14:paraId="2DA80295">
      <w:pPr>
        <w:snapToGrid w:val="0"/>
        <w:spacing w:before="120" w:beforeLines="50" w:after="50" w:line="400" w:lineRule="exact"/>
        <w:rPr>
          <w:rFonts w:hint="eastAsia" w:ascii="仿宋" w:hAnsi="仿宋" w:eastAsia="仿宋" w:cs="仿宋"/>
          <w:bCs/>
          <w:color w:val="auto"/>
          <w:sz w:val="24"/>
          <w:szCs w:val="20"/>
          <w:highlight w:val="none"/>
        </w:rPr>
      </w:pPr>
    </w:p>
    <w:p w14:paraId="0B2B9204">
      <w:pPr>
        <w:snapToGrid w:val="0"/>
        <w:spacing w:before="120" w:beforeLines="50" w:after="50" w:line="400" w:lineRule="exact"/>
        <w:ind w:firstLine="360" w:firstLineChars="15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项目名称： </w:t>
      </w:r>
    </w:p>
    <w:p w14:paraId="1264BCC0">
      <w:pPr>
        <w:snapToGrid w:val="0"/>
        <w:spacing w:before="120" w:beforeLines="50" w:after="50" w:line="400" w:lineRule="exact"/>
        <w:ind w:firstLine="360" w:firstLineChars="150"/>
        <w:rPr>
          <w:rFonts w:hint="eastAsia" w:ascii="仿宋" w:hAnsi="仿宋" w:eastAsia="仿宋" w:cs="仿宋"/>
          <w:bCs/>
          <w:color w:val="auto"/>
          <w:sz w:val="24"/>
          <w:highlight w:val="none"/>
        </w:rPr>
      </w:pPr>
    </w:p>
    <w:p w14:paraId="5557912E">
      <w:pPr>
        <w:snapToGrid w:val="0"/>
        <w:spacing w:before="120" w:beforeLines="50" w:after="50" w:line="400" w:lineRule="exact"/>
        <w:ind w:firstLine="360" w:firstLineChars="15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项目编号： </w:t>
      </w:r>
    </w:p>
    <w:p w14:paraId="345924A6">
      <w:pPr>
        <w:snapToGrid w:val="0"/>
        <w:spacing w:before="120" w:beforeLines="50" w:after="50" w:line="400" w:lineRule="exact"/>
        <w:ind w:firstLine="360" w:firstLineChars="150"/>
        <w:rPr>
          <w:rFonts w:hint="eastAsia" w:ascii="仿宋" w:hAnsi="仿宋" w:eastAsia="仿宋" w:cs="仿宋"/>
          <w:bCs/>
          <w:color w:val="auto"/>
          <w:sz w:val="24"/>
          <w:highlight w:val="none"/>
        </w:rPr>
      </w:pPr>
    </w:p>
    <w:p w14:paraId="5586784D">
      <w:pPr>
        <w:snapToGrid w:val="0"/>
        <w:spacing w:before="120" w:beforeLines="50" w:after="50" w:line="400" w:lineRule="exact"/>
        <w:ind w:firstLine="360" w:firstLineChars="15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投标人名称：</w:t>
      </w:r>
    </w:p>
    <w:p w14:paraId="15633E71">
      <w:pPr>
        <w:snapToGrid w:val="0"/>
        <w:spacing w:before="120" w:beforeLines="50" w:after="50" w:line="400" w:lineRule="exact"/>
        <w:ind w:firstLine="360" w:firstLineChars="150"/>
        <w:rPr>
          <w:rFonts w:hint="eastAsia" w:ascii="仿宋" w:hAnsi="仿宋" w:eastAsia="仿宋" w:cs="仿宋"/>
          <w:bCs/>
          <w:color w:val="auto"/>
          <w:sz w:val="24"/>
          <w:highlight w:val="none"/>
        </w:rPr>
      </w:pPr>
    </w:p>
    <w:p w14:paraId="53C29257">
      <w:pPr>
        <w:snapToGrid w:val="0"/>
        <w:spacing w:before="120" w:beforeLines="50" w:after="50" w:line="400" w:lineRule="exact"/>
        <w:ind w:firstLine="360" w:firstLineChars="15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投标人地址：</w:t>
      </w:r>
    </w:p>
    <w:p w14:paraId="03968E4F">
      <w:pPr>
        <w:pStyle w:val="9"/>
        <w:snapToGrid w:val="0"/>
        <w:spacing w:before="50" w:after="50" w:line="400" w:lineRule="exact"/>
        <w:ind w:firstLine="960" w:firstLineChars="400"/>
        <w:rPr>
          <w:rFonts w:hint="eastAsia" w:ascii="仿宋" w:hAnsi="仿宋" w:eastAsia="仿宋" w:cs="仿宋"/>
          <w:bCs/>
          <w:color w:val="auto"/>
          <w:sz w:val="24"/>
          <w:szCs w:val="24"/>
          <w:highlight w:val="none"/>
        </w:rPr>
      </w:pPr>
    </w:p>
    <w:p w14:paraId="599C30E9">
      <w:pPr>
        <w:snapToGrid w:val="0"/>
        <w:spacing w:before="120" w:beforeLines="50" w:after="50" w:line="400" w:lineRule="exact"/>
        <w:rPr>
          <w:rFonts w:hint="eastAsia" w:ascii="仿宋" w:hAnsi="仿宋" w:eastAsia="仿宋" w:cs="仿宋"/>
          <w:color w:val="auto"/>
          <w:sz w:val="30"/>
          <w:szCs w:val="20"/>
          <w:highlight w:val="none"/>
        </w:rPr>
      </w:pPr>
      <w:r>
        <w:rPr>
          <w:rFonts w:hint="eastAsia" w:ascii="仿宋" w:hAnsi="仿宋" w:eastAsia="仿宋" w:cs="仿宋"/>
          <w:color w:val="auto"/>
          <w:sz w:val="24"/>
          <w:highlight w:val="none"/>
        </w:rPr>
        <w:t xml:space="preserve">                                   年  月  日</w:t>
      </w:r>
    </w:p>
    <w:p w14:paraId="2EB4FD4F">
      <w:pPr>
        <w:snapToGrid w:val="0"/>
        <w:spacing w:before="120" w:beforeLines="50" w:after="50" w:line="360" w:lineRule="auto"/>
        <w:jc w:val="left"/>
        <w:rPr>
          <w:rFonts w:hint="eastAsia" w:ascii="仿宋" w:hAnsi="仿宋" w:eastAsia="仿宋" w:cs="仿宋"/>
          <w:color w:val="auto"/>
          <w:sz w:val="24"/>
          <w:szCs w:val="20"/>
          <w:highlight w:val="none"/>
        </w:rPr>
      </w:pPr>
      <w:r>
        <w:rPr>
          <w:rFonts w:hint="eastAsia" w:ascii="仿宋" w:hAnsi="仿宋" w:eastAsia="仿宋" w:cs="仿宋"/>
          <w:b/>
          <w:color w:val="auto"/>
          <w:sz w:val="24"/>
          <w:highlight w:val="none"/>
        </w:rPr>
        <w:br w:type="page"/>
      </w:r>
      <w:r>
        <w:rPr>
          <w:rFonts w:hint="eastAsia" w:ascii="仿宋" w:hAnsi="仿宋" w:eastAsia="仿宋" w:cs="仿宋"/>
          <w:b/>
          <w:color w:val="auto"/>
          <w:sz w:val="24"/>
          <w:highlight w:val="none"/>
        </w:rPr>
        <w:t>2.</w:t>
      </w:r>
      <w:r>
        <w:rPr>
          <w:rFonts w:hint="eastAsia" w:ascii="仿宋" w:hAnsi="仿宋" w:eastAsia="仿宋" w:cs="仿宋"/>
          <w:b/>
          <w:bCs/>
          <w:color w:val="auto"/>
          <w:sz w:val="24"/>
          <w:highlight w:val="none"/>
        </w:rPr>
        <w:t>报价文件目录</w:t>
      </w:r>
    </w:p>
    <w:p w14:paraId="36A8612C">
      <w:pPr>
        <w:snapToGrid w:val="0"/>
        <w:spacing w:before="50" w:after="120" w:afterLines="50" w:line="360" w:lineRule="auto"/>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根据招标文件规定及投标人提供的材料自行编写目录。</w:t>
      </w:r>
    </w:p>
    <w:p w14:paraId="0CB47B07">
      <w:pPr>
        <w:snapToGrid w:val="0"/>
        <w:spacing w:before="120" w:beforeLines="50" w:after="50"/>
        <w:rPr>
          <w:rFonts w:hint="eastAsia" w:ascii="仿宋" w:hAnsi="仿宋" w:eastAsia="仿宋" w:cs="仿宋"/>
          <w:b/>
          <w:color w:val="auto"/>
          <w:sz w:val="24"/>
          <w:highlight w:val="none"/>
        </w:rPr>
      </w:pPr>
    </w:p>
    <w:p w14:paraId="490B2D91">
      <w:pPr>
        <w:snapToGrid w:val="0"/>
        <w:spacing w:before="120" w:beforeLines="50" w:after="50"/>
        <w:rPr>
          <w:rFonts w:hint="eastAsia" w:ascii="仿宋" w:hAnsi="仿宋" w:eastAsia="仿宋" w:cs="仿宋"/>
          <w:b/>
          <w:color w:val="auto"/>
          <w:sz w:val="24"/>
          <w:highlight w:val="none"/>
        </w:rPr>
      </w:pPr>
    </w:p>
    <w:p w14:paraId="76CA7016">
      <w:pPr>
        <w:snapToGrid w:val="0"/>
        <w:spacing w:before="120" w:beforeLines="50" w:after="50"/>
        <w:rPr>
          <w:rFonts w:hint="eastAsia" w:ascii="仿宋" w:hAnsi="仿宋" w:eastAsia="仿宋" w:cs="仿宋"/>
          <w:b/>
          <w:color w:val="auto"/>
          <w:sz w:val="24"/>
          <w:highlight w:val="none"/>
        </w:rPr>
      </w:pPr>
    </w:p>
    <w:p w14:paraId="62CC0B10">
      <w:pPr>
        <w:snapToGrid w:val="0"/>
        <w:spacing w:before="120" w:beforeLines="50" w:after="50"/>
        <w:ind w:left="142"/>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br w:type="page"/>
      </w:r>
      <w:r>
        <w:rPr>
          <w:rFonts w:hint="eastAsia" w:ascii="仿宋" w:hAnsi="仿宋" w:eastAsia="仿宋" w:cs="仿宋"/>
          <w:b/>
          <w:color w:val="auto"/>
          <w:sz w:val="24"/>
          <w:highlight w:val="none"/>
        </w:rPr>
        <w:t>3. 投标函格式：</w:t>
      </w:r>
    </w:p>
    <w:p w14:paraId="41248D59">
      <w:pPr>
        <w:snapToGrid w:val="0"/>
        <w:spacing w:before="120" w:beforeLines="50" w:after="50" w:line="360" w:lineRule="auto"/>
        <w:jc w:val="center"/>
        <w:rPr>
          <w:rFonts w:hint="eastAsia" w:ascii="仿宋" w:hAnsi="仿宋" w:eastAsia="仿宋" w:cs="仿宋"/>
          <w:bCs/>
          <w:color w:val="auto"/>
          <w:sz w:val="44"/>
          <w:szCs w:val="44"/>
          <w:highlight w:val="none"/>
        </w:rPr>
      </w:pPr>
      <w:r>
        <w:rPr>
          <w:rFonts w:hint="eastAsia" w:ascii="仿宋" w:hAnsi="仿宋" w:eastAsia="仿宋" w:cs="仿宋"/>
          <w:bCs/>
          <w:color w:val="auto"/>
          <w:sz w:val="44"/>
          <w:szCs w:val="44"/>
          <w:highlight w:val="none"/>
        </w:rPr>
        <w:t>投 标 函</w:t>
      </w:r>
    </w:p>
    <w:p w14:paraId="78340B6C">
      <w:pPr>
        <w:keepNext w:val="0"/>
        <w:keepLines w:val="0"/>
        <w:pageBreakBefore w:val="0"/>
        <w:widowControl w:val="0"/>
        <w:kinsoku/>
        <w:wordWrap/>
        <w:overflowPunct/>
        <w:topLinePunct w:val="0"/>
        <w:autoSpaceDE/>
        <w:autoSpaceDN/>
        <w:bidi w:val="0"/>
        <w:adjustRightInd/>
        <w:snapToGrid/>
        <w:spacing w:line="420" w:lineRule="exact"/>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致：</w:t>
      </w:r>
      <w:r>
        <w:rPr>
          <w:rFonts w:hint="eastAsia" w:ascii="仿宋" w:hAnsi="仿宋" w:eastAsia="仿宋" w:cs="仿宋"/>
          <w:color w:val="auto"/>
          <w:sz w:val="24"/>
          <w:highlight w:val="none"/>
          <w:u w:val="single"/>
        </w:rPr>
        <w:t xml:space="preserve">采购人名称 </w:t>
      </w:r>
    </w:p>
    <w:p w14:paraId="26125E12">
      <w:pPr>
        <w:keepNext w:val="0"/>
        <w:keepLines w:val="0"/>
        <w:pageBreakBefore w:val="0"/>
        <w:widowControl w:val="0"/>
        <w:kinsoku/>
        <w:wordWrap/>
        <w:overflowPunct/>
        <w:topLinePunct w:val="0"/>
        <w:autoSpaceDE/>
        <w:autoSpaceDN/>
        <w:bidi w:val="0"/>
        <w:adjustRightInd/>
        <w:snapToGrid/>
        <w:spacing w:line="420" w:lineRule="exact"/>
        <w:ind w:firstLine="48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根据贵方</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（项目编号：</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）的招标公告，签字代表______（姓名）经正式授权并代表投标人（投标人名称）提交投标文件。</w:t>
      </w:r>
    </w:p>
    <w:p w14:paraId="53F10612">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据此函，我方宣布同意如下：</w:t>
      </w:r>
    </w:p>
    <w:p w14:paraId="3A06043E">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1.我方已详细审查全部“招标文件”，包括修改文件（如有的话）以及全部参考资料和有关附件，已经了解我方对于招标文件、采购过程、采购结果有依法进行询问、质疑、投诉的权利及相关渠道和要求。</w:t>
      </w:r>
    </w:p>
    <w:p w14:paraId="6A4BEC34">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2.我方在投标之前已经完全理解并接受招标文件的各项规定和要求，对招标文件的合理性、合法性不再有异议。</w:t>
      </w:r>
    </w:p>
    <w:p w14:paraId="3CF3A2C4">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3.本投标有效期自投标截止之日起</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日。</w:t>
      </w:r>
    </w:p>
    <w:p w14:paraId="411FC68C">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4.如中标，本投标文件至本项目合同履行完毕止均保持有效，我方将按“招标文件”及政府采购法律、法规的规定履行合同责任和义务。</w:t>
      </w:r>
    </w:p>
    <w:p w14:paraId="37F10287">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5.我方同意按照贵方要求提供与投标有关的一切数据或者资料。</w:t>
      </w:r>
    </w:p>
    <w:p w14:paraId="3EE8AC06">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6.我方向贵方提交的所有投标文件、资料都是准确的和真实的。</w:t>
      </w:r>
    </w:p>
    <w:p w14:paraId="3AE1005B">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7.以上事项如有虚假或者隐瞒，我方愿意承担一切后果，并不再寻求任何旨在减轻或者免除法律责任的辩解。</w:t>
      </w:r>
    </w:p>
    <w:p w14:paraId="67F37603">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8.根据《中华人民共和国政府采购法实施条例》第五十条要求对政府采购合同进行公告，但政府采购合同中涉及国家秘密、商业秘密的内容除外。我方就对本次投标文件进行注明如下：（两项内容中必须选择一项）</w:t>
      </w:r>
    </w:p>
    <w:p w14:paraId="2F4794EF">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□我方本次投标文件</w:t>
      </w:r>
      <w:r>
        <w:rPr>
          <w:rFonts w:hint="eastAsia" w:ascii="仿宋" w:hAnsi="仿宋" w:eastAsia="仿宋" w:cs="仿宋"/>
          <w:color w:val="auto"/>
          <w:kern w:val="0"/>
          <w:sz w:val="24"/>
          <w:highlight w:val="none"/>
        </w:rPr>
        <w:t>内容中</w:t>
      </w:r>
      <w:r>
        <w:rPr>
          <w:rFonts w:hint="eastAsia" w:ascii="仿宋" w:hAnsi="仿宋" w:eastAsia="仿宋" w:cs="仿宋"/>
          <w:color w:val="auto"/>
          <w:sz w:val="24"/>
          <w:highlight w:val="none"/>
        </w:rPr>
        <w:t>未</w:t>
      </w:r>
      <w:r>
        <w:rPr>
          <w:rFonts w:hint="eastAsia" w:ascii="仿宋" w:hAnsi="仿宋" w:eastAsia="仿宋" w:cs="仿宋"/>
          <w:color w:val="auto"/>
          <w:kern w:val="0"/>
          <w:sz w:val="24"/>
          <w:highlight w:val="none"/>
        </w:rPr>
        <w:t>涉及商业秘密；</w:t>
      </w:r>
    </w:p>
    <w:p w14:paraId="5FC0189D">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□我方本次投标文件</w:t>
      </w:r>
      <w:r>
        <w:rPr>
          <w:rFonts w:hint="eastAsia" w:ascii="仿宋" w:hAnsi="仿宋" w:eastAsia="仿宋" w:cs="仿宋"/>
          <w:color w:val="auto"/>
          <w:kern w:val="0"/>
          <w:sz w:val="24"/>
          <w:highlight w:val="none"/>
        </w:rPr>
        <w:t>涉及商业秘密的内容有：；</w:t>
      </w:r>
    </w:p>
    <w:p w14:paraId="7B628B8B">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9.与本投标有关的一切正式往来信函请寄：</w:t>
      </w:r>
    </w:p>
    <w:p w14:paraId="78E070CE">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地址：邮编：</w:t>
      </w:r>
    </w:p>
    <w:p w14:paraId="475EF07E">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电话：传真：</w:t>
      </w:r>
    </w:p>
    <w:p w14:paraId="64BD5E48">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p w14:paraId="76E84600">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jc w:val="left"/>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w:t>
      </w:r>
    </w:p>
    <w:p w14:paraId="4BB9C6AA">
      <w:pPr>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jc w:val="left"/>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银行账号：</w:t>
      </w:r>
    </w:p>
    <w:p w14:paraId="75A27D0C">
      <w:pPr>
        <w:pStyle w:val="27"/>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jc w:val="left"/>
        <w:textAlignment w:val="auto"/>
        <w:outlineLvl w:val="9"/>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法定代表人或者委托代理人[签字</w:t>
      </w:r>
      <w:r>
        <w:rPr>
          <w:rFonts w:hint="eastAsia" w:ascii="仿宋" w:hAnsi="仿宋" w:eastAsia="仿宋" w:cs="仿宋"/>
          <w:color w:val="auto"/>
          <w:sz w:val="24"/>
          <w:szCs w:val="24"/>
          <w:highlight w:val="none"/>
          <w:u w:val="none"/>
          <w:lang w:val="en-US" w:eastAsia="zh-CN"/>
        </w:rPr>
        <w:t>或</w:t>
      </w:r>
      <w:r>
        <w:rPr>
          <w:rFonts w:hint="eastAsia" w:ascii="仿宋" w:hAnsi="仿宋" w:eastAsia="仿宋" w:cs="仿宋"/>
          <w:color w:val="auto"/>
          <w:sz w:val="24"/>
          <w:szCs w:val="24"/>
          <w:highlight w:val="none"/>
          <w:u w:val="none"/>
        </w:rPr>
        <w:t xml:space="preserve">CA签章、自然人除外]:___________ </w:t>
      </w:r>
    </w:p>
    <w:p w14:paraId="2A530BE0">
      <w:pPr>
        <w:pStyle w:val="27"/>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jc w:val="left"/>
        <w:textAlignment w:val="auto"/>
        <w:outlineLvl w:val="9"/>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投标人[</w:t>
      </w:r>
      <w:r>
        <w:rPr>
          <w:rFonts w:hint="eastAsia" w:ascii="仿宋" w:hAnsi="仿宋" w:eastAsia="仿宋" w:cs="仿宋"/>
          <w:color w:val="auto"/>
          <w:sz w:val="24"/>
          <w:szCs w:val="24"/>
          <w:highlight w:val="none"/>
          <w:u w:val="none"/>
          <w:lang w:eastAsia="zh-CN"/>
        </w:rPr>
        <w:t>公章(或CA签章)</w:t>
      </w:r>
      <w:r>
        <w:rPr>
          <w:rFonts w:hint="eastAsia" w:ascii="仿宋" w:hAnsi="仿宋" w:eastAsia="仿宋" w:cs="仿宋"/>
          <w:color w:val="auto"/>
          <w:sz w:val="24"/>
          <w:szCs w:val="24"/>
          <w:highlight w:val="none"/>
          <w:u w:val="none"/>
        </w:rPr>
        <w:t>、自然人除外]：</w:t>
      </w:r>
    </w:p>
    <w:p w14:paraId="0B734B56">
      <w:pPr>
        <w:pStyle w:val="27"/>
        <w:keepNext w:val="0"/>
        <w:keepLines w:val="0"/>
        <w:pageBreakBefore w:val="0"/>
        <w:widowControl w:val="0"/>
        <w:kinsoku/>
        <w:wordWrap/>
        <w:overflowPunct/>
        <w:topLinePunct w:val="0"/>
        <w:autoSpaceDE/>
        <w:autoSpaceDN/>
        <w:bidi w:val="0"/>
        <w:adjustRightInd/>
        <w:snapToGrid/>
        <w:spacing w:line="420" w:lineRule="exact"/>
        <w:ind w:firstLine="480" w:firstLineChars="200"/>
        <w:contextualSpacing/>
        <w:textAlignment w:val="auto"/>
        <w:outlineLvl w:val="9"/>
        <w:rPr>
          <w:rFonts w:hint="eastAsia" w:ascii="仿宋" w:hAnsi="仿宋" w:eastAsia="仿宋" w:cs="仿宋"/>
          <w:color w:val="auto"/>
          <w:sz w:val="24"/>
          <w:szCs w:val="24"/>
          <w:highlight w:val="none"/>
          <w:u w:val="single"/>
        </w:rPr>
      </w:pPr>
    </w:p>
    <w:p w14:paraId="3DA29FF2">
      <w:pPr>
        <w:pStyle w:val="27"/>
        <w:keepNext w:val="0"/>
        <w:keepLines w:val="0"/>
        <w:pageBreakBefore w:val="0"/>
        <w:widowControl w:val="0"/>
        <w:kinsoku/>
        <w:wordWrap/>
        <w:overflowPunct/>
        <w:topLinePunct w:val="0"/>
        <w:autoSpaceDE/>
        <w:autoSpaceDN/>
        <w:bidi w:val="0"/>
        <w:adjustRightInd/>
        <w:snapToGrid/>
        <w:spacing w:line="420" w:lineRule="exact"/>
        <w:ind w:firstLine="960" w:firstLineChars="400"/>
        <w:contextualSpacing/>
        <w:textAlignment w:val="auto"/>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年   月   日</w:t>
      </w:r>
    </w:p>
    <w:p w14:paraId="5FA05B48">
      <w:pPr>
        <w:snapToGrid w:val="0"/>
        <w:spacing w:before="120" w:beforeLines="50" w:after="50" w:line="440" w:lineRule="exact"/>
        <w:jc w:val="left"/>
        <w:rPr>
          <w:rFonts w:hint="eastAsia" w:ascii="仿宋" w:hAnsi="仿宋" w:eastAsia="仿宋" w:cs="仿宋"/>
          <w:b/>
          <w:color w:val="auto"/>
          <w:sz w:val="24"/>
          <w:szCs w:val="20"/>
          <w:highlight w:val="none"/>
        </w:rPr>
      </w:pPr>
      <w:r>
        <w:rPr>
          <w:rFonts w:hint="eastAsia" w:ascii="仿宋" w:hAnsi="仿宋" w:eastAsia="仿宋" w:cs="仿宋"/>
          <w:color w:val="auto"/>
          <w:highlight w:val="none"/>
          <w:u w:val="single"/>
        </w:rPr>
        <w:br w:type="page"/>
      </w:r>
      <w:r>
        <w:rPr>
          <w:rFonts w:hint="eastAsia" w:ascii="仿宋" w:hAnsi="仿宋" w:eastAsia="仿宋" w:cs="仿宋"/>
          <w:b/>
          <w:color w:val="auto"/>
          <w:sz w:val="24"/>
          <w:highlight w:val="none"/>
        </w:rPr>
        <w:t>4. 开标一览表格式</w:t>
      </w:r>
    </w:p>
    <w:p w14:paraId="6DFE153C">
      <w:pPr>
        <w:snapToGrid w:val="0"/>
        <w:spacing w:before="50" w:after="50"/>
        <w:jc w:val="center"/>
        <w:rPr>
          <w:rFonts w:hint="eastAsia" w:ascii="仿宋" w:hAnsi="仿宋" w:eastAsia="仿宋" w:cs="仿宋"/>
          <w:b/>
          <w:color w:val="auto"/>
          <w:sz w:val="30"/>
          <w:highlight w:val="none"/>
        </w:rPr>
      </w:pPr>
      <w:r>
        <w:rPr>
          <w:rFonts w:hint="eastAsia" w:ascii="仿宋" w:hAnsi="仿宋" w:eastAsia="仿宋" w:cs="仿宋"/>
          <w:b/>
          <w:color w:val="auto"/>
          <w:sz w:val="30"/>
          <w:highlight w:val="none"/>
        </w:rPr>
        <w:t>开标一览表</w:t>
      </w:r>
    </w:p>
    <w:p w14:paraId="77211E91">
      <w:pPr>
        <w:snapToGrid w:val="0"/>
        <w:spacing w:before="50" w:after="50"/>
        <w:jc w:val="center"/>
        <w:rPr>
          <w:rFonts w:hint="eastAsia" w:ascii="仿宋" w:hAnsi="仿宋" w:eastAsia="仿宋" w:cs="仿宋"/>
          <w:b/>
          <w:color w:val="auto"/>
          <w:sz w:val="30"/>
          <w:szCs w:val="20"/>
          <w:highlight w:val="none"/>
        </w:rPr>
      </w:pPr>
    </w:p>
    <w:p w14:paraId="08FEE6EA">
      <w:pPr>
        <w:snapToGrid w:val="0"/>
        <w:spacing w:before="50" w:after="50"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项目编号：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p w14:paraId="12919F35">
      <w:pPr>
        <w:snapToGrid w:val="0"/>
        <w:spacing w:before="50" w:after="50"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分标：</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p w14:paraId="21E07DF3">
      <w:pPr>
        <w:snapToGrid w:val="0"/>
        <w:spacing w:before="50" w:after="50"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单位：元</w:t>
      </w:r>
    </w:p>
    <w:tbl>
      <w:tblPr>
        <w:tblStyle w:val="5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56"/>
        <w:gridCol w:w="2627"/>
        <w:gridCol w:w="809"/>
        <w:gridCol w:w="957"/>
        <w:gridCol w:w="957"/>
        <w:gridCol w:w="3130"/>
      </w:tblGrid>
      <w:tr w14:paraId="1CED67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14:paraId="65F74C8C">
            <w:pPr>
              <w:snapToGrid w:val="0"/>
              <w:spacing w:before="50" w:after="50"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627" w:type="dxa"/>
            <w:tcBorders>
              <w:top w:val="single" w:color="auto" w:sz="4" w:space="0"/>
              <w:left w:val="single" w:color="auto" w:sz="4" w:space="0"/>
              <w:bottom w:val="single" w:color="auto" w:sz="4" w:space="0"/>
              <w:right w:val="single" w:color="auto" w:sz="4" w:space="0"/>
            </w:tcBorders>
            <w:noWrap w:val="0"/>
            <w:vAlign w:val="center"/>
          </w:tcPr>
          <w:p w14:paraId="41A5397C">
            <w:pPr>
              <w:snapToGrid w:val="0"/>
              <w:spacing w:before="50" w:after="50"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标的的名称</w:t>
            </w:r>
          </w:p>
        </w:tc>
        <w:tc>
          <w:tcPr>
            <w:tcW w:w="809" w:type="dxa"/>
            <w:tcBorders>
              <w:top w:val="single" w:color="auto" w:sz="4" w:space="0"/>
              <w:left w:val="single" w:color="auto" w:sz="4" w:space="0"/>
              <w:bottom w:val="single" w:color="auto" w:sz="4" w:space="0"/>
              <w:right w:val="single" w:color="auto" w:sz="4" w:space="0"/>
            </w:tcBorders>
            <w:noWrap w:val="0"/>
            <w:vAlign w:val="center"/>
          </w:tcPr>
          <w:p w14:paraId="1BC6F265">
            <w:pPr>
              <w:snapToGrid w:val="0"/>
              <w:spacing w:before="50" w:after="50"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4C5AC530">
            <w:pPr>
              <w:snapToGrid w:val="0"/>
              <w:spacing w:before="50" w:after="50"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数量及单位①</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54799526">
            <w:pPr>
              <w:snapToGrid w:val="0"/>
              <w:spacing w:before="50" w:after="50"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p w14:paraId="1A904DD3">
            <w:pPr>
              <w:snapToGrid w:val="0"/>
              <w:spacing w:before="50" w:after="50"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②</w:t>
            </w:r>
          </w:p>
        </w:tc>
        <w:tc>
          <w:tcPr>
            <w:tcW w:w="3130" w:type="dxa"/>
            <w:tcBorders>
              <w:top w:val="single" w:color="auto" w:sz="4" w:space="0"/>
              <w:left w:val="single" w:color="auto" w:sz="4" w:space="0"/>
              <w:bottom w:val="single" w:color="auto" w:sz="4" w:space="0"/>
              <w:right w:val="single" w:color="auto" w:sz="4" w:space="0"/>
            </w:tcBorders>
            <w:noWrap w:val="0"/>
            <w:vAlign w:val="center"/>
          </w:tcPr>
          <w:p w14:paraId="7ABC46CC">
            <w:pPr>
              <w:snapToGrid w:val="0"/>
              <w:spacing w:before="50" w:after="50"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w:t>
            </w:r>
          </w:p>
          <w:p w14:paraId="6E8DF316">
            <w:pPr>
              <w:snapToGrid w:val="0"/>
              <w:spacing w:before="50" w:after="50"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③=①×②</w:t>
            </w:r>
          </w:p>
        </w:tc>
      </w:tr>
      <w:tr w14:paraId="05771B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1"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14:paraId="16237841">
            <w:pPr>
              <w:snapToGrid w:val="0"/>
              <w:spacing w:before="50" w:after="50"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p>
        </w:tc>
        <w:tc>
          <w:tcPr>
            <w:tcW w:w="2627" w:type="dxa"/>
            <w:tcBorders>
              <w:top w:val="single" w:color="auto" w:sz="4" w:space="0"/>
              <w:left w:val="single" w:color="auto" w:sz="4" w:space="0"/>
              <w:bottom w:val="single" w:color="auto" w:sz="4" w:space="0"/>
              <w:right w:val="single" w:color="auto" w:sz="4" w:space="0"/>
            </w:tcBorders>
            <w:noWrap w:val="0"/>
            <w:vAlign w:val="center"/>
          </w:tcPr>
          <w:p w14:paraId="70208194">
            <w:pPr>
              <w:snapToGrid w:val="0"/>
              <w:spacing w:before="50" w:after="50" w:line="360" w:lineRule="auto"/>
              <w:jc w:val="center"/>
              <w:rPr>
                <w:rFonts w:hint="eastAsia" w:ascii="仿宋" w:hAnsi="仿宋" w:eastAsia="仿宋" w:cs="仿宋"/>
                <w:b/>
                <w:color w:val="auto"/>
                <w:sz w:val="24"/>
                <w:highlight w:val="none"/>
              </w:rPr>
            </w:pPr>
          </w:p>
        </w:tc>
        <w:tc>
          <w:tcPr>
            <w:tcW w:w="809" w:type="dxa"/>
            <w:tcBorders>
              <w:top w:val="single" w:color="auto" w:sz="4" w:space="0"/>
              <w:left w:val="single" w:color="auto" w:sz="4" w:space="0"/>
              <w:bottom w:val="single" w:color="auto" w:sz="4" w:space="0"/>
              <w:right w:val="single" w:color="auto" w:sz="4" w:space="0"/>
            </w:tcBorders>
            <w:noWrap w:val="0"/>
            <w:vAlign w:val="center"/>
          </w:tcPr>
          <w:p w14:paraId="749490CB">
            <w:pPr>
              <w:snapToGrid w:val="0"/>
              <w:spacing w:before="50" w:after="50" w:line="360" w:lineRule="auto"/>
              <w:rPr>
                <w:rFonts w:hint="eastAsia" w:ascii="仿宋" w:hAnsi="仿宋" w:eastAsia="仿宋" w:cs="仿宋"/>
                <w:color w:val="auto"/>
                <w:sz w:val="24"/>
                <w:highlight w:val="none"/>
              </w:rPr>
            </w:pPr>
          </w:p>
        </w:tc>
        <w:tc>
          <w:tcPr>
            <w:tcW w:w="957" w:type="dxa"/>
            <w:tcBorders>
              <w:top w:val="single" w:color="auto" w:sz="4" w:space="0"/>
              <w:left w:val="single" w:color="auto" w:sz="4" w:space="0"/>
              <w:bottom w:val="single" w:color="auto" w:sz="4" w:space="0"/>
              <w:right w:val="single" w:color="auto" w:sz="4" w:space="0"/>
            </w:tcBorders>
            <w:noWrap w:val="0"/>
            <w:vAlign w:val="center"/>
          </w:tcPr>
          <w:p w14:paraId="08AD9155">
            <w:pPr>
              <w:snapToGrid w:val="0"/>
              <w:spacing w:before="50" w:after="50" w:line="360" w:lineRule="auto"/>
              <w:rPr>
                <w:rFonts w:hint="eastAsia" w:ascii="仿宋" w:hAnsi="仿宋" w:eastAsia="仿宋" w:cs="仿宋"/>
                <w:color w:val="auto"/>
                <w:sz w:val="24"/>
                <w:highlight w:val="none"/>
              </w:rPr>
            </w:pPr>
          </w:p>
        </w:tc>
        <w:tc>
          <w:tcPr>
            <w:tcW w:w="957" w:type="dxa"/>
            <w:tcBorders>
              <w:top w:val="single" w:color="auto" w:sz="4" w:space="0"/>
              <w:left w:val="single" w:color="auto" w:sz="4" w:space="0"/>
              <w:bottom w:val="single" w:color="auto" w:sz="4" w:space="0"/>
              <w:right w:val="single" w:color="auto" w:sz="4" w:space="0"/>
            </w:tcBorders>
            <w:noWrap w:val="0"/>
            <w:vAlign w:val="center"/>
          </w:tcPr>
          <w:p w14:paraId="3A3C9B1A">
            <w:pPr>
              <w:snapToGrid w:val="0"/>
              <w:spacing w:before="50" w:after="50" w:line="360" w:lineRule="auto"/>
              <w:rPr>
                <w:rFonts w:hint="eastAsia" w:ascii="仿宋" w:hAnsi="仿宋" w:eastAsia="仿宋" w:cs="仿宋"/>
                <w:color w:val="auto"/>
                <w:sz w:val="24"/>
                <w:highlight w:val="none"/>
              </w:rPr>
            </w:pPr>
          </w:p>
        </w:tc>
        <w:tc>
          <w:tcPr>
            <w:tcW w:w="3130" w:type="dxa"/>
            <w:tcBorders>
              <w:top w:val="single" w:color="auto" w:sz="4" w:space="0"/>
              <w:left w:val="single" w:color="auto" w:sz="4" w:space="0"/>
              <w:bottom w:val="single" w:color="auto" w:sz="4" w:space="0"/>
              <w:right w:val="single" w:color="auto" w:sz="4" w:space="0"/>
            </w:tcBorders>
            <w:noWrap w:val="0"/>
            <w:vAlign w:val="center"/>
          </w:tcPr>
          <w:p w14:paraId="607D2036">
            <w:pPr>
              <w:snapToGrid w:val="0"/>
              <w:spacing w:before="50" w:after="50" w:line="360" w:lineRule="auto"/>
              <w:rPr>
                <w:rFonts w:hint="eastAsia" w:ascii="仿宋" w:hAnsi="仿宋" w:eastAsia="仿宋" w:cs="仿宋"/>
                <w:color w:val="auto"/>
                <w:sz w:val="24"/>
                <w:highlight w:val="none"/>
              </w:rPr>
            </w:pPr>
          </w:p>
        </w:tc>
      </w:tr>
      <w:tr w14:paraId="733DF9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9" w:hRule="atLeast"/>
          <w:jc w:val="center"/>
        </w:trPr>
        <w:tc>
          <w:tcPr>
            <w:tcW w:w="9236" w:type="dxa"/>
            <w:gridSpan w:val="6"/>
            <w:tcBorders>
              <w:top w:val="single" w:color="auto" w:sz="4" w:space="0"/>
              <w:left w:val="single" w:color="auto" w:sz="4" w:space="0"/>
              <w:bottom w:val="single" w:color="auto" w:sz="4" w:space="0"/>
              <w:right w:val="single" w:color="auto" w:sz="4" w:space="0"/>
            </w:tcBorders>
            <w:noWrap w:val="0"/>
            <w:vAlign w:val="center"/>
          </w:tcPr>
          <w:p w14:paraId="06ECE7C9">
            <w:pPr>
              <w:snapToGrid w:val="0"/>
              <w:spacing w:before="50" w:after="50"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合计金额大写：人民币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tc>
      </w:tr>
    </w:tbl>
    <w:p w14:paraId="7FCBC824">
      <w:pPr>
        <w:snapToGrid w:val="0"/>
        <w:spacing w:before="50" w:after="50"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注: </w:t>
      </w:r>
    </w:p>
    <w:p w14:paraId="32BC3A1C">
      <w:pPr>
        <w:snapToGrid w:val="0"/>
        <w:spacing w:before="50" w:after="5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1.投标人的开标一览表必须加盖投标人公章并由法定代表人或者委托代理人签字，</w:t>
      </w:r>
      <w:r>
        <w:rPr>
          <w:rFonts w:hint="eastAsia" w:ascii="仿宋" w:hAnsi="仿宋" w:eastAsia="仿宋" w:cs="仿宋"/>
          <w:b/>
          <w:color w:val="auto"/>
          <w:sz w:val="24"/>
          <w:highlight w:val="none"/>
        </w:rPr>
        <w:t>否则其投标作无效标处理</w:t>
      </w:r>
      <w:r>
        <w:rPr>
          <w:rFonts w:hint="eastAsia" w:ascii="仿宋" w:hAnsi="仿宋" w:eastAsia="仿宋" w:cs="仿宋"/>
          <w:color w:val="auto"/>
          <w:sz w:val="24"/>
          <w:highlight w:val="none"/>
        </w:rPr>
        <w:t>。</w:t>
      </w:r>
    </w:p>
    <w:p w14:paraId="06A7088C">
      <w:pPr>
        <w:snapToGrid w:val="0"/>
        <w:spacing w:before="50" w:after="50" w:line="360" w:lineRule="auto"/>
        <w:ind w:firstLine="480" w:firstLineChars="200"/>
        <w:jc w:val="left"/>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2.</w:t>
      </w:r>
      <w:r>
        <w:rPr>
          <w:rFonts w:hint="eastAsia" w:ascii="仿宋" w:hAnsi="仿宋" w:eastAsia="仿宋" w:cs="仿宋"/>
          <w:color w:val="auto"/>
          <w:sz w:val="24"/>
          <w:highlight w:val="none"/>
        </w:rPr>
        <w:t>报价一经涂改，应在涂改处加盖投标人公章或者由法定代表人或者委托代理人签字或者盖章</w:t>
      </w:r>
      <w:r>
        <w:rPr>
          <w:rFonts w:hint="eastAsia" w:ascii="仿宋" w:hAnsi="仿宋" w:eastAsia="仿宋" w:cs="仿宋"/>
          <w:b/>
          <w:color w:val="auto"/>
          <w:sz w:val="24"/>
          <w:highlight w:val="none"/>
        </w:rPr>
        <w:t>，否则其投标作无效标处理。</w:t>
      </w:r>
    </w:p>
    <w:p w14:paraId="49821F91">
      <w:pPr>
        <w:snapToGrid w:val="0"/>
        <w:spacing w:before="50" w:after="5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3.招标文件中列明采购专用耗材的，应按招标文件规定的耗材量或者按耗材的常规试用量提供报价。</w:t>
      </w:r>
    </w:p>
    <w:p w14:paraId="74987CDE">
      <w:pPr>
        <w:snapToGrid w:val="0"/>
        <w:spacing w:before="50" w:after="50" w:line="360" w:lineRule="auto"/>
        <w:ind w:firstLine="482" w:firstLineChars="200"/>
        <w:rPr>
          <w:rFonts w:hint="eastAsia" w:ascii="仿宋" w:hAnsi="仿宋" w:eastAsia="仿宋" w:cs="仿宋"/>
          <w:b/>
          <w:color w:val="auto"/>
          <w:sz w:val="24"/>
          <w:highlight w:val="none"/>
        </w:rPr>
      </w:pPr>
    </w:p>
    <w:p w14:paraId="0AFAB0FA">
      <w:pPr>
        <w:snapToGrid w:val="0"/>
        <w:spacing w:before="50" w:after="50" w:line="360" w:lineRule="auto"/>
        <w:ind w:firstLine="482" w:firstLineChars="200"/>
        <w:rPr>
          <w:rFonts w:hint="eastAsia" w:ascii="仿宋" w:hAnsi="仿宋" w:eastAsia="仿宋" w:cs="仿宋"/>
          <w:b/>
          <w:color w:val="auto"/>
          <w:sz w:val="24"/>
          <w:highlight w:val="none"/>
        </w:rPr>
      </w:pPr>
    </w:p>
    <w:p w14:paraId="69B56B45">
      <w:pPr>
        <w:snapToGrid w:val="0"/>
        <w:spacing w:before="50" w:after="50" w:line="360" w:lineRule="auto"/>
        <w:ind w:left="-3" w:leftChars="-15" w:right="-817" w:rightChars="-389" w:hanging="28" w:hangingChars="12"/>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法定代表人或者委托代理人[签字或CA签章、自然人除外]:___________ </w:t>
      </w:r>
    </w:p>
    <w:p w14:paraId="69E3AFAD">
      <w:pPr>
        <w:snapToGrid w:val="0"/>
        <w:spacing w:before="50" w:after="50" w:line="360" w:lineRule="auto"/>
        <w:ind w:left="-3" w:leftChars="-15" w:right="-817" w:rightChars="-389" w:hanging="28" w:hangingChars="12"/>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公章(或CA签章)</w:t>
      </w:r>
      <w:r>
        <w:rPr>
          <w:rFonts w:hint="eastAsia" w:ascii="仿宋" w:hAnsi="仿宋" w:eastAsia="仿宋" w:cs="仿宋"/>
          <w:color w:val="auto"/>
          <w:sz w:val="24"/>
          <w:highlight w:val="none"/>
        </w:rPr>
        <w:t>、自然人除外]：</w:t>
      </w:r>
    </w:p>
    <w:p w14:paraId="719B8F08">
      <w:pPr>
        <w:snapToGrid w:val="0"/>
        <w:spacing w:before="50" w:after="50" w:line="360" w:lineRule="auto"/>
        <w:ind w:left="-3" w:leftChars="-15" w:right="-817" w:rightChars="-389" w:hanging="28" w:hangingChars="12"/>
        <w:rPr>
          <w:rFonts w:hint="eastAsia" w:ascii="仿宋" w:hAnsi="仿宋" w:eastAsia="仿宋" w:cs="仿宋"/>
          <w:color w:val="auto"/>
          <w:szCs w:val="21"/>
          <w:highlight w:val="none"/>
        </w:rPr>
      </w:pPr>
      <w:r>
        <w:rPr>
          <w:rFonts w:hint="eastAsia" w:ascii="仿宋" w:hAnsi="仿宋" w:eastAsia="仿宋" w:cs="仿宋"/>
          <w:color w:val="auto"/>
          <w:sz w:val="24"/>
          <w:highlight w:val="none"/>
        </w:rPr>
        <w:t>日期：    年   月   日</w:t>
      </w:r>
    </w:p>
    <w:p w14:paraId="170008C1">
      <w:pPr>
        <w:rPr>
          <w:rFonts w:hint="eastAsia" w:ascii="仿宋" w:hAnsi="仿宋" w:eastAsia="仿宋" w:cs="仿宋"/>
          <w:b/>
          <w:bCs/>
          <w:color w:val="auto"/>
          <w:sz w:val="24"/>
          <w:highlight w:val="none"/>
        </w:rPr>
      </w:pPr>
    </w:p>
    <w:p w14:paraId="401077C6">
      <w:pPr>
        <w:rPr>
          <w:rFonts w:hint="eastAsia" w:ascii="仿宋" w:hAnsi="仿宋" w:eastAsia="仿宋" w:cs="仿宋"/>
          <w:b/>
          <w:bCs/>
          <w:color w:val="auto"/>
          <w:sz w:val="24"/>
          <w:highlight w:val="none"/>
        </w:rPr>
      </w:pPr>
    </w:p>
    <w:p w14:paraId="307DE167">
      <w:pPr>
        <w:rPr>
          <w:rFonts w:hint="eastAsia" w:ascii="仿宋" w:hAnsi="仿宋" w:eastAsia="仿宋" w:cs="仿宋"/>
          <w:b/>
          <w:color w:val="auto"/>
          <w:sz w:val="28"/>
          <w:szCs w:val="28"/>
          <w:highlight w:val="none"/>
        </w:rPr>
      </w:pPr>
      <w:r>
        <w:rPr>
          <w:rFonts w:hint="eastAsia" w:ascii="仿宋" w:hAnsi="仿宋" w:eastAsia="仿宋" w:cs="仿宋"/>
          <w:b/>
          <w:bCs/>
          <w:color w:val="auto"/>
          <w:sz w:val="24"/>
          <w:highlight w:val="none"/>
        </w:rPr>
        <w:t>5、投标人针对报价需要说明的其他文件和说明（格式自拟）</w:t>
      </w:r>
      <w:r>
        <w:rPr>
          <w:rFonts w:hint="eastAsia" w:ascii="仿宋" w:hAnsi="仿宋" w:eastAsia="仿宋" w:cs="仿宋"/>
          <w:b/>
          <w:bCs/>
          <w:color w:val="auto"/>
          <w:sz w:val="24"/>
          <w:highlight w:val="none"/>
        </w:rPr>
        <w:br w:type="page"/>
      </w:r>
      <w:bookmarkStart w:id="193" w:name="_Toc19686837"/>
      <w:r>
        <w:rPr>
          <w:rFonts w:hint="eastAsia" w:ascii="仿宋" w:hAnsi="仿宋" w:eastAsia="仿宋" w:cs="仿宋"/>
          <w:b/>
          <w:color w:val="auto"/>
          <w:sz w:val="28"/>
          <w:szCs w:val="28"/>
          <w:highlight w:val="none"/>
        </w:rPr>
        <w:t>二、资格证明文件格式</w:t>
      </w:r>
      <w:bookmarkEnd w:id="191"/>
      <w:bookmarkEnd w:id="192"/>
      <w:bookmarkEnd w:id="193"/>
    </w:p>
    <w:p w14:paraId="64A08033">
      <w:pPr>
        <w:numPr>
          <w:ilvl w:val="2"/>
          <w:numId w:val="10"/>
        </w:numPr>
        <w:snapToGrid w:val="0"/>
        <w:spacing w:before="120" w:beforeLines="50" w:after="50" w:line="360" w:lineRule="auto"/>
        <w:ind w:left="0" w:firstLine="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资格证明文件封面格式： </w:t>
      </w:r>
    </w:p>
    <w:p w14:paraId="318142D8">
      <w:pPr>
        <w:snapToGrid w:val="0"/>
        <w:spacing w:before="120" w:beforeLines="50" w:after="50"/>
        <w:rPr>
          <w:rFonts w:hint="eastAsia" w:ascii="仿宋" w:hAnsi="仿宋" w:eastAsia="仿宋" w:cs="仿宋"/>
          <w:bCs/>
          <w:color w:val="auto"/>
          <w:sz w:val="32"/>
          <w:szCs w:val="20"/>
          <w:highlight w:val="none"/>
        </w:rPr>
      </w:pPr>
    </w:p>
    <w:p w14:paraId="5AAE5C2B">
      <w:pPr>
        <w:snapToGrid w:val="0"/>
        <w:spacing w:before="120" w:beforeLines="50" w:after="50"/>
        <w:rPr>
          <w:rFonts w:hint="eastAsia" w:ascii="仿宋" w:hAnsi="仿宋" w:eastAsia="仿宋" w:cs="仿宋"/>
          <w:color w:val="auto"/>
          <w:sz w:val="24"/>
          <w:szCs w:val="20"/>
          <w:highlight w:val="none"/>
        </w:rPr>
      </w:pPr>
    </w:p>
    <w:p w14:paraId="6DA469E1">
      <w:pPr>
        <w:snapToGrid w:val="0"/>
        <w:spacing w:before="120" w:beforeLines="50" w:after="50"/>
        <w:rPr>
          <w:rFonts w:hint="eastAsia" w:ascii="仿宋" w:hAnsi="仿宋" w:eastAsia="仿宋" w:cs="仿宋"/>
          <w:color w:val="auto"/>
          <w:sz w:val="24"/>
          <w:szCs w:val="20"/>
          <w:highlight w:val="none"/>
        </w:rPr>
      </w:pPr>
    </w:p>
    <w:p w14:paraId="243370A6">
      <w:pPr>
        <w:snapToGrid w:val="0"/>
        <w:spacing w:before="120" w:beforeLines="50" w:after="50"/>
        <w:jc w:val="center"/>
        <w:rPr>
          <w:rFonts w:hint="eastAsia" w:ascii="仿宋" w:hAnsi="仿宋" w:eastAsia="仿宋" w:cs="仿宋"/>
          <w:color w:val="auto"/>
          <w:sz w:val="84"/>
          <w:szCs w:val="84"/>
          <w:highlight w:val="none"/>
        </w:rPr>
      </w:pPr>
      <w:r>
        <w:rPr>
          <w:rFonts w:hint="eastAsia" w:ascii="仿宋" w:hAnsi="仿宋" w:eastAsia="仿宋" w:cs="仿宋"/>
          <w:color w:val="auto"/>
          <w:sz w:val="84"/>
          <w:szCs w:val="84"/>
          <w:highlight w:val="none"/>
        </w:rPr>
        <w:t>投  标  文  件</w:t>
      </w:r>
    </w:p>
    <w:p w14:paraId="0AC6CD44">
      <w:pPr>
        <w:snapToGrid w:val="0"/>
        <w:spacing w:before="120" w:beforeLines="50" w:after="50"/>
        <w:rPr>
          <w:rFonts w:hint="eastAsia" w:ascii="仿宋" w:hAnsi="仿宋" w:eastAsia="仿宋" w:cs="仿宋"/>
          <w:color w:val="auto"/>
          <w:sz w:val="24"/>
          <w:szCs w:val="20"/>
          <w:highlight w:val="none"/>
        </w:rPr>
      </w:pPr>
    </w:p>
    <w:p w14:paraId="69D5A552">
      <w:pPr>
        <w:snapToGrid w:val="0"/>
        <w:spacing w:before="120" w:beforeLines="50" w:after="50"/>
        <w:rPr>
          <w:rFonts w:hint="eastAsia" w:ascii="仿宋" w:hAnsi="仿宋" w:eastAsia="仿宋" w:cs="仿宋"/>
          <w:color w:val="auto"/>
          <w:sz w:val="24"/>
          <w:szCs w:val="20"/>
          <w:highlight w:val="none"/>
        </w:rPr>
      </w:pPr>
    </w:p>
    <w:p w14:paraId="2A264E76">
      <w:pPr>
        <w:snapToGrid w:val="0"/>
        <w:spacing w:before="120" w:beforeLines="50" w:after="50"/>
        <w:jc w:val="center"/>
        <w:rPr>
          <w:rFonts w:hint="eastAsia" w:ascii="仿宋" w:hAnsi="仿宋" w:eastAsia="仿宋" w:cs="仿宋"/>
          <w:b/>
          <w:color w:val="auto"/>
          <w:sz w:val="24"/>
          <w:szCs w:val="20"/>
          <w:highlight w:val="none"/>
        </w:rPr>
      </w:pPr>
      <w:r>
        <w:rPr>
          <w:rFonts w:hint="eastAsia" w:ascii="仿宋" w:hAnsi="仿宋" w:eastAsia="仿宋" w:cs="仿宋"/>
          <w:b/>
          <w:color w:val="auto"/>
          <w:sz w:val="32"/>
          <w:szCs w:val="32"/>
          <w:highlight w:val="none"/>
        </w:rPr>
        <w:t>资 格 证 明 文 件</w:t>
      </w:r>
    </w:p>
    <w:p w14:paraId="575AE32C">
      <w:pPr>
        <w:snapToGrid w:val="0"/>
        <w:spacing w:before="120" w:beforeLines="50" w:after="50"/>
        <w:rPr>
          <w:rFonts w:hint="eastAsia" w:ascii="仿宋" w:hAnsi="仿宋" w:eastAsia="仿宋" w:cs="仿宋"/>
          <w:bCs/>
          <w:color w:val="auto"/>
          <w:sz w:val="24"/>
          <w:szCs w:val="20"/>
          <w:highlight w:val="none"/>
        </w:rPr>
      </w:pPr>
    </w:p>
    <w:p w14:paraId="6FCDA632">
      <w:pPr>
        <w:snapToGrid w:val="0"/>
        <w:spacing w:before="120" w:beforeLines="50" w:after="50"/>
        <w:rPr>
          <w:rFonts w:hint="eastAsia" w:ascii="仿宋" w:hAnsi="仿宋" w:eastAsia="仿宋" w:cs="仿宋"/>
          <w:bCs/>
          <w:color w:val="auto"/>
          <w:sz w:val="24"/>
          <w:szCs w:val="20"/>
          <w:highlight w:val="none"/>
        </w:rPr>
      </w:pPr>
    </w:p>
    <w:p w14:paraId="189965AB">
      <w:pPr>
        <w:snapToGrid w:val="0"/>
        <w:spacing w:before="120" w:beforeLines="50" w:after="50"/>
        <w:rPr>
          <w:rFonts w:hint="eastAsia" w:ascii="仿宋" w:hAnsi="仿宋" w:eastAsia="仿宋" w:cs="仿宋"/>
          <w:bCs/>
          <w:color w:val="auto"/>
          <w:sz w:val="24"/>
          <w:szCs w:val="20"/>
          <w:highlight w:val="none"/>
        </w:rPr>
      </w:pPr>
    </w:p>
    <w:p w14:paraId="696E9D83">
      <w:pPr>
        <w:snapToGrid w:val="0"/>
        <w:spacing w:before="120" w:beforeLines="50" w:after="50"/>
        <w:rPr>
          <w:rFonts w:hint="eastAsia" w:ascii="仿宋" w:hAnsi="仿宋" w:eastAsia="仿宋" w:cs="仿宋"/>
          <w:bCs/>
          <w:color w:val="auto"/>
          <w:sz w:val="24"/>
          <w:szCs w:val="20"/>
          <w:highlight w:val="none"/>
        </w:rPr>
      </w:pPr>
    </w:p>
    <w:p w14:paraId="3D30556D">
      <w:pPr>
        <w:snapToGrid w:val="0"/>
        <w:spacing w:before="120" w:beforeLines="50" w:after="50"/>
        <w:rPr>
          <w:rFonts w:hint="eastAsia" w:ascii="仿宋" w:hAnsi="仿宋" w:eastAsia="仿宋" w:cs="仿宋"/>
          <w:bCs/>
          <w:color w:val="auto"/>
          <w:sz w:val="24"/>
          <w:szCs w:val="20"/>
          <w:highlight w:val="none"/>
        </w:rPr>
      </w:pPr>
    </w:p>
    <w:p w14:paraId="59CFB259">
      <w:pPr>
        <w:snapToGrid w:val="0"/>
        <w:spacing w:before="120" w:beforeLines="50" w:after="50"/>
        <w:ind w:firstLine="540" w:firstLineChars="225"/>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项目名称：</w:t>
      </w:r>
    </w:p>
    <w:p w14:paraId="2D7569C4">
      <w:pPr>
        <w:snapToGrid w:val="0"/>
        <w:spacing w:before="120" w:beforeLines="50" w:after="50"/>
        <w:ind w:firstLine="540" w:firstLineChars="225"/>
        <w:rPr>
          <w:rFonts w:hint="eastAsia" w:ascii="仿宋" w:hAnsi="仿宋" w:eastAsia="仿宋" w:cs="仿宋"/>
          <w:bCs/>
          <w:color w:val="auto"/>
          <w:sz w:val="24"/>
          <w:szCs w:val="20"/>
          <w:highlight w:val="none"/>
        </w:rPr>
      </w:pPr>
    </w:p>
    <w:p w14:paraId="798FDB8A">
      <w:pPr>
        <w:snapToGrid w:val="0"/>
        <w:spacing w:before="120" w:beforeLines="50" w:after="50"/>
        <w:ind w:firstLine="540" w:firstLineChars="225"/>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项目编号：</w:t>
      </w:r>
    </w:p>
    <w:p w14:paraId="18A7B1AD">
      <w:pPr>
        <w:snapToGrid w:val="0"/>
        <w:spacing w:before="120" w:beforeLines="50" w:after="50"/>
        <w:ind w:firstLine="540" w:firstLineChars="225"/>
        <w:rPr>
          <w:rFonts w:hint="eastAsia" w:ascii="仿宋" w:hAnsi="仿宋" w:eastAsia="仿宋" w:cs="仿宋"/>
          <w:bCs/>
          <w:color w:val="auto"/>
          <w:sz w:val="24"/>
          <w:szCs w:val="20"/>
          <w:highlight w:val="none"/>
        </w:rPr>
      </w:pPr>
    </w:p>
    <w:p w14:paraId="49FDB6EF">
      <w:pPr>
        <w:pStyle w:val="9"/>
        <w:snapToGrid w:val="0"/>
        <w:spacing w:before="50" w:after="50"/>
        <w:ind w:firstLine="540" w:firstLineChars="225"/>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投标人名称：</w:t>
      </w:r>
    </w:p>
    <w:p w14:paraId="76F5DB5D">
      <w:pPr>
        <w:pStyle w:val="9"/>
        <w:snapToGrid w:val="0"/>
        <w:spacing w:before="50" w:after="50"/>
        <w:ind w:firstLine="540" w:firstLineChars="225"/>
        <w:rPr>
          <w:rFonts w:hint="eastAsia" w:ascii="仿宋" w:hAnsi="仿宋" w:eastAsia="仿宋" w:cs="仿宋"/>
          <w:bCs/>
          <w:color w:val="auto"/>
          <w:sz w:val="24"/>
          <w:szCs w:val="24"/>
          <w:highlight w:val="none"/>
        </w:rPr>
      </w:pPr>
    </w:p>
    <w:p w14:paraId="289B6EC6">
      <w:pPr>
        <w:pStyle w:val="9"/>
        <w:snapToGrid w:val="0"/>
        <w:spacing w:before="50" w:after="50"/>
        <w:ind w:firstLine="960" w:firstLineChars="400"/>
        <w:rPr>
          <w:rFonts w:hint="eastAsia" w:ascii="仿宋" w:hAnsi="仿宋" w:eastAsia="仿宋" w:cs="仿宋"/>
          <w:bCs/>
          <w:color w:val="auto"/>
          <w:sz w:val="24"/>
          <w:szCs w:val="24"/>
          <w:highlight w:val="none"/>
        </w:rPr>
      </w:pPr>
    </w:p>
    <w:p w14:paraId="6E0F69E7">
      <w:pPr>
        <w:snapToGrid w:val="0"/>
        <w:spacing w:before="120" w:beforeLines="50" w:after="50"/>
        <w:ind w:firstLine="645"/>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0FC5E8C6">
      <w:pPr>
        <w:snapToGrid w:val="0"/>
        <w:spacing w:before="120" w:beforeLines="50" w:after="50"/>
        <w:rPr>
          <w:rFonts w:hint="eastAsia" w:ascii="仿宋" w:hAnsi="仿宋" w:eastAsia="仿宋" w:cs="仿宋"/>
          <w:color w:val="auto"/>
          <w:sz w:val="24"/>
          <w:szCs w:val="20"/>
          <w:highlight w:val="none"/>
        </w:rPr>
      </w:pPr>
    </w:p>
    <w:p w14:paraId="37A41D99">
      <w:pPr>
        <w:snapToGrid w:val="0"/>
        <w:spacing w:before="120" w:beforeLines="50" w:after="50"/>
        <w:rPr>
          <w:rFonts w:hint="eastAsia" w:ascii="仿宋" w:hAnsi="仿宋" w:eastAsia="仿宋" w:cs="仿宋"/>
          <w:color w:val="auto"/>
          <w:sz w:val="24"/>
          <w:szCs w:val="20"/>
          <w:highlight w:val="none"/>
        </w:rPr>
      </w:pPr>
    </w:p>
    <w:p w14:paraId="14FEC85D">
      <w:pPr>
        <w:tabs>
          <w:tab w:val="left" w:pos="1815"/>
        </w:tabs>
        <w:snapToGrid w:val="0"/>
        <w:spacing w:before="120" w:beforeLines="50" w:after="50" w:line="360" w:lineRule="auto"/>
        <w:jc w:val="left"/>
        <w:rPr>
          <w:rFonts w:hint="eastAsia" w:ascii="仿宋" w:hAnsi="仿宋" w:eastAsia="仿宋" w:cs="仿宋"/>
          <w:b/>
          <w:color w:val="auto"/>
          <w:sz w:val="24"/>
          <w:szCs w:val="20"/>
          <w:highlight w:val="none"/>
        </w:rPr>
      </w:pPr>
      <w:r>
        <w:rPr>
          <w:rFonts w:hint="eastAsia" w:ascii="仿宋" w:hAnsi="仿宋" w:eastAsia="仿宋" w:cs="仿宋"/>
          <w:b/>
          <w:bCs/>
          <w:color w:val="auto"/>
          <w:sz w:val="24"/>
          <w:highlight w:val="none"/>
        </w:rPr>
        <w:br w:type="page"/>
      </w:r>
      <w:r>
        <w:rPr>
          <w:rFonts w:hint="eastAsia" w:ascii="仿宋" w:hAnsi="仿宋" w:eastAsia="仿宋" w:cs="仿宋"/>
          <w:b/>
          <w:bCs/>
          <w:color w:val="auto"/>
          <w:sz w:val="24"/>
          <w:highlight w:val="none"/>
        </w:rPr>
        <w:t>2.资格证明文件目录</w:t>
      </w:r>
    </w:p>
    <w:p w14:paraId="70D30E55">
      <w:pPr>
        <w:snapToGrid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根据招标文件规定及投标人提供的材料自行编写目录。</w:t>
      </w:r>
    </w:p>
    <w:p w14:paraId="34378254">
      <w:pPr>
        <w:snapToGrid w:val="0"/>
        <w:spacing w:before="50" w:after="120" w:afterLines="50"/>
        <w:jc w:val="left"/>
        <w:rPr>
          <w:rFonts w:hint="eastAsia" w:ascii="仿宋" w:hAnsi="仿宋" w:eastAsia="仿宋" w:cs="仿宋"/>
          <w:color w:val="auto"/>
          <w:sz w:val="24"/>
          <w:highlight w:val="none"/>
        </w:rPr>
      </w:pPr>
    </w:p>
    <w:p w14:paraId="492F1D53">
      <w:pPr>
        <w:snapToGrid w:val="0"/>
        <w:spacing w:before="50" w:after="120" w:afterLines="50"/>
        <w:jc w:val="left"/>
        <w:rPr>
          <w:rFonts w:hint="eastAsia" w:ascii="仿宋" w:hAnsi="仿宋" w:eastAsia="仿宋" w:cs="仿宋"/>
          <w:color w:val="auto"/>
          <w:sz w:val="24"/>
          <w:highlight w:val="none"/>
        </w:rPr>
      </w:pPr>
    </w:p>
    <w:p w14:paraId="48CF59A7">
      <w:pPr>
        <w:numPr>
          <w:ilvl w:val="0"/>
          <w:numId w:val="0"/>
        </w:numPr>
        <w:snapToGrid w:val="0"/>
        <w:spacing w:before="120" w:beforeLines="50" w:after="50"/>
        <w:ind w:leftChars="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br w:type="page"/>
      </w: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投标人直接控股、管理关系信息表</w:t>
      </w:r>
      <w:r>
        <w:rPr>
          <w:rFonts w:hint="eastAsia" w:ascii="仿宋" w:hAnsi="仿宋" w:eastAsia="仿宋" w:cs="仿宋"/>
          <w:b/>
          <w:color w:val="auto"/>
          <w:sz w:val="24"/>
          <w:highlight w:val="none"/>
          <w:lang w:val="en-US" w:eastAsia="zh-CN"/>
        </w:rPr>
        <w:t>格式</w:t>
      </w:r>
    </w:p>
    <w:p w14:paraId="4DECF9F3">
      <w:pPr>
        <w:snapToGrid w:val="0"/>
        <w:spacing w:before="50" w:after="120" w:afterLines="50"/>
        <w:jc w:val="center"/>
        <w:rPr>
          <w:rFonts w:hint="eastAsia" w:ascii="仿宋" w:hAnsi="仿宋" w:eastAsia="仿宋" w:cs="仿宋"/>
          <w:b/>
          <w:color w:val="auto"/>
          <w:sz w:val="28"/>
          <w:szCs w:val="28"/>
          <w:highlight w:val="none"/>
        </w:rPr>
      </w:pPr>
    </w:p>
    <w:p w14:paraId="0628D71A">
      <w:pPr>
        <w:snapToGrid w:val="0"/>
        <w:spacing w:before="50" w:after="120" w:afterLines="50"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投标人直接控股股东信息表</w:t>
      </w:r>
    </w:p>
    <w:tbl>
      <w:tblPr>
        <w:tblStyle w:val="50"/>
        <w:tblW w:w="9476" w:type="dxa"/>
        <w:jc w:val="center"/>
        <w:tblLayout w:type="fixed"/>
        <w:tblCellMar>
          <w:top w:w="0" w:type="dxa"/>
          <w:left w:w="0" w:type="dxa"/>
          <w:bottom w:w="0" w:type="dxa"/>
          <w:right w:w="0" w:type="dxa"/>
        </w:tblCellMar>
      </w:tblPr>
      <w:tblGrid>
        <w:gridCol w:w="828"/>
        <w:gridCol w:w="2269"/>
        <w:gridCol w:w="1239"/>
        <w:gridCol w:w="3722"/>
        <w:gridCol w:w="1418"/>
      </w:tblGrid>
      <w:tr w14:paraId="1675570D">
        <w:tblPrEx>
          <w:tblCellMar>
            <w:top w:w="0" w:type="dxa"/>
            <w:left w:w="0" w:type="dxa"/>
            <w:bottom w:w="0" w:type="dxa"/>
            <w:right w:w="0" w:type="dxa"/>
          </w:tblCellMar>
        </w:tblPrEx>
        <w:trPr>
          <w:tblHeader/>
          <w:jc w:val="center"/>
        </w:trPr>
        <w:tc>
          <w:tcPr>
            <w:tcW w:w="82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3C8C086">
            <w:pPr>
              <w:spacing w:line="360"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0D528AD">
            <w:pPr>
              <w:spacing w:line="360"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F2EC28D">
            <w:pPr>
              <w:spacing w:line="360"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62770E0">
            <w:pPr>
              <w:spacing w:line="360"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CA5D386">
            <w:pPr>
              <w:spacing w:line="360"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备注</w:t>
            </w:r>
          </w:p>
        </w:tc>
      </w:tr>
      <w:tr w14:paraId="0E734263">
        <w:tblPrEx>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79AA05D">
            <w:pPr>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BC9156E">
            <w:pPr>
              <w:spacing w:line="360" w:lineRule="auto"/>
              <w:jc w:val="center"/>
              <w:rPr>
                <w:rFonts w:hint="eastAsia" w:ascii="仿宋" w:hAnsi="仿宋" w:eastAsia="仿宋" w:cs="仿宋"/>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A5D4FC4">
            <w:pPr>
              <w:spacing w:line="360" w:lineRule="auto"/>
              <w:jc w:val="center"/>
              <w:rPr>
                <w:rFonts w:hint="eastAsia" w:ascii="仿宋" w:hAnsi="仿宋" w:eastAsia="仿宋" w:cs="仿宋"/>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302294C">
            <w:pPr>
              <w:spacing w:line="360" w:lineRule="auto"/>
              <w:jc w:val="center"/>
              <w:rPr>
                <w:rFonts w:hint="eastAsia" w:ascii="仿宋" w:hAnsi="仿宋" w:eastAsia="仿宋" w:cs="仿宋"/>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46CBB12">
            <w:pPr>
              <w:spacing w:line="360" w:lineRule="auto"/>
              <w:jc w:val="center"/>
              <w:rPr>
                <w:rFonts w:hint="eastAsia" w:ascii="仿宋" w:hAnsi="仿宋" w:eastAsia="仿宋" w:cs="仿宋"/>
                <w:color w:val="auto"/>
                <w:kern w:val="0"/>
                <w:sz w:val="24"/>
                <w:highlight w:val="none"/>
              </w:rPr>
            </w:pPr>
          </w:p>
        </w:tc>
      </w:tr>
      <w:tr w14:paraId="4557094B">
        <w:tblPrEx>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0A71D35">
            <w:pPr>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DC2A044">
            <w:pPr>
              <w:spacing w:line="360" w:lineRule="auto"/>
              <w:jc w:val="center"/>
              <w:rPr>
                <w:rFonts w:hint="eastAsia" w:ascii="仿宋" w:hAnsi="仿宋" w:eastAsia="仿宋" w:cs="仿宋"/>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5A64E0E">
            <w:pPr>
              <w:spacing w:line="360" w:lineRule="auto"/>
              <w:jc w:val="center"/>
              <w:rPr>
                <w:rFonts w:hint="eastAsia" w:ascii="仿宋" w:hAnsi="仿宋" w:eastAsia="仿宋" w:cs="仿宋"/>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84ACA54">
            <w:pPr>
              <w:spacing w:line="360" w:lineRule="auto"/>
              <w:jc w:val="center"/>
              <w:rPr>
                <w:rFonts w:hint="eastAsia" w:ascii="仿宋" w:hAnsi="仿宋" w:eastAsia="仿宋" w:cs="仿宋"/>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474D0B6">
            <w:pPr>
              <w:spacing w:line="360" w:lineRule="auto"/>
              <w:jc w:val="center"/>
              <w:rPr>
                <w:rFonts w:hint="eastAsia" w:ascii="仿宋" w:hAnsi="仿宋" w:eastAsia="仿宋" w:cs="仿宋"/>
                <w:color w:val="auto"/>
                <w:kern w:val="0"/>
                <w:sz w:val="24"/>
                <w:highlight w:val="none"/>
              </w:rPr>
            </w:pPr>
          </w:p>
        </w:tc>
      </w:tr>
      <w:tr w14:paraId="5C50E865">
        <w:tblPrEx>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89812CA">
            <w:pPr>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7284EF3">
            <w:pPr>
              <w:spacing w:line="360" w:lineRule="auto"/>
              <w:jc w:val="center"/>
              <w:rPr>
                <w:rFonts w:hint="eastAsia" w:ascii="仿宋" w:hAnsi="仿宋" w:eastAsia="仿宋" w:cs="仿宋"/>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C0066C5">
            <w:pPr>
              <w:spacing w:line="360" w:lineRule="auto"/>
              <w:jc w:val="center"/>
              <w:rPr>
                <w:rFonts w:hint="eastAsia" w:ascii="仿宋" w:hAnsi="仿宋" w:eastAsia="仿宋" w:cs="仿宋"/>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E635C41">
            <w:pPr>
              <w:spacing w:line="360" w:lineRule="auto"/>
              <w:jc w:val="center"/>
              <w:rPr>
                <w:rFonts w:hint="eastAsia" w:ascii="仿宋" w:hAnsi="仿宋" w:eastAsia="仿宋" w:cs="仿宋"/>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BA58703">
            <w:pPr>
              <w:spacing w:line="360" w:lineRule="auto"/>
              <w:jc w:val="center"/>
              <w:rPr>
                <w:rFonts w:hint="eastAsia" w:ascii="仿宋" w:hAnsi="仿宋" w:eastAsia="仿宋" w:cs="仿宋"/>
                <w:color w:val="auto"/>
                <w:kern w:val="0"/>
                <w:sz w:val="24"/>
                <w:highlight w:val="none"/>
              </w:rPr>
            </w:pPr>
          </w:p>
        </w:tc>
      </w:tr>
      <w:tr w14:paraId="6D0B5347">
        <w:tblPrEx>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CE8A38C">
            <w:pPr>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561C354">
            <w:pPr>
              <w:spacing w:line="360" w:lineRule="auto"/>
              <w:jc w:val="center"/>
              <w:rPr>
                <w:rFonts w:hint="eastAsia" w:ascii="仿宋" w:hAnsi="仿宋" w:eastAsia="仿宋" w:cs="仿宋"/>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BF74D97">
            <w:pPr>
              <w:spacing w:line="360" w:lineRule="auto"/>
              <w:jc w:val="center"/>
              <w:rPr>
                <w:rFonts w:hint="eastAsia" w:ascii="仿宋" w:hAnsi="仿宋" w:eastAsia="仿宋" w:cs="仿宋"/>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0E73408">
            <w:pPr>
              <w:spacing w:line="360" w:lineRule="auto"/>
              <w:jc w:val="center"/>
              <w:rPr>
                <w:rFonts w:hint="eastAsia" w:ascii="仿宋" w:hAnsi="仿宋" w:eastAsia="仿宋" w:cs="仿宋"/>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86D1ECF">
            <w:pPr>
              <w:spacing w:line="360" w:lineRule="auto"/>
              <w:jc w:val="center"/>
              <w:rPr>
                <w:rFonts w:hint="eastAsia" w:ascii="仿宋" w:hAnsi="仿宋" w:eastAsia="仿宋" w:cs="仿宋"/>
                <w:color w:val="auto"/>
                <w:kern w:val="0"/>
                <w:sz w:val="24"/>
                <w:highlight w:val="none"/>
              </w:rPr>
            </w:pPr>
          </w:p>
        </w:tc>
      </w:tr>
    </w:tbl>
    <w:p w14:paraId="2158FAD1">
      <w:pPr>
        <w:snapToGrid w:val="0"/>
        <w:spacing w:before="120" w:beforeLines="50"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041508E1">
      <w:pPr>
        <w:snapToGrid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1A292B3E">
      <w:pPr>
        <w:snapToGrid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2.本表所指的控股关系仅限于直接控股关系，不包括间接的控股关系。公司实际控制人与公司之间的关系不属于本表所指的直接控股关系。</w:t>
      </w:r>
    </w:p>
    <w:p w14:paraId="000622F4">
      <w:pPr>
        <w:snapToGrid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3.供应商不存在直接控股股东的，则填“无”。</w:t>
      </w:r>
    </w:p>
    <w:p w14:paraId="1C76C5E4">
      <w:pPr>
        <w:snapToGrid w:val="0"/>
        <w:spacing w:line="360" w:lineRule="auto"/>
        <w:jc w:val="left"/>
        <w:rPr>
          <w:rFonts w:hint="eastAsia" w:ascii="仿宋" w:hAnsi="仿宋" w:eastAsia="仿宋" w:cs="仿宋"/>
          <w:color w:val="auto"/>
          <w:sz w:val="24"/>
          <w:highlight w:val="none"/>
        </w:rPr>
      </w:pPr>
    </w:p>
    <w:p w14:paraId="4C2078B5">
      <w:pPr>
        <w:snapToGrid w:val="0"/>
        <w:spacing w:line="360" w:lineRule="auto"/>
        <w:jc w:val="left"/>
        <w:rPr>
          <w:rFonts w:hint="eastAsia" w:ascii="仿宋" w:hAnsi="仿宋" w:eastAsia="仿宋" w:cs="仿宋"/>
          <w:color w:val="auto"/>
          <w:sz w:val="24"/>
          <w:highlight w:val="none"/>
        </w:rPr>
      </w:pPr>
    </w:p>
    <w:p w14:paraId="69AC41FD">
      <w:pPr>
        <w:snapToGrid w:val="0"/>
        <w:spacing w:line="360" w:lineRule="auto"/>
        <w:jc w:val="left"/>
        <w:rPr>
          <w:rFonts w:hint="eastAsia" w:ascii="仿宋" w:hAnsi="仿宋" w:eastAsia="仿宋" w:cs="仿宋"/>
          <w:color w:val="auto"/>
          <w:sz w:val="24"/>
          <w:highlight w:val="none"/>
        </w:rPr>
      </w:pPr>
    </w:p>
    <w:p w14:paraId="78170F88">
      <w:pPr>
        <w:snapToGrid w:val="0"/>
        <w:spacing w:line="360" w:lineRule="auto"/>
        <w:jc w:val="left"/>
        <w:rPr>
          <w:rFonts w:hint="eastAsia" w:ascii="仿宋" w:hAnsi="仿宋" w:eastAsia="仿宋" w:cs="仿宋"/>
          <w:color w:val="auto"/>
          <w:sz w:val="24"/>
          <w:highlight w:val="none"/>
        </w:rPr>
      </w:pPr>
    </w:p>
    <w:p w14:paraId="30FCFCBE">
      <w:pPr>
        <w:snapToGrid w:val="0"/>
        <w:spacing w:before="120" w:beforeLines="50" w:line="360" w:lineRule="auto"/>
        <w:ind w:right="480" w:firstLine="3967" w:firstLineChars="1653"/>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法定代表人或者委托代理人（签字或CA签章）：</w:t>
      </w:r>
    </w:p>
    <w:p w14:paraId="605178BF">
      <w:pPr>
        <w:snapToGrid w:val="0"/>
        <w:spacing w:before="120" w:beforeLines="50" w:after="50" w:line="360" w:lineRule="auto"/>
        <w:ind w:right="480" w:firstLine="5520" w:firstLineChars="23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投标人（盖公章或CA签章）：</w:t>
      </w:r>
    </w:p>
    <w:p w14:paraId="11FC32C3">
      <w:pPr>
        <w:snapToGrid w:val="0"/>
        <w:spacing w:before="120" w:beforeLines="50" w:after="50" w:line="360" w:lineRule="auto"/>
        <w:ind w:right="480" w:firstLine="5520" w:firstLineChars="2300"/>
        <w:rPr>
          <w:rFonts w:hint="eastAsia" w:ascii="仿宋" w:hAnsi="仿宋" w:eastAsia="仿宋" w:cs="仿宋"/>
          <w:color w:val="auto"/>
          <w:szCs w:val="21"/>
          <w:highlight w:val="none"/>
        </w:rPr>
      </w:pPr>
      <w:r>
        <w:rPr>
          <w:rFonts w:hint="eastAsia" w:ascii="仿宋" w:hAnsi="仿宋" w:eastAsia="仿宋" w:cs="仿宋"/>
          <w:color w:val="auto"/>
          <w:sz w:val="24"/>
          <w:highlight w:val="none"/>
        </w:rPr>
        <w:t>年    月    日</w:t>
      </w:r>
    </w:p>
    <w:p w14:paraId="0C88F905">
      <w:pPr>
        <w:snapToGrid w:val="0"/>
        <w:spacing w:line="360" w:lineRule="auto"/>
        <w:jc w:val="center"/>
        <w:rPr>
          <w:rFonts w:hint="eastAsia" w:ascii="仿宋" w:hAnsi="仿宋" w:eastAsia="仿宋" w:cs="仿宋"/>
          <w:color w:val="auto"/>
          <w:sz w:val="32"/>
          <w:szCs w:val="32"/>
          <w:highlight w:val="none"/>
        </w:rPr>
      </w:pPr>
      <w:r>
        <w:rPr>
          <w:rFonts w:hint="eastAsia" w:ascii="仿宋" w:hAnsi="仿宋" w:eastAsia="仿宋" w:cs="仿宋"/>
          <w:b/>
          <w:color w:val="auto"/>
          <w:sz w:val="32"/>
          <w:szCs w:val="32"/>
          <w:highlight w:val="none"/>
        </w:rPr>
        <w:t>投标人直接管理关系信息表</w:t>
      </w:r>
    </w:p>
    <w:tbl>
      <w:tblPr>
        <w:tblStyle w:val="50"/>
        <w:tblW w:w="9652" w:type="dxa"/>
        <w:jc w:val="center"/>
        <w:tblLayout w:type="fixed"/>
        <w:tblCellMar>
          <w:top w:w="0" w:type="dxa"/>
          <w:left w:w="0" w:type="dxa"/>
          <w:bottom w:w="0" w:type="dxa"/>
          <w:right w:w="0" w:type="dxa"/>
        </w:tblCellMar>
      </w:tblPr>
      <w:tblGrid>
        <w:gridCol w:w="1005"/>
        <w:gridCol w:w="2659"/>
        <w:gridCol w:w="3924"/>
        <w:gridCol w:w="2064"/>
      </w:tblGrid>
      <w:tr w14:paraId="66B3622C">
        <w:tblPrEx>
          <w:tblCellMar>
            <w:top w:w="0" w:type="dxa"/>
            <w:left w:w="0" w:type="dxa"/>
            <w:bottom w:w="0" w:type="dxa"/>
            <w:right w:w="0" w:type="dxa"/>
          </w:tblCellMar>
        </w:tblPrEx>
        <w:trPr>
          <w:tblHeade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4603D5F">
            <w:pPr>
              <w:spacing w:line="360"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0FD21C7">
            <w:pPr>
              <w:spacing w:line="360"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0B14DE4">
            <w:pPr>
              <w:spacing w:line="360"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41F77A9">
            <w:pPr>
              <w:spacing w:line="360"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备注</w:t>
            </w:r>
          </w:p>
        </w:tc>
      </w:tr>
      <w:tr w14:paraId="7D482615">
        <w:tblPrEx>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3399A10">
            <w:pPr>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00B6DE44">
            <w:pPr>
              <w:spacing w:line="360" w:lineRule="auto"/>
              <w:jc w:val="center"/>
              <w:rPr>
                <w:rFonts w:hint="eastAsia" w:ascii="仿宋" w:hAnsi="仿宋" w:eastAsia="仿宋" w:cs="仿宋"/>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075A18CC">
            <w:pPr>
              <w:spacing w:line="360" w:lineRule="auto"/>
              <w:jc w:val="center"/>
              <w:rPr>
                <w:rFonts w:hint="eastAsia" w:ascii="仿宋" w:hAnsi="仿宋" w:eastAsia="仿宋" w:cs="仿宋"/>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00A9AB3D">
            <w:pPr>
              <w:spacing w:line="360" w:lineRule="auto"/>
              <w:jc w:val="center"/>
              <w:rPr>
                <w:rFonts w:hint="eastAsia" w:ascii="仿宋" w:hAnsi="仿宋" w:eastAsia="仿宋" w:cs="仿宋"/>
                <w:color w:val="auto"/>
                <w:kern w:val="0"/>
                <w:sz w:val="24"/>
                <w:highlight w:val="none"/>
              </w:rPr>
            </w:pPr>
          </w:p>
        </w:tc>
      </w:tr>
      <w:tr w14:paraId="6651CB31">
        <w:tblPrEx>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216AA6BC">
            <w:pPr>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0BEB175A">
            <w:pPr>
              <w:spacing w:line="360" w:lineRule="auto"/>
              <w:jc w:val="center"/>
              <w:rPr>
                <w:rFonts w:hint="eastAsia" w:ascii="仿宋" w:hAnsi="仿宋" w:eastAsia="仿宋" w:cs="仿宋"/>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3FB7DF0">
            <w:pPr>
              <w:spacing w:line="360" w:lineRule="auto"/>
              <w:jc w:val="center"/>
              <w:rPr>
                <w:rFonts w:hint="eastAsia" w:ascii="仿宋" w:hAnsi="仿宋" w:eastAsia="仿宋" w:cs="仿宋"/>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8885392">
            <w:pPr>
              <w:spacing w:line="360" w:lineRule="auto"/>
              <w:jc w:val="center"/>
              <w:rPr>
                <w:rFonts w:hint="eastAsia" w:ascii="仿宋" w:hAnsi="仿宋" w:eastAsia="仿宋" w:cs="仿宋"/>
                <w:color w:val="auto"/>
                <w:kern w:val="0"/>
                <w:sz w:val="24"/>
                <w:highlight w:val="none"/>
              </w:rPr>
            </w:pPr>
          </w:p>
        </w:tc>
      </w:tr>
      <w:tr w14:paraId="5AC12A51">
        <w:tblPrEx>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CA27911">
            <w:pPr>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4A7AC8F">
            <w:pPr>
              <w:spacing w:line="360" w:lineRule="auto"/>
              <w:jc w:val="center"/>
              <w:rPr>
                <w:rFonts w:hint="eastAsia" w:ascii="仿宋" w:hAnsi="仿宋" w:eastAsia="仿宋" w:cs="仿宋"/>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6A16338">
            <w:pPr>
              <w:spacing w:line="360" w:lineRule="auto"/>
              <w:jc w:val="center"/>
              <w:rPr>
                <w:rFonts w:hint="eastAsia" w:ascii="仿宋" w:hAnsi="仿宋" w:eastAsia="仿宋" w:cs="仿宋"/>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07937AA">
            <w:pPr>
              <w:spacing w:line="360" w:lineRule="auto"/>
              <w:jc w:val="center"/>
              <w:rPr>
                <w:rFonts w:hint="eastAsia" w:ascii="仿宋" w:hAnsi="仿宋" w:eastAsia="仿宋" w:cs="仿宋"/>
                <w:color w:val="auto"/>
                <w:kern w:val="0"/>
                <w:sz w:val="24"/>
                <w:highlight w:val="none"/>
              </w:rPr>
            </w:pPr>
          </w:p>
        </w:tc>
      </w:tr>
      <w:tr w14:paraId="3710BA96">
        <w:tblPrEx>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5CAE6531">
            <w:pPr>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3F8A6DD">
            <w:pPr>
              <w:spacing w:line="360" w:lineRule="auto"/>
              <w:jc w:val="center"/>
              <w:rPr>
                <w:rFonts w:hint="eastAsia" w:ascii="仿宋" w:hAnsi="仿宋" w:eastAsia="仿宋" w:cs="仿宋"/>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1AA6DB6">
            <w:pPr>
              <w:spacing w:line="360" w:lineRule="auto"/>
              <w:jc w:val="center"/>
              <w:rPr>
                <w:rFonts w:hint="eastAsia" w:ascii="仿宋" w:hAnsi="仿宋" w:eastAsia="仿宋" w:cs="仿宋"/>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C86585D">
            <w:pPr>
              <w:spacing w:line="360" w:lineRule="auto"/>
              <w:jc w:val="center"/>
              <w:rPr>
                <w:rFonts w:hint="eastAsia" w:ascii="仿宋" w:hAnsi="仿宋" w:eastAsia="仿宋" w:cs="仿宋"/>
                <w:color w:val="auto"/>
                <w:kern w:val="0"/>
                <w:sz w:val="24"/>
                <w:highlight w:val="none"/>
              </w:rPr>
            </w:pPr>
          </w:p>
        </w:tc>
      </w:tr>
    </w:tbl>
    <w:p w14:paraId="5168C4A1">
      <w:pPr>
        <w:snapToGrid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0184AA44">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1.管理关系：是指不具有出资持股关系的其他单位之间存在的管理与被管理关系，如一些上下级关系的事业单位和团体组织。</w:t>
      </w:r>
    </w:p>
    <w:p w14:paraId="373F454C">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pacing w:val="-6"/>
          <w:sz w:val="24"/>
          <w:highlight w:val="none"/>
        </w:rPr>
        <w:t>本表所指的管理关系仅限于直接管理关系，不包括间接的管理关系。</w:t>
      </w:r>
    </w:p>
    <w:p w14:paraId="4B2BD9B4">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3.供应商不存在直接管理关系的，则填“无”。</w:t>
      </w:r>
    </w:p>
    <w:p w14:paraId="5D3DAE28">
      <w:pPr>
        <w:snapToGrid w:val="0"/>
        <w:spacing w:line="360" w:lineRule="auto"/>
        <w:jc w:val="left"/>
        <w:rPr>
          <w:rFonts w:hint="eastAsia" w:ascii="仿宋" w:hAnsi="仿宋" w:eastAsia="仿宋" w:cs="仿宋"/>
          <w:color w:val="auto"/>
          <w:sz w:val="24"/>
          <w:highlight w:val="none"/>
        </w:rPr>
      </w:pPr>
    </w:p>
    <w:p w14:paraId="3A2BA826">
      <w:pPr>
        <w:snapToGrid w:val="0"/>
        <w:spacing w:line="360" w:lineRule="auto"/>
        <w:jc w:val="left"/>
        <w:rPr>
          <w:rFonts w:hint="eastAsia" w:ascii="仿宋" w:hAnsi="仿宋" w:eastAsia="仿宋" w:cs="仿宋"/>
          <w:color w:val="auto"/>
          <w:sz w:val="24"/>
          <w:highlight w:val="none"/>
        </w:rPr>
      </w:pPr>
    </w:p>
    <w:p w14:paraId="5B4F6EB6">
      <w:pPr>
        <w:snapToGrid w:val="0"/>
        <w:spacing w:line="360" w:lineRule="auto"/>
        <w:jc w:val="left"/>
        <w:rPr>
          <w:rFonts w:hint="eastAsia" w:ascii="仿宋" w:hAnsi="仿宋" w:eastAsia="仿宋" w:cs="仿宋"/>
          <w:color w:val="auto"/>
          <w:sz w:val="24"/>
          <w:highlight w:val="none"/>
        </w:rPr>
      </w:pPr>
    </w:p>
    <w:p w14:paraId="671F7FDD">
      <w:pPr>
        <w:snapToGrid w:val="0"/>
        <w:spacing w:line="360" w:lineRule="auto"/>
        <w:jc w:val="left"/>
        <w:rPr>
          <w:rFonts w:hint="eastAsia" w:ascii="仿宋" w:hAnsi="仿宋" w:eastAsia="仿宋" w:cs="仿宋"/>
          <w:color w:val="auto"/>
          <w:sz w:val="24"/>
          <w:highlight w:val="none"/>
        </w:rPr>
      </w:pPr>
    </w:p>
    <w:p w14:paraId="3A71E48C">
      <w:pPr>
        <w:snapToGrid w:val="0"/>
        <w:spacing w:line="360" w:lineRule="auto"/>
        <w:jc w:val="left"/>
        <w:rPr>
          <w:rFonts w:hint="eastAsia" w:ascii="仿宋" w:hAnsi="仿宋" w:eastAsia="仿宋" w:cs="仿宋"/>
          <w:color w:val="auto"/>
          <w:sz w:val="24"/>
          <w:highlight w:val="none"/>
        </w:rPr>
      </w:pPr>
    </w:p>
    <w:p w14:paraId="0A05898C">
      <w:pPr>
        <w:snapToGrid w:val="0"/>
        <w:spacing w:line="360" w:lineRule="auto"/>
        <w:jc w:val="left"/>
        <w:rPr>
          <w:rFonts w:hint="eastAsia" w:ascii="仿宋" w:hAnsi="仿宋" w:eastAsia="仿宋" w:cs="仿宋"/>
          <w:color w:val="auto"/>
          <w:sz w:val="24"/>
          <w:highlight w:val="none"/>
        </w:rPr>
      </w:pPr>
    </w:p>
    <w:p w14:paraId="6465705F">
      <w:pPr>
        <w:snapToGrid w:val="0"/>
        <w:spacing w:line="360" w:lineRule="auto"/>
        <w:jc w:val="left"/>
        <w:rPr>
          <w:rFonts w:hint="eastAsia" w:ascii="仿宋" w:hAnsi="仿宋" w:eastAsia="仿宋" w:cs="仿宋"/>
          <w:color w:val="auto"/>
          <w:sz w:val="24"/>
          <w:highlight w:val="none"/>
        </w:rPr>
      </w:pPr>
    </w:p>
    <w:p w14:paraId="462FA6AB">
      <w:pPr>
        <w:snapToGrid w:val="0"/>
        <w:spacing w:before="120" w:beforeLines="50" w:line="360" w:lineRule="auto"/>
        <w:ind w:right="480" w:firstLine="3967" w:firstLineChars="1653"/>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法定代表人或者委托代理人（签字或CA签章）：</w:t>
      </w:r>
    </w:p>
    <w:p w14:paraId="73382801">
      <w:pPr>
        <w:snapToGrid w:val="0"/>
        <w:spacing w:before="120" w:beforeLines="50" w:after="50" w:line="360" w:lineRule="auto"/>
        <w:ind w:right="480" w:firstLine="5520" w:firstLineChars="23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投标人（盖公章或CA签章）：</w:t>
      </w:r>
    </w:p>
    <w:p w14:paraId="10D47713">
      <w:pPr>
        <w:snapToGrid w:val="0"/>
        <w:spacing w:before="120" w:beforeLines="50" w:after="50" w:line="360" w:lineRule="auto"/>
        <w:ind w:right="480" w:firstLine="240" w:firstLineChars="10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年    月    日</w:t>
      </w:r>
    </w:p>
    <w:p w14:paraId="6C231367">
      <w:pPr>
        <w:snapToGrid w:val="0"/>
        <w:spacing w:before="50" w:after="120" w:afterLines="50"/>
        <w:jc w:val="left"/>
        <w:rPr>
          <w:rFonts w:hint="eastAsia" w:ascii="仿宋" w:hAnsi="仿宋" w:eastAsia="仿宋" w:cs="仿宋"/>
          <w:color w:val="auto"/>
          <w:szCs w:val="21"/>
          <w:highlight w:val="none"/>
        </w:rPr>
      </w:pPr>
    </w:p>
    <w:p w14:paraId="4C5C9FC7">
      <w:pPr>
        <w:numPr>
          <w:ilvl w:val="0"/>
          <w:numId w:val="0"/>
        </w:numPr>
        <w:snapToGrid w:val="0"/>
        <w:spacing w:before="120" w:beforeLines="50" w:after="50"/>
        <w:ind w:leftChars="0"/>
        <w:jc w:val="left"/>
        <w:rPr>
          <w:rFonts w:hint="eastAsia" w:ascii="仿宋" w:hAnsi="仿宋" w:eastAsia="仿宋" w:cs="仿宋"/>
          <w:b/>
          <w:color w:val="auto"/>
          <w:sz w:val="24"/>
          <w:szCs w:val="20"/>
          <w:highlight w:val="none"/>
        </w:rPr>
      </w:pPr>
      <w:r>
        <w:rPr>
          <w:rFonts w:hint="eastAsia" w:ascii="仿宋" w:hAnsi="仿宋" w:eastAsia="仿宋" w:cs="仿宋"/>
          <w:b/>
          <w:color w:val="auto"/>
          <w:sz w:val="24"/>
          <w:highlight w:val="none"/>
        </w:rPr>
        <w:br w:type="page"/>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投标声明格式</w:t>
      </w:r>
    </w:p>
    <w:p w14:paraId="3C4EB7DB">
      <w:pPr>
        <w:snapToGrid w:val="0"/>
        <w:spacing w:before="50" w:after="120" w:afterLines="50"/>
        <w:jc w:val="left"/>
        <w:rPr>
          <w:rFonts w:hint="eastAsia" w:ascii="仿宋" w:hAnsi="仿宋" w:eastAsia="仿宋" w:cs="仿宋"/>
          <w:color w:val="auto"/>
          <w:highlight w:val="none"/>
        </w:rPr>
      </w:pPr>
    </w:p>
    <w:p w14:paraId="43F50810">
      <w:pPr>
        <w:snapToGrid w:val="0"/>
        <w:spacing w:before="50" w:after="120" w:afterLines="50"/>
        <w:jc w:val="center"/>
        <w:rPr>
          <w:rFonts w:hint="eastAsia" w:ascii="仿宋" w:hAnsi="仿宋" w:eastAsia="仿宋" w:cs="仿宋"/>
          <w:bCs/>
          <w:color w:val="auto"/>
          <w:sz w:val="44"/>
          <w:szCs w:val="44"/>
          <w:highlight w:val="none"/>
        </w:rPr>
      </w:pPr>
      <w:r>
        <w:rPr>
          <w:rFonts w:hint="eastAsia" w:ascii="仿宋" w:hAnsi="仿宋" w:eastAsia="仿宋" w:cs="仿宋"/>
          <w:bCs/>
          <w:color w:val="auto"/>
          <w:sz w:val="44"/>
          <w:szCs w:val="44"/>
          <w:highlight w:val="none"/>
        </w:rPr>
        <w:t>投标声明</w:t>
      </w:r>
    </w:p>
    <w:p w14:paraId="07BAAFF1">
      <w:pPr>
        <w:snapToGrid w:val="0"/>
        <w:spacing w:before="50" w:after="120" w:afterLines="50"/>
        <w:jc w:val="center"/>
        <w:rPr>
          <w:rFonts w:hint="eastAsia" w:ascii="仿宋" w:hAnsi="仿宋" w:eastAsia="仿宋" w:cs="仿宋"/>
          <w:bCs/>
          <w:color w:val="auto"/>
          <w:sz w:val="44"/>
          <w:szCs w:val="44"/>
          <w:highlight w:val="none"/>
        </w:rPr>
      </w:pPr>
    </w:p>
    <w:p w14:paraId="78DBB32D">
      <w:pPr>
        <w:spacing w:line="400" w:lineRule="exact"/>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p>
    <w:p w14:paraId="1767D4B5">
      <w:pPr>
        <w:spacing w:line="400" w:lineRule="exact"/>
        <w:ind w:firstLine="523" w:firstLineChars="218"/>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我方参加贵单位组织项目（项目编号：）的政府采购活动。我方在此郑重声明：</w:t>
      </w:r>
    </w:p>
    <w:p w14:paraId="72380D84">
      <w:pPr>
        <w:spacing w:line="40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05E9FF21">
      <w:pPr>
        <w:spacing w:line="40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2.我方不是为本次采购项目提供整体设计、规范编制或者项目管理、监理、检测等服务的供应商。</w:t>
      </w:r>
    </w:p>
    <w:p w14:paraId="0FF437CF">
      <w:pPr>
        <w:spacing w:line="40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 我方承诺符合《中华人民共和国政府采购法》第二十二条规定：</w:t>
      </w:r>
    </w:p>
    <w:p w14:paraId="173F5485">
      <w:pPr>
        <w:spacing w:line="40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（一）具有独立承担民事责任的能力；</w:t>
      </w:r>
    </w:p>
    <w:p w14:paraId="7BC2509A">
      <w:pPr>
        <w:spacing w:line="40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（二）具有良好的商业信誉和健全的财务会计制度；</w:t>
      </w:r>
    </w:p>
    <w:p w14:paraId="00610E20">
      <w:pPr>
        <w:spacing w:line="40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（三）具有履行合同所必需的设备和专业技术能力；</w:t>
      </w:r>
    </w:p>
    <w:p w14:paraId="225670DB">
      <w:pPr>
        <w:spacing w:line="40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（四）有依法缴纳税收和社会保障资金的良好记录；</w:t>
      </w:r>
    </w:p>
    <w:p w14:paraId="4035B09D">
      <w:pPr>
        <w:spacing w:line="40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（五）参加政府采购活动前三年内，在经营活动中没有重大违法记录；</w:t>
      </w:r>
    </w:p>
    <w:p w14:paraId="25625B08">
      <w:pPr>
        <w:spacing w:line="40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（六）法律、行政法规规定的其他条件。</w:t>
      </w:r>
    </w:p>
    <w:p w14:paraId="5AD31DFC">
      <w:pPr>
        <w:spacing w:line="40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4.以上事项如有虚假或者隐瞒，我方愿意承担一切后果，并不再寻求任何旨在减轻或者免除法律责任的辩解。</w:t>
      </w:r>
    </w:p>
    <w:p w14:paraId="02DCDB1E">
      <w:pPr>
        <w:spacing w:line="400" w:lineRule="exact"/>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特此承诺。</w:t>
      </w:r>
    </w:p>
    <w:p w14:paraId="54CAB67E">
      <w:pPr>
        <w:spacing w:line="400" w:lineRule="exact"/>
        <w:contextualSpacing/>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    注：如为联合体投标，盖章处须加盖联合体各方公章并由联合体各方法定代表人分别签字，否则投标无效。</w:t>
      </w:r>
    </w:p>
    <w:p w14:paraId="36740DCE">
      <w:pPr>
        <w:spacing w:line="480" w:lineRule="auto"/>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法定代表人（签字或</w:t>
      </w:r>
      <w:r>
        <w:rPr>
          <w:rFonts w:hint="eastAsia" w:ascii="仿宋" w:hAnsi="仿宋" w:eastAsia="仿宋" w:cs="仿宋"/>
          <w:color w:val="auto"/>
          <w:sz w:val="24"/>
          <w:highlight w:val="none"/>
          <w:lang w:val="en-US" w:eastAsia="zh-CN"/>
        </w:rPr>
        <w:t>CA签章</w:t>
      </w:r>
      <w:r>
        <w:rPr>
          <w:rFonts w:hint="eastAsia" w:ascii="仿宋" w:hAnsi="仿宋" w:eastAsia="仿宋" w:cs="仿宋"/>
          <w:color w:val="auto"/>
          <w:sz w:val="24"/>
          <w:highlight w:val="none"/>
        </w:rPr>
        <w:t>）：</w:t>
      </w:r>
    </w:p>
    <w:p w14:paraId="7CB5F0C8">
      <w:pPr>
        <w:spacing w:line="480" w:lineRule="auto"/>
        <w:contextualSpacing/>
        <w:jc w:val="lef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投标人（盖公章或</w:t>
      </w:r>
      <w:r>
        <w:rPr>
          <w:rFonts w:hint="eastAsia" w:ascii="仿宋" w:hAnsi="仿宋" w:eastAsia="仿宋" w:cs="仿宋"/>
          <w:color w:val="auto"/>
          <w:sz w:val="24"/>
          <w:highlight w:val="none"/>
          <w:lang w:val="en-US" w:eastAsia="zh-CN"/>
        </w:rPr>
        <w:t>CA签章</w:t>
      </w:r>
      <w:r>
        <w:rPr>
          <w:rFonts w:hint="eastAsia" w:ascii="仿宋" w:hAnsi="仿宋" w:eastAsia="仿宋" w:cs="仿宋"/>
          <w:color w:val="auto"/>
          <w:sz w:val="24"/>
          <w:highlight w:val="none"/>
        </w:rPr>
        <w:t>）：</w:t>
      </w:r>
    </w:p>
    <w:p w14:paraId="4A62D905">
      <w:pPr>
        <w:spacing w:line="480" w:lineRule="auto"/>
        <w:contextualSpacing/>
        <w:jc w:val="left"/>
        <w:rPr>
          <w:rFonts w:hint="eastAsia" w:ascii="仿宋" w:hAnsi="仿宋" w:eastAsia="仿宋" w:cs="仿宋"/>
          <w:color w:val="auto"/>
          <w:highlight w:val="none"/>
        </w:rPr>
      </w:pPr>
      <w:r>
        <w:rPr>
          <w:rFonts w:hint="eastAsia" w:ascii="仿宋" w:hAnsi="仿宋" w:eastAsia="仿宋" w:cs="仿宋"/>
          <w:color w:val="auto"/>
          <w:sz w:val="24"/>
          <w:highlight w:val="none"/>
        </w:rPr>
        <w:t xml:space="preserve">                                                  年    月    日</w:t>
      </w:r>
    </w:p>
    <w:p w14:paraId="397B6F0A">
      <w:pPr>
        <w:rPr>
          <w:rFonts w:hint="eastAsia" w:ascii="仿宋" w:hAnsi="仿宋" w:eastAsia="仿宋" w:cs="仿宋"/>
          <w:b/>
          <w:color w:val="auto"/>
          <w:sz w:val="28"/>
          <w:szCs w:val="28"/>
          <w:highlight w:val="none"/>
          <w:lang w:val="en-US" w:eastAsia="zh-CN"/>
        </w:rPr>
      </w:pPr>
      <w:bookmarkStart w:id="194" w:name="_Toc19686838"/>
      <w:r>
        <w:rPr>
          <w:rFonts w:hint="eastAsia" w:ascii="仿宋" w:hAnsi="仿宋" w:eastAsia="仿宋" w:cs="仿宋"/>
          <w:b/>
          <w:color w:val="auto"/>
          <w:sz w:val="28"/>
          <w:szCs w:val="28"/>
          <w:highlight w:val="none"/>
          <w:lang w:val="en-US" w:eastAsia="zh-CN"/>
        </w:rPr>
        <w:br w:type="page"/>
      </w:r>
    </w:p>
    <w:p w14:paraId="3D49F514">
      <w:pPr>
        <w:numPr>
          <w:ilvl w:val="0"/>
          <w:numId w:val="0"/>
        </w:numPr>
        <w:tabs>
          <w:tab w:val="left" w:pos="1890"/>
        </w:tabs>
        <w:spacing w:line="480" w:lineRule="auto"/>
        <w:ind w:left="420" w:leftChars="0"/>
        <w:contextualSpacing/>
        <w:jc w:val="left"/>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lang w:val="en-US" w:eastAsia="zh-CN"/>
        </w:rPr>
        <w:t>5.</w:t>
      </w:r>
      <w:r>
        <w:rPr>
          <w:rFonts w:hint="eastAsia" w:ascii="仿宋" w:hAnsi="仿宋" w:eastAsia="仿宋" w:cs="仿宋"/>
          <w:b/>
          <w:color w:val="auto"/>
          <w:sz w:val="28"/>
          <w:szCs w:val="28"/>
          <w:highlight w:val="none"/>
        </w:rPr>
        <w:t>投标人参加本项目无回避事项的承诺函格式</w:t>
      </w:r>
    </w:p>
    <w:p w14:paraId="29BFBFAB">
      <w:pPr>
        <w:pStyle w:val="62"/>
        <w:tabs>
          <w:tab w:val="left" w:pos="1890"/>
        </w:tabs>
        <w:ind w:firstLine="0"/>
        <w:jc w:val="center"/>
        <w:rPr>
          <w:rFonts w:hint="eastAsia" w:ascii="仿宋" w:hAnsi="仿宋" w:eastAsia="仿宋" w:cs="仿宋"/>
          <w:b/>
          <w:color w:val="auto"/>
          <w:sz w:val="28"/>
          <w:szCs w:val="28"/>
          <w:highlight w:val="none"/>
        </w:rPr>
      </w:pPr>
    </w:p>
    <w:p w14:paraId="176CB3C7">
      <w:pPr>
        <w:pStyle w:val="62"/>
        <w:tabs>
          <w:tab w:val="left" w:pos="1890"/>
        </w:tabs>
        <w:ind w:firstLine="0"/>
        <w:jc w:val="center"/>
        <w:rPr>
          <w:rFonts w:hint="eastAsia" w:ascii="仿宋" w:hAnsi="仿宋" w:eastAsia="仿宋" w:cs="仿宋"/>
          <w:color w:val="auto"/>
          <w:highlight w:val="none"/>
        </w:rPr>
      </w:pPr>
      <w:r>
        <w:rPr>
          <w:rFonts w:hint="eastAsia" w:ascii="仿宋" w:hAnsi="仿宋" w:eastAsia="仿宋" w:cs="仿宋"/>
          <w:b/>
          <w:color w:val="auto"/>
          <w:sz w:val="28"/>
          <w:szCs w:val="28"/>
          <w:highlight w:val="none"/>
        </w:rPr>
        <w:t>投标人参加本项目无回避事项的承诺函</w:t>
      </w:r>
    </w:p>
    <w:p w14:paraId="30081E8F">
      <w:pPr>
        <w:tabs>
          <w:tab w:val="left" w:pos="1890"/>
        </w:tabs>
        <w:spacing w:line="400" w:lineRule="exact"/>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p>
    <w:p w14:paraId="42A3AE20">
      <w:pPr>
        <w:spacing w:line="400" w:lineRule="exact"/>
        <w:ind w:firstLine="523" w:firstLineChars="218"/>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我方参加贵单位组织项目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（项目编号：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）的政府采购活动。我方在此郑重承诺：</w:t>
      </w:r>
    </w:p>
    <w:p w14:paraId="760DFA79">
      <w:pPr>
        <w:spacing w:line="40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1.我方承诺参加本项目的政府采购活动中与采购人员及相关人员不存在《中华人民共和国政府采购法实施条例》第九条情形；如有，自行提出回避申请：</w:t>
      </w:r>
    </w:p>
    <w:p w14:paraId="42DB2FEF">
      <w:pPr>
        <w:pStyle w:val="7"/>
        <w:keepNext w:val="0"/>
        <w:keepLines w:val="0"/>
        <w:spacing w:before="0" w:after="0" w:line="360" w:lineRule="auto"/>
        <w:ind w:firstLine="420" w:firstLineChars="175"/>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在政府采购活动中，采购人员及相关人员与供应商有下列利害关系之一的，应当回避：</w:t>
      </w:r>
    </w:p>
    <w:p w14:paraId="3B7CA484">
      <w:pPr>
        <w:pStyle w:val="27"/>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（1）参加采购活动前3年内与供应商存在劳动关系；</w:t>
      </w:r>
    </w:p>
    <w:p w14:paraId="0DAEF8A7">
      <w:pPr>
        <w:pStyle w:val="27"/>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（2）参加采购活动前3年内担任供应商的董事、监事；</w:t>
      </w:r>
    </w:p>
    <w:p w14:paraId="5A3B95CE">
      <w:pPr>
        <w:pStyle w:val="27"/>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（3）参加采购活动前3年内是供应商的控股股东或者实际控制人；</w:t>
      </w:r>
    </w:p>
    <w:p w14:paraId="1F95B50D">
      <w:pPr>
        <w:pStyle w:val="27"/>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（4）与供应商的法定代表人或者负责人有夫妻、直系血亲、三代以内旁系血亲或者近姻亲关系；</w:t>
      </w:r>
    </w:p>
    <w:p w14:paraId="0B479349">
      <w:pPr>
        <w:pStyle w:val="27"/>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（5）与供应商有其他可能影响政府采购活动公平、公正进行的关系。</w:t>
      </w:r>
    </w:p>
    <w:p w14:paraId="3435EA51">
      <w:pPr>
        <w:pStyle w:val="27"/>
        <w:snapToGrid w:val="0"/>
        <w:spacing w:line="360" w:lineRule="auto"/>
        <w:ind w:left="2" w:leftChars="1"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6F73253D">
      <w:pPr>
        <w:spacing w:line="400" w:lineRule="exact"/>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特此承诺。</w:t>
      </w:r>
    </w:p>
    <w:p w14:paraId="0D7C34AF">
      <w:pPr>
        <w:spacing w:line="440" w:lineRule="exact"/>
        <w:ind w:firstLine="482" w:firstLineChars="200"/>
        <w:contextualSpacing/>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以上情形一经核查属实，我方愿意承担一切后果，并不再寻求任何旨在减轻或者免除法律责任的辩解。</w:t>
      </w:r>
    </w:p>
    <w:p w14:paraId="7ABD7240">
      <w:pPr>
        <w:spacing w:line="360" w:lineRule="auto"/>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法定代表人（签字或</w:t>
      </w:r>
      <w:r>
        <w:rPr>
          <w:rFonts w:hint="eastAsia" w:ascii="仿宋" w:hAnsi="仿宋" w:eastAsia="仿宋" w:cs="仿宋"/>
          <w:color w:val="auto"/>
          <w:sz w:val="24"/>
          <w:highlight w:val="none"/>
          <w:lang w:val="en-US" w:eastAsia="zh-CN"/>
        </w:rPr>
        <w:t>CA签章</w:t>
      </w:r>
      <w:r>
        <w:rPr>
          <w:rFonts w:hint="eastAsia" w:ascii="仿宋" w:hAnsi="仿宋" w:eastAsia="仿宋" w:cs="仿宋"/>
          <w:color w:val="auto"/>
          <w:sz w:val="24"/>
          <w:highlight w:val="none"/>
        </w:rPr>
        <w:t>）：</w:t>
      </w:r>
    </w:p>
    <w:p w14:paraId="71228DF3">
      <w:pPr>
        <w:spacing w:line="360" w:lineRule="auto"/>
        <w:contextualSpacing/>
        <w:jc w:val="lef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投标人（盖公章</w:t>
      </w:r>
      <w:r>
        <w:rPr>
          <w:rFonts w:hint="eastAsia" w:ascii="仿宋" w:hAnsi="仿宋" w:eastAsia="仿宋" w:cs="仿宋"/>
          <w:color w:val="auto"/>
          <w:sz w:val="24"/>
          <w:highlight w:val="none"/>
          <w:lang w:val="en-US" w:eastAsia="zh-CN"/>
        </w:rPr>
        <w:t>或CA签章</w:t>
      </w:r>
      <w:r>
        <w:rPr>
          <w:rFonts w:hint="eastAsia" w:ascii="仿宋" w:hAnsi="仿宋" w:eastAsia="仿宋" w:cs="仿宋"/>
          <w:color w:val="auto"/>
          <w:sz w:val="24"/>
          <w:highlight w:val="none"/>
        </w:rPr>
        <w:t>）：</w:t>
      </w:r>
    </w:p>
    <w:p w14:paraId="47CC6A18">
      <w:pPr>
        <w:spacing w:line="360" w:lineRule="auto"/>
        <w:contextualSpacing/>
        <w:jc w:val="left"/>
        <w:rPr>
          <w:rFonts w:hint="eastAsia" w:ascii="仿宋" w:hAnsi="仿宋" w:eastAsia="仿宋" w:cs="仿宋"/>
          <w:color w:val="auto"/>
          <w:highlight w:val="none"/>
        </w:rPr>
      </w:pPr>
      <w:r>
        <w:rPr>
          <w:rFonts w:hint="eastAsia" w:ascii="仿宋" w:hAnsi="仿宋" w:eastAsia="仿宋" w:cs="仿宋"/>
          <w:color w:val="auto"/>
          <w:sz w:val="24"/>
          <w:highlight w:val="none"/>
        </w:rPr>
        <w:t xml:space="preserve">                                                  年    月    日</w:t>
      </w:r>
    </w:p>
    <w:p w14:paraId="42334DAA">
      <w:pPr>
        <w:spacing w:line="360" w:lineRule="auto"/>
        <w:rPr>
          <w:rFonts w:hint="eastAsia" w:ascii="仿宋" w:hAnsi="仿宋" w:eastAsia="仿宋" w:cs="仿宋"/>
          <w:color w:val="auto"/>
          <w:highlight w:val="none"/>
        </w:rPr>
      </w:pPr>
    </w:p>
    <w:p w14:paraId="6E8F932B">
      <w:pP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br w:type="page"/>
      </w:r>
    </w:p>
    <w:p w14:paraId="2A943B3F">
      <w:pPr>
        <w:jc w:val="left"/>
        <w:rPr>
          <w:rFonts w:hint="eastAsia"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lang w:val="en-US" w:eastAsia="zh-CN"/>
        </w:rPr>
        <w:t>6.关于符合本国产品标准的声明函格式</w:t>
      </w:r>
    </w:p>
    <w:p w14:paraId="209CC64E">
      <w:pPr>
        <w:pStyle w:val="147"/>
        <w:ind w:firstLine="420"/>
        <w:jc w:val="center"/>
        <w:rPr>
          <w:rFonts w:hint="eastAsia" w:ascii="仿宋" w:hAnsi="仿宋" w:eastAsia="仿宋" w:cs="仿宋"/>
          <w:color w:val="auto"/>
          <w:highlight w:val="none"/>
        </w:rPr>
      </w:pPr>
      <w:r>
        <w:rPr>
          <w:rFonts w:hint="eastAsia" w:ascii="仿宋" w:hAnsi="仿宋" w:eastAsia="仿宋" w:cs="仿宋"/>
          <w:b/>
          <w:color w:val="auto"/>
          <w:sz w:val="28"/>
          <w:szCs w:val="28"/>
          <w:highlight w:val="none"/>
          <w:lang w:val="en-US" w:eastAsia="zh-CN"/>
        </w:rPr>
        <w:t>关于符合本国产品标准的声明函</w:t>
      </w:r>
    </w:p>
    <w:p w14:paraId="552384F3">
      <w:pPr>
        <w:pStyle w:val="2"/>
        <w:spacing w:line="500" w:lineRule="exact"/>
        <w:ind w:right="142"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本公司（单位</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联合体）郑重声明，根据《国务院办公厅关于在政府采购中实施本国产品标准及相关政策的通知》（国办发〔2025〕34号）的规定，本公司（单位）提供的以下产品属于本国产品。具体情况如下：</w:t>
      </w:r>
    </w:p>
    <w:p w14:paraId="168915F6">
      <w:pPr>
        <w:pStyle w:val="44"/>
        <w:shd w:val="clear" w:color="auto" w:fill="FFFFFF"/>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Style w:val="57"/>
          <w:rFonts w:hint="eastAsia" w:ascii="仿宋" w:hAnsi="仿宋" w:eastAsia="仿宋" w:cs="仿宋"/>
          <w:color w:val="auto"/>
          <w:sz w:val="24"/>
          <w:szCs w:val="24"/>
          <w:highlight w:val="none"/>
          <w:u w:val="single"/>
        </w:rPr>
        <w:t>（产品名称1）</w:t>
      </w:r>
      <w:r>
        <w:rPr>
          <w:rStyle w:val="57"/>
          <w:rFonts w:hint="eastAsia" w:ascii="仿宋" w:hAnsi="仿宋" w:eastAsia="仿宋" w:cs="仿宋"/>
          <w:color w:val="auto"/>
          <w:sz w:val="24"/>
          <w:szCs w:val="24"/>
          <w:highlight w:val="none"/>
          <w:u w:val="single"/>
          <w:vertAlign w:val="superscript"/>
        </w:rPr>
        <w:t>1</w:t>
      </w:r>
      <w:r>
        <w:rPr>
          <w:rFonts w:hint="eastAsia" w:ascii="仿宋" w:hAnsi="仿宋" w:eastAsia="仿宋" w:cs="仿宋"/>
          <w:color w:val="auto"/>
          <w:sz w:val="24"/>
          <w:szCs w:val="24"/>
          <w:highlight w:val="none"/>
        </w:rPr>
        <w:t>，生产厂为</w:t>
      </w:r>
      <w:r>
        <w:rPr>
          <w:rStyle w:val="57"/>
          <w:rFonts w:hint="eastAsia" w:ascii="仿宋" w:hAnsi="仿宋" w:eastAsia="仿宋" w:cs="仿宋"/>
          <w:color w:val="auto"/>
          <w:sz w:val="24"/>
          <w:szCs w:val="24"/>
          <w:highlight w:val="none"/>
          <w:u w:val="single"/>
        </w:rPr>
        <w:t>（厂名）</w:t>
      </w:r>
      <w:r>
        <w:rPr>
          <w:rStyle w:val="57"/>
          <w:rFonts w:hint="eastAsia" w:ascii="仿宋" w:hAnsi="仿宋" w:eastAsia="仿宋" w:cs="仿宋"/>
          <w:color w:val="auto"/>
          <w:sz w:val="24"/>
          <w:szCs w:val="24"/>
          <w:highlight w:val="none"/>
          <w:u w:val="single"/>
          <w:vertAlign w:val="superscript"/>
        </w:rPr>
        <w:t>2</w:t>
      </w:r>
      <w:r>
        <w:rPr>
          <w:rFonts w:hint="eastAsia" w:ascii="仿宋" w:hAnsi="仿宋" w:eastAsia="仿宋" w:cs="仿宋"/>
          <w:color w:val="auto"/>
          <w:sz w:val="24"/>
          <w:szCs w:val="24"/>
          <w:highlight w:val="none"/>
        </w:rPr>
        <w:t>，厂址为</w:t>
      </w:r>
      <w:r>
        <w:rPr>
          <w:rStyle w:val="57"/>
          <w:rFonts w:hint="eastAsia" w:ascii="仿宋" w:hAnsi="仿宋" w:eastAsia="仿宋" w:cs="仿宋"/>
          <w:color w:val="auto"/>
          <w:sz w:val="24"/>
          <w:szCs w:val="24"/>
          <w:highlight w:val="none"/>
          <w:u w:val="single"/>
        </w:rPr>
        <w:t>（生产厂址）</w:t>
      </w:r>
      <w:r>
        <w:rPr>
          <w:rFonts w:hint="eastAsia" w:ascii="仿宋" w:hAnsi="仿宋" w:eastAsia="仿宋" w:cs="仿宋"/>
          <w:color w:val="auto"/>
          <w:sz w:val="24"/>
          <w:szCs w:val="24"/>
          <w:highlight w:val="none"/>
        </w:rPr>
        <w:t>。</w:t>
      </w:r>
      <w:r>
        <w:rPr>
          <w:rStyle w:val="57"/>
          <w:rFonts w:hint="eastAsia" w:ascii="仿宋" w:hAnsi="仿宋" w:eastAsia="仿宋" w:cs="仿宋"/>
          <w:color w:val="auto"/>
          <w:sz w:val="24"/>
          <w:szCs w:val="24"/>
          <w:highlight w:val="none"/>
          <w:u w:val="single"/>
        </w:rPr>
        <w:t>（产品名称1）</w:t>
      </w:r>
      <w:r>
        <w:rPr>
          <w:rFonts w:hint="eastAsia" w:ascii="仿宋" w:hAnsi="仿宋" w:eastAsia="仿宋" w:cs="仿宋"/>
          <w:color w:val="auto"/>
          <w:sz w:val="24"/>
          <w:szCs w:val="24"/>
          <w:highlight w:val="none"/>
        </w:rPr>
        <w:t>的中国境内生产的组件成本占比≥</w:t>
      </w:r>
      <w:r>
        <w:rPr>
          <w:rStyle w:val="57"/>
          <w:rFonts w:hint="eastAsia" w:ascii="仿宋" w:hAnsi="仿宋" w:eastAsia="仿宋" w:cs="仿宋"/>
          <w:color w:val="auto"/>
          <w:sz w:val="24"/>
          <w:szCs w:val="24"/>
          <w:highlight w:val="none"/>
          <w:u w:val="single"/>
        </w:rPr>
        <w:t>（规定比例）</w:t>
      </w:r>
      <w:r>
        <w:rPr>
          <w:rStyle w:val="57"/>
          <w:rFonts w:hint="eastAsia" w:ascii="仿宋" w:hAnsi="仿宋" w:eastAsia="仿宋" w:cs="仿宋"/>
          <w:color w:val="auto"/>
          <w:sz w:val="24"/>
          <w:szCs w:val="24"/>
          <w:highlight w:val="none"/>
          <w:u w:val="single"/>
          <w:vertAlign w:val="superscript"/>
        </w:rPr>
        <w:t>3</w:t>
      </w:r>
      <w:r>
        <w:rPr>
          <w:rFonts w:hint="eastAsia" w:ascii="仿宋" w:hAnsi="仿宋" w:eastAsia="仿宋" w:cs="仿宋"/>
          <w:color w:val="auto"/>
          <w:sz w:val="24"/>
          <w:szCs w:val="24"/>
          <w:highlight w:val="none"/>
        </w:rPr>
        <w:t>。</w:t>
      </w:r>
      <w:r>
        <w:rPr>
          <w:rStyle w:val="57"/>
          <w:rFonts w:hint="eastAsia" w:ascii="仿宋" w:hAnsi="仿宋" w:eastAsia="仿宋" w:cs="仿宋"/>
          <w:color w:val="auto"/>
          <w:sz w:val="24"/>
          <w:szCs w:val="24"/>
          <w:highlight w:val="none"/>
          <w:u w:val="single"/>
        </w:rPr>
        <w:t>（产品名称1）</w:t>
      </w:r>
      <w:r>
        <w:rPr>
          <w:rFonts w:hint="eastAsia" w:ascii="仿宋" w:hAnsi="仿宋" w:eastAsia="仿宋" w:cs="仿宋"/>
          <w:color w:val="auto"/>
          <w:sz w:val="24"/>
          <w:szCs w:val="24"/>
          <w:highlight w:val="none"/>
        </w:rPr>
        <w:t>的</w:t>
      </w:r>
      <w:r>
        <w:rPr>
          <w:rStyle w:val="57"/>
          <w:rFonts w:hint="eastAsia" w:ascii="仿宋" w:hAnsi="仿宋" w:eastAsia="仿宋" w:cs="仿宋"/>
          <w:color w:val="auto"/>
          <w:sz w:val="24"/>
          <w:szCs w:val="24"/>
          <w:highlight w:val="none"/>
          <w:u w:val="single"/>
        </w:rPr>
        <w:t>（关键组件）</w:t>
      </w:r>
      <w:r>
        <w:rPr>
          <w:rStyle w:val="57"/>
          <w:rFonts w:hint="eastAsia" w:ascii="仿宋" w:hAnsi="仿宋" w:eastAsia="仿宋" w:cs="仿宋"/>
          <w:color w:val="auto"/>
          <w:sz w:val="24"/>
          <w:szCs w:val="24"/>
          <w:highlight w:val="none"/>
          <w:u w:val="single"/>
          <w:vertAlign w:val="superscript"/>
        </w:rPr>
        <w:t>4</w:t>
      </w:r>
      <w:r>
        <w:rPr>
          <w:rFonts w:hint="eastAsia" w:ascii="仿宋" w:hAnsi="仿宋" w:eastAsia="仿宋" w:cs="仿宋"/>
          <w:color w:val="auto"/>
          <w:sz w:val="24"/>
          <w:szCs w:val="24"/>
          <w:highlight w:val="none"/>
        </w:rPr>
        <w:t>在中国境内生产。</w:t>
      </w:r>
      <w:r>
        <w:rPr>
          <w:rStyle w:val="57"/>
          <w:rFonts w:hint="eastAsia" w:ascii="仿宋" w:hAnsi="仿宋" w:eastAsia="仿宋" w:cs="仿宋"/>
          <w:color w:val="auto"/>
          <w:sz w:val="24"/>
          <w:szCs w:val="24"/>
          <w:highlight w:val="none"/>
          <w:u w:val="single"/>
        </w:rPr>
        <w:t>（产品名称1）</w:t>
      </w:r>
      <w:r>
        <w:rPr>
          <w:rFonts w:hint="eastAsia" w:ascii="仿宋" w:hAnsi="仿宋" w:eastAsia="仿宋" w:cs="仿宋"/>
          <w:color w:val="auto"/>
          <w:sz w:val="24"/>
          <w:szCs w:val="24"/>
          <w:highlight w:val="none"/>
        </w:rPr>
        <w:t>的</w:t>
      </w:r>
      <w:r>
        <w:rPr>
          <w:rStyle w:val="57"/>
          <w:rFonts w:hint="eastAsia" w:ascii="仿宋" w:hAnsi="仿宋" w:eastAsia="仿宋" w:cs="仿宋"/>
          <w:color w:val="auto"/>
          <w:sz w:val="24"/>
          <w:szCs w:val="24"/>
          <w:highlight w:val="none"/>
          <w:u w:val="single"/>
        </w:rPr>
        <w:t>（关键工序）</w:t>
      </w:r>
      <w:r>
        <w:rPr>
          <w:rStyle w:val="57"/>
          <w:rFonts w:hint="eastAsia" w:ascii="仿宋" w:hAnsi="仿宋" w:eastAsia="仿宋" w:cs="仿宋"/>
          <w:color w:val="auto"/>
          <w:sz w:val="24"/>
          <w:szCs w:val="24"/>
          <w:highlight w:val="none"/>
          <w:u w:val="single"/>
          <w:vertAlign w:val="superscript"/>
        </w:rPr>
        <w:t>5</w:t>
      </w:r>
      <w:r>
        <w:rPr>
          <w:rFonts w:hint="eastAsia" w:ascii="仿宋" w:hAnsi="仿宋" w:eastAsia="仿宋" w:cs="仿宋"/>
          <w:color w:val="auto"/>
          <w:sz w:val="24"/>
          <w:szCs w:val="24"/>
          <w:highlight w:val="none"/>
        </w:rPr>
        <w:t>在中国境内完成。</w:t>
      </w:r>
    </w:p>
    <w:p w14:paraId="1BCD6787">
      <w:pPr>
        <w:pStyle w:val="44"/>
        <w:shd w:val="clear" w:color="auto" w:fill="FFFFFF"/>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Style w:val="57"/>
          <w:rFonts w:hint="eastAsia" w:ascii="仿宋" w:hAnsi="仿宋" w:eastAsia="仿宋" w:cs="仿宋"/>
          <w:color w:val="auto"/>
          <w:sz w:val="24"/>
          <w:szCs w:val="24"/>
          <w:highlight w:val="none"/>
          <w:u w:val="single"/>
        </w:rPr>
        <w:t>（产品名称2）</w:t>
      </w:r>
      <w:r>
        <w:rPr>
          <w:rFonts w:hint="eastAsia" w:ascii="仿宋" w:hAnsi="仿宋" w:eastAsia="仿宋" w:cs="仿宋"/>
          <w:color w:val="auto"/>
          <w:sz w:val="24"/>
          <w:szCs w:val="24"/>
          <w:highlight w:val="none"/>
        </w:rPr>
        <w:t>，生产厂为</w:t>
      </w:r>
      <w:r>
        <w:rPr>
          <w:rStyle w:val="57"/>
          <w:rFonts w:hint="eastAsia" w:ascii="仿宋" w:hAnsi="仿宋" w:eastAsia="仿宋" w:cs="仿宋"/>
          <w:color w:val="auto"/>
          <w:sz w:val="24"/>
          <w:szCs w:val="24"/>
          <w:highlight w:val="none"/>
          <w:u w:val="single"/>
        </w:rPr>
        <w:t>（厂名）</w:t>
      </w:r>
      <w:r>
        <w:rPr>
          <w:rFonts w:hint="eastAsia" w:ascii="仿宋" w:hAnsi="仿宋" w:eastAsia="仿宋" w:cs="仿宋"/>
          <w:color w:val="auto"/>
          <w:sz w:val="24"/>
          <w:szCs w:val="24"/>
          <w:highlight w:val="none"/>
        </w:rPr>
        <w:t>，厂址为</w:t>
      </w:r>
      <w:r>
        <w:rPr>
          <w:rStyle w:val="57"/>
          <w:rFonts w:hint="eastAsia" w:ascii="仿宋" w:hAnsi="仿宋" w:eastAsia="仿宋" w:cs="仿宋"/>
          <w:color w:val="auto"/>
          <w:sz w:val="24"/>
          <w:szCs w:val="24"/>
          <w:highlight w:val="none"/>
          <w:u w:val="single"/>
        </w:rPr>
        <w:t>（生产厂址）</w:t>
      </w:r>
      <w:r>
        <w:rPr>
          <w:rFonts w:hint="eastAsia" w:ascii="仿宋" w:hAnsi="仿宋" w:eastAsia="仿宋" w:cs="仿宋"/>
          <w:color w:val="auto"/>
          <w:sz w:val="24"/>
          <w:szCs w:val="24"/>
          <w:highlight w:val="none"/>
        </w:rPr>
        <w:t>。</w:t>
      </w:r>
      <w:r>
        <w:rPr>
          <w:rStyle w:val="57"/>
          <w:rFonts w:hint="eastAsia" w:ascii="仿宋" w:hAnsi="仿宋" w:eastAsia="仿宋" w:cs="仿宋"/>
          <w:color w:val="auto"/>
          <w:sz w:val="24"/>
          <w:szCs w:val="24"/>
          <w:highlight w:val="none"/>
          <w:u w:val="single"/>
        </w:rPr>
        <w:t>（产品名称2）</w:t>
      </w:r>
      <w:r>
        <w:rPr>
          <w:rFonts w:hint="eastAsia" w:ascii="仿宋" w:hAnsi="仿宋" w:eastAsia="仿宋" w:cs="仿宋"/>
          <w:color w:val="auto"/>
          <w:sz w:val="24"/>
          <w:szCs w:val="24"/>
          <w:highlight w:val="none"/>
        </w:rPr>
        <w:t>的中国境内生产的组件成本占比≥</w:t>
      </w:r>
      <w:r>
        <w:rPr>
          <w:rStyle w:val="57"/>
          <w:rFonts w:hint="eastAsia" w:ascii="仿宋" w:hAnsi="仿宋" w:eastAsia="仿宋" w:cs="仿宋"/>
          <w:color w:val="auto"/>
          <w:sz w:val="24"/>
          <w:szCs w:val="24"/>
          <w:highlight w:val="none"/>
          <w:u w:val="single"/>
        </w:rPr>
        <w:t>（规定比例）</w:t>
      </w:r>
      <w:r>
        <w:rPr>
          <w:rFonts w:hint="eastAsia" w:ascii="仿宋" w:hAnsi="仿宋" w:eastAsia="仿宋" w:cs="仿宋"/>
          <w:color w:val="auto"/>
          <w:sz w:val="24"/>
          <w:szCs w:val="24"/>
          <w:highlight w:val="none"/>
        </w:rPr>
        <w:t>。</w:t>
      </w:r>
      <w:r>
        <w:rPr>
          <w:rStyle w:val="57"/>
          <w:rFonts w:hint="eastAsia" w:ascii="仿宋" w:hAnsi="仿宋" w:eastAsia="仿宋" w:cs="仿宋"/>
          <w:color w:val="auto"/>
          <w:sz w:val="24"/>
          <w:szCs w:val="24"/>
          <w:highlight w:val="none"/>
          <w:u w:val="single"/>
        </w:rPr>
        <w:t>（产品名称2）</w:t>
      </w:r>
      <w:r>
        <w:rPr>
          <w:rFonts w:hint="eastAsia" w:ascii="仿宋" w:hAnsi="仿宋" w:eastAsia="仿宋" w:cs="仿宋"/>
          <w:color w:val="auto"/>
          <w:sz w:val="24"/>
          <w:szCs w:val="24"/>
          <w:highlight w:val="none"/>
        </w:rPr>
        <w:t>的</w:t>
      </w:r>
      <w:r>
        <w:rPr>
          <w:rStyle w:val="57"/>
          <w:rFonts w:hint="eastAsia" w:ascii="仿宋" w:hAnsi="仿宋" w:eastAsia="仿宋" w:cs="仿宋"/>
          <w:color w:val="auto"/>
          <w:sz w:val="24"/>
          <w:szCs w:val="24"/>
          <w:highlight w:val="none"/>
          <w:u w:val="single"/>
        </w:rPr>
        <w:t>（关键组件）</w:t>
      </w:r>
      <w:r>
        <w:rPr>
          <w:rFonts w:hint="eastAsia" w:ascii="仿宋" w:hAnsi="仿宋" w:eastAsia="仿宋" w:cs="仿宋"/>
          <w:color w:val="auto"/>
          <w:sz w:val="24"/>
          <w:szCs w:val="24"/>
          <w:highlight w:val="none"/>
        </w:rPr>
        <w:t>在中国境内生产。</w:t>
      </w:r>
      <w:r>
        <w:rPr>
          <w:rStyle w:val="57"/>
          <w:rFonts w:hint="eastAsia" w:ascii="仿宋" w:hAnsi="仿宋" w:eastAsia="仿宋" w:cs="仿宋"/>
          <w:color w:val="auto"/>
          <w:sz w:val="24"/>
          <w:szCs w:val="24"/>
          <w:highlight w:val="none"/>
          <w:u w:val="single"/>
        </w:rPr>
        <w:t>（产品名称2）</w:t>
      </w:r>
      <w:r>
        <w:rPr>
          <w:rFonts w:hint="eastAsia" w:ascii="仿宋" w:hAnsi="仿宋" w:eastAsia="仿宋" w:cs="仿宋"/>
          <w:color w:val="auto"/>
          <w:sz w:val="24"/>
          <w:szCs w:val="24"/>
          <w:highlight w:val="none"/>
        </w:rPr>
        <w:t>的</w:t>
      </w:r>
      <w:r>
        <w:rPr>
          <w:rStyle w:val="57"/>
          <w:rFonts w:hint="eastAsia" w:ascii="仿宋" w:hAnsi="仿宋" w:eastAsia="仿宋" w:cs="仿宋"/>
          <w:color w:val="auto"/>
          <w:sz w:val="24"/>
          <w:szCs w:val="24"/>
          <w:highlight w:val="none"/>
          <w:u w:val="single"/>
        </w:rPr>
        <w:t>（关键工序）</w:t>
      </w:r>
      <w:r>
        <w:rPr>
          <w:rFonts w:hint="eastAsia" w:ascii="仿宋" w:hAnsi="仿宋" w:eastAsia="仿宋" w:cs="仿宋"/>
          <w:color w:val="auto"/>
          <w:sz w:val="24"/>
          <w:szCs w:val="24"/>
          <w:highlight w:val="none"/>
        </w:rPr>
        <w:t>在中国境内完成。</w:t>
      </w:r>
    </w:p>
    <w:p w14:paraId="5179CE54">
      <w:pPr>
        <w:pStyle w:val="2"/>
        <w:spacing w:line="500" w:lineRule="exact"/>
        <w:ind w:right="142" w:firstLine="705" w:firstLineChars="29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p w14:paraId="062565D4">
      <w:pPr>
        <w:pStyle w:val="2"/>
        <w:spacing w:line="500" w:lineRule="exact"/>
        <w:ind w:right="142" w:firstLine="705" w:firstLineChars="294"/>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本公司（单位）对上述声明内容的真实性负责。如有虚假，愿承担相应法律责任。</w:t>
      </w:r>
    </w:p>
    <w:p w14:paraId="630294EA">
      <w:pPr>
        <w:pStyle w:val="49"/>
        <w:rPr>
          <w:rFonts w:hint="eastAsia" w:ascii="仿宋" w:hAnsi="仿宋" w:eastAsia="仿宋" w:cs="仿宋"/>
          <w:color w:val="auto"/>
          <w:sz w:val="24"/>
          <w:szCs w:val="24"/>
          <w:highlight w:val="none"/>
        </w:rPr>
      </w:pPr>
    </w:p>
    <w:p w14:paraId="0F2549D6">
      <w:pPr>
        <w:pStyle w:val="44"/>
        <w:shd w:val="clear" w:color="auto" w:fill="FFFFFF"/>
        <w:spacing w:before="24" w:after="24" w:line="360" w:lineRule="auto"/>
        <w:ind w:right="480" w:firstLine="4440" w:firstLineChars="18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供应商（盖公章</w:t>
      </w:r>
      <w:r>
        <w:rPr>
          <w:rFonts w:hint="eastAsia" w:ascii="仿宋" w:hAnsi="仿宋" w:eastAsia="仿宋" w:cs="仿宋"/>
          <w:color w:val="auto"/>
          <w:sz w:val="24"/>
          <w:szCs w:val="24"/>
          <w:highlight w:val="none"/>
          <w:lang w:val="en-US" w:eastAsia="zh-CN"/>
        </w:rPr>
        <w:t>或</w:t>
      </w:r>
      <w:r>
        <w:rPr>
          <w:rFonts w:hint="eastAsia" w:ascii="仿宋" w:hAnsi="仿宋" w:eastAsia="仿宋" w:cs="仿宋"/>
          <w:color w:val="auto"/>
          <w:sz w:val="24"/>
          <w:highlight w:val="none"/>
          <w:lang w:val="en-US" w:eastAsia="zh-CN"/>
        </w:rPr>
        <w:t>CA签章</w:t>
      </w:r>
      <w:r>
        <w:rPr>
          <w:rFonts w:hint="eastAsia" w:ascii="仿宋" w:hAnsi="仿宋" w:eastAsia="仿宋" w:cs="仿宋"/>
          <w:color w:val="auto"/>
          <w:sz w:val="24"/>
          <w:szCs w:val="24"/>
          <w:highlight w:val="none"/>
        </w:rPr>
        <w:t>）：      </w:t>
      </w:r>
    </w:p>
    <w:p w14:paraId="6D69A22F">
      <w:pPr>
        <w:pStyle w:val="44"/>
        <w:shd w:val="clear" w:color="auto" w:fill="FFFFFF"/>
        <w:spacing w:before="24" w:after="24" w:line="360" w:lineRule="auto"/>
        <w:ind w:right="480" w:firstLine="4440" w:firstLineChars="18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　　　年　 月 　日    </w:t>
      </w:r>
    </w:p>
    <w:p w14:paraId="61B0A821">
      <w:pPr>
        <w:pStyle w:val="44"/>
        <w:shd w:val="clear" w:color="auto" w:fill="FFFFFF"/>
        <w:spacing w:before="24" w:after="24"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_______________________________________________________________________________</w:t>
      </w:r>
    </w:p>
    <w:p w14:paraId="3F698F41">
      <w:pPr>
        <w:pStyle w:val="2"/>
        <w:spacing w:line="440" w:lineRule="exact"/>
        <w:ind w:right="142" w:firstLine="705" w:firstLineChars="29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1.产品如有型号，请在“产品名称”栏一并填写。</w:t>
      </w:r>
    </w:p>
    <w:p w14:paraId="48BFD5CB">
      <w:pPr>
        <w:pStyle w:val="2"/>
        <w:spacing w:line="440" w:lineRule="exact"/>
        <w:ind w:right="142" w:firstLine="705" w:firstLineChars="29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2.生产厂名与厂址应与生产厂营业执照载明的相关信息保持一致。</w:t>
      </w:r>
    </w:p>
    <w:p w14:paraId="0F166450">
      <w:pPr>
        <w:pStyle w:val="2"/>
        <w:spacing w:line="440" w:lineRule="exact"/>
        <w:ind w:right="142" w:firstLine="705" w:firstLineChars="29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3.该产品的中国境内生产的组件成本占比相关要求实施前，“规定比例”栏可不填，下同。</w:t>
      </w:r>
    </w:p>
    <w:p w14:paraId="1F6C8F1D">
      <w:pPr>
        <w:pStyle w:val="2"/>
        <w:spacing w:line="440" w:lineRule="exact"/>
        <w:ind w:right="142" w:firstLine="705" w:firstLineChars="29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4.该产品的关键组件要求实施前，“关键组件”栏可不填，下同。</w:t>
      </w:r>
    </w:p>
    <w:p w14:paraId="609B5C25">
      <w:pPr>
        <w:pStyle w:val="2"/>
        <w:spacing w:line="440" w:lineRule="exact"/>
        <w:ind w:right="142" w:firstLine="705" w:firstLineChars="294"/>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5.该产品的关键工序要求实施前，“关键工序”栏可不填，下同。</w:t>
      </w:r>
    </w:p>
    <w:p w14:paraId="49E02594">
      <w:pPr>
        <w:pStyle w:val="2"/>
        <w:spacing w:line="440" w:lineRule="exact"/>
        <w:ind w:right="142" w:firstLine="705" w:firstLineChars="29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《声明函》不符合</w:t>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HYPERLINK "https://www.gov.cn/zhengce/content/202509/content_7042999.htm" \t "_blank"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《关于在政府采购中实施本国产品标准及相关政策的通知》</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（财库〔2017〕141号）规定要求的，供应商提供的相关产品视为不符合本国产品标准。</w:t>
      </w:r>
    </w:p>
    <w:p w14:paraId="4B9D8660">
      <w:pPr>
        <w:rPr>
          <w:rFonts w:hint="eastAsia" w:ascii="仿宋" w:hAnsi="仿宋" w:eastAsia="仿宋" w:cs="仿宋"/>
          <w:b/>
          <w:color w:val="auto"/>
          <w:sz w:val="28"/>
          <w:szCs w:val="28"/>
          <w:highlight w:val="none"/>
        </w:rPr>
      </w:pPr>
      <w:r>
        <w:rPr>
          <w:rFonts w:hint="eastAsia" w:ascii="仿宋" w:hAnsi="仿宋" w:eastAsia="仿宋" w:cs="仿宋"/>
          <w:color w:val="auto"/>
          <w:sz w:val="24"/>
          <w:szCs w:val="24"/>
          <w:highlight w:val="none"/>
        </w:rPr>
        <w:br w:type="page"/>
      </w:r>
      <w:r>
        <w:rPr>
          <w:rFonts w:hint="eastAsia" w:ascii="仿宋" w:hAnsi="仿宋" w:eastAsia="仿宋" w:cs="仿宋"/>
          <w:b/>
          <w:color w:val="auto"/>
          <w:sz w:val="28"/>
          <w:szCs w:val="28"/>
          <w:highlight w:val="none"/>
        </w:rPr>
        <w:t>三、商务文件格式</w:t>
      </w:r>
      <w:bookmarkEnd w:id="194"/>
    </w:p>
    <w:p w14:paraId="5FABCB3A">
      <w:pPr>
        <w:snapToGrid w:val="0"/>
        <w:spacing w:before="120" w:beforeLines="50" w:after="50" w:line="360" w:lineRule="auto"/>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1.商务文件封面格式： </w:t>
      </w:r>
    </w:p>
    <w:p w14:paraId="5383B8FB">
      <w:pPr>
        <w:snapToGrid w:val="0"/>
        <w:spacing w:before="120" w:beforeLines="50" w:after="50"/>
        <w:rPr>
          <w:rFonts w:hint="eastAsia" w:ascii="仿宋" w:hAnsi="仿宋" w:eastAsia="仿宋" w:cs="仿宋"/>
          <w:bCs/>
          <w:color w:val="auto"/>
          <w:sz w:val="32"/>
          <w:szCs w:val="20"/>
          <w:highlight w:val="none"/>
        </w:rPr>
      </w:pPr>
    </w:p>
    <w:p w14:paraId="22B8F6B8">
      <w:pPr>
        <w:snapToGrid w:val="0"/>
        <w:spacing w:before="120" w:beforeLines="50" w:after="50"/>
        <w:rPr>
          <w:rFonts w:hint="eastAsia" w:ascii="仿宋" w:hAnsi="仿宋" w:eastAsia="仿宋" w:cs="仿宋"/>
          <w:color w:val="auto"/>
          <w:sz w:val="24"/>
          <w:szCs w:val="20"/>
          <w:highlight w:val="none"/>
        </w:rPr>
      </w:pPr>
    </w:p>
    <w:p w14:paraId="6D44BC04">
      <w:pPr>
        <w:snapToGrid w:val="0"/>
        <w:spacing w:before="120" w:beforeLines="50" w:after="50"/>
        <w:rPr>
          <w:rFonts w:hint="eastAsia" w:ascii="仿宋" w:hAnsi="仿宋" w:eastAsia="仿宋" w:cs="仿宋"/>
          <w:color w:val="auto"/>
          <w:sz w:val="24"/>
          <w:szCs w:val="20"/>
          <w:highlight w:val="none"/>
        </w:rPr>
      </w:pPr>
    </w:p>
    <w:p w14:paraId="5D474C49">
      <w:pPr>
        <w:snapToGrid w:val="0"/>
        <w:spacing w:before="120" w:beforeLines="50" w:after="50"/>
        <w:rPr>
          <w:rFonts w:hint="eastAsia" w:ascii="仿宋" w:hAnsi="仿宋" w:eastAsia="仿宋" w:cs="仿宋"/>
          <w:color w:val="auto"/>
          <w:sz w:val="24"/>
          <w:szCs w:val="20"/>
          <w:highlight w:val="none"/>
        </w:rPr>
      </w:pPr>
    </w:p>
    <w:p w14:paraId="12C3AD96">
      <w:pPr>
        <w:snapToGrid w:val="0"/>
        <w:spacing w:before="120" w:beforeLines="50" w:after="50"/>
        <w:jc w:val="center"/>
        <w:rPr>
          <w:rFonts w:hint="eastAsia" w:ascii="仿宋" w:hAnsi="仿宋" w:eastAsia="仿宋" w:cs="仿宋"/>
          <w:color w:val="auto"/>
          <w:sz w:val="84"/>
          <w:szCs w:val="84"/>
          <w:highlight w:val="none"/>
        </w:rPr>
      </w:pPr>
      <w:r>
        <w:rPr>
          <w:rFonts w:hint="eastAsia" w:ascii="仿宋" w:hAnsi="仿宋" w:eastAsia="仿宋" w:cs="仿宋"/>
          <w:color w:val="auto"/>
          <w:sz w:val="84"/>
          <w:szCs w:val="84"/>
          <w:highlight w:val="none"/>
        </w:rPr>
        <w:t>投  标  文  件</w:t>
      </w:r>
    </w:p>
    <w:p w14:paraId="29D180A6">
      <w:pPr>
        <w:snapToGrid w:val="0"/>
        <w:spacing w:before="120" w:beforeLines="50" w:after="50"/>
        <w:rPr>
          <w:rFonts w:hint="eastAsia" w:ascii="仿宋" w:hAnsi="仿宋" w:eastAsia="仿宋" w:cs="仿宋"/>
          <w:color w:val="auto"/>
          <w:sz w:val="24"/>
          <w:szCs w:val="20"/>
          <w:highlight w:val="none"/>
        </w:rPr>
      </w:pPr>
    </w:p>
    <w:p w14:paraId="441CA968">
      <w:pPr>
        <w:snapToGrid w:val="0"/>
        <w:spacing w:before="120" w:beforeLines="50" w:after="50"/>
        <w:rPr>
          <w:rFonts w:hint="eastAsia" w:ascii="仿宋" w:hAnsi="仿宋" w:eastAsia="仿宋" w:cs="仿宋"/>
          <w:color w:val="auto"/>
          <w:sz w:val="24"/>
          <w:szCs w:val="20"/>
          <w:highlight w:val="none"/>
        </w:rPr>
      </w:pPr>
    </w:p>
    <w:p w14:paraId="3C3921C8">
      <w:pPr>
        <w:snapToGrid w:val="0"/>
        <w:spacing w:before="120" w:beforeLines="50" w:after="50"/>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商  务  文  件</w:t>
      </w:r>
    </w:p>
    <w:p w14:paraId="58CFAE24">
      <w:pPr>
        <w:snapToGrid w:val="0"/>
        <w:spacing w:before="120" w:beforeLines="50" w:after="50"/>
        <w:rPr>
          <w:rFonts w:hint="eastAsia" w:ascii="仿宋" w:hAnsi="仿宋" w:eastAsia="仿宋" w:cs="仿宋"/>
          <w:bCs/>
          <w:color w:val="auto"/>
          <w:sz w:val="24"/>
          <w:szCs w:val="20"/>
          <w:highlight w:val="none"/>
        </w:rPr>
      </w:pPr>
    </w:p>
    <w:p w14:paraId="62475FCD">
      <w:pPr>
        <w:snapToGrid w:val="0"/>
        <w:spacing w:before="120" w:beforeLines="50" w:after="50"/>
        <w:ind w:firstLine="540" w:firstLineChars="225"/>
        <w:rPr>
          <w:rFonts w:hint="eastAsia" w:ascii="仿宋" w:hAnsi="仿宋" w:eastAsia="仿宋" w:cs="仿宋"/>
          <w:bCs/>
          <w:color w:val="auto"/>
          <w:sz w:val="24"/>
          <w:highlight w:val="none"/>
        </w:rPr>
      </w:pPr>
    </w:p>
    <w:p w14:paraId="7459DD17">
      <w:pPr>
        <w:snapToGrid w:val="0"/>
        <w:spacing w:before="120" w:beforeLines="50" w:after="50"/>
        <w:ind w:firstLine="540" w:firstLineChars="225"/>
        <w:rPr>
          <w:rFonts w:hint="eastAsia" w:ascii="仿宋" w:hAnsi="仿宋" w:eastAsia="仿宋" w:cs="仿宋"/>
          <w:bCs/>
          <w:color w:val="auto"/>
          <w:sz w:val="24"/>
          <w:highlight w:val="none"/>
        </w:rPr>
      </w:pPr>
    </w:p>
    <w:p w14:paraId="10D6C680">
      <w:pPr>
        <w:snapToGrid w:val="0"/>
        <w:spacing w:before="120" w:beforeLines="50" w:after="50"/>
        <w:ind w:firstLine="540" w:firstLineChars="225"/>
        <w:rPr>
          <w:rFonts w:hint="eastAsia" w:ascii="仿宋" w:hAnsi="仿宋" w:eastAsia="仿宋" w:cs="仿宋"/>
          <w:bCs/>
          <w:color w:val="auto"/>
          <w:sz w:val="24"/>
          <w:highlight w:val="none"/>
        </w:rPr>
      </w:pPr>
    </w:p>
    <w:p w14:paraId="4F63894C">
      <w:pPr>
        <w:snapToGrid w:val="0"/>
        <w:spacing w:before="120" w:beforeLines="50" w:after="50"/>
        <w:ind w:firstLine="540" w:firstLineChars="225"/>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项目名称：</w:t>
      </w:r>
    </w:p>
    <w:p w14:paraId="43A46D22">
      <w:pPr>
        <w:snapToGrid w:val="0"/>
        <w:spacing w:before="120" w:beforeLines="50" w:after="50"/>
        <w:ind w:firstLine="540" w:firstLineChars="225"/>
        <w:rPr>
          <w:rFonts w:hint="eastAsia" w:ascii="仿宋" w:hAnsi="仿宋" w:eastAsia="仿宋" w:cs="仿宋"/>
          <w:bCs/>
          <w:color w:val="auto"/>
          <w:sz w:val="24"/>
          <w:szCs w:val="20"/>
          <w:highlight w:val="none"/>
        </w:rPr>
      </w:pPr>
    </w:p>
    <w:p w14:paraId="03456912">
      <w:pPr>
        <w:snapToGrid w:val="0"/>
        <w:spacing w:before="120" w:beforeLines="50" w:after="50"/>
        <w:ind w:firstLine="540" w:firstLineChars="225"/>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项目编号：</w:t>
      </w:r>
    </w:p>
    <w:p w14:paraId="64E1B322">
      <w:pPr>
        <w:snapToGrid w:val="0"/>
        <w:spacing w:before="120" w:beforeLines="50" w:after="50"/>
        <w:ind w:firstLine="540" w:firstLineChars="225"/>
        <w:rPr>
          <w:rFonts w:hint="eastAsia" w:ascii="仿宋" w:hAnsi="仿宋" w:eastAsia="仿宋" w:cs="仿宋"/>
          <w:bCs/>
          <w:color w:val="auto"/>
          <w:sz w:val="24"/>
          <w:szCs w:val="20"/>
          <w:highlight w:val="none"/>
        </w:rPr>
      </w:pPr>
    </w:p>
    <w:p w14:paraId="5939BFB8">
      <w:pPr>
        <w:pStyle w:val="9"/>
        <w:snapToGrid w:val="0"/>
        <w:spacing w:before="50" w:after="50"/>
        <w:ind w:firstLine="540" w:firstLineChars="225"/>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投标人名称：</w:t>
      </w:r>
    </w:p>
    <w:p w14:paraId="311A8CD4">
      <w:pPr>
        <w:pStyle w:val="9"/>
        <w:snapToGrid w:val="0"/>
        <w:spacing w:before="50" w:after="50"/>
        <w:ind w:firstLine="540" w:firstLineChars="225"/>
        <w:rPr>
          <w:rFonts w:hint="eastAsia" w:ascii="仿宋" w:hAnsi="仿宋" w:eastAsia="仿宋" w:cs="仿宋"/>
          <w:bCs/>
          <w:color w:val="auto"/>
          <w:sz w:val="24"/>
          <w:szCs w:val="24"/>
          <w:highlight w:val="none"/>
        </w:rPr>
      </w:pPr>
    </w:p>
    <w:p w14:paraId="07935CC1">
      <w:pPr>
        <w:pStyle w:val="9"/>
        <w:snapToGrid w:val="0"/>
        <w:spacing w:before="50" w:after="50"/>
        <w:ind w:firstLine="960" w:firstLineChars="400"/>
        <w:rPr>
          <w:rFonts w:hint="eastAsia" w:ascii="仿宋" w:hAnsi="仿宋" w:eastAsia="仿宋" w:cs="仿宋"/>
          <w:bCs/>
          <w:color w:val="auto"/>
          <w:sz w:val="24"/>
          <w:szCs w:val="24"/>
          <w:highlight w:val="none"/>
        </w:rPr>
      </w:pPr>
    </w:p>
    <w:p w14:paraId="14D99213">
      <w:pPr>
        <w:snapToGrid w:val="0"/>
        <w:spacing w:before="120" w:beforeLines="50" w:after="50"/>
        <w:ind w:firstLine="645"/>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年  月  日</w:t>
      </w:r>
    </w:p>
    <w:p w14:paraId="3EE8C435">
      <w:pPr>
        <w:snapToGrid w:val="0"/>
        <w:spacing w:before="120" w:beforeLines="50" w:after="50"/>
        <w:rPr>
          <w:rFonts w:hint="eastAsia" w:ascii="仿宋" w:hAnsi="仿宋" w:eastAsia="仿宋" w:cs="仿宋"/>
          <w:color w:val="auto"/>
          <w:sz w:val="24"/>
          <w:szCs w:val="20"/>
          <w:highlight w:val="none"/>
        </w:rPr>
      </w:pPr>
    </w:p>
    <w:p w14:paraId="4460B112">
      <w:pPr>
        <w:snapToGrid w:val="0"/>
        <w:spacing w:line="360" w:lineRule="auto"/>
        <w:jc w:val="left"/>
        <w:rPr>
          <w:rFonts w:hint="eastAsia" w:ascii="仿宋" w:hAnsi="仿宋" w:eastAsia="仿宋" w:cs="仿宋"/>
          <w:b/>
          <w:bCs/>
          <w:color w:val="auto"/>
          <w:sz w:val="28"/>
          <w:szCs w:val="28"/>
          <w:highlight w:val="none"/>
        </w:rPr>
      </w:pPr>
      <w:r>
        <w:rPr>
          <w:rFonts w:hint="eastAsia" w:ascii="仿宋" w:hAnsi="仿宋" w:eastAsia="仿宋" w:cs="仿宋"/>
          <w:color w:val="auto"/>
          <w:sz w:val="24"/>
          <w:szCs w:val="20"/>
          <w:highlight w:val="none"/>
        </w:rPr>
        <w:br w:type="page"/>
      </w:r>
      <w:r>
        <w:rPr>
          <w:rFonts w:hint="eastAsia" w:ascii="仿宋" w:hAnsi="仿宋" w:eastAsia="仿宋" w:cs="仿宋"/>
          <w:b/>
          <w:bCs/>
          <w:color w:val="auto"/>
          <w:sz w:val="24"/>
          <w:highlight w:val="none"/>
        </w:rPr>
        <w:t>2.商务文件目录</w:t>
      </w:r>
    </w:p>
    <w:p w14:paraId="64908B7A">
      <w:pPr>
        <w:snapToGrid w:val="0"/>
        <w:spacing w:before="50" w:after="120" w:afterLines="50" w:line="360" w:lineRule="auto"/>
        <w:ind w:firstLine="480" w:firstLineChars="200"/>
        <w:jc w:val="left"/>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根据招标文件规定及投标人提供的材料自行编写目录。</w:t>
      </w:r>
    </w:p>
    <w:p w14:paraId="0667E40C">
      <w:pPr>
        <w:snapToGrid w:val="0"/>
        <w:spacing w:before="50" w:after="120" w:afterLines="50"/>
        <w:jc w:val="left"/>
        <w:rPr>
          <w:rFonts w:hint="eastAsia" w:ascii="仿宋" w:hAnsi="仿宋" w:eastAsia="仿宋" w:cs="仿宋"/>
          <w:color w:val="auto"/>
          <w:highlight w:val="none"/>
        </w:rPr>
      </w:pPr>
    </w:p>
    <w:p w14:paraId="5376093C">
      <w:pPr>
        <w:snapToGrid w:val="0"/>
        <w:spacing w:before="120" w:beforeLines="50" w:after="50"/>
        <w:jc w:val="left"/>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br w:type="page"/>
      </w:r>
      <w:r>
        <w:rPr>
          <w:rFonts w:hint="eastAsia" w:ascii="仿宋" w:hAnsi="仿宋" w:eastAsia="仿宋" w:cs="仿宋"/>
          <w:b/>
          <w:color w:val="auto"/>
          <w:sz w:val="24"/>
          <w:highlight w:val="none"/>
        </w:rPr>
        <w:t>3.投标人参加本项目无围标串标行为的承诺</w:t>
      </w:r>
      <w:r>
        <w:rPr>
          <w:rFonts w:hint="eastAsia" w:ascii="仿宋" w:hAnsi="仿宋" w:eastAsia="仿宋" w:cs="仿宋"/>
          <w:b/>
          <w:color w:val="auto"/>
          <w:sz w:val="24"/>
          <w:highlight w:val="none"/>
          <w:lang w:val="en-US" w:eastAsia="zh-CN"/>
        </w:rPr>
        <w:t>格式</w:t>
      </w:r>
    </w:p>
    <w:p w14:paraId="47C236F7">
      <w:pPr>
        <w:snapToGrid w:val="0"/>
        <w:spacing w:before="120" w:beforeLines="50" w:after="50"/>
        <w:jc w:val="left"/>
        <w:rPr>
          <w:rFonts w:hint="eastAsia" w:ascii="仿宋" w:hAnsi="仿宋" w:eastAsia="仿宋" w:cs="仿宋"/>
          <w:b/>
          <w:color w:val="auto"/>
          <w:sz w:val="24"/>
          <w:highlight w:val="none"/>
        </w:rPr>
      </w:pPr>
    </w:p>
    <w:p w14:paraId="6E5D5108">
      <w:pPr>
        <w:spacing w:line="360" w:lineRule="auto"/>
        <w:ind w:left="420"/>
        <w:contextualSpacing/>
        <w:jc w:val="center"/>
        <w:rPr>
          <w:rFonts w:hint="eastAsia" w:ascii="仿宋" w:hAnsi="仿宋" w:eastAsia="仿宋" w:cs="仿宋"/>
          <w:b/>
          <w:color w:val="auto"/>
          <w:sz w:val="24"/>
          <w:highlight w:val="none"/>
        </w:rPr>
      </w:pPr>
      <w:r>
        <w:rPr>
          <w:rFonts w:hint="eastAsia" w:ascii="仿宋" w:hAnsi="仿宋" w:eastAsia="仿宋" w:cs="仿宋"/>
          <w:bCs/>
          <w:color w:val="auto"/>
          <w:spacing w:val="-11"/>
          <w:sz w:val="44"/>
          <w:szCs w:val="44"/>
          <w:highlight w:val="none"/>
        </w:rPr>
        <w:t>投标人参加本项目无围标串标行为的承诺函</w:t>
      </w:r>
    </w:p>
    <w:p w14:paraId="2B814AD2">
      <w:pPr>
        <w:spacing w:line="440" w:lineRule="exact"/>
        <w:contextualSpacing/>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一、我方承诺无下列相互串通投标的情形：</w:t>
      </w:r>
    </w:p>
    <w:p w14:paraId="7EB5F5CF">
      <w:pP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1.不同投标人的投标文件由同一单位或者个人编制；</w:t>
      </w:r>
    </w:p>
    <w:p w14:paraId="434FC8E8">
      <w:pP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2.不同投标人委托同一单位或者个人办理投标事宜；</w:t>
      </w:r>
    </w:p>
    <w:p w14:paraId="03272C03">
      <w:pP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3.不同的投标人的投标文件载明的项目管理员为同一个人；</w:t>
      </w:r>
    </w:p>
    <w:p w14:paraId="72D20D2E">
      <w:pP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4.不同投标人的投标文件异常一致或者投标报价呈规律性差异；</w:t>
      </w:r>
    </w:p>
    <w:p w14:paraId="06417439">
      <w:pP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5.不同投标人的投标文件相互混装；</w:t>
      </w:r>
    </w:p>
    <w:p w14:paraId="326FA8B1">
      <w:pP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6.不同投标人的投标保证金从同一单位或者个人账户转出。</w:t>
      </w:r>
    </w:p>
    <w:p w14:paraId="7B4F8C14">
      <w:pPr>
        <w:spacing w:line="440" w:lineRule="exact"/>
        <w:contextualSpacing/>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二、我方承诺无下列恶意串通的情形：</w:t>
      </w:r>
    </w:p>
    <w:p w14:paraId="5B72C39A">
      <w:pP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1.投标人直接或者间接从采购人或者采购代理机构处获得其他投标人的相关信息并修改其投标文件或者响应文件；</w:t>
      </w:r>
    </w:p>
    <w:p w14:paraId="60C1EF7C">
      <w:pP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2.投标人按照采购人或者采购代理机构的授意撤换、修改投标文件或者响应文件；</w:t>
      </w:r>
    </w:p>
    <w:p w14:paraId="284DD198">
      <w:pP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3.投标人之间协商报价、技术方案等投标文件或者响应文件的实质性内容；</w:t>
      </w:r>
    </w:p>
    <w:p w14:paraId="62BA1C44">
      <w:pP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4.属于同一集团、协会、商会等组织成员的投标人按照该组织要求协同参加政府采购活动；</w:t>
      </w:r>
    </w:p>
    <w:p w14:paraId="7E9A6B98">
      <w:pP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5.投标人之间事先约定一致抬高或者压低投标报价，或者在招标项目中事先约定轮流以高价位或者低价位中标，或者事先约定由某一特定投标人中标，然后再参加投标；</w:t>
      </w:r>
    </w:p>
    <w:p w14:paraId="5D425A12">
      <w:pP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6.投标人之间商定部分投标人放弃参加政府采购活动或者放弃中标；</w:t>
      </w:r>
    </w:p>
    <w:p w14:paraId="683C283A">
      <w:pPr>
        <w:spacing w:line="440" w:lineRule="exact"/>
        <w:ind w:firstLine="470" w:firstLineChars="196"/>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7.投标人与采购人或者采购代理机构之间、投标人相互之间，为谋求特定投标人中标或者排斥其他投标人的其他串通行为。</w:t>
      </w:r>
    </w:p>
    <w:p w14:paraId="2C882E31">
      <w:pPr>
        <w:spacing w:line="440" w:lineRule="exact"/>
        <w:ind w:firstLine="472" w:firstLineChars="196"/>
        <w:contextualSpacing/>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以上情形一经核查属实，我方愿意承担一切后果，并不再寻求任何旨在减轻或者免除法律责任的辩解。</w:t>
      </w:r>
    </w:p>
    <w:p w14:paraId="138E6CC1">
      <w:pPr>
        <w:pStyle w:val="27"/>
        <w:spacing w:line="440" w:lineRule="exact"/>
        <w:ind w:firstLine="6840" w:firstLineChars="2850"/>
        <w:contextualSpacing/>
        <w:rPr>
          <w:rFonts w:hint="eastAsia" w:ascii="仿宋" w:hAnsi="仿宋" w:eastAsia="仿宋" w:cs="仿宋"/>
          <w:color w:val="auto"/>
          <w:sz w:val="24"/>
          <w:szCs w:val="24"/>
          <w:highlight w:val="none"/>
        </w:rPr>
      </w:pPr>
    </w:p>
    <w:p w14:paraId="7B00681C">
      <w:pPr>
        <w:pStyle w:val="27"/>
        <w:spacing w:line="440" w:lineRule="exact"/>
        <w:contextualSpacing/>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投标人名称（公章</w:t>
      </w:r>
      <w:r>
        <w:rPr>
          <w:rFonts w:hint="eastAsia" w:ascii="仿宋" w:hAnsi="仿宋" w:eastAsia="仿宋" w:cs="仿宋"/>
          <w:color w:val="auto"/>
          <w:sz w:val="24"/>
          <w:szCs w:val="24"/>
          <w:highlight w:val="none"/>
          <w:lang w:val="en-US" w:eastAsia="zh-CN"/>
        </w:rPr>
        <w:t>或</w:t>
      </w:r>
      <w:r>
        <w:rPr>
          <w:rFonts w:hint="eastAsia" w:ascii="仿宋" w:hAnsi="仿宋" w:eastAsia="仿宋" w:cs="仿宋"/>
          <w:color w:val="auto"/>
          <w:sz w:val="24"/>
          <w:highlight w:val="none"/>
          <w:lang w:val="en-US" w:eastAsia="zh-CN"/>
        </w:rPr>
        <w:t>CA签章</w:t>
      </w:r>
      <w:r>
        <w:rPr>
          <w:rFonts w:hint="eastAsia" w:ascii="仿宋" w:hAnsi="仿宋" w:eastAsia="仿宋" w:cs="仿宋"/>
          <w:color w:val="auto"/>
          <w:sz w:val="24"/>
          <w:szCs w:val="24"/>
          <w:highlight w:val="none"/>
        </w:rPr>
        <w:t>）：</w:t>
      </w:r>
    </w:p>
    <w:p w14:paraId="37C7F28E">
      <w:pPr>
        <w:pStyle w:val="27"/>
        <w:spacing w:line="440" w:lineRule="exact"/>
        <w:ind w:firstLine="4320" w:firstLineChars="18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01C9FD53">
      <w:pPr>
        <w:snapToGrid w:val="0"/>
        <w:spacing w:before="120" w:beforeLines="50" w:after="50"/>
        <w:jc w:val="left"/>
        <w:rPr>
          <w:rFonts w:hint="eastAsia" w:ascii="仿宋" w:hAnsi="仿宋" w:eastAsia="仿宋" w:cs="仿宋"/>
          <w:b/>
          <w:color w:val="auto"/>
          <w:sz w:val="24"/>
          <w:highlight w:val="none"/>
        </w:rPr>
      </w:pPr>
    </w:p>
    <w:p w14:paraId="0233250A">
      <w:pPr>
        <w:snapToGrid w:val="0"/>
        <w:spacing w:before="120" w:beforeLines="50" w:after="50"/>
        <w:jc w:val="left"/>
        <w:rPr>
          <w:rFonts w:hint="eastAsia" w:ascii="仿宋" w:hAnsi="仿宋" w:eastAsia="仿宋" w:cs="仿宋"/>
          <w:b/>
          <w:color w:val="auto"/>
          <w:sz w:val="24"/>
          <w:highlight w:val="none"/>
        </w:rPr>
      </w:pPr>
    </w:p>
    <w:p w14:paraId="1DA1568A">
      <w:pPr>
        <w:snapToGrid w:val="0"/>
        <w:spacing w:before="120" w:beforeLines="50" w:after="50"/>
        <w:jc w:val="left"/>
        <w:rPr>
          <w:rFonts w:hint="eastAsia" w:ascii="仿宋" w:hAnsi="仿宋" w:eastAsia="仿宋" w:cs="仿宋"/>
          <w:b/>
          <w:color w:val="auto"/>
          <w:sz w:val="24"/>
          <w:highlight w:val="none"/>
        </w:rPr>
      </w:pPr>
    </w:p>
    <w:p w14:paraId="08F27467">
      <w:pPr>
        <w:snapToGrid w:val="0"/>
        <w:spacing w:before="120" w:beforeLines="50" w:after="50"/>
        <w:jc w:val="left"/>
        <w:rPr>
          <w:rFonts w:hint="eastAsia" w:ascii="仿宋" w:hAnsi="仿宋" w:eastAsia="仿宋" w:cs="仿宋"/>
          <w:b/>
          <w:color w:val="auto"/>
          <w:sz w:val="24"/>
          <w:highlight w:val="none"/>
        </w:rPr>
      </w:pPr>
    </w:p>
    <w:p w14:paraId="6CA94669">
      <w:pPr>
        <w:snapToGrid w:val="0"/>
        <w:spacing w:before="120" w:beforeLines="50" w:after="50"/>
        <w:jc w:val="left"/>
        <w:rPr>
          <w:rFonts w:hint="eastAsia" w:ascii="仿宋" w:hAnsi="仿宋" w:eastAsia="仿宋" w:cs="仿宋"/>
          <w:b/>
          <w:color w:val="auto"/>
          <w:sz w:val="24"/>
          <w:highlight w:val="none"/>
        </w:rPr>
      </w:pPr>
    </w:p>
    <w:p w14:paraId="25D2EF44">
      <w:pPr>
        <w:snapToGrid w:val="0"/>
        <w:spacing w:before="120" w:beforeLines="50" w:after="50"/>
        <w:jc w:val="left"/>
        <w:rPr>
          <w:rFonts w:hint="eastAsia" w:ascii="仿宋" w:hAnsi="仿宋" w:eastAsia="仿宋" w:cs="仿宋"/>
          <w:b/>
          <w:color w:val="auto"/>
          <w:sz w:val="24"/>
          <w:szCs w:val="20"/>
          <w:highlight w:val="none"/>
          <w:lang w:val="en-US" w:eastAsia="zh-CN"/>
        </w:rPr>
      </w:pPr>
      <w:r>
        <w:rPr>
          <w:rFonts w:hint="eastAsia" w:ascii="仿宋" w:hAnsi="仿宋" w:eastAsia="仿宋" w:cs="仿宋"/>
          <w:b/>
          <w:color w:val="auto"/>
          <w:sz w:val="24"/>
          <w:highlight w:val="none"/>
        </w:rPr>
        <w:t>4.法定代表人身份证明</w:t>
      </w:r>
      <w:r>
        <w:rPr>
          <w:rFonts w:hint="eastAsia" w:ascii="仿宋" w:hAnsi="仿宋" w:eastAsia="仿宋" w:cs="仿宋"/>
          <w:b/>
          <w:color w:val="auto"/>
          <w:sz w:val="24"/>
          <w:highlight w:val="none"/>
          <w:lang w:val="en-US" w:eastAsia="zh-CN"/>
        </w:rPr>
        <w:t>格式</w:t>
      </w:r>
    </w:p>
    <w:p w14:paraId="21BF228F">
      <w:pPr>
        <w:spacing w:before="240" w:beforeLines="100" w:after="120" w:afterLines="50"/>
        <w:ind w:left="540"/>
        <w:jc w:val="center"/>
        <w:rPr>
          <w:rFonts w:hint="eastAsia" w:ascii="仿宋" w:hAnsi="仿宋" w:eastAsia="仿宋" w:cs="仿宋"/>
          <w:bCs/>
          <w:color w:val="auto"/>
          <w:sz w:val="44"/>
          <w:szCs w:val="44"/>
          <w:highlight w:val="none"/>
        </w:rPr>
      </w:pPr>
      <w:r>
        <w:rPr>
          <w:rFonts w:hint="eastAsia" w:ascii="仿宋" w:hAnsi="仿宋" w:eastAsia="仿宋" w:cs="仿宋"/>
          <w:bCs/>
          <w:color w:val="auto"/>
          <w:sz w:val="44"/>
          <w:szCs w:val="44"/>
          <w:highlight w:val="none"/>
        </w:rPr>
        <w:t>法定代表人身份证明</w:t>
      </w:r>
    </w:p>
    <w:p w14:paraId="2DFF5D6B">
      <w:pPr>
        <w:spacing w:line="500" w:lineRule="exact"/>
        <w:ind w:left="540"/>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p>
    <w:p w14:paraId="1C738B85">
      <w:pPr>
        <w:spacing w:line="500" w:lineRule="exact"/>
        <w:ind w:left="540"/>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p>
    <w:p w14:paraId="0C8C5D63">
      <w:pPr>
        <w:spacing w:line="500" w:lineRule="exact"/>
        <w:ind w:left="540"/>
        <w:rPr>
          <w:rFonts w:hint="eastAsia" w:ascii="仿宋" w:hAnsi="仿宋" w:eastAsia="仿宋" w:cs="仿宋"/>
          <w:color w:val="auto"/>
          <w:sz w:val="24"/>
          <w:highlight w:val="non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性      别：</w:t>
      </w:r>
    </w:p>
    <w:p w14:paraId="384D0A4D">
      <w:pPr>
        <w:spacing w:line="500" w:lineRule="exact"/>
        <w:ind w:left="54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年    龄：                     职      务：</w:t>
      </w:r>
    </w:p>
    <w:p w14:paraId="1C51D811">
      <w:pPr>
        <w:spacing w:line="500" w:lineRule="exact"/>
        <w:ind w:left="540"/>
        <w:rPr>
          <w:rFonts w:hint="eastAsia" w:ascii="仿宋" w:hAnsi="仿宋" w:eastAsia="仿宋" w:cs="仿宋"/>
          <w:color w:val="auto"/>
          <w:sz w:val="24"/>
          <w:highlight w:val="none"/>
        </w:rPr>
      </w:pPr>
      <w:r>
        <w:rPr>
          <w:rFonts w:hint="eastAsia" w:ascii="仿宋" w:hAnsi="仿宋" w:eastAsia="仿宋" w:cs="仿宋"/>
          <w:color w:val="auto"/>
          <w:sz w:val="24"/>
          <w:highlight w:val="none"/>
        </w:rPr>
        <w:t>身份证号码：</w:t>
      </w:r>
    </w:p>
    <w:p w14:paraId="1EFA93DB">
      <w:pPr>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（投标人名称）              </w:t>
      </w:r>
      <w:r>
        <w:rPr>
          <w:rFonts w:hint="eastAsia" w:ascii="仿宋" w:hAnsi="仿宋" w:eastAsia="仿宋" w:cs="仿宋"/>
          <w:color w:val="auto"/>
          <w:sz w:val="24"/>
          <w:highlight w:val="none"/>
        </w:rPr>
        <w:t>的法定代表人。</w:t>
      </w:r>
    </w:p>
    <w:p w14:paraId="5D0FEA43">
      <w:pPr>
        <w:spacing w:line="500" w:lineRule="exact"/>
        <w:ind w:left="54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7EE1D0C3">
      <w:pPr>
        <w:spacing w:line="500" w:lineRule="exact"/>
        <w:ind w:left="540"/>
        <w:rPr>
          <w:rFonts w:hint="eastAsia" w:ascii="仿宋" w:hAnsi="仿宋" w:eastAsia="仿宋" w:cs="仿宋"/>
          <w:color w:val="auto"/>
          <w:sz w:val="24"/>
          <w:highlight w:val="none"/>
        </w:rPr>
      </w:pPr>
    </w:p>
    <w:p w14:paraId="514524F1">
      <w:pPr>
        <w:spacing w:line="500" w:lineRule="exact"/>
        <w:ind w:left="540"/>
        <w:rPr>
          <w:rFonts w:hint="eastAsia" w:ascii="仿宋" w:hAnsi="仿宋" w:eastAsia="仿宋" w:cs="仿宋"/>
          <w:color w:val="auto"/>
          <w:sz w:val="24"/>
          <w:highlight w:val="none"/>
        </w:rPr>
      </w:pPr>
    </w:p>
    <w:p w14:paraId="736C6ED4">
      <w:pPr>
        <w:spacing w:line="500" w:lineRule="exact"/>
        <w:ind w:left="540"/>
        <w:rPr>
          <w:rFonts w:hint="eastAsia" w:ascii="仿宋" w:hAnsi="仿宋" w:eastAsia="仿宋" w:cs="仿宋"/>
          <w:color w:val="auto"/>
          <w:sz w:val="24"/>
          <w:highlight w:val="none"/>
        </w:rPr>
      </w:pPr>
      <w:r>
        <w:rPr>
          <w:rFonts w:hint="eastAsia" w:ascii="仿宋" w:hAnsi="仿宋" w:eastAsia="仿宋" w:cs="仿宋"/>
          <w:color w:val="auto"/>
          <w:sz w:val="24"/>
          <w:highlight w:val="none"/>
        </w:rPr>
        <w:t>附件：法定代表人有效身份证正反面复印件</w:t>
      </w:r>
    </w:p>
    <w:p w14:paraId="10532628">
      <w:pPr>
        <w:spacing w:line="500" w:lineRule="exact"/>
        <w:ind w:left="540"/>
        <w:rPr>
          <w:rFonts w:hint="eastAsia" w:ascii="仿宋" w:hAnsi="仿宋" w:eastAsia="仿宋" w:cs="仿宋"/>
          <w:color w:val="auto"/>
          <w:sz w:val="24"/>
          <w:highlight w:val="none"/>
        </w:rPr>
      </w:pPr>
    </w:p>
    <w:p w14:paraId="342509D3">
      <w:pPr>
        <w:spacing w:line="500" w:lineRule="exact"/>
        <w:ind w:left="54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投标人名称（公章</w:t>
      </w:r>
      <w:r>
        <w:rPr>
          <w:rFonts w:hint="eastAsia" w:ascii="仿宋" w:hAnsi="仿宋" w:eastAsia="仿宋" w:cs="仿宋"/>
          <w:color w:val="auto"/>
          <w:sz w:val="24"/>
          <w:highlight w:val="none"/>
          <w:lang w:val="en-US" w:eastAsia="zh-CN"/>
        </w:rPr>
        <w:t>或CA签章</w:t>
      </w:r>
      <w:r>
        <w:rPr>
          <w:rFonts w:hint="eastAsia" w:ascii="仿宋" w:hAnsi="仿宋" w:eastAsia="仿宋" w:cs="仿宋"/>
          <w:color w:val="auto"/>
          <w:sz w:val="24"/>
          <w:highlight w:val="none"/>
        </w:rPr>
        <w:t>）</w:t>
      </w:r>
    </w:p>
    <w:p w14:paraId="58E197EB">
      <w:pPr>
        <w:wordWrap w:val="0"/>
        <w:snapToGrid w:val="0"/>
        <w:spacing w:before="120" w:beforeLines="50" w:after="50"/>
        <w:ind w:left="54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57C96239">
      <w:pPr>
        <w:snapToGrid w:val="0"/>
        <w:spacing w:before="120" w:beforeLines="50" w:after="50"/>
        <w:jc w:val="center"/>
        <w:rPr>
          <w:rFonts w:hint="eastAsia" w:ascii="仿宋" w:hAnsi="仿宋" w:eastAsia="仿宋" w:cs="仿宋"/>
          <w:b/>
          <w:color w:val="auto"/>
          <w:sz w:val="24"/>
          <w:highlight w:val="none"/>
        </w:rPr>
      </w:pPr>
    </w:p>
    <w:p w14:paraId="159FBDAC">
      <w:pPr>
        <w:snapToGrid w:val="0"/>
        <w:spacing w:before="120" w:beforeLines="50" w:after="50"/>
        <w:jc w:val="left"/>
        <w:rPr>
          <w:rFonts w:hint="eastAsia" w:ascii="仿宋" w:hAnsi="仿宋" w:eastAsia="仿宋" w:cs="仿宋"/>
          <w:b/>
          <w:color w:val="auto"/>
          <w:sz w:val="24"/>
          <w:szCs w:val="20"/>
          <w:highlight w:val="none"/>
        </w:rPr>
      </w:pPr>
      <w:r>
        <w:rPr>
          <w:rFonts w:hint="eastAsia" w:ascii="仿宋" w:hAnsi="仿宋" w:eastAsia="仿宋" w:cs="仿宋"/>
          <w:color w:val="auto"/>
          <w:sz w:val="24"/>
          <w:highlight w:val="none"/>
        </w:rPr>
        <w:t>注：自然人投标的无需提供</w:t>
      </w:r>
    </w:p>
    <w:p w14:paraId="03049016">
      <w:pPr>
        <w:snapToGrid w:val="0"/>
        <w:spacing w:before="120" w:beforeLines="50" w:after="50"/>
        <w:jc w:val="left"/>
        <w:rPr>
          <w:rFonts w:hint="eastAsia" w:ascii="仿宋" w:hAnsi="仿宋" w:eastAsia="仿宋" w:cs="仿宋"/>
          <w:b/>
          <w:color w:val="auto"/>
          <w:sz w:val="24"/>
          <w:szCs w:val="20"/>
          <w:highlight w:val="none"/>
        </w:rPr>
      </w:pPr>
      <w:r>
        <w:rPr>
          <w:rFonts w:hint="eastAsia" w:ascii="仿宋" w:hAnsi="仿宋" w:eastAsia="仿宋" w:cs="仿宋"/>
          <w:b/>
          <w:color w:val="auto"/>
          <w:sz w:val="24"/>
          <w:highlight w:val="none"/>
        </w:rPr>
        <w:br w:type="page"/>
      </w:r>
      <w:r>
        <w:rPr>
          <w:rFonts w:hint="eastAsia" w:ascii="仿宋" w:hAnsi="仿宋" w:eastAsia="仿宋" w:cs="仿宋"/>
          <w:b/>
          <w:color w:val="auto"/>
          <w:sz w:val="24"/>
          <w:highlight w:val="none"/>
        </w:rPr>
        <w:t>5.授权委托书格式</w:t>
      </w:r>
    </w:p>
    <w:p w14:paraId="12A243D7">
      <w:pPr>
        <w:snapToGrid w:val="0"/>
        <w:spacing w:before="120" w:beforeLines="50" w:after="50"/>
        <w:jc w:val="center"/>
        <w:rPr>
          <w:rFonts w:hint="eastAsia" w:ascii="仿宋" w:hAnsi="仿宋" w:eastAsia="仿宋" w:cs="仿宋"/>
          <w:b/>
          <w:color w:val="auto"/>
          <w:sz w:val="44"/>
          <w:szCs w:val="44"/>
          <w:highlight w:val="none"/>
        </w:rPr>
      </w:pPr>
    </w:p>
    <w:p w14:paraId="6A8E6E07">
      <w:pPr>
        <w:spacing w:line="360" w:lineRule="auto"/>
        <w:contextualSpacing/>
        <w:jc w:val="center"/>
        <w:rPr>
          <w:rFonts w:hint="eastAsia" w:ascii="仿宋" w:hAnsi="仿宋" w:eastAsia="仿宋" w:cs="仿宋"/>
          <w:bCs/>
          <w:color w:val="auto"/>
          <w:sz w:val="44"/>
          <w:szCs w:val="44"/>
          <w:highlight w:val="none"/>
        </w:rPr>
      </w:pPr>
      <w:r>
        <w:rPr>
          <w:rFonts w:hint="eastAsia" w:ascii="仿宋" w:hAnsi="仿宋" w:eastAsia="仿宋" w:cs="仿宋"/>
          <w:bCs/>
          <w:color w:val="auto"/>
          <w:sz w:val="44"/>
          <w:szCs w:val="44"/>
          <w:highlight w:val="none"/>
        </w:rPr>
        <w:t>授权委托书</w:t>
      </w:r>
    </w:p>
    <w:p w14:paraId="6747750A">
      <w:pPr>
        <w:spacing w:line="360" w:lineRule="auto"/>
        <w:contextualSpacing/>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（非联合体投标格式）</w:t>
      </w:r>
    </w:p>
    <w:p w14:paraId="7018E317">
      <w:pPr>
        <w:spacing w:line="360" w:lineRule="auto"/>
        <w:contextualSpacing/>
        <w:jc w:val="center"/>
        <w:rPr>
          <w:rFonts w:hint="eastAsia" w:ascii="仿宋" w:hAnsi="仿宋" w:eastAsia="仿宋" w:cs="仿宋"/>
          <w:bCs/>
          <w:color w:val="auto"/>
          <w:sz w:val="24"/>
          <w:highlight w:val="none"/>
        </w:rPr>
      </w:pPr>
      <w:r>
        <w:rPr>
          <w:rFonts w:hint="eastAsia" w:ascii="仿宋" w:hAnsi="仿宋" w:eastAsia="仿宋" w:cs="仿宋"/>
          <w:bCs/>
          <w:color w:val="auto"/>
          <w:sz w:val="32"/>
          <w:szCs w:val="32"/>
          <w:highlight w:val="none"/>
        </w:rPr>
        <w:t>（如有委托时）</w:t>
      </w:r>
    </w:p>
    <w:p w14:paraId="0DBEACC9">
      <w:pPr>
        <w:spacing w:line="440" w:lineRule="exact"/>
        <w:contextualSpacing/>
        <w:jc w:val="center"/>
        <w:rPr>
          <w:rFonts w:hint="eastAsia" w:ascii="仿宋" w:hAnsi="仿宋" w:eastAsia="仿宋" w:cs="仿宋"/>
          <w:b/>
          <w:color w:val="auto"/>
          <w:sz w:val="24"/>
          <w:highlight w:val="none"/>
        </w:rPr>
      </w:pPr>
    </w:p>
    <w:p w14:paraId="3BC6D9EE">
      <w:pPr>
        <w:spacing w:line="440" w:lineRule="exact"/>
        <w:contextualSpacing/>
        <w:rPr>
          <w:rFonts w:hint="eastAsia" w:ascii="仿宋" w:hAnsi="仿宋" w:eastAsia="仿宋" w:cs="仿宋"/>
          <w:b/>
          <w:bCs/>
          <w:color w:val="auto"/>
          <w:sz w:val="24"/>
          <w:highlight w:val="none"/>
        </w:rPr>
      </w:pPr>
      <w:r>
        <w:rPr>
          <w:rFonts w:hint="eastAsia" w:ascii="仿宋" w:hAnsi="仿宋" w:eastAsia="仿宋" w:cs="仿宋"/>
          <w:bCs/>
          <w:color w:val="auto"/>
          <w:sz w:val="24"/>
          <w:highlight w:val="none"/>
        </w:rPr>
        <w:t>致：</w:t>
      </w:r>
      <w:r>
        <w:rPr>
          <w:rFonts w:hint="eastAsia" w:ascii="仿宋" w:hAnsi="仿宋" w:eastAsia="仿宋" w:cs="仿宋"/>
          <w:color w:val="auto"/>
          <w:sz w:val="24"/>
          <w:highlight w:val="none"/>
          <w:u w:val="single"/>
        </w:rPr>
        <w:t>采购人名称</w:t>
      </w:r>
    </w:p>
    <w:p w14:paraId="6A5BFE4C">
      <w:pPr>
        <w:spacing w:line="440" w:lineRule="exact"/>
        <w:ind w:firstLine="566" w:firstLineChars="236"/>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我</w:t>
      </w:r>
      <w:r>
        <w:rPr>
          <w:rFonts w:hint="eastAsia" w:ascii="仿宋" w:hAnsi="仿宋" w:eastAsia="仿宋" w:cs="仿宋"/>
          <w:color w:val="auto"/>
          <w:sz w:val="24"/>
          <w:highlight w:val="none"/>
          <w:u w:val="single"/>
        </w:rPr>
        <w:t>（姓名）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（投标人名称）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（姓名）</w:t>
      </w:r>
      <w:r>
        <w:rPr>
          <w:rFonts w:hint="eastAsia" w:ascii="仿宋" w:hAnsi="仿宋" w:eastAsia="仿宋" w:cs="仿宋"/>
          <w:color w:val="auto"/>
          <w:sz w:val="24"/>
          <w:highlight w:val="none"/>
        </w:rPr>
        <w:t>以我方的名义参加项目（项目编号：）的投标活动，并代表我方全权办理针对上述项目的所有采购程序和环节的具体事务和签署相关文件。</w:t>
      </w:r>
    </w:p>
    <w:p w14:paraId="11A5D790">
      <w:pPr>
        <w:spacing w:line="440" w:lineRule="exact"/>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我方对委托代理人的签字事项负全部责任。</w:t>
      </w:r>
    </w:p>
    <w:p w14:paraId="7FAB3852">
      <w:pPr>
        <w:spacing w:line="440" w:lineRule="exact"/>
        <w:ind w:firstLine="48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本授权书自签署之日起生效，在撤销授权的书面通知以前，本授权书一直有效。委托代理人在授权书有效期内签署的所有文件不因授权的撤销而失效。</w:t>
      </w:r>
    </w:p>
    <w:p w14:paraId="35D8EC43">
      <w:pPr>
        <w:spacing w:line="440" w:lineRule="exact"/>
        <w:ind w:firstLine="48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委托代理人无转委托权，特此委托。</w:t>
      </w:r>
    </w:p>
    <w:p w14:paraId="6C6A771E">
      <w:pPr>
        <w:spacing w:line="440" w:lineRule="exact"/>
        <w:ind w:firstLine="48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附：法定代表人身份证明及委托代理人有效身份证正反面复印件</w:t>
      </w:r>
    </w:p>
    <w:p w14:paraId="463CCA02">
      <w:pPr>
        <w:spacing w:line="440" w:lineRule="exact"/>
        <w:contextualSpacing/>
        <w:rPr>
          <w:rFonts w:hint="eastAsia" w:ascii="仿宋" w:hAnsi="仿宋" w:eastAsia="仿宋" w:cs="仿宋"/>
          <w:color w:val="auto"/>
          <w:sz w:val="24"/>
          <w:highlight w:val="none"/>
        </w:rPr>
      </w:pPr>
    </w:p>
    <w:p w14:paraId="7AE1A3C6">
      <w:pPr>
        <w:spacing w:line="440" w:lineRule="exact"/>
        <w:contextualSpacing/>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委托代理人（签字）：        法定代表人（签字或者盖章）：</w:t>
      </w:r>
    </w:p>
    <w:p w14:paraId="3FDF0EDC">
      <w:pPr>
        <w:spacing w:line="440" w:lineRule="exact"/>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委托代理人身份证号码：</w:t>
      </w:r>
    </w:p>
    <w:p w14:paraId="348019A3">
      <w:pPr>
        <w:spacing w:line="440" w:lineRule="exact"/>
        <w:contextualSpacing/>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投标人（盖公章</w:t>
      </w:r>
      <w:r>
        <w:rPr>
          <w:rFonts w:hint="eastAsia" w:ascii="仿宋" w:hAnsi="仿宋" w:eastAsia="仿宋" w:cs="仿宋"/>
          <w:color w:val="auto"/>
          <w:sz w:val="24"/>
          <w:highlight w:val="none"/>
          <w:lang w:val="en-US" w:eastAsia="zh-CN"/>
        </w:rPr>
        <w:t>或CA签章</w:t>
      </w:r>
      <w:r>
        <w:rPr>
          <w:rFonts w:hint="eastAsia" w:ascii="仿宋" w:hAnsi="仿宋" w:eastAsia="仿宋" w:cs="仿宋"/>
          <w:color w:val="auto"/>
          <w:sz w:val="24"/>
          <w:highlight w:val="none"/>
        </w:rPr>
        <w:t>）：</w:t>
      </w:r>
    </w:p>
    <w:p w14:paraId="72F80F1A">
      <w:pPr>
        <w:spacing w:line="440" w:lineRule="exact"/>
        <w:contextualSpacing/>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年    月    日</w:t>
      </w:r>
    </w:p>
    <w:p w14:paraId="0498659C">
      <w:pPr>
        <w:spacing w:line="440" w:lineRule="exact"/>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注：1.</w:t>
      </w:r>
      <w:bookmarkStart w:id="195" w:name="_Hlk65851555"/>
      <w:bookmarkStart w:id="196" w:name="_Hlk65851620"/>
      <w:r>
        <w:rPr>
          <w:rFonts w:hint="eastAsia" w:ascii="仿宋" w:hAnsi="仿宋" w:eastAsia="仿宋" w:cs="仿宋"/>
          <w:color w:val="auto"/>
          <w:sz w:val="24"/>
          <w:highlight w:val="none"/>
        </w:rPr>
        <w:t>法定代表人必须在授权委托书上亲笔签字或者盖章，</w:t>
      </w:r>
      <w:bookmarkEnd w:id="195"/>
      <w:r>
        <w:rPr>
          <w:rFonts w:hint="eastAsia" w:ascii="仿宋" w:hAnsi="仿宋" w:eastAsia="仿宋" w:cs="仿宋"/>
          <w:color w:val="auto"/>
          <w:sz w:val="24"/>
          <w:highlight w:val="none"/>
        </w:rPr>
        <w:t>委托代理人必须在授权委托书上亲笔签字，</w:t>
      </w:r>
      <w:r>
        <w:rPr>
          <w:rFonts w:hint="eastAsia" w:ascii="仿宋" w:hAnsi="仿宋" w:eastAsia="仿宋" w:cs="仿宋"/>
          <w:b/>
          <w:bCs/>
          <w:color w:val="auto"/>
          <w:sz w:val="24"/>
          <w:highlight w:val="none"/>
        </w:rPr>
        <w:t>否则按无效投标处理</w:t>
      </w:r>
      <w:r>
        <w:rPr>
          <w:rFonts w:hint="eastAsia" w:ascii="仿宋" w:hAnsi="仿宋" w:eastAsia="仿宋" w:cs="仿宋"/>
          <w:color w:val="auto"/>
          <w:sz w:val="24"/>
          <w:highlight w:val="none"/>
        </w:rPr>
        <w:t>；</w:t>
      </w:r>
      <w:bookmarkEnd w:id="196"/>
    </w:p>
    <w:p w14:paraId="19EDCA7E">
      <w:pPr>
        <w:spacing w:line="44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2.法人、其他组织投标时“我方”是指“我单位”，自然人投标时“我方”是指“本人”。</w:t>
      </w:r>
    </w:p>
    <w:p w14:paraId="36C10B15">
      <w:pPr>
        <w:snapToGrid w:val="0"/>
        <w:spacing w:before="120" w:beforeLines="50" w:after="50"/>
        <w:ind w:firstLine="566" w:firstLineChars="236"/>
        <w:jc w:val="center"/>
        <w:rPr>
          <w:rFonts w:hint="eastAsia" w:ascii="仿宋" w:hAnsi="仿宋" w:eastAsia="仿宋" w:cs="仿宋"/>
          <w:color w:val="auto"/>
          <w:sz w:val="44"/>
          <w:szCs w:val="44"/>
          <w:highlight w:val="none"/>
        </w:rPr>
      </w:pPr>
      <w:r>
        <w:rPr>
          <w:rFonts w:hint="eastAsia" w:ascii="仿宋" w:hAnsi="仿宋" w:eastAsia="仿宋" w:cs="仿宋"/>
          <w:color w:val="auto"/>
          <w:sz w:val="24"/>
          <w:highlight w:val="none"/>
        </w:rPr>
        <w:br w:type="page"/>
      </w:r>
      <w:r>
        <w:rPr>
          <w:rFonts w:hint="eastAsia" w:ascii="仿宋" w:hAnsi="仿宋" w:eastAsia="仿宋" w:cs="仿宋"/>
          <w:color w:val="auto"/>
          <w:sz w:val="44"/>
          <w:szCs w:val="44"/>
          <w:highlight w:val="none"/>
        </w:rPr>
        <w:t>授权委托书</w:t>
      </w:r>
    </w:p>
    <w:p w14:paraId="496C9F8D">
      <w:pPr>
        <w:snapToGrid w:val="0"/>
        <w:spacing w:before="120" w:beforeLines="50" w:after="50"/>
        <w:ind w:firstLine="755" w:firstLineChars="236"/>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（联合体投标格式）</w:t>
      </w:r>
    </w:p>
    <w:p w14:paraId="5B131BB8">
      <w:pPr>
        <w:snapToGrid w:val="0"/>
        <w:spacing w:before="120" w:beforeLines="50" w:after="50"/>
        <w:ind w:firstLine="755" w:firstLineChars="236"/>
        <w:jc w:val="center"/>
        <w:rPr>
          <w:rFonts w:hint="eastAsia" w:ascii="仿宋" w:hAnsi="仿宋" w:eastAsia="仿宋" w:cs="仿宋"/>
          <w:color w:val="auto"/>
          <w:sz w:val="24"/>
          <w:highlight w:val="none"/>
        </w:rPr>
      </w:pPr>
      <w:r>
        <w:rPr>
          <w:rFonts w:hint="eastAsia" w:ascii="仿宋" w:hAnsi="仿宋" w:eastAsia="仿宋" w:cs="仿宋"/>
          <w:color w:val="auto"/>
          <w:sz w:val="32"/>
          <w:szCs w:val="32"/>
          <w:highlight w:val="none"/>
        </w:rPr>
        <w:t>（如有委托时）</w:t>
      </w:r>
    </w:p>
    <w:p w14:paraId="4F50CFA3">
      <w:pPr>
        <w:spacing w:line="440" w:lineRule="exact"/>
        <w:contextualSpacing/>
        <w:jc w:val="left"/>
        <w:rPr>
          <w:rFonts w:hint="eastAsia" w:ascii="仿宋" w:hAnsi="仿宋" w:eastAsia="仿宋" w:cs="仿宋"/>
          <w:color w:val="auto"/>
          <w:sz w:val="24"/>
          <w:highlight w:val="none"/>
        </w:rPr>
      </w:pPr>
      <w:r>
        <w:rPr>
          <w:rFonts w:hint="eastAsia" w:ascii="仿宋" w:hAnsi="仿宋" w:eastAsia="仿宋" w:cs="仿宋"/>
          <w:bCs/>
          <w:color w:val="auto"/>
          <w:sz w:val="24"/>
          <w:highlight w:val="none"/>
        </w:rPr>
        <w:t>致：</w:t>
      </w:r>
      <w:r>
        <w:rPr>
          <w:rFonts w:hint="eastAsia" w:ascii="仿宋" w:hAnsi="仿宋" w:eastAsia="仿宋" w:cs="仿宋"/>
          <w:color w:val="auto"/>
          <w:sz w:val="24"/>
          <w:highlight w:val="none"/>
          <w:u w:val="single"/>
        </w:rPr>
        <w:t>采购人名称</w:t>
      </w:r>
      <w:r>
        <w:rPr>
          <w:rFonts w:hint="eastAsia" w:ascii="仿宋" w:hAnsi="仿宋" w:eastAsia="仿宋" w:cs="仿宋"/>
          <w:color w:val="auto"/>
          <w:sz w:val="24"/>
          <w:highlight w:val="none"/>
        </w:rPr>
        <w:t>：</w:t>
      </w:r>
    </w:p>
    <w:p w14:paraId="5E0183DC">
      <w:pPr>
        <w:spacing w:line="440" w:lineRule="exact"/>
        <w:ind w:firstLine="566" w:firstLineChars="236"/>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根据 </w:t>
      </w:r>
      <w:r>
        <w:rPr>
          <w:rFonts w:hint="eastAsia" w:ascii="仿宋" w:hAnsi="仿宋" w:eastAsia="仿宋" w:cs="仿宋"/>
          <w:color w:val="auto"/>
          <w:sz w:val="24"/>
          <w:highlight w:val="none"/>
          <w:u w:val="single"/>
        </w:rPr>
        <w:t xml:space="preserve"> （牵头人名称）</w:t>
      </w:r>
      <w:r>
        <w:rPr>
          <w:rFonts w:hint="eastAsia" w:ascii="仿宋" w:hAnsi="仿宋" w:eastAsia="仿宋" w:cs="仿宋"/>
          <w:color w:val="auto"/>
          <w:sz w:val="24"/>
          <w:highlight w:val="none"/>
        </w:rPr>
        <w:t>与</w:t>
      </w:r>
      <w:r>
        <w:rPr>
          <w:rFonts w:hint="eastAsia" w:ascii="仿宋" w:hAnsi="仿宋" w:eastAsia="仿宋" w:cs="仿宋"/>
          <w:color w:val="auto"/>
          <w:sz w:val="24"/>
          <w:highlight w:val="none"/>
          <w:u w:val="single"/>
        </w:rPr>
        <w:t>（联合体其他成员名称）</w:t>
      </w:r>
      <w:r>
        <w:rPr>
          <w:rFonts w:hint="eastAsia" w:ascii="仿宋" w:hAnsi="仿宋" w:eastAsia="仿宋" w:cs="仿宋"/>
          <w:color w:val="auto"/>
          <w:sz w:val="24"/>
          <w:highlight w:val="none"/>
        </w:rPr>
        <w:t>签订的《联合体投标协议书》的内容，</w:t>
      </w:r>
      <w:r>
        <w:rPr>
          <w:rFonts w:hint="eastAsia" w:ascii="仿宋" w:hAnsi="仿宋" w:eastAsia="仿宋" w:cs="仿宋"/>
          <w:color w:val="auto"/>
          <w:sz w:val="24"/>
          <w:highlight w:val="none"/>
          <w:u w:val="single"/>
        </w:rPr>
        <w:t>（牵头人名称）</w:t>
      </w:r>
      <w:r>
        <w:rPr>
          <w:rFonts w:hint="eastAsia" w:ascii="仿宋" w:hAnsi="仿宋" w:eastAsia="仿宋" w:cs="仿宋"/>
          <w:color w:val="auto"/>
          <w:sz w:val="24"/>
          <w:highlight w:val="none"/>
        </w:rPr>
        <w:t>的法定代表人</w:t>
      </w:r>
      <w:r>
        <w:rPr>
          <w:rFonts w:hint="eastAsia" w:ascii="仿宋" w:hAnsi="仿宋" w:eastAsia="仿宋" w:cs="仿宋"/>
          <w:color w:val="auto"/>
          <w:sz w:val="24"/>
          <w:highlight w:val="none"/>
          <w:u w:val="single"/>
        </w:rPr>
        <w:t>（姓名）</w:t>
      </w: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（姓名）</w:t>
      </w:r>
      <w:r>
        <w:rPr>
          <w:rFonts w:hint="eastAsia" w:ascii="仿宋" w:hAnsi="仿宋" w:eastAsia="仿宋" w:cs="仿宋"/>
          <w:color w:val="auto"/>
          <w:sz w:val="24"/>
          <w:highlight w:val="none"/>
        </w:rPr>
        <w:t>以我方的名义参加项目（项目编号：）的投标活动，并代表我方全权办理针对上述项目的所有采购程序和环节的具体事务和签署相关文件。</w:t>
      </w:r>
    </w:p>
    <w:p w14:paraId="047164FB">
      <w:pPr>
        <w:spacing w:line="440" w:lineRule="exact"/>
        <w:ind w:firstLine="566" w:firstLineChars="236"/>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我方对委托代理人的签字事项负全部责任。</w:t>
      </w:r>
    </w:p>
    <w:p w14:paraId="16342D37">
      <w:pPr>
        <w:spacing w:line="440" w:lineRule="exact"/>
        <w:ind w:firstLine="566" w:firstLineChars="236"/>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本授权书自签署之日起生效，在撤销授权的书面通知以前，本授权书一直有效。委托代理人在授权书有效期内签署的所有文件不因授权的撤销而失效。</w:t>
      </w:r>
    </w:p>
    <w:p w14:paraId="55AFE071">
      <w:pPr>
        <w:spacing w:line="440" w:lineRule="exact"/>
        <w:ind w:firstLine="566" w:firstLineChars="236"/>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委托代理人无转委托权，特此委托。</w:t>
      </w:r>
    </w:p>
    <w:p w14:paraId="4857FD77">
      <w:pPr>
        <w:spacing w:line="440" w:lineRule="exact"/>
        <w:ind w:firstLine="566" w:firstLineChars="236"/>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附：牵头人法定代表人身份证明及委托代理人有效身份证正反面复印件</w:t>
      </w:r>
    </w:p>
    <w:p w14:paraId="0DDDB832">
      <w:pPr>
        <w:spacing w:line="440" w:lineRule="exact"/>
        <w:ind w:firstLine="566" w:firstLineChars="236"/>
        <w:contextualSpacing/>
        <w:rPr>
          <w:rFonts w:hint="eastAsia" w:ascii="仿宋" w:hAnsi="仿宋" w:eastAsia="仿宋" w:cs="仿宋"/>
          <w:color w:val="auto"/>
          <w:sz w:val="24"/>
          <w:highlight w:val="none"/>
        </w:rPr>
      </w:pPr>
    </w:p>
    <w:p w14:paraId="3050CFB5">
      <w:pPr>
        <w:spacing w:line="440" w:lineRule="exact"/>
        <w:ind w:firstLine="566" w:firstLineChars="236"/>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牵头人法定代表人（签字或者盖章）：</w:t>
      </w:r>
    </w:p>
    <w:p w14:paraId="0571C9F1">
      <w:pPr>
        <w:spacing w:line="440" w:lineRule="exact"/>
        <w:ind w:firstLine="566" w:firstLineChars="236"/>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牵头人（盖公章</w:t>
      </w:r>
      <w:r>
        <w:rPr>
          <w:rFonts w:hint="eastAsia" w:ascii="仿宋" w:hAnsi="仿宋" w:eastAsia="仿宋" w:cs="仿宋"/>
          <w:color w:val="auto"/>
          <w:sz w:val="24"/>
          <w:highlight w:val="none"/>
          <w:lang w:val="en-US" w:eastAsia="zh-CN"/>
        </w:rPr>
        <w:t>或CA签章</w:t>
      </w:r>
      <w:r>
        <w:rPr>
          <w:rFonts w:hint="eastAsia" w:ascii="仿宋" w:hAnsi="仿宋" w:eastAsia="仿宋" w:cs="仿宋"/>
          <w:color w:val="auto"/>
          <w:sz w:val="24"/>
          <w:highlight w:val="none"/>
        </w:rPr>
        <w:t>）：</w:t>
      </w:r>
    </w:p>
    <w:p w14:paraId="4EFAF1C9">
      <w:pPr>
        <w:spacing w:line="440" w:lineRule="exact"/>
        <w:ind w:firstLine="566" w:firstLineChars="236"/>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238371F1">
      <w:pPr>
        <w:spacing w:line="440" w:lineRule="exact"/>
        <w:ind w:firstLine="566" w:firstLineChars="236"/>
        <w:contextualSpacing/>
        <w:rPr>
          <w:rFonts w:hint="eastAsia" w:ascii="仿宋" w:hAnsi="仿宋" w:eastAsia="仿宋" w:cs="仿宋"/>
          <w:color w:val="auto"/>
          <w:sz w:val="24"/>
          <w:highlight w:val="none"/>
        </w:rPr>
      </w:pPr>
    </w:p>
    <w:p w14:paraId="5F14D99B">
      <w:pPr>
        <w:spacing w:line="440" w:lineRule="exact"/>
        <w:ind w:firstLine="566" w:firstLineChars="236"/>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被授权人（签字）：</w:t>
      </w:r>
    </w:p>
    <w:p w14:paraId="3845EAD5">
      <w:pPr>
        <w:spacing w:line="440" w:lineRule="exact"/>
        <w:ind w:firstLine="566" w:firstLineChars="236"/>
        <w:contextualSpacing/>
        <w:rPr>
          <w:rFonts w:hint="eastAsia" w:ascii="仿宋" w:hAnsi="仿宋" w:eastAsia="仿宋" w:cs="仿宋"/>
          <w:color w:val="auto"/>
          <w:sz w:val="32"/>
          <w:szCs w:val="32"/>
          <w:highlight w:val="none"/>
        </w:rPr>
      </w:pPr>
      <w:r>
        <w:rPr>
          <w:rFonts w:hint="eastAsia" w:ascii="仿宋" w:hAnsi="仿宋" w:eastAsia="仿宋" w:cs="仿宋"/>
          <w:color w:val="auto"/>
          <w:sz w:val="24"/>
          <w:highlight w:val="none"/>
        </w:rPr>
        <w:t>日期：    年   月   日</w:t>
      </w:r>
    </w:p>
    <w:p w14:paraId="6C6F10BD">
      <w:pPr>
        <w:spacing w:line="440" w:lineRule="exact"/>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注：1. 法定代表人必须在授权委托书上亲笔签字或者盖章，委托代理人必须在授权委托书上亲笔签字，</w:t>
      </w:r>
      <w:r>
        <w:rPr>
          <w:rFonts w:hint="eastAsia" w:ascii="仿宋" w:hAnsi="仿宋" w:eastAsia="仿宋" w:cs="仿宋"/>
          <w:b/>
          <w:bCs/>
          <w:color w:val="auto"/>
          <w:sz w:val="24"/>
          <w:highlight w:val="none"/>
        </w:rPr>
        <w:t>否则按无效投标处理</w:t>
      </w:r>
      <w:r>
        <w:rPr>
          <w:rFonts w:hint="eastAsia" w:ascii="仿宋" w:hAnsi="仿宋" w:eastAsia="仿宋" w:cs="仿宋"/>
          <w:color w:val="auto"/>
          <w:sz w:val="24"/>
          <w:highlight w:val="none"/>
        </w:rPr>
        <w:t>；</w:t>
      </w:r>
    </w:p>
    <w:p w14:paraId="33A682A2">
      <w:pPr>
        <w:spacing w:line="44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2.本授权委托书应由联合体牵头人的法定代表人按上述规定签字。</w:t>
      </w:r>
    </w:p>
    <w:p w14:paraId="4F7A057F">
      <w:pPr>
        <w:spacing w:line="440" w:lineRule="exact"/>
        <w:ind w:firstLine="480" w:firstLineChars="200"/>
        <w:contextualSpacing/>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3.法人、其他组织投标时“我方”是指“我单位”，自然人投标时“我方”是指“本人”。</w:t>
      </w:r>
    </w:p>
    <w:p w14:paraId="12145241">
      <w:pPr>
        <w:snapToGrid w:val="0"/>
        <w:spacing w:before="50" w:after="120" w:afterLines="50"/>
        <w:ind w:firstLine="480" w:firstLineChars="200"/>
        <w:jc w:val="left"/>
        <w:rPr>
          <w:rFonts w:hint="eastAsia" w:ascii="仿宋" w:hAnsi="仿宋" w:eastAsia="仿宋" w:cs="仿宋"/>
          <w:color w:val="auto"/>
          <w:sz w:val="24"/>
          <w:highlight w:val="none"/>
        </w:rPr>
        <w:sectPr>
          <w:footerReference r:id="rId8" w:type="first"/>
          <w:headerReference r:id="rId5" w:type="default"/>
          <w:footerReference r:id="rId6" w:type="default"/>
          <w:footerReference r:id="rId7" w:type="even"/>
          <w:pgSz w:w="11906" w:h="16838"/>
          <w:pgMar w:top="907" w:right="851" w:bottom="907" w:left="851" w:header="680" w:footer="567" w:gutter="0"/>
          <w:pgNumType w:fmt="numberInDash" w:start="0"/>
          <w:cols w:space="720" w:num="1"/>
          <w:titlePg/>
          <w:docGrid w:linePitch="312" w:charSpace="0"/>
        </w:sectPr>
      </w:pPr>
    </w:p>
    <w:p w14:paraId="5DF770B9">
      <w:pPr>
        <w:rPr>
          <w:rFonts w:hint="eastAsia" w:ascii="仿宋" w:hAnsi="仿宋" w:eastAsia="仿宋" w:cs="仿宋"/>
          <w:b/>
          <w:color w:val="auto"/>
          <w:sz w:val="24"/>
          <w:szCs w:val="20"/>
          <w:highlight w:val="none"/>
        </w:rPr>
      </w:pPr>
      <w:r>
        <w:rPr>
          <w:rFonts w:hint="eastAsia" w:ascii="仿宋" w:hAnsi="仿宋" w:eastAsia="仿宋" w:cs="仿宋"/>
          <w:b/>
          <w:color w:val="auto"/>
          <w:sz w:val="24"/>
          <w:highlight w:val="none"/>
        </w:rPr>
        <w:t>6.</w:t>
      </w:r>
      <w:r>
        <w:rPr>
          <w:rFonts w:hint="eastAsia" w:ascii="仿宋" w:hAnsi="仿宋" w:eastAsia="仿宋" w:cs="仿宋"/>
          <w:b/>
          <w:color w:val="auto"/>
          <w:sz w:val="24"/>
          <w:highlight w:val="none"/>
          <w:lang w:eastAsia="zh-CN"/>
        </w:rPr>
        <w:t>商务</w:t>
      </w:r>
      <w:r>
        <w:rPr>
          <w:rFonts w:hint="eastAsia" w:ascii="仿宋" w:hAnsi="仿宋" w:eastAsia="仿宋" w:cs="仿宋"/>
          <w:b/>
          <w:color w:val="auto"/>
          <w:sz w:val="24"/>
          <w:highlight w:val="none"/>
        </w:rPr>
        <w:t>响应表格式（注：按第二章“采购需求”内容填写）</w:t>
      </w:r>
    </w:p>
    <w:p w14:paraId="07A90B78">
      <w:pPr>
        <w:snapToGrid w:val="0"/>
        <w:spacing w:before="50"/>
        <w:jc w:val="center"/>
        <w:rPr>
          <w:rFonts w:hint="eastAsia" w:ascii="仿宋" w:hAnsi="仿宋" w:eastAsia="仿宋" w:cs="仿宋"/>
          <w:b/>
          <w:bCs/>
          <w:color w:val="auto"/>
          <w:sz w:val="32"/>
          <w:highlight w:val="none"/>
        </w:rPr>
      </w:pPr>
      <w:r>
        <w:rPr>
          <w:rFonts w:hint="eastAsia" w:ascii="仿宋" w:hAnsi="仿宋" w:eastAsia="仿宋" w:cs="仿宋"/>
          <w:b/>
          <w:color w:val="auto"/>
          <w:sz w:val="32"/>
          <w:szCs w:val="32"/>
          <w:highlight w:val="none"/>
          <w:lang w:val="en-US" w:eastAsia="zh-CN"/>
        </w:rPr>
        <w:t>商务</w:t>
      </w:r>
      <w:r>
        <w:rPr>
          <w:rFonts w:hint="eastAsia" w:ascii="仿宋" w:hAnsi="仿宋" w:eastAsia="仿宋" w:cs="仿宋"/>
          <w:b/>
          <w:color w:val="auto"/>
          <w:sz w:val="32"/>
          <w:szCs w:val="32"/>
          <w:highlight w:val="none"/>
          <w:lang w:eastAsia="zh-CN"/>
        </w:rPr>
        <w:t>响应表</w:t>
      </w:r>
      <w:r>
        <w:rPr>
          <w:rFonts w:hint="eastAsia" w:ascii="仿宋" w:hAnsi="仿宋" w:eastAsia="仿宋" w:cs="仿宋"/>
          <w:b/>
          <w:bCs/>
          <w:color w:val="auto"/>
          <w:sz w:val="32"/>
          <w:highlight w:val="none"/>
        </w:rPr>
        <w:t>（格式）</w:t>
      </w:r>
    </w:p>
    <w:p w14:paraId="1EE70AE4">
      <w:pPr>
        <w:snapToGrid w:val="0"/>
        <w:spacing w:before="50" w:after="50"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分标：</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50"/>
        <w:tblW w:w="0" w:type="auto"/>
        <w:tblInd w:w="-11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02"/>
        <w:gridCol w:w="3571"/>
        <w:gridCol w:w="1987"/>
        <w:gridCol w:w="2298"/>
      </w:tblGrid>
      <w:tr w14:paraId="264B94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1902" w:type="dxa"/>
            <w:tcBorders>
              <w:top w:val="single" w:color="auto" w:sz="4" w:space="0"/>
              <w:left w:val="single" w:color="auto" w:sz="4" w:space="0"/>
              <w:bottom w:val="single" w:color="auto" w:sz="4" w:space="0"/>
              <w:right w:val="single" w:color="auto" w:sz="4" w:space="0"/>
            </w:tcBorders>
            <w:noWrap w:val="0"/>
            <w:vAlign w:val="top"/>
          </w:tcPr>
          <w:p w14:paraId="6D3080B5">
            <w:pPr>
              <w:snapToGrid w:val="0"/>
              <w:spacing w:before="120" w:beforeLines="50"/>
              <w:jc w:val="center"/>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val="en-US" w:eastAsia="zh-CN"/>
              </w:rPr>
              <w:t>条款</w:t>
            </w:r>
          </w:p>
        </w:tc>
        <w:tc>
          <w:tcPr>
            <w:tcW w:w="3571" w:type="dxa"/>
            <w:tcBorders>
              <w:top w:val="single" w:color="auto" w:sz="4" w:space="0"/>
              <w:left w:val="single" w:color="auto" w:sz="4" w:space="0"/>
              <w:bottom w:val="single" w:color="auto" w:sz="4" w:space="0"/>
              <w:right w:val="single" w:color="auto" w:sz="4" w:space="0"/>
            </w:tcBorders>
            <w:noWrap w:val="0"/>
            <w:vAlign w:val="top"/>
          </w:tcPr>
          <w:p w14:paraId="3ACDFF83">
            <w:pPr>
              <w:snapToGrid w:val="0"/>
              <w:spacing w:before="120" w:beforeLines="5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招标文件商务条款要求</w:t>
            </w:r>
          </w:p>
        </w:tc>
        <w:tc>
          <w:tcPr>
            <w:tcW w:w="1987" w:type="dxa"/>
            <w:tcBorders>
              <w:top w:val="single" w:color="auto" w:sz="4" w:space="0"/>
              <w:left w:val="single" w:color="auto" w:sz="4" w:space="0"/>
              <w:bottom w:val="single" w:color="auto" w:sz="4" w:space="0"/>
              <w:right w:val="single" w:color="auto" w:sz="4" w:space="0"/>
            </w:tcBorders>
            <w:noWrap w:val="0"/>
            <w:vAlign w:val="top"/>
          </w:tcPr>
          <w:p w14:paraId="258F0CC4">
            <w:pPr>
              <w:snapToGrid w:val="0"/>
              <w:spacing w:before="120" w:beforeLines="5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投标人的承诺</w:t>
            </w:r>
          </w:p>
        </w:tc>
        <w:tc>
          <w:tcPr>
            <w:tcW w:w="2298" w:type="dxa"/>
            <w:tcBorders>
              <w:top w:val="single" w:color="auto" w:sz="4" w:space="0"/>
              <w:left w:val="single" w:color="auto" w:sz="4" w:space="0"/>
              <w:bottom w:val="single" w:color="auto" w:sz="4" w:space="0"/>
              <w:right w:val="single" w:color="auto" w:sz="4" w:space="0"/>
            </w:tcBorders>
            <w:noWrap w:val="0"/>
            <w:vAlign w:val="top"/>
          </w:tcPr>
          <w:p w14:paraId="2BB7D5C2">
            <w:pPr>
              <w:snapToGrid w:val="0"/>
              <w:spacing w:before="120" w:beforeLines="5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偏离说明</w:t>
            </w:r>
          </w:p>
        </w:tc>
      </w:tr>
      <w:tr w14:paraId="7F1D2E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1902" w:type="dxa"/>
            <w:tcBorders>
              <w:top w:val="single" w:color="auto" w:sz="4" w:space="0"/>
              <w:left w:val="single" w:color="auto" w:sz="4" w:space="0"/>
              <w:bottom w:val="single" w:color="auto" w:sz="4" w:space="0"/>
              <w:right w:val="single" w:color="auto" w:sz="4" w:space="0"/>
            </w:tcBorders>
            <w:noWrap w:val="0"/>
            <w:vAlign w:val="center"/>
          </w:tcPr>
          <w:p w14:paraId="30E1DB9D">
            <w:pPr>
              <w:jc w:val="center"/>
              <w:rPr>
                <w:rFonts w:hint="eastAsia" w:ascii="仿宋" w:hAnsi="仿宋" w:eastAsia="仿宋" w:cs="仿宋"/>
                <w:color w:val="auto"/>
                <w:sz w:val="24"/>
                <w:szCs w:val="24"/>
                <w:highlight w:val="none"/>
              </w:rPr>
            </w:pPr>
          </w:p>
        </w:tc>
        <w:tc>
          <w:tcPr>
            <w:tcW w:w="3571" w:type="dxa"/>
            <w:tcBorders>
              <w:top w:val="single" w:color="auto" w:sz="4" w:space="0"/>
              <w:left w:val="single" w:color="auto" w:sz="4" w:space="0"/>
              <w:bottom w:val="single" w:color="auto" w:sz="4" w:space="0"/>
              <w:right w:val="single" w:color="auto" w:sz="4" w:space="0"/>
            </w:tcBorders>
            <w:noWrap w:val="0"/>
            <w:vAlign w:val="top"/>
          </w:tcPr>
          <w:p w14:paraId="02CA29EF">
            <w:pPr>
              <w:snapToGrid w:val="0"/>
              <w:spacing w:before="120" w:beforeLines="50"/>
              <w:jc w:val="center"/>
              <w:rPr>
                <w:rFonts w:hint="eastAsia" w:ascii="仿宋" w:hAnsi="仿宋" w:eastAsia="仿宋" w:cs="仿宋"/>
                <w:color w:val="auto"/>
                <w:sz w:val="24"/>
                <w:szCs w:val="24"/>
                <w:highlight w:val="none"/>
              </w:rPr>
            </w:pPr>
          </w:p>
        </w:tc>
        <w:tc>
          <w:tcPr>
            <w:tcW w:w="1987" w:type="dxa"/>
            <w:tcBorders>
              <w:top w:val="single" w:color="auto" w:sz="4" w:space="0"/>
              <w:left w:val="single" w:color="auto" w:sz="4" w:space="0"/>
              <w:bottom w:val="single" w:color="auto" w:sz="4" w:space="0"/>
              <w:right w:val="single" w:color="auto" w:sz="4" w:space="0"/>
            </w:tcBorders>
            <w:noWrap w:val="0"/>
            <w:vAlign w:val="top"/>
          </w:tcPr>
          <w:p w14:paraId="3CC9A1C0">
            <w:pPr>
              <w:snapToGrid w:val="0"/>
              <w:spacing w:before="120" w:beforeLines="50"/>
              <w:jc w:val="center"/>
              <w:rPr>
                <w:rFonts w:hint="eastAsia" w:ascii="仿宋" w:hAnsi="仿宋" w:eastAsia="仿宋" w:cs="仿宋"/>
                <w:color w:val="auto"/>
                <w:sz w:val="24"/>
                <w:szCs w:val="24"/>
                <w:highlight w:val="none"/>
              </w:rPr>
            </w:pPr>
          </w:p>
        </w:tc>
        <w:tc>
          <w:tcPr>
            <w:tcW w:w="2298" w:type="dxa"/>
            <w:tcBorders>
              <w:top w:val="single" w:color="auto" w:sz="4" w:space="0"/>
              <w:left w:val="single" w:color="auto" w:sz="4" w:space="0"/>
              <w:bottom w:val="single" w:color="auto" w:sz="4" w:space="0"/>
              <w:right w:val="single" w:color="auto" w:sz="4" w:space="0"/>
            </w:tcBorders>
            <w:noWrap w:val="0"/>
            <w:vAlign w:val="top"/>
          </w:tcPr>
          <w:p w14:paraId="2202FE01">
            <w:pPr>
              <w:snapToGrid w:val="0"/>
              <w:spacing w:before="120" w:beforeLines="50"/>
              <w:jc w:val="center"/>
              <w:rPr>
                <w:rFonts w:hint="eastAsia" w:ascii="仿宋" w:hAnsi="仿宋" w:eastAsia="仿宋" w:cs="仿宋"/>
                <w:color w:val="auto"/>
                <w:sz w:val="24"/>
                <w:szCs w:val="24"/>
                <w:highlight w:val="none"/>
              </w:rPr>
            </w:pPr>
          </w:p>
        </w:tc>
      </w:tr>
      <w:tr w14:paraId="7CEC39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6" w:hRule="atLeast"/>
        </w:trPr>
        <w:tc>
          <w:tcPr>
            <w:tcW w:w="1902" w:type="dxa"/>
            <w:tcBorders>
              <w:top w:val="single" w:color="auto" w:sz="4" w:space="0"/>
              <w:left w:val="single" w:color="auto" w:sz="4" w:space="0"/>
              <w:bottom w:val="single" w:color="auto" w:sz="4" w:space="0"/>
              <w:right w:val="single" w:color="auto" w:sz="4" w:space="0"/>
            </w:tcBorders>
            <w:noWrap w:val="0"/>
            <w:vAlign w:val="center"/>
          </w:tcPr>
          <w:p w14:paraId="614D2B47">
            <w:pPr>
              <w:jc w:val="center"/>
              <w:rPr>
                <w:rFonts w:hint="eastAsia" w:ascii="仿宋" w:hAnsi="仿宋" w:eastAsia="仿宋" w:cs="仿宋"/>
                <w:color w:val="auto"/>
                <w:sz w:val="24"/>
                <w:szCs w:val="24"/>
                <w:highlight w:val="none"/>
              </w:rPr>
            </w:pPr>
          </w:p>
        </w:tc>
        <w:tc>
          <w:tcPr>
            <w:tcW w:w="3571" w:type="dxa"/>
            <w:tcBorders>
              <w:top w:val="single" w:color="auto" w:sz="4" w:space="0"/>
              <w:left w:val="single" w:color="auto" w:sz="4" w:space="0"/>
              <w:bottom w:val="single" w:color="auto" w:sz="4" w:space="0"/>
              <w:right w:val="single" w:color="auto" w:sz="4" w:space="0"/>
            </w:tcBorders>
            <w:noWrap w:val="0"/>
            <w:vAlign w:val="top"/>
          </w:tcPr>
          <w:p w14:paraId="157EB26A">
            <w:pPr>
              <w:snapToGrid w:val="0"/>
              <w:spacing w:before="120" w:beforeLines="50"/>
              <w:rPr>
                <w:rFonts w:hint="eastAsia" w:ascii="仿宋" w:hAnsi="仿宋" w:eastAsia="仿宋" w:cs="仿宋"/>
                <w:color w:val="auto"/>
                <w:sz w:val="24"/>
                <w:szCs w:val="24"/>
                <w:highlight w:val="none"/>
                <w:u w:val="single"/>
              </w:rPr>
            </w:pPr>
          </w:p>
        </w:tc>
        <w:tc>
          <w:tcPr>
            <w:tcW w:w="1987" w:type="dxa"/>
            <w:tcBorders>
              <w:top w:val="single" w:color="auto" w:sz="4" w:space="0"/>
              <w:left w:val="single" w:color="auto" w:sz="4" w:space="0"/>
              <w:bottom w:val="single" w:color="auto" w:sz="4" w:space="0"/>
              <w:right w:val="single" w:color="auto" w:sz="4" w:space="0"/>
            </w:tcBorders>
            <w:noWrap w:val="0"/>
            <w:vAlign w:val="top"/>
          </w:tcPr>
          <w:p w14:paraId="54BD03B6">
            <w:pPr>
              <w:snapToGrid w:val="0"/>
              <w:spacing w:before="120" w:beforeLines="50"/>
              <w:ind w:left="43"/>
              <w:jc w:val="center"/>
              <w:rPr>
                <w:rFonts w:hint="eastAsia" w:ascii="仿宋" w:hAnsi="仿宋" w:eastAsia="仿宋" w:cs="仿宋"/>
                <w:color w:val="auto"/>
                <w:sz w:val="24"/>
                <w:szCs w:val="24"/>
                <w:highlight w:val="none"/>
              </w:rPr>
            </w:pPr>
          </w:p>
        </w:tc>
        <w:tc>
          <w:tcPr>
            <w:tcW w:w="2298" w:type="dxa"/>
            <w:tcBorders>
              <w:top w:val="single" w:color="auto" w:sz="4" w:space="0"/>
              <w:left w:val="single" w:color="auto" w:sz="4" w:space="0"/>
              <w:bottom w:val="single" w:color="auto" w:sz="4" w:space="0"/>
              <w:right w:val="single" w:color="auto" w:sz="4" w:space="0"/>
            </w:tcBorders>
            <w:noWrap w:val="0"/>
            <w:vAlign w:val="top"/>
          </w:tcPr>
          <w:p w14:paraId="6AED0AC5">
            <w:pPr>
              <w:snapToGrid w:val="0"/>
              <w:spacing w:before="120" w:beforeLines="50"/>
              <w:ind w:left="43"/>
              <w:jc w:val="center"/>
              <w:rPr>
                <w:rFonts w:hint="eastAsia" w:ascii="仿宋" w:hAnsi="仿宋" w:eastAsia="仿宋" w:cs="仿宋"/>
                <w:color w:val="auto"/>
                <w:sz w:val="24"/>
                <w:szCs w:val="24"/>
                <w:highlight w:val="none"/>
              </w:rPr>
            </w:pPr>
          </w:p>
        </w:tc>
      </w:tr>
      <w:tr w14:paraId="430175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1902" w:type="dxa"/>
            <w:tcBorders>
              <w:top w:val="single" w:color="auto" w:sz="4" w:space="0"/>
              <w:left w:val="single" w:color="auto" w:sz="4" w:space="0"/>
              <w:bottom w:val="single" w:color="auto" w:sz="4" w:space="0"/>
              <w:right w:val="single" w:color="auto" w:sz="4" w:space="0"/>
            </w:tcBorders>
            <w:noWrap w:val="0"/>
            <w:vAlign w:val="center"/>
          </w:tcPr>
          <w:p w14:paraId="1CE3FC92">
            <w:pPr>
              <w:jc w:val="center"/>
              <w:rPr>
                <w:rFonts w:hint="eastAsia" w:ascii="仿宋" w:hAnsi="仿宋" w:eastAsia="仿宋" w:cs="仿宋"/>
                <w:color w:val="auto"/>
                <w:sz w:val="24"/>
                <w:szCs w:val="24"/>
                <w:highlight w:val="none"/>
              </w:rPr>
            </w:pPr>
          </w:p>
        </w:tc>
        <w:tc>
          <w:tcPr>
            <w:tcW w:w="3571" w:type="dxa"/>
            <w:tcBorders>
              <w:top w:val="single" w:color="auto" w:sz="4" w:space="0"/>
              <w:left w:val="single" w:color="auto" w:sz="4" w:space="0"/>
              <w:bottom w:val="single" w:color="auto" w:sz="4" w:space="0"/>
              <w:right w:val="single" w:color="auto" w:sz="4" w:space="0"/>
            </w:tcBorders>
            <w:noWrap w:val="0"/>
            <w:vAlign w:val="top"/>
          </w:tcPr>
          <w:p w14:paraId="3FDF3239">
            <w:pPr>
              <w:snapToGrid w:val="0"/>
              <w:spacing w:before="120" w:beforeLines="50"/>
              <w:rPr>
                <w:rFonts w:hint="eastAsia" w:ascii="仿宋" w:hAnsi="仿宋" w:eastAsia="仿宋" w:cs="仿宋"/>
                <w:color w:val="auto"/>
                <w:sz w:val="24"/>
                <w:szCs w:val="24"/>
                <w:highlight w:val="none"/>
              </w:rPr>
            </w:pPr>
          </w:p>
        </w:tc>
        <w:tc>
          <w:tcPr>
            <w:tcW w:w="1987" w:type="dxa"/>
            <w:tcBorders>
              <w:top w:val="single" w:color="auto" w:sz="4" w:space="0"/>
              <w:left w:val="single" w:color="auto" w:sz="4" w:space="0"/>
              <w:bottom w:val="single" w:color="auto" w:sz="4" w:space="0"/>
              <w:right w:val="single" w:color="auto" w:sz="4" w:space="0"/>
            </w:tcBorders>
            <w:noWrap w:val="0"/>
            <w:vAlign w:val="top"/>
          </w:tcPr>
          <w:p w14:paraId="7A05BD41">
            <w:pPr>
              <w:snapToGrid w:val="0"/>
              <w:spacing w:before="120" w:beforeLines="50"/>
              <w:jc w:val="center"/>
              <w:rPr>
                <w:rFonts w:hint="eastAsia" w:ascii="仿宋" w:hAnsi="仿宋" w:eastAsia="仿宋" w:cs="仿宋"/>
                <w:color w:val="auto"/>
                <w:sz w:val="24"/>
                <w:szCs w:val="24"/>
                <w:highlight w:val="none"/>
              </w:rPr>
            </w:pPr>
          </w:p>
        </w:tc>
        <w:tc>
          <w:tcPr>
            <w:tcW w:w="2298" w:type="dxa"/>
            <w:tcBorders>
              <w:top w:val="single" w:color="auto" w:sz="4" w:space="0"/>
              <w:left w:val="single" w:color="auto" w:sz="4" w:space="0"/>
              <w:bottom w:val="single" w:color="auto" w:sz="4" w:space="0"/>
              <w:right w:val="single" w:color="auto" w:sz="4" w:space="0"/>
            </w:tcBorders>
            <w:noWrap w:val="0"/>
            <w:vAlign w:val="top"/>
          </w:tcPr>
          <w:p w14:paraId="09A7A452">
            <w:pPr>
              <w:snapToGrid w:val="0"/>
              <w:spacing w:before="120" w:beforeLines="50"/>
              <w:jc w:val="center"/>
              <w:rPr>
                <w:rFonts w:hint="eastAsia" w:ascii="仿宋" w:hAnsi="仿宋" w:eastAsia="仿宋" w:cs="仿宋"/>
                <w:color w:val="auto"/>
                <w:sz w:val="24"/>
                <w:szCs w:val="24"/>
                <w:highlight w:val="none"/>
              </w:rPr>
            </w:pPr>
          </w:p>
        </w:tc>
      </w:tr>
      <w:tr w14:paraId="381CF7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3" w:hRule="atLeast"/>
        </w:trPr>
        <w:tc>
          <w:tcPr>
            <w:tcW w:w="1902" w:type="dxa"/>
            <w:tcBorders>
              <w:top w:val="single" w:color="auto" w:sz="4" w:space="0"/>
              <w:left w:val="single" w:color="auto" w:sz="4" w:space="0"/>
              <w:bottom w:val="single" w:color="auto" w:sz="4" w:space="0"/>
              <w:right w:val="single" w:color="auto" w:sz="4" w:space="0"/>
            </w:tcBorders>
            <w:noWrap w:val="0"/>
            <w:vAlign w:val="top"/>
          </w:tcPr>
          <w:p w14:paraId="3D1AC3AD">
            <w:pPr>
              <w:snapToGrid w:val="0"/>
              <w:spacing w:before="120" w:beforeLines="5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3571" w:type="dxa"/>
            <w:tcBorders>
              <w:top w:val="single" w:color="auto" w:sz="4" w:space="0"/>
              <w:left w:val="single" w:color="auto" w:sz="4" w:space="0"/>
              <w:bottom w:val="single" w:color="auto" w:sz="4" w:space="0"/>
              <w:right w:val="single" w:color="auto" w:sz="4" w:space="0"/>
            </w:tcBorders>
            <w:noWrap w:val="0"/>
            <w:vAlign w:val="top"/>
          </w:tcPr>
          <w:p w14:paraId="424442D5">
            <w:pPr>
              <w:snapToGrid w:val="0"/>
              <w:spacing w:before="120" w:beforeLines="50"/>
              <w:jc w:val="center"/>
              <w:rPr>
                <w:rFonts w:hint="eastAsia" w:ascii="仿宋" w:hAnsi="仿宋" w:eastAsia="仿宋" w:cs="仿宋"/>
                <w:color w:val="auto"/>
                <w:sz w:val="24"/>
                <w:szCs w:val="24"/>
                <w:highlight w:val="none"/>
              </w:rPr>
            </w:pPr>
          </w:p>
        </w:tc>
        <w:tc>
          <w:tcPr>
            <w:tcW w:w="1987" w:type="dxa"/>
            <w:tcBorders>
              <w:top w:val="single" w:color="auto" w:sz="4" w:space="0"/>
              <w:left w:val="single" w:color="auto" w:sz="4" w:space="0"/>
              <w:bottom w:val="single" w:color="auto" w:sz="4" w:space="0"/>
              <w:right w:val="single" w:color="auto" w:sz="4" w:space="0"/>
            </w:tcBorders>
            <w:noWrap w:val="0"/>
            <w:vAlign w:val="top"/>
          </w:tcPr>
          <w:p w14:paraId="7C118211">
            <w:pPr>
              <w:snapToGrid w:val="0"/>
              <w:spacing w:before="120" w:beforeLines="50"/>
              <w:jc w:val="center"/>
              <w:rPr>
                <w:rFonts w:hint="eastAsia" w:ascii="仿宋" w:hAnsi="仿宋" w:eastAsia="仿宋" w:cs="仿宋"/>
                <w:color w:val="auto"/>
                <w:sz w:val="24"/>
                <w:szCs w:val="24"/>
                <w:highlight w:val="none"/>
              </w:rPr>
            </w:pPr>
          </w:p>
        </w:tc>
        <w:tc>
          <w:tcPr>
            <w:tcW w:w="2298" w:type="dxa"/>
            <w:tcBorders>
              <w:top w:val="single" w:color="auto" w:sz="4" w:space="0"/>
              <w:left w:val="single" w:color="auto" w:sz="4" w:space="0"/>
              <w:bottom w:val="single" w:color="auto" w:sz="4" w:space="0"/>
              <w:right w:val="single" w:color="auto" w:sz="4" w:space="0"/>
            </w:tcBorders>
            <w:noWrap w:val="0"/>
            <w:vAlign w:val="top"/>
          </w:tcPr>
          <w:p w14:paraId="27EF887A">
            <w:pPr>
              <w:snapToGrid w:val="0"/>
              <w:spacing w:before="120" w:beforeLines="50"/>
              <w:jc w:val="center"/>
              <w:rPr>
                <w:rFonts w:hint="eastAsia" w:ascii="仿宋" w:hAnsi="仿宋" w:eastAsia="仿宋" w:cs="仿宋"/>
                <w:color w:val="auto"/>
                <w:sz w:val="24"/>
                <w:szCs w:val="24"/>
                <w:highlight w:val="none"/>
              </w:rPr>
            </w:pPr>
          </w:p>
        </w:tc>
      </w:tr>
    </w:tbl>
    <w:p w14:paraId="47E6D9B4">
      <w:pPr>
        <w:pStyle w:val="19"/>
        <w:spacing w:beforeLines="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w:t>
      </w:r>
    </w:p>
    <w:p w14:paraId="56019BC1">
      <w:pPr>
        <w:pStyle w:val="20"/>
        <w:spacing w:beforeLines="0" w:line="360" w:lineRule="auto"/>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 说明：应对照招标文件“第二章 采购需求”中的商务条款逐条实质性响应，并作出偏离说明。</w:t>
      </w:r>
    </w:p>
    <w:p w14:paraId="47586FB0">
      <w:pPr>
        <w:pStyle w:val="19"/>
        <w:spacing w:beforeLines="0" w:line="360" w:lineRule="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2.投标人应根据自身的承诺，对照招标文件要求在“偏离说明”中注明“</w:t>
      </w:r>
      <w:r>
        <w:rPr>
          <w:rFonts w:hint="eastAsia" w:ascii="仿宋" w:hAnsi="仿宋" w:eastAsia="仿宋" w:cs="仿宋"/>
          <w:color w:val="auto"/>
          <w:sz w:val="24"/>
          <w:szCs w:val="24"/>
          <w:highlight w:val="none"/>
        </w:rPr>
        <w:t>正偏离</w:t>
      </w:r>
      <w:r>
        <w:rPr>
          <w:rFonts w:hint="eastAsia" w:ascii="仿宋" w:hAnsi="仿宋" w:eastAsia="仿宋" w:cs="仿宋"/>
          <w:b w:val="0"/>
          <w:bCs w:val="0"/>
          <w:color w:val="auto"/>
          <w:sz w:val="24"/>
          <w:szCs w:val="24"/>
          <w:highlight w:val="none"/>
        </w:rPr>
        <w:t>”、“</w:t>
      </w:r>
      <w:r>
        <w:rPr>
          <w:rFonts w:hint="eastAsia" w:ascii="仿宋" w:hAnsi="仿宋" w:eastAsia="仿宋" w:cs="仿宋"/>
          <w:color w:val="auto"/>
          <w:sz w:val="24"/>
          <w:szCs w:val="24"/>
          <w:highlight w:val="none"/>
        </w:rPr>
        <w:t>负偏离</w:t>
      </w:r>
      <w:r>
        <w:rPr>
          <w:rFonts w:hint="eastAsia" w:ascii="仿宋" w:hAnsi="仿宋" w:eastAsia="仿宋" w:cs="仿宋"/>
          <w:b w:val="0"/>
          <w:bCs w:val="0"/>
          <w:color w:val="auto"/>
          <w:sz w:val="24"/>
          <w:szCs w:val="24"/>
          <w:highlight w:val="none"/>
        </w:rPr>
        <w:t>”或者“</w:t>
      </w:r>
      <w:r>
        <w:rPr>
          <w:rFonts w:hint="eastAsia" w:ascii="仿宋" w:hAnsi="仿宋" w:eastAsia="仿宋" w:cs="仿宋"/>
          <w:color w:val="auto"/>
          <w:sz w:val="24"/>
          <w:szCs w:val="24"/>
          <w:highlight w:val="none"/>
        </w:rPr>
        <w:t>无偏离</w:t>
      </w:r>
      <w:r>
        <w:rPr>
          <w:rFonts w:hint="eastAsia" w:ascii="仿宋" w:hAnsi="仿宋" w:eastAsia="仿宋" w:cs="仿宋"/>
          <w:b w:val="0"/>
          <w:bCs w:val="0"/>
          <w:color w:val="auto"/>
          <w:sz w:val="24"/>
          <w:szCs w:val="24"/>
          <w:highlight w:val="none"/>
        </w:rPr>
        <w:t>”。既不属于“</w:t>
      </w:r>
      <w:r>
        <w:rPr>
          <w:rFonts w:hint="eastAsia" w:ascii="仿宋" w:hAnsi="仿宋" w:eastAsia="仿宋" w:cs="仿宋"/>
          <w:color w:val="auto"/>
          <w:sz w:val="24"/>
          <w:szCs w:val="24"/>
          <w:highlight w:val="none"/>
        </w:rPr>
        <w:t>正偏离</w:t>
      </w:r>
      <w:r>
        <w:rPr>
          <w:rFonts w:hint="eastAsia" w:ascii="仿宋" w:hAnsi="仿宋" w:eastAsia="仿宋" w:cs="仿宋"/>
          <w:b w:val="0"/>
          <w:bCs w:val="0"/>
          <w:color w:val="auto"/>
          <w:sz w:val="24"/>
          <w:szCs w:val="24"/>
          <w:highlight w:val="none"/>
        </w:rPr>
        <w:t>”也不属于“</w:t>
      </w:r>
      <w:r>
        <w:rPr>
          <w:rFonts w:hint="eastAsia" w:ascii="仿宋" w:hAnsi="仿宋" w:eastAsia="仿宋" w:cs="仿宋"/>
          <w:color w:val="auto"/>
          <w:sz w:val="24"/>
          <w:szCs w:val="24"/>
          <w:highlight w:val="none"/>
        </w:rPr>
        <w:t>负偏离</w:t>
      </w:r>
      <w:r>
        <w:rPr>
          <w:rFonts w:hint="eastAsia" w:ascii="仿宋" w:hAnsi="仿宋" w:eastAsia="仿宋" w:cs="仿宋"/>
          <w:b w:val="0"/>
          <w:bCs w:val="0"/>
          <w:color w:val="auto"/>
          <w:sz w:val="24"/>
          <w:szCs w:val="24"/>
          <w:highlight w:val="none"/>
        </w:rPr>
        <w:t>”即为“</w:t>
      </w:r>
      <w:r>
        <w:rPr>
          <w:rFonts w:hint="eastAsia" w:ascii="仿宋" w:hAnsi="仿宋" w:eastAsia="仿宋" w:cs="仿宋"/>
          <w:color w:val="auto"/>
          <w:sz w:val="24"/>
          <w:szCs w:val="24"/>
          <w:highlight w:val="none"/>
        </w:rPr>
        <w:t>无偏离</w:t>
      </w:r>
      <w:r>
        <w:rPr>
          <w:rFonts w:hint="eastAsia" w:ascii="仿宋" w:hAnsi="仿宋" w:eastAsia="仿宋" w:cs="仿宋"/>
          <w:b w:val="0"/>
          <w:bCs w:val="0"/>
          <w:color w:val="auto"/>
          <w:sz w:val="24"/>
          <w:szCs w:val="24"/>
          <w:highlight w:val="none"/>
        </w:rPr>
        <w:t>”。</w:t>
      </w:r>
    </w:p>
    <w:p w14:paraId="15FFD284">
      <w:pPr>
        <w:pStyle w:val="27"/>
        <w:spacing w:line="400" w:lineRule="exact"/>
        <w:rPr>
          <w:rFonts w:hint="eastAsia" w:ascii="仿宋" w:hAnsi="仿宋" w:eastAsia="仿宋" w:cs="仿宋"/>
          <w:b/>
          <w:color w:val="auto"/>
          <w:sz w:val="24"/>
          <w:szCs w:val="24"/>
          <w:highlight w:val="none"/>
        </w:rPr>
      </w:pPr>
    </w:p>
    <w:p w14:paraId="7F9B6BF9">
      <w:pPr>
        <w:pStyle w:val="19"/>
        <w:rPr>
          <w:rFonts w:hint="eastAsia" w:ascii="仿宋" w:hAnsi="仿宋" w:eastAsia="仿宋" w:cs="仿宋"/>
          <w:b w:val="0"/>
          <w:bCs w:val="0"/>
          <w:color w:val="auto"/>
          <w:sz w:val="24"/>
          <w:szCs w:val="24"/>
          <w:highlight w:val="none"/>
        </w:rPr>
      </w:pPr>
    </w:p>
    <w:p w14:paraId="4009F976">
      <w:pPr>
        <w:pStyle w:val="27"/>
        <w:spacing w:beforeLines="0" w:line="360" w:lineRule="auto"/>
        <w:rPr>
          <w:rFonts w:hint="eastAsia" w:ascii="仿宋" w:hAnsi="仿宋" w:eastAsia="仿宋" w:cs="仿宋"/>
          <w:color w:val="auto"/>
          <w:spacing w:val="20"/>
          <w:sz w:val="24"/>
          <w:szCs w:val="24"/>
          <w:highlight w:val="none"/>
          <w:u w:val="single"/>
        </w:rPr>
      </w:pPr>
      <w:r>
        <w:rPr>
          <w:rFonts w:hint="eastAsia" w:ascii="仿宋" w:hAnsi="仿宋" w:eastAsia="仿宋" w:cs="仿宋"/>
          <w:color w:val="auto"/>
          <w:sz w:val="24"/>
          <w:szCs w:val="24"/>
          <w:highlight w:val="none"/>
        </w:rPr>
        <w:t>法定代表人或者委托代理人</w:t>
      </w:r>
      <w:r>
        <w:rPr>
          <w:rFonts w:hint="eastAsia" w:ascii="仿宋" w:hAnsi="仿宋" w:eastAsia="仿宋" w:cs="仿宋"/>
          <w:color w:val="auto"/>
          <w:spacing w:val="20"/>
          <w:sz w:val="24"/>
          <w:szCs w:val="24"/>
          <w:highlight w:val="none"/>
        </w:rPr>
        <w:t>签字</w:t>
      </w:r>
      <w:r>
        <w:rPr>
          <w:rFonts w:hint="eastAsia" w:ascii="仿宋" w:hAnsi="仿宋" w:eastAsia="仿宋" w:cs="仿宋"/>
          <w:color w:val="auto"/>
          <w:sz w:val="24"/>
          <w:szCs w:val="24"/>
          <w:highlight w:val="none"/>
        </w:rPr>
        <w:t>[或盖章(CA签章)]（属自然人的应在签名处加盖大拇指指印或个人CA签章）</w:t>
      </w:r>
      <w:r>
        <w:rPr>
          <w:rFonts w:hint="eastAsia" w:ascii="仿宋" w:hAnsi="仿宋" w:eastAsia="仿宋" w:cs="仿宋"/>
          <w:color w:val="auto"/>
          <w:spacing w:val="20"/>
          <w:sz w:val="24"/>
          <w:szCs w:val="24"/>
          <w:highlight w:val="none"/>
        </w:rPr>
        <w:t>：</w:t>
      </w:r>
      <w:r>
        <w:rPr>
          <w:rFonts w:hint="eastAsia" w:ascii="仿宋" w:hAnsi="仿宋" w:eastAsia="仿宋" w:cs="仿宋"/>
          <w:color w:val="auto"/>
          <w:spacing w:val="20"/>
          <w:sz w:val="24"/>
          <w:szCs w:val="24"/>
          <w:highlight w:val="none"/>
          <w:u w:val="single"/>
        </w:rPr>
        <w:t xml:space="preserve">        </w:t>
      </w:r>
    </w:p>
    <w:p w14:paraId="4FCA7DCB">
      <w:pPr>
        <w:snapToGrid w:val="0"/>
        <w:spacing w:before="0" w:beforeLines="0" w:line="360" w:lineRule="auto"/>
        <w:rPr>
          <w:rFonts w:hint="eastAsia" w:ascii="仿宋" w:hAnsi="仿宋" w:eastAsia="仿宋" w:cs="仿宋"/>
          <w:color w:val="auto"/>
          <w:spacing w:val="20"/>
          <w:sz w:val="24"/>
          <w:szCs w:val="24"/>
          <w:highlight w:val="none"/>
        </w:rPr>
      </w:pPr>
      <w:r>
        <w:rPr>
          <w:rFonts w:hint="eastAsia" w:ascii="仿宋" w:hAnsi="仿宋" w:eastAsia="仿宋" w:cs="仿宋"/>
          <w:color w:val="auto"/>
          <w:spacing w:val="20"/>
          <w:sz w:val="24"/>
          <w:szCs w:val="24"/>
          <w:highlight w:val="none"/>
        </w:rPr>
        <w:t>投标人</w:t>
      </w:r>
      <w:r>
        <w:rPr>
          <w:rFonts w:hint="eastAsia" w:ascii="仿宋" w:hAnsi="仿宋" w:eastAsia="仿宋" w:cs="仿宋"/>
          <w:bCs/>
          <w:color w:val="auto"/>
          <w:sz w:val="24"/>
          <w:szCs w:val="24"/>
          <w:highlight w:val="none"/>
        </w:rPr>
        <w:t>[公章</w:t>
      </w:r>
      <w:r>
        <w:rPr>
          <w:rFonts w:hint="eastAsia" w:ascii="仿宋" w:hAnsi="仿宋" w:eastAsia="仿宋" w:cs="仿宋"/>
          <w:bCs/>
          <w:color w:val="auto"/>
          <w:sz w:val="24"/>
          <w:szCs w:val="24"/>
          <w:highlight w:val="none"/>
          <w:lang w:val="en-US" w:eastAsia="zh-CN"/>
        </w:rPr>
        <w:t>或</w:t>
      </w:r>
      <w:r>
        <w:rPr>
          <w:rFonts w:hint="eastAsia" w:ascii="仿宋" w:hAnsi="仿宋" w:eastAsia="仿宋" w:cs="仿宋"/>
          <w:bCs/>
          <w:color w:val="auto"/>
          <w:sz w:val="24"/>
          <w:szCs w:val="24"/>
          <w:highlight w:val="none"/>
        </w:rPr>
        <w:t>(CA签章)、自然人除外]</w:t>
      </w:r>
      <w:r>
        <w:rPr>
          <w:rFonts w:hint="eastAsia" w:ascii="仿宋" w:hAnsi="仿宋" w:eastAsia="仿宋" w:cs="仿宋"/>
          <w:color w:val="auto"/>
          <w:spacing w:val="20"/>
          <w:sz w:val="24"/>
          <w:szCs w:val="24"/>
          <w:highlight w:val="none"/>
        </w:rPr>
        <w:t>：</w:t>
      </w:r>
      <w:r>
        <w:rPr>
          <w:rFonts w:hint="eastAsia" w:ascii="仿宋" w:hAnsi="仿宋" w:eastAsia="仿宋" w:cs="仿宋"/>
          <w:color w:val="auto"/>
          <w:spacing w:val="20"/>
          <w:sz w:val="24"/>
          <w:szCs w:val="24"/>
          <w:highlight w:val="none"/>
          <w:u w:val="single"/>
        </w:rPr>
        <w:t xml:space="preserve">            </w:t>
      </w:r>
      <w:r>
        <w:rPr>
          <w:rFonts w:hint="eastAsia" w:ascii="仿宋" w:hAnsi="仿宋" w:eastAsia="仿宋" w:cs="仿宋"/>
          <w:color w:val="auto"/>
          <w:spacing w:val="20"/>
          <w:sz w:val="24"/>
          <w:szCs w:val="24"/>
          <w:highlight w:val="none"/>
        </w:rPr>
        <w:t xml:space="preserve">   </w:t>
      </w:r>
    </w:p>
    <w:p w14:paraId="4300AA58">
      <w:pPr>
        <w:snapToGrid w:val="0"/>
        <w:spacing w:before="0" w:beforeLines="0" w:line="360" w:lineRule="auto"/>
        <w:rPr>
          <w:rFonts w:hint="eastAsia" w:ascii="仿宋" w:hAnsi="仿宋" w:eastAsia="仿宋" w:cs="仿宋"/>
          <w:color w:val="auto"/>
          <w:sz w:val="24"/>
          <w:szCs w:val="24"/>
          <w:highlight w:val="none"/>
        </w:rPr>
      </w:pPr>
      <w:r>
        <w:rPr>
          <w:rFonts w:hint="eastAsia" w:ascii="仿宋" w:hAnsi="仿宋" w:eastAsia="仿宋" w:cs="仿宋"/>
          <w:color w:val="auto"/>
          <w:spacing w:val="20"/>
          <w:sz w:val="24"/>
          <w:szCs w:val="24"/>
          <w:highlight w:val="none"/>
        </w:rPr>
        <w:t>日  期：</w:t>
      </w:r>
      <w:r>
        <w:rPr>
          <w:rFonts w:hint="eastAsia" w:ascii="仿宋" w:hAnsi="仿宋" w:eastAsia="仿宋" w:cs="仿宋"/>
          <w:color w:val="auto"/>
          <w:spacing w:val="20"/>
          <w:sz w:val="24"/>
          <w:szCs w:val="24"/>
          <w:highlight w:val="none"/>
          <w:u w:val="single"/>
        </w:rPr>
        <w:t xml:space="preserve">         </w:t>
      </w:r>
    </w:p>
    <w:p w14:paraId="685FAC9F">
      <w:pPr>
        <w:snapToGrid w:val="0"/>
        <w:spacing w:before="120" w:beforeLines="50"/>
        <w:rPr>
          <w:rFonts w:hint="eastAsia" w:ascii="仿宋" w:hAnsi="仿宋" w:eastAsia="仿宋" w:cs="仿宋"/>
          <w:color w:val="auto"/>
          <w:sz w:val="24"/>
          <w:szCs w:val="20"/>
          <w:highlight w:val="none"/>
        </w:rPr>
      </w:pPr>
    </w:p>
    <w:p w14:paraId="6BB50A4E">
      <w:pPr>
        <w:pStyle w:val="27"/>
        <w:jc w:val="center"/>
        <w:rPr>
          <w:rFonts w:hint="eastAsia" w:ascii="仿宋" w:hAnsi="仿宋" w:eastAsia="仿宋" w:cs="仿宋"/>
          <w:b/>
          <w:bCs/>
          <w:color w:val="auto"/>
          <w:sz w:val="32"/>
          <w:highlight w:val="none"/>
        </w:rPr>
      </w:pPr>
    </w:p>
    <w:p w14:paraId="244F3457">
      <w:pPr>
        <w:pStyle w:val="27"/>
        <w:jc w:val="center"/>
        <w:rPr>
          <w:rFonts w:hint="eastAsia" w:ascii="仿宋" w:hAnsi="仿宋" w:eastAsia="仿宋" w:cs="仿宋"/>
          <w:b/>
          <w:bCs/>
          <w:color w:val="auto"/>
          <w:sz w:val="32"/>
          <w:highlight w:val="none"/>
        </w:rPr>
      </w:pPr>
    </w:p>
    <w:p w14:paraId="400363A6">
      <w:pPr>
        <w:pStyle w:val="27"/>
        <w:jc w:val="center"/>
        <w:rPr>
          <w:rFonts w:hint="eastAsia" w:ascii="仿宋" w:hAnsi="仿宋" w:eastAsia="仿宋" w:cs="仿宋"/>
          <w:b/>
          <w:bCs/>
          <w:color w:val="auto"/>
          <w:sz w:val="32"/>
          <w:highlight w:val="none"/>
        </w:rPr>
      </w:pPr>
    </w:p>
    <w:p w14:paraId="7336E257">
      <w:pPr>
        <w:pStyle w:val="27"/>
        <w:jc w:val="center"/>
        <w:rPr>
          <w:rFonts w:hint="eastAsia" w:ascii="仿宋" w:hAnsi="仿宋" w:eastAsia="仿宋" w:cs="仿宋"/>
          <w:b/>
          <w:bCs/>
          <w:color w:val="auto"/>
          <w:sz w:val="32"/>
          <w:highlight w:val="none"/>
        </w:rPr>
      </w:pPr>
    </w:p>
    <w:p w14:paraId="69B69D5A">
      <w:pPr>
        <w:pStyle w:val="27"/>
        <w:jc w:val="center"/>
        <w:rPr>
          <w:rFonts w:hint="eastAsia" w:ascii="仿宋" w:hAnsi="仿宋" w:eastAsia="仿宋" w:cs="仿宋"/>
          <w:b/>
          <w:bCs/>
          <w:color w:val="auto"/>
          <w:sz w:val="32"/>
          <w:highlight w:val="none"/>
        </w:rPr>
      </w:pPr>
    </w:p>
    <w:p w14:paraId="4323993C">
      <w:pPr>
        <w:snapToGrid w:val="0"/>
        <w:spacing w:before="120" w:beforeLines="50" w:after="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7.投标人业绩证明材料</w:t>
      </w:r>
    </w:p>
    <w:p w14:paraId="4E316419">
      <w:pPr>
        <w:pStyle w:val="37"/>
        <w:snapToGrid w:val="0"/>
        <w:ind w:left="480" w:hanging="48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投标人业绩情况一览表格式： </w:t>
      </w:r>
    </w:p>
    <w:p w14:paraId="3F83F1B1">
      <w:pPr>
        <w:snapToGrid w:val="0"/>
        <w:spacing w:before="50"/>
        <w:ind w:right="240"/>
        <w:jc w:val="center"/>
        <w:rPr>
          <w:rFonts w:hint="eastAsia" w:ascii="仿宋" w:hAnsi="仿宋" w:eastAsia="仿宋" w:cs="仿宋"/>
          <w:color w:val="auto"/>
          <w:sz w:val="24"/>
          <w:highlight w:val="none"/>
        </w:rPr>
      </w:pPr>
      <w:r>
        <w:rPr>
          <w:rFonts w:hint="eastAsia" w:ascii="仿宋" w:hAnsi="仿宋" w:eastAsia="仿宋" w:cs="仿宋"/>
          <w:b/>
          <w:color w:val="auto"/>
          <w:sz w:val="28"/>
          <w:highlight w:val="none"/>
        </w:rPr>
        <w:t>业绩情况一览表</w:t>
      </w:r>
    </w:p>
    <w:p w14:paraId="1929E778">
      <w:pPr>
        <w:snapToGrid w:val="0"/>
        <w:spacing w:before="50" w:after="50"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分标：</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50"/>
        <w:tblW w:w="990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477"/>
        <w:gridCol w:w="2054"/>
        <w:gridCol w:w="2055"/>
        <w:gridCol w:w="3314"/>
      </w:tblGrid>
      <w:tr w14:paraId="04D535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92" w:hRule="atLeast"/>
          <w:jc w:val="center"/>
        </w:trPr>
        <w:tc>
          <w:tcPr>
            <w:tcW w:w="2477" w:type="dxa"/>
            <w:vMerge w:val="restart"/>
            <w:tcBorders>
              <w:top w:val="single" w:color="auto" w:sz="4" w:space="0"/>
              <w:left w:val="single" w:color="auto" w:sz="4" w:space="0"/>
              <w:bottom w:val="single" w:color="auto" w:sz="4" w:space="0"/>
              <w:right w:val="single" w:color="auto" w:sz="4" w:space="0"/>
            </w:tcBorders>
            <w:vAlign w:val="center"/>
          </w:tcPr>
          <w:p w14:paraId="379BF6EF">
            <w:pPr>
              <w:snapToGrid w:val="0"/>
              <w:spacing w:line="24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采购人名称</w:t>
            </w:r>
          </w:p>
        </w:tc>
        <w:tc>
          <w:tcPr>
            <w:tcW w:w="2054" w:type="dxa"/>
            <w:vMerge w:val="restart"/>
            <w:tcBorders>
              <w:top w:val="single" w:color="auto" w:sz="4" w:space="0"/>
              <w:left w:val="single" w:color="auto" w:sz="4" w:space="0"/>
              <w:bottom w:val="single" w:color="auto" w:sz="4" w:space="0"/>
              <w:right w:val="single" w:color="auto" w:sz="4" w:space="0"/>
            </w:tcBorders>
            <w:vAlign w:val="center"/>
          </w:tcPr>
          <w:p w14:paraId="5FBD7230">
            <w:pPr>
              <w:snapToGrid w:val="0"/>
              <w:spacing w:line="24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项目名称</w:t>
            </w:r>
          </w:p>
        </w:tc>
        <w:tc>
          <w:tcPr>
            <w:tcW w:w="2055" w:type="dxa"/>
            <w:vMerge w:val="restart"/>
            <w:tcBorders>
              <w:top w:val="single" w:color="auto" w:sz="4" w:space="0"/>
              <w:left w:val="single" w:color="auto" w:sz="4" w:space="0"/>
              <w:bottom w:val="single" w:color="auto" w:sz="4" w:space="0"/>
              <w:right w:val="single" w:color="auto" w:sz="4" w:space="0"/>
            </w:tcBorders>
            <w:vAlign w:val="center"/>
          </w:tcPr>
          <w:p w14:paraId="7BA01194">
            <w:pPr>
              <w:snapToGrid w:val="0"/>
              <w:spacing w:line="24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合同金额</w:t>
            </w:r>
          </w:p>
          <w:p w14:paraId="6C7CFDDA">
            <w:pPr>
              <w:snapToGrid w:val="0"/>
              <w:spacing w:line="24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（万元）</w:t>
            </w:r>
          </w:p>
        </w:tc>
        <w:tc>
          <w:tcPr>
            <w:tcW w:w="3314" w:type="dxa"/>
            <w:vMerge w:val="restart"/>
            <w:tcBorders>
              <w:top w:val="single" w:color="auto" w:sz="4" w:space="0"/>
              <w:left w:val="single" w:color="auto" w:sz="4" w:space="0"/>
              <w:bottom w:val="single" w:color="auto" w:sz="4" w:space="0"/>
              <w:right w:val="single" w:color="auto" w:sz="4" w:space="0"/>
            </w:tcBorders>
            <w:vAlign w:val="center"/>
          </w:tcPr>
          <w:p w14:paraId="705E6EDC">
            <w:pPr>
              <w:snapToGrid w:val="0"/>
              <w:spacing w:line="24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采购人联系人及</w:t>
            </w:r>
          </w:p>
          <w:p w14:paraId="77C53C95">
            <w:pPr>
              <w:snapToGrid w:val="0"/>
              <w:spacing w:line="24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联系电话</w:t>
            </w:r>
          </w:p>
        </w:tc>
      </w:tr>
      <w:tr w14:paraId="6E9F31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8" w:hRule="atLeast"/>
          <w:jc w:val="center"/>
        </w:trPr>
        <w:tc>
          <w:tcPr>
            <w:tcW w:w="2477" w:type="dxa"/>
            <w:vMerge w:val="continue"/>
            <w:tcBorders>
              <w:top w:val="single" w:color="auto" w:sz="4" w:space="0"/>
              <w:left w:val="single" w:color="auto" w:sz="4" w:space="0"/>
              <w:bottom w:val="single" w:color="auto" w:sz="4" w:space="0"/>
              <w:right w:val="single" w:color="auto" w:sz="4" w:space="0"/>
            </w:tcBorders>
            <w:vAlign w:val="center"/>
          </w:tcPr>
          <w:p w14:paraId="4C619539">
            <w:pPr>
              <w:jc w:val="left"/>
              <w:rPr>
                <w:rFonts w:hint="eastAsia" w:ascii="仿宋" w:hAnsi="仿宋" w:eastAsia="仿宋" w:cs="仿宋"/>
                <w:color w:val="auto"/>
                <w:sz w:val="24"/>
                <w:highlight w:val="none"/>
              </w:rPr>
            </w:pPr>
          </w:p>
        </w:tc>
        <w:tc>
          <w:tcPr>
            <w:tcW w:w="2054" w:type="dxa"/>
            <w:vMerge w:val="continue"/>
            <w:tcBorders>
              <w:top w:val="single" w:color="auto" w:sz="4" w:space="0"/>
              <w:left w:val="single" w:color="auto" w:sz="4" w:space="0"/>
              <w:bottom w:val="single" w:color="auto" w:sz="4" w:space="0"/>
              <w:right w:val="single" w:color="auto" w:sz="4" w:space="0"/>
            </w:tcBorders>
            <w:vAlign w:val="center"/>
          </w:tcPr>
          <w:p w14:paraId="1B65B6B8">
            <w:pPr>
              <w:jc w:val="left"/>
              <w:rPr>
                <w:rFonts w:hint="eastAsia" w:ascii="仿宋" w:hAnsi="仿宋" w:eastAsia="仿宋" w:cs="仿宋"/>
                <w:color w:val="auto"/>
                <w:sz w:val="24"/>
                <w:highlight w:val="none"/>
              </w:rPr>
            </w:pPr>
          </w:p>
        </w:tc>
        <w:tc>
          <w:tcPr>
            <w:tcW w:w="2055" w:type="dxa"/>
            <w:vMerge w:val="continue"/>
            <w:tcBorders>
              <w:top w:val="single" w:color="auto" w:sz="4" w:space="0"/>
              <w:left w:val="single" w:color="auto" w:sz="4" w:space="0"/>
              <w:bottom w:val="single" w:color="auto" w:sz="4" w:space="0"/>
              <w:right w:val="single" w:color="auto" w:sz="4" w:space="0"/>
            </w:tcBorders>
            <w:vAlign w:val="center"/>
          </w:tcPr>
          <w:p w14:paraId="64EDF83B">
            <w:pPr>
              <w:jc w:val="left"/>
              <w:rPr>
                <w:rFonts w:hint="eastAsia" w:ascii="仿宋" w:hAnsi="仿宋" w:eastAsia="仿宋" w:cs="仿宋"/>
                <w:color w:val="auto"/>
                <w:sz w:val="24"/>
                <w:highlight w:val="none"/>
              </w:rPr>
            </w:pPr>
          </w:p>
        </w:tc>
        <w:tc>
          <w:tcPr>
            <w:tcW w:w="3314" w:type="dxa"/>
            <w:vMerge w:val="continue"/>
            <w:tcBorders>
              <w:top w:val="single" w:color="auto" w:sz="4" w:space="0"/>
              <w:left w:val="single" w:color="auto" w:sz="4" w:space="0"/>
              <w:bottom w:val="single" w:color="auto" w:sz="4" w:space="0"/>
              <w:right w:val="single" w:color="auto" w:sz="4" w:space="0"/>
            </w:tcBorders>
            <w:vAlign w:val="center"/>
          </w:tcPr>
          <w:p w14:paraId="57B34409">
            <w:pPr>
              <w:jc w:val="left"/>
              <w:rPr>
                <w:rFonts w:hint="eastAsia" w:ascii="仿宋" w:hAnsi="仿宋" w:eastAsia="仿宋" w:cs="仿宋"/>
                <w:color w:val="auto"/>
                <w:sz w:val="24"/>
                <w:highlight w:val="none"/>
              </w:rPr>
            </w:pPr>
          </w:p>
        </w:tc>
      </w:tr>
      <w:tr w14:paraId="6B13F5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3" w:hRule="atLeast"/>
          <w:jc w:val="center"/>
        </w:trPr>
        <w:tc>
          <w:tcPr>
            <w:tcW w:w="2477" w:type="dxa"/>
            <w:tcBorders>
              <w:top w:val="single" w:color="auto" w:sz="4" w:space="0"/>
              <w:left w:val="single" w:color="auto" w:sz="4" w:space="0"/>
              <w:bottom w:val="single" w:color="auto" w:sz="4" w:space="0"/>
              <w:right w:val="single" w:color="auto" w:sz="4" w:space="0"/>
            </w:tcBorders>
          </w:tcPr>
          <w:p w14:paraId="4336C066">
            <w:pPr>
              <w:snapToGrid w:val="0"/>
              <w:spacing w:line="240" w:lineRule="exact"/>
              <w:jc w:val="left"/>
              <w:rPr>
                <w:rFonts w:hint="eastAsia" w:ascii="仿宋" w:hAnsi="仿宋" w:eastAsia="仿宋" w:cs="仿宋"/>
                <w:color w:val="auto"/>
                <w:sz w:val="24"/>
                <w:highlight w:val="none"/>
              </w:rPr>
            </w:pPr>
          </w:p>
        </w:tc>
        <w:tc>
          <w:tcPr>
            <w:tcW w:w="2054" w:type="dxa"/>
            <w:tcBorders>
              <w:top w:val="single" w:color="auto" w:sz="4" w:space="0"/>
              <w:left w:val="single" w:color="auto" w:sz="4" w:space="0"/>
              <w:bottom w:val="single" w:color="auto" w:sz="4" w:space="0"/>
              <w:right w:val="single" w:color="auto" w:sz="4" w:space="0"/>
            </w:tcBorders>
          </w:tcPr>
          <w:p w14:paraId="1100AEBF">
            <w:pPr>
              <w:snapToGrid w:val="0"/>
              <w:spacing w:line="240" w:lineRule="exact"/>
              <w:jc w:val="left"/>
              <w:rPr>
                <w:rFonts w:hint="eastAsia" w:ascii="仿宋" w:hAnsi="仿宋" w:eastAsia="仿宋" w:cs="仿宋"/>
                <w:color w:val="auto"/>
                <w:sz w:val="24"/>
                <w:highlight w:val="none"/>
              </w:rPr>
            </w:pPr>
          </w:p>
        </w:tc>
        <w:tc>
          <w:tcPr>
            <w:tcW w:w="2055" w:type="dxa"/>
            <w:tcBorders>
              <w:top w:val="single" w:color="auto" w:sz="4" w:space="0"/>
              <w:left w:val="single" w:color="auto" w:sz="4" w:space="0"/>
              <w:bottom w:val="single" w:color="auto" w:sz="4" w:space="0"/>
              <w:right w:val="single" w:color="auto" w:sz="4" w:space="0"/>
            </w:tcBorders>
          </w:tcPr>
          <w:p w14:paraId="662F37D8">
            <w:pPr>
              <w:snapToGrid w:val="0"/>
              <w:spacing w:line="240" w:lineRule="exact"/>
              <w:jc w:val="left"/>
              <w:rPr>
                <w:rFonts w:hint="eastAsia" w:ascii="仿宋" w:hAnsi="仿宋" w:eastAsia="仿宋" w:cs="仿宋"/>
                <w:color w:val="auto"/>
                <w:sz w:val="24"/>
                <w:highlight w:val="none"/>
              </w:rPr>
            </w:pPr>
          </w:p>
        </w:tc>
        <w:tc>
          <w:tcPr>
            <w:tcW w:w="3314" w:type="dxa"/>
            <w:tcBorders>
              <w:top w:val="single" w:color="auto" w:sz="4" w:space="0"/>
              <w:left w:val="single" w:color="auto" w:sz="4" w:space="0"/>
              <w:bottom w:val="single" w:color="auto" w:sz="4" w:space="0"/>
              <w:right w:val="single" w:color="auto" w:sz="4" w:space="0"/>
            </w:tcBorders>
          </w:tcPr>
          <w:p w14:paraId="295D9829">
            <w:pPr>
              <w:snapToGrid w:val="0"/>
              <w:spacing w:line="240" w:lineRule="exact"/>
              <w:jc w:val="left"/>
              <w:rPr>
                <w:rFonts w:hint="eastAsia" w:ascii="仿宋" w:hAnsi="仿宋" w:eastAsia="仿宋" w:cs="仿宋"/>
                <w:color w:val="auto"/>
                <w:sz w:val="24"/>
                <w:highlight w:val="none"/>
              </w:rPr>
            </w:pPr>
          </w:p>
        </w:tc>
      </w:tr>
      <w:tr w14:paraId="3DD068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2477" w:type="dxa"/>
            <w:tcBorders>
              <w:top w:val="single" w:color="auto" w:sz="4" w:space="0"/>
              <w:left w:val="single" w:color="auto" w:sz="4" w:space="0"/>
              <w:bottom w:val="single" w:color="auto" w:sz="4" w:space="0"/>
              <w:right w:val="single" w:color="auto" w:sz="4" w:space="0"/>
            </w:tcBorders>
          </w:tcPr>
          <w:p w14:paraId="2E794F1C">
            <w:pPr>
              <w:snapToGrid w:val="0"/>
              <w:spacing w:before="50" w:after="120" w:afterLines="50" w:line="400" w:lineRule="exact"/>
              <w:jc w:val="left"/>
              <w:rPr>
                <w:rFonts w:hint="eastAsia" w:ascii="仿宋" w:hAnsi="仿宋" w:eastAsia="仿宋" w:cs="仿宋"/>
                <w:color w:val="auto"/>
                <w:sz w:val="24"/>
                <w:highlight w:val="none"/>
              </w:rPr>
            </w:pPr>
          </w:p>
        </w:tc>
        <w:tc>
          <w:tcPr>
            <w:tcW w:w="2054" w:type="dxa"/>
            <w:tcBorders>
              <w:top w:val="single" w:color="auto" w:sz="4" w:space="0"/>
              <w:left w:val="single" w:color="auto" w:sz="4" w:space="0"/>
              <w:bottom w:val="single" w:color="auto" w:sz="4" w:space="0"/>
              <w:right w:val="single" w:color="auto" w:sz="4" w:space="0"/>
            </w:tcBorders>
          </w:tcPr>
          <w:p w14:paraId="2DF8B1D9">
            <w:pPr>
              <w:snapToGrid w:val="0"/>
              <w:spacing w:before="50" w:after="120" w:afterLines="50" w:line="400" w:lineRule="exact"/>
              <w:jc w:val="left"/>
              <w:rPr>
                <w:rFonts w:hint="eastAsia" w:ascii="仿宋" w:hAnsi="仿宋" w:eastAsia="仿宋" w:cs="仿宋"/>
                <w:color w:val="auto"/>
                <w:sz w:val="24"/>
                <w:highlight w:val="none"/>
              </w:rPr>
            </w:pPr>
          </w:p>
        </w:tc>
        <w:tc>
          <w:tcPr>
            <w:tcW w:w="2055" w:type="dxa"/>
            <w:tcBorders>
              <w:top w:val="single" w:color="auto" w:sz="4" w:space="0"/>
              <w:left w:val="single" w:color="auto" w:sz="4" w:space="0"/>
              <w:bottom w:val="single" w:color="auto" w:sz="4" w:space="0"/>
              <w:right w:val="single" w:color="auto" w:sz="4" w:space="0"/>
            </w:tcBorders>
          </w:tcPr>
          <w:p w14:paraId="3A063887">
            <w:pPr>
              <w:snapToGrid w:val="0"/>
              <w:spacing w:before="50" w:after="120" w:afterLines="50" w:line="400" w:lineRule="exact"/>
              <w:jc w:val="left"/>
              <w:rPr>
                <w:rFonts w:hint="eastAsia" w:ascii="仿宋" w:hAnsi="仿宋" w:eastAsia="仿宋" w:cs="仿宋"/>
                <w:color w:val="auto"/>
                <w:sz w:val="24"/>
                <w:highlight w:val="none"/>
              </w:rPr>
            </w:pPr>
          </w:p>
        </w:tc>
        <w:tc>
          <w:tcPr>
            <w:tcW w:w="3314" w:type="dxa"/>
            <w:tcBorders>
              <w:top w:val="single" w:color="auto" w:sz="4" w:space="0"/>
              <w:left w:val="single" w:color="auto" w:sz="4" w:space="0"/>
              <w:bottom w:val="single" w:color="auto" w:sz="4" w:space="0"/>
              <w:right w:val="single" w:color="auto" w:sz="4" w:space="0"/>
            </w:tcBorders>
          </w:tcPr>
          <w:p w14:paraId="22D031E2">
            <w:pPr>
              <w:snapToGrid w:val="0"/>
              <w:spacing w:before="50" w:after="120" w:afterLines="50" w:line="400" w:lineRule="exact"/>
              <w:jc w:val="left"/>
              <w:rPr>
                <w:rFonts w:hint="eastAsia" w:ascii="仿宋" w:hAnsi="仿宋" w:eastAsia="仿宋" w:cs="仿宋"/>
                <w:color w:val="auto"/>
                <w:sz w:val="24"/>
                <w:highlight w:val="none"/>
              </w:rPr>
            </w:pPr>
          </w:p>
        </w:tc>
      </w:tr>
      <w:tr w14:paraId="3A2947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3" w:hRule="atLeast"/>
          <w:jc w:val="center"/>
        </w:trPr>
        <w:tc>
          <w:tcPr>
            <w:tcW w:w="2477" w:type="dxa"/>
            <w:tcBorders>
              <w:top w:val="single" w:color="auto" w:sz="4" w:space="0"/>
              <w:left w:val="single" w:color="auto" w:sz="4" w:space="0"/>
              <w:bottom w:val="single" w:color="auto" w:sz="4" w:space="0"/>
              <w:right w:val="single" w:color="auto" w:sz="4" w:space="0"/>
            </w:tcBorders>
          </w:tcPr>
          <w:p w14:paraId="5263C5B6">
            <w:pPr>
              <w:snapToGrid w:val="0"/>
              <w:spacing w:before="50" w:after="120" w:afterLines="50" w:line="400" w:lineRule="exact"/>
              <w:jc w:val="left"/>
              <w:rPr>
                <w:rFonts w:hint="eastAsia" w:ascii="仿宋" w:hAnsi="仿宋" w:eastAsia="仿宋" w:cs="仿宋"/>
                <w:color w:val="auto"/>
                <w:sz w:val="24"/>
                <w:highlight w:val="none"/>
              </w:rPr>
            </w:pPr>
          </w:p>
        </w:tc>
        <w:tc>
          <w:tcPr>
            <w:tcW w:w="2054" w:type="dxa"/>
            <w:tcBorders>
              <w:top w:val="single" w:color="auto" w:sz="4" w:space="0"/>
              <w:left w:val="single" w:color="auto" w:sz="4" w:space="0"/>
              <w:bottom w:val="single" w:color="auto" w:sz="4" w:space="0"/>
              <w:right w:val="single" w:color="auto" w:sz="4" w:space="0"/>
            </w:tcBorders>
          </w:tcPr>
          <w:p w14:paraId="452173D6">
            <w:pPr>
              <w:snapToGrid w:val="0"/>
              <w:spacing w:before="50" w:after="120" w:afterLines="50" w:line="400" w:lineRule="exact"/>
              <w:jc w:val="left"/>
              <w:rPr>
                <w:rFonts w:hint="eastAsia" w:ascii="仿宋" w:hAnsi="仿宋" w:eastAsia="仿宋" w:cs="仿宋"/>
                <w:color w:val="auto"/>
                <w:sz w:val="24"/>
                <w:highlight w:val="none"/>
              </w:rPr>
            </w:pPr>
          </w:p>
        </w:tc>
        <w:tc>
          <w:tcPr>
            <w:tcW w:w="2055" w:type="dxa"/>
            <w:tcBorders>
              <w:top w:val="single" w:color="auto" w:sz="4" w:space="0"/>
              <w:left w:val="single" w:color="auto" w:sz="4" w:space="0"/>
              <w:bottom w:val="single" w:color="auto" w:sz="4" w:space="0"/>
              <w:right w:val="single" w:color="auto" w:sz="4" w:space="0"/>
            </w:tcBorders>
          </w:tcPr>
          <w:p w14:paraId="1A505FDD">
            <w:pPr>
              <w:snapToGrid w:val="0"/>
              <w:spacing w:before="50" w:after="120" w:afterLines="50" w:line="400" w:lineRule="exact"/>
              <w:jc w:val="left"/>
              <w:rPr>
                <w:rFonts w:hint="eastAsia" w:ascii="仿宋" w:hAnsi="仿宋" w:eastAsia="仿宋" w:cs="仿宋"/>
                <w:color w:val="auto"/>
                <w:sz w:val="24"/>
                <w:highlight w:val="none"/>
              </w:rPr>
            </w:pPr>
          </w:p>
        </w:tc>
        <w:tc>
          <w:tcPr>
            <w:tcW w:w="3314" w:type="dxa"/>
            <w:tcBorders>
              <w:top w:val="single" w:color="auto" w:sz="4" w:space="0"/>
              <w:left w:val="single" w:color="auto" w:sz="4" w:space="0"/>
              <w:bottom w:val="single" w:color="auto" w:sz="4" w:space="0"/>
              <w:right w:val="single" w:color="auto" w:sz="4" w:space="0"/>
            </w:tcBorders>
          </w:tcPr>
          <w:p w14:paraId="67153A2E">
            <w:pPr>
              <w:snapToGrid w:val="0"/>
              <w:spacing w:before="50" w:after="120" w:afterLines="50" w:line="400" w:lineRule="exact"/>
              <w:jc w:val="left"/>
              <w:rPr>
                <w:rFonts w:hint="eastAsia" w:ascii="仿宋" w:hAnsi="仿宋" w:eastAsia="仿宋" w:cs="仿宋"/>
                <w:color w:val="auto"/>
                <w:sz w:val="24"/>
                <w:highlight w:val="none"/>
              </w:rPr>
            </w:pPr>
          </w:p>
        </w:tc>
      </w:tr>
      <w:tr w14:paraId="2AED40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2477" w:type="dxa"/>
            <w:tcBorders>
              <w:top w:val="single" w:color="auto" w:sz="4" w:space="0"/>
              <w:left w:val="single" w:color="auto" w:sz="4" w:space="0"/>
              <w:bottom w:val="single" w:color="auto" w:sz="4" w:space="0"/>
              <w:right w:val="single" w:color="auto" w:sz="4" w:space="0"/>
            </w:tcBorders>
          </w:tcPr>
          <w:p w14:paraId="384C6810">
            <w:pPr>
              <w:snapToGrid w:val="0"/>
              <w:spacing w:before="50" w:after="120" w:afterLines="50" w:line="400" w:lineRule="exact"/>
              <w:jc w:val="left"/>
              <w:rPr>
                <w:rFonts w:hint="eastAsia" w:ascii="仿宋" w:hAnsi="仿宋" w:eastAsia="仿宋" w:cs="仿宋"/>
                <w:color w:val="auto"/>
                <w:sz w:val="24"/>
                <w:highlight w:val="none"/>
              </w:rPr>
            </w:pPr>
          </w:p>
        </w:tc>
        <w:tc>
          <w:tcPr>
            <w:tcW w:w="2054" w:type="dxa"/>
            <w:tcBorders>
              <w:top w:val="single" w:color="auto" w:sz="4" w:space="0"/>
              <w:left w:val="single" w:color="auto" w:sz="4" w:space="0"/>
              <w:bottom w:val="single" w:color="auto" w:sz="4" w:space="0"/>
              <w:right w:val="single" w:color="auto" w:sz="4" w:space="0"/>
            </w:tcBorders>
          </w:tcPr>
          <w:p w14:paraId="018C0940">
            <w:pPr>
              <w:snapToGrid w:val="0"/>
              <w:spacing w:before="50" w:after="120" w:afterLines="50" w:line="400" w:lineRule="exact"/>
              <w:jc w:val="left"/>
              <w:rPr>
                <w:rFonts w:hint="eastAsia" w:ascii="仿宋" w:hAnsi="仿宋" w:eastAsia="仿宋" w:cs="仿宋"/>
                <w:color w:val="auto"/>
                <w:sz w:val="24"/>
                <w:highlight w:val="none"/>
              </w:rPr>
            </w:pPr>
          </w:p>
        </w:tc>
        <w:tc>
          <w:tcPr>
            <w:tcW w:w="2055" w:type="dxa"/>
            <w:tcBorders>
              <w:top w:val="single" w:color="auto" w:sz="4" w:space="0"/>
              <w:left w:val="single" w:color="auto" w:sz="4" w:space="0"/>
              <w:bottom w:val="single" w:color="auto" w:sz="4" w:space="0"/>
              <w:right w:val="single" w:color="auto" w:sz="4" w:space="0"/>
            </w:tcBorders>
          </w:tcPr>
          <w:p w14:paraId="258A0DAF">
            <w:pPr>
              <w:snapToGrid w:val="0"/>
              <w:spacing w:before="50" w:after="120" w:afterLines="50" w:line="400" w:lineRule="exact"/>
              <w:jc w:val="left"/>
              <w:rPr>
                <w:rFonts w:hint="eastAsia" w:ascii="仿宋" w:hAnsi="仿宋" w:eastAsia="仿宋" w:cs="仿宋"/>
                <w:color w:val="auto"/>
                <w:sz w:val="24"/>
                <w:highlight w:val="none"/>
              </w:rPr>
            </w:pPr>
          </w:p>
        </w:tc>
        <w:tc>
          <w:tcPr>
            <w:tcW w:w="3314" w:type="dxa"/>
            <w:tcBorders>
              <w:top w:val="single" w:color="auto" w:sz="4" w:space="0"/>
              <w:left w:val="single" w:color="auto" w:sz="4" w:space="0"/>
              <w:bottom w:val="single" w:color="auto" w:sz="4" w:space="0"/>
              <w:right w:val="single" w:color="auto" w:sz="4" w:space="0"/>
            </w:tcBorders>
          </w:tcPr>
          <w:p w14:paraId="680528FF">
            <w:pPr>
              <w:snapToGrid w:val="0"/>
              <w:spacing w:before="50" w:after="120" w:afterLines="50" w:line="400" w:lineRule="exact"/>
              <w:jc w:val="left"/>
              <w:rPr>
                <w:rFonts w:hint="eastAsia" w:ascii="仿宋" w:hAnsi="仿宋" w:eastAsia="仿宋" w:cs="仿宋"/>
                <w:color w:val="auto"/>
                <w:sz w:val="24"/>
                <w:highlight w:val="none"/>
              </w:rPr>
            </w:pPr>
          </w:p>
        </w:tc>
      </w:tr>
      <w:tr w14:paraId="5B6655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2477" w:type="dxa"/>
            <w:tcBorders>
              <w:top w:val="single" w:color="auto" w:sz="4" w:space="0"/>
              <w:left w:val="single" w:color="auto" w:sz="4" w:space="0"/>
              <w:bottom w:val="single" w:color="auto" w:sz="4" w:space="0"/>
              <w:right w:val="single" w:color="auto" w:sz="4" w:space="0"/>
            </w:tcBorders>
          </w:tcPr>
          <w:p w14:paraId="5F1F53F6">
            <w:pPr>
              <w:snapToGrid w:val="0"/>
              <w:spacing w:before="50" w:after="120" w:afterLines="50" w:line="400" w:lineRule="exact"/>
              <w:jc w:val="left"/>
              <w:rPr>
                <w:rFonts w:hint="eastAsia" w:ascii="仿宋" w:hAnsi="仿宋" w:eastAsia="仿宋" w:cs="仿宋"/>
                <w:color w:val="auto"/>
                <w:sz w:val="24"/>
                <w:highlight w:val="none"/>
              </w:rPr>
            </w:pPr>
          </w:p>
        </w:tc>
        <w:tc>
          <w:tcPr>
            <w:tcW w:w="2054" w:type="dxa"/>
            <w:tcBorders>
              <w:top w:val="single" w:color="auto" w:sz="4" w:space="0"/>
              <w:left w:val="single" w:color="auto" w:sz="4" w:space="0"/>
              <w:bottom w:val="single" w:color="auto" w:sz="4" w:space="0"/>
              <w:right w:val="single" w:color="auto" w:sz="4" w:space="0"/>
            </w:tcBorders>
          </w:tcPr>
          <w:p w14:paraId="5795A91D">
            <w:pPr>
              <w:snapToGrid w:val="0"/>
              <w:spacing w:before="50" w:after="120" w:afterLines="50" w:line="400" w:lineRule="exact"/>
              <w:jc w:val="left"/>
              <w:rPr>
                <w:rFonts w:hint="eastAsia" w:ascii="仿宋" w:hAnsi="仿宋" w:eastAsia="仿宋" w:cs="仿宋"/>
                <w:color w:val="auto"/>
                <w:sz w:val="24"/>
                <w:highlight w:val="none"/>
              </w:rPr>
            </w:pPr>
          </w:p>
        </w:tc>
        <w:tc>
          <w:tcPr>
            <w:tcW w:w="2055" w:type="dxa"/>
            <w:tcBorders>
              <w:top w:val="single" w:color="auto" w:sz="4" w:space="0"/>
              <w:left w:val="single" w:color="auto" w:sz="4" w:space="0"/>
              <w:bottom w:val="single" w:color="auto" w:sz="4" w:space="0"/>
              <w:right w:val="single" w:color="auto" w:sz="4" w:space="0"/>
            </w:tcBorders>
          </w:tcPr>
          <w:p w14:paraId="013CFF35">
            <w:pPr>
              <w:snapToGrid w:val="0"/>
              <w:spacing w:before="50" w:after="120" w:afterLines="50" w:line="400" w:lineRule="exact"/>
              <w:jc w:val="left"/>
              <w:rPr>
                <w:rFonts w:hint="eastAsia" w:ascii="仿宋" w:hAnsi="仿宋" w:eastAsia="仿宋" w:cs="仿宋"/>
                <w:color w:val="auto"/>
                <w:sz w:val="24"/>
                <w:highlight w:val="none"/>
              </w:rPr>
            </w:pPr>
          </w:p>
        </w:tc>
        <w:tc>
          <w:tcPr>
            <w:tcW w:w="3314" w:type="dxa"/>
            <w:tcBorders>
              <w:top w:val="single" w:color="auto" w:sz="4" w:space="0"/>
              <w:left w:val="single" w:color="auto" w:sz="4" w:space="0"/>
              <w:bottom w:val="single" w:color="auto" w:sz="4" w:space="0"/>
              <w:right w:val="single" w:color="auto" w:sz="4" w:space="0"/>
            </w:tcBorders>
          </w:tcPr>
          <w:p w14:paraId="38D9944A">
            <w:pPr>
              <w:snapToGrid w:val="0"/>
              <w:spacing w:before="50" w:after="120" w:afterLines="50" w:line="400" w:lineRule="exact"/>
              <w:jc w:val="left"/>
              <w:rPr>
                <w:rFonts w:hint="eastAsia" w:ascii="仿宋" w:hAnsi="仿宋" w:eastAsia="仿宋" w:cs="仿宋"/>
                <w:color w:val="auto"/>
                <w:sz w:val="24"/>
                <w:highlight w:val="none"/>
              </w:rPr>
            </w:pPr>
          </w:p>
        </w:tc>
      </w:tr>
    </w:tbl>
    <w:p w14:paraId="201F98A9">
      <w:pPr>
        <w:pStyle w:val="16"/>
        <w:spacing w:before="0" w:after="0" w:line="360" w:lineRule="auto"/>
        <w:contextualSpacing/>
        <w:rPr>
          <w:rFonts w:hint="eastAsia" w:ascii="仿宋" w:hAnsi="仿宋" w:eastAsia="仿宋" w:cs="仿宋"/>
          <w:color w:val="auto"/>
          <w:sz w:val="24"/>
          <w:szCs w:val="24"/>
          <w:highlight w:val="none"/>
        </w:rPr>
      </w:pPr>
    </w:p>
    <w:p w14:paraId="62EF0B85">
      <w:pPr>
        <w:pStyle w:val="16"/>
        <w:spacing w:before="0" w:after="0" w:line="360" w:lineRule="auto"/>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w:t>
      </w:r>
      <w:r>
        <w:rPr>
          <w:rFonts w:hint="eastAsia" w:ascii="仿宋" w:hAnsi="仿宋" w:eastAsia="仿宋" w:cs="仿宋"/>
          <w:color w:val="auto"/>
          <w:sz w:val="24"/>
          <w:highlight w:val="none"/>
        </w:rPr>
        <w:t>投标人根据评标标准具体要求附业绩证明材料。</w:t>
      </w:r>
    </w:p>
    <w:p w14:paraId="2B1E1B76">
      <w:pPr>
        <w:pStyle w:val="16"/>
        <w:spacing w:before="0" w:after="0" w:line="360" w:lineRule="auto"/>
        <w:contextualSpacing/>
        <w:jc w:val="left"/>
        <w:rPr>
          <w:rFonts w:hint="eastAsia" w:ascii="仿宋" w:hAnsi="仿宋" w:eastAsia="仿宋" w:cs="仿宋"/>
          <w:color w:val="auto"/>
          <w:sz w:val="24"/>
          <w:szCs w:val="24"/>
          <w:highlight w:val="none"/>
        </w:rPr>
      </w:pPr>
    </w:p>
    <w:p w14:paraId="7571C6E8">
      <w:pPr>
        <w:pStyle w:val="27"/>
        <w:spacing w:beforeLines="0" w:line="360" w:lineRule="auto"/>
        <w:rPr>
          <w:rFonts w:hint="eastAsia" w:ascii="仿宋" w:hAnsi="仿宋" w:eastAsia="仿宋" w:cs="仿宋"/>
          <w:color w:val="auto"/>
          <w:spacing w:val="20"/>
          <w:sz w:val="24"/>
          <w:szCs w:val="24"/>
          <w:highlight w:val="none"/>
          <w:u w:val="single"/>
        </w:rPr>
      </w:pPr>
      <w:r>
        <w:rPr>
          <w:rFonts w:hint="eastAsia" w:ascii="仿宋" w:hAnsi="仿宋" w:eastAsia="仿宋" w:cs="仿宋"/>
          <w:color w:val="auto"/>
          <w:sz w:val="24"/>
          <w:szCs w:val="24"/>
          <w:highlight w:val="none"/>
        </w:rPr>
        <w:t>法定代表人或者委托代理人</w:t>
      </w:r>
      <w:r>
        <w:rPr>
          <w:rFonts w:hint="eastAsia" w:ascii="仿宋" w:hAnsi="仿宋" w:eastAsia="仿宋" w:cs="仿宋"/>
          <w:color w:val="auto"/>
          <w:spacing w:val="20"/>
          <w:sz w:val="24"/>
          <w:szCs w:val="24"/>
          <w:highlight w:val="none"/>
        </w:rPr>
        <w:t>签字</w:t>
      </w:r>
      <w:r>
        <w:rPr>
          <w:rFonts w:hint="eastAsia" w:ascii="仿宋" w:hAnsi="仿宋" w:eastAsia="仿宋" w:cs="仿宋"/>
          <w:color w:val="auto"/>
          <w:sz w:val="24"/>
          <w:szCs w:val="24"/>
          <w:highlight w:val="none"/>
        </w:rPr>
        <w:t>[或盖章(CA签章)]（属自然人的应在签名处加盖大拇指指印或个人CA签章）</w:t>
      </w:r>
      <w:r>
        <w:rPr>
          <w:rFonts w:hint="eastAsia" w:ascii="仿宋" w:hAnsi="仿宋" w:eastAsia="仿宋" w:cs="仿宋"/>
          <w:color w:val="auto"/>
          <w:spacing w:val="20"/>
          <w:sz w:val="24"/>
          <w:szCs w:val="24"/>
          <w:highlight w:val="none"/>
        </w:rPr>
        <w:t>：</w:t>
      </w:r>
      <w:r>
        <w:rPr>
          <w:rFonts w:hint="eastAsia" w:ascii="仿宋" w:hAnsi="仿宋" w:eastAsia="仿宋" w:cs="仿宋"/>
          <w:color w:val="auto"/>
          <w:spacing w:val="20"/>
          <w:sz w:val="24"/>
          <w:szCs w:val="24"/>
          <w:highlight w:val="none"/>
          <w:u w:val="single"/>
        </w:rPr>
        <w:t xml:space="preserve">        </w:t>
      </w:r>
    </w:p>
    <w:p w14:paraId="652F8DE4">
      <w:pPr>
        <w:snapToGrid w:val="0"/>
        <w:spacing w:before="0" w:beforeLines="0" w:line="360" w:lineRule="auto"/>
        <w:rPr>
          <w:rFonts w:hint="eastAsia" w:ascii="仿宋" w:hAnsi="仿宋" w:eastAsia="仿宋" w:cs="仿宋"/>
          <w:color w:val="auto"/>
          <w:spacing w:val="20"/>
          <w:sz w:val="24"/>
          <w:szCs w:val="24"/>
          <w:highlight w:val="none"/>
        </w:rPr>
      </w:pPr>
      <w:r>
        <w:rPr>
          <w:rFonts w:hint="eastAsia" w:ascii="仿宋" w:hAnsi="仿宋" w:eastAsia="仿宋" w:cs="仿宋"/>
          <w:color w:val="auto"/>
          <w:spacing w:val="20"/>
          <w:sz w:val="24"/>
          <w:szCs w:val="24"/>
          <w:highlight w:val="none"/>
        </w:rPr>
        <w:t>投标人</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eastAsia="zh-CN"/>
        </w:rPr>
        <w:t>公章(或CA签章)</w:t>
      </w:r>
      <w:r>
        <w:rPr>
          <w:rFonts w:hint="eastAsia" w:ascii="仿宋" w:hAnsi="仿宋" w:eastAsia="仿宋" w:cs="仿宋"/>
          <w:bCs/>
          <w:color w:val="auto"/>
          <w:sz w:val="24"/>
          <w:szCs w:val="24"/>
          <w:highlight w:val="none"/>
        </w:rPr>
        <w:t>、自然人除外]</w:t>
      </w:r>
      <w:r>
        <w:rPr>
          <w:rFonts w:hint="eastAsia" w:ascii="仿宋" w:hAnsi="仿宋" w:eastAsia="仿宋" w:cs="仿宋"/>
          <w:color w:val="auto"/>
          <w:spacing w:val="20"/>
          <w:sz w:val="24"/>
          <w:szCs w:val="24"/>
          <w:highlight w:val="none"/>
        </w:rPr>
        <w:t>：</w:t>
      </w:r>
      <w:r>
        <w:rPr>
          <w:rFonts w:hint="eastAsia" w:ascii="仿宋" w:hAnsi="仿宋" w:eastAsia="仿宋" w:cs="仿宋"/>
          <w:color w:val="auto"/>
          <w:spacing w:val="20"/>
          <w:sz w:val="24"/>
          <w:szCs w:val="24"/>
          <w:highlight w:val="none"/>
          <w:u w:val="single"/>
        </w:rPr>
        <w:t xml:space="preserve">            </w:t>
      </w:r>
      <w:r>
        <w:rPr>
          <w:rFonts w:hint="eastAsia" w:ascii="仿宋" w:hAnsi="仿宋" w:eastAsia="仿宋" w:cs="仿宋"/>
          <w:color w:val="auto"/>
          <w:spacing w:val="20"/>
          <w:sz w:val="24"/>
          <w:szCs w:val="24"/>
          <w:highlight w:val="none"/>
        </w:rPr>
        <w:t xml:space="preserve">   </w:t>
      </w:r>
    </w:p>
    <w:p w14:paraId="3445FC71">
      <w:pPr>
        <w:snapToGrid w:val="0"/>
        <w:spacing w:before="0" w:beforeLines="0" w:line="360" w:lineRule="auto"/>
        <w:rPr>
          <w:rFonts w:hint="eastAsia" w:ascii="仿宋" w:hAnsi="仿宋" w:eastAsia="仿宋" w:cs="仿宋"/>
          <w:color w:val="auto"/>
          <w:sz w:val="24"/>
          <w:szCs w:val="24"/>
          <w:highlight w:val="none"/>
        </w:rPr>
      </w:pPr>
      <w:r>
        <w:rPr>
          <w:rFonts w:hint="eastAsia" w:ascii="仿宋" w:hAnsi="仿宋" w:eastAsia="仿宋" w:cs="仿宋"/>
          <w:color w:val="auto"/>
          <w:spacing w:val="20"/>
          <w:sz w:val="24"/>
          <w:szCs w:val="24"/>
          <w:highlight w:val="none"/>
        </w:rPr>
        <w:t>日  期：</w:t>
      </w:r>
      <w:r>
        <w:rPr>
          <w:rFonts w:hint="eastAsia" w:ascii="仿宋" w:hAnsi="仿宋" w:eastAsia="仿宋" w:cs="仿宋"/>
          <w:color w:val="auto"/>
          <w:spacing w:val="20"/>
          <w:sz w:val="24"/>
          <w:szCs w:val="24"/>
          <w:highlight w:val="none"/>
          <w:u w:val="single"/>
        </w:rPr>
        <w:t xml:space="preserve">         </w:t>
      </w:r>
    </w:p>
    <w:p w14:paraId="4E24217B">
      <w:pPr>
        <w:snapToGrid w:val="0"/>
        <w:spacing w:before="50"/>
        <w:ind w:firstLine="480" w:firstLineChars="200"/>
        <w:jc w:val="left"/>
        <w:rPr>
          <w:rFonts w:hint="eastAsia" w:ascii="仿宋" w:hAnsi="仿宋" w:eastAsia="仿宋" w:cs="仿宋"/>
          <w:color w:val="auto"/>
          <w:sz w:val="24"/>
          <w:szCs w:val="20"/>
          <w:highlight w:val="none"/>
        </w:rPr>
      </w:pPr>
    </w:p>
    <w:p w14:paraId="7ADE9136">
      <w:pPr>
        <w:snapToGrid w:val="0"/>
        <w:spacing w:before="50"/>
        <w:jc w:val="left"/>
        <w:rPr>
          <w:rFonts w:hint="eastAsia" w:ascii="仿宋" w:hAnsi="仿宋" w:eastAsia="仿宋" w:cs="仿宋"/>
          <w:color w:val="auto"/>
          <w:sz w:val="24"/>
          <w:highlight w:val="none"/>
        </w:rPr>
      </w:pPr>
    </w:p>
    <w:p w14:paraId="799FB144">
      <w:pPr>
        <w:snapToGrid w:val="0"/>
        <w:spacing w:before="120" w:beforeLines="50"/>
        <w:rPr>
          <w:rFonts w:hint="eastAsia" w:ascii="仿宋" w:hAnsi="仿宋" w:eastAsia="仿宋" w:cs="仿宋"/>
          <w:color w:val="auto"/>
          <w:sz w:val="24"/>
          <w:szCs w:val="20"/>
          <w:highlight w:val="none"/>
        </w:rPr>
        <w:sectPr>
          <w:pgSz w:w="11906" w:h="16838"/>
          <w:pgMar w:top="907" w:right="851" w:bottom="907" w:left="851" w:header="851" w:footer="567" w:gutter="0"/>
          <w:pgNumType w:fmt="numberInDash"/>
          <w:cols w:space="720" w:num="1"/>
          <w:docGrid w:linePitch="312" w:charSpace="0"/>
        </w:sectPr>
      </w:pPr>
    </w:p>
    <w:p w14:paraId="58DAE037">
      <w:pP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四、技术文件格式</w:t>
      </w:r>
    </w:p>
    <w:p w14:paraId="5A23E1E7">
      <w:pPr>
        <w:snapToGrid w:val="0"/>
        <w:spacing w:before="120" w:beforeLines="50" w:after="50"/>
        <w:ind w:left="142"/>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1. 技术文件封面格式： </w:t>
      </w:r>
    </w:p>
    <w:p w14:paraId="4D208633">
      <w:pPr>
        <w:snapToGrid w:val="0"/>
        <w:spacing w:before="120" w:beforeLines="50" w:after="50"/>
        <w:rPr>
          <w:rFonts w:hint="eastAsia" w:ascii="仿宋" w:hAnsi="仿宋" w:eastAsia="仿宋" w:cs="仿宋"/>
          <w:b/>
          <w:bCs/>
          <w:color w:val="auto"/>
          <w:sz w:val="32"/>
          <w:szCs w:val="20"/>
          <w:highlight w:val="none"/>
        </w:rPr>
      </w:pPr>
    </w:p>
    <w:p w14:paraId="6B416089">
      <w:pPr>
        <w:snapToGrid w:val="0"/>
        <w:spacing w:before="120" w:beforeLines="50" w:after="50"/>
        <w:rPr>
          <w:rFonts w:hint="eastAsia" w:ascii="仿宋" w:hAnsi="仿宋" w:eastAsia="仿宋" w:cs="仿宋"/>
          <w:color w:val="auto"/>
          <w:sz w:val="24"/>
          <w:szCs w:val="20"/>
          <w:highlight w:val="none"/>
        </w:rPr>
      </w:pPr>
    </w:p>
    <w:p w14:paraId="0A68E089">
      <w:pPr>
        <w:snapToGrid w:val="0"/>
        <w:spacing w:before="120" w:beforeLines="50" w:after="50"/>
        <w:rPr>
          <w:rFonts w:hint="eastAsia" w:ascii="仿宋" w:hAnsi="仿宋" w:eastAsia="仿宋" w:cs="仿宋"/>
          <w:color w:val="auto"/>
          <w:sz w:val="24"/>
          <w:szCs w:val="20"/>
          <w:highlight w:val="none"/>
        </w:rPr>
      </w:pPr>
    </w:p>
    <w:p w14:paraId="5C3311C3">
      <w:pPr>
        <w:snapToGrid w:val="0"/>
        <w:spacing w:before="120" w:beforeLines="50" w:after="50"/>
        <w:jc w:val="center"/>
        <w:rPr>
          <w:rFonts w:hint="eastAsia" w:ascii="仿宋" w:hAnsi="仿宋" w:eastAsia="仿宋" w:cs="仿宋"/>
          <w:color w:val="auto"/>
          <w:sz w:val="84"/>
          <w:szCs w:val="84"/>
          <w:highlight w:val="none"/>
        </w:rPr>
      </w:pPr>
      <w:r>
        <w:rPr>
          <w:rFonts w:hint="eastAsia" w:ascii="仿宋" w:hAnsi="仿宋" w:eastAsia="仿宋" w:cs="仿宋"/>
          <w:color w:val="auto"/>
          <w:sz w:val="84"/>
          <w:szCs w:val="84"/>
          <w:highlight w:val="none"/>
        </w:rPr>
        <w:t>投  标  文  件</w:t>
      </w:r>
    </w:p>
    <w:p w14:paraId="52E937D0">
      <w:pPr>
        <w:snapToGrid w:val="0"/>
        <w:spacing w:before="120" w:beforeLines="50" w:after="50"/>
        <w:rPr>
          <w:rFonts w:hint="eastAsia" w:ascii="仿宋" w:hAnsi="仿宋" w:eastAsia="仿宋" w:cs="仿宋"/>
          <w:color w:val="auto"/>
          <w:sz w:val="24"/>
          <w:szCs w:val="20"/>
          <w:highlight w:val="none"/>
        </w:rPr>
      </w:pPr>
    </w:p>
    <w:p w14:paraId="0A4A2AB7">
      <w:pPr>
        <w:snapToGrid w:val="0"/>
        <w:spacing w:before="120" w:beforeLines="50" w:after="50"/>
        <w:rPr>
          <w:rFonts w:hint="eastAsia" w:ascii="仿宋" w:hAnsi="仿宋" w:eastAsia="仿宋" w:cs="仿宋"/>
          <w:color w:val="auto"/>
          <w:sz w:val="24"/>
          <w:szCs w:val="20"/>
          <w:highlight w:val="none"/>
        </w:rPr>
      </w:pPr>
    </w:p>
    <w:p w14:paraId="35DC4006">
      <w:pPr>
        <w:snapToGrid w:val="0"/>
        <w:spacing w:before="120" w:beforeLines="50" w:after="50"/>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技  术  文  件</w:t>
      </w:r>
    </w:p>
    <w:p w14:paraId="7CADB8EC">
      <w:pPr>
        <w:snapToGrid w:val="0"/>
        <w:spacing w:before="120" w:beforeLines="50" w:after="50"/>
        <w:rPr>
          <w:rFonts w:hint="eastAsia" w:ascii="仿宋" w:hAnsi="仿宋" w:eastAsia="仿宋" w:cs="仿宋"/>
          <w:bCs/>
          <w:color w:val="auto"/>
          <w:sz w:val="24"/>
          <w:szCs w:val="20"/>
          <w:highlight w:val="none"/>
        </w:rPr>
      </w:pPr>
    </w:p>
    <w:p w14:paraId="7C5FBE2C">
      <w:pPr>
        <w:snapToGrid w:val="0"/>
        <w:spacing w:before="120" w:beforeLines="50" w:after="50"/>
        <w:rPr>
          <w:rFonts w:hint="eastAsia" w:ascii="仿宋" w:hAnsi="仿宋" w:eastAsia="仿宋" w:cs="仿宋"/>
          <w:bCs/>
          <w:color w:val="auto"/>
          <w:sz w:val="24"/>
          <w:szCs w:val="20"/>
          <w:highlight w:val="none"/>
        </w:rPr>
      </w:pPr>
    </w:p>
    <w:p w14:paraId="6C063BBC">
      <w:pPr>
        <w:snapToGrid w:val="0"/>
        <w:spacing w:before="120" w:beforeLines="50" w:after="50" w:line="400" w:lineRule="exact"/>
        <w:ind w:firstLine="360" w:firstLineChars="15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项目名称： </w:t>
      </w:r>
    </w:p>
    <w:p w14:paraId="725CE3BF">
      <w:pPr>
        <w:snapToGrid w:val="0"/>
        <w:spacing w:before="120" w:beforeLines="50" w:after="50" w:line="400" w:lineRule="exact"/>
        <w:ind w:firstLine="360" w:firstLineChars="150"/>
        <w:rPr>
          <w:rFonts w:hint="eastAsia" w:ascii="仿宋" w:hAnsi="仿宋" w:eastAsia="仿宋" w:cs="仿宋"/>
          <w:bCs/>
          <w:color w:val="auto"/>
          <w:sz w:val="24"/>
          <w:szCs w:val="20"/>
          <w:highlight w:val="none"/>
        </w:rPr>
      </w:pPr>
    </w:p>
    <w:p w14:paraId="59C834DA">
      <w:pPr>
        <w:snapToGrid w:val="0"/>
        <w:spacing w:before="120" w:beforeLines="50" w:after="50" w:line="400" w:lineRule="exact"/>
        <w:ind w:firstLine="360" w:firstLineChars="15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项目编号： </w:t>
      </w:r>
    </w:p>
    <w:p w14:paraId="16213D87">
      <w:pPr>
        <w:snapToGrid w:val="0"/>
        <w:spacing w:before="120" w:beforeLines="50" w:after="50" w:line="400" w:lineRule="exact"/>
        <w:ind w:firstLine="360" w:firstLineChars="150"/>
        <w:rPr>
          <w:rFonts w:hint="eastAsia" w:ascii="仿宋" w:hAnsi="仿宋" w:eastAsia="仿宋" w:cs="仿宋"/>
          <w:bCs/>
          <w:color w:val="auto"/>
          <w:sz w:val="24"/>
          <w:highlight w:val="none"/>
        </w:rPr>
      </w:pPr>
    </w:p>
    <w:p w14:paraId="370403F0">
      <w:pPr>
        <w:snapToGrid w:val="0"/>
        <w:spacing w:before="120" w:beforeLines="50" w:after="50" w:line="400" w:lineRule="exact"/>
        <w:ind w:firstLine="360" w:firstLineChars="15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投标人名称：</w:t>
      </w:r>
    </w:p>
    <w:p w14:paraId="3988E8E7">
      <w:pPr>
        <w:snapToGrid w:val="0"/>
        <w:spacing w:before="120" w:beforeLines="50" w:after="50" w:line="400" w:lineRule="exact"/>
        <w:ind w:firstLine="360" w:firstLineChars="150"/>
        <w:rPr>
          <w:rFonts w:hint="eastAsia" w:ascii="仿宋" w:hAnsi="仿宋" w:eastAsia="仿宋" w:cs="仿宋"/>
          <w:bCs/>
          <w:color w:val="auto"/>
          <w:sz w:val="24"/>
          <w:highlight w:val="none"/>
        </w:rPr>
      </w:pPr>
    </w:p>
    <w:p w14:paraId="7DEF5152">
      <w:pPr>
        <w:snapToGrid w:val="0"/>
        <w:spacing w:before="120" w:beforeLines="50" w:after="50" w:line="400" w:lineRule="exact"/>
        <w:rPr>
          <w:rFonts w:hint="eastAsia" w:ascii="仿宋" w:hAnsi="仿宋" w:eastAsia="仿宋" w:cs="仿宋"/>
          <w:bCs/>
          <w:color w:val="auto"/>
          <w:sz w:val="24"/>
          <w:highlight w:val="none"/>
        </w:rPr>
      </w:pPr>
    </w:p>
    <w:p w14:paraId="370C8176">
      <w:pPr>
        <w:snapToGrid w:val="0"/>
        <w:spacing w:before="120" w:beforeLines="50" w:after="50"/>
        <w:ind w:firstLine="645"/>
        <w:jc w:val="center"/>
        <w:rPr>
          <w:rFonts w:hint="eastAsia" w:ascii="仿宋" w:hAnsi="仿宋" w:eastAsia="仿宋" w:cs="仿宋"/>
          <w:color w:val="auto"/>
          <w:sz w:val="24"/>
          <w:highlight w:val="none"/>
        </w:rPr>
      </w:pPr>
    </w:p>
    <w:p w14:paraId="4CF824F7">
      <w:pPr>
        <w:snapToGrid w:val="0"/>
        <w:spacing w:before="120" w:beforeLines="50" w:after="50"/>
        <w:ind w:firstLine="645"/>
        <w:jc w:val="center"/>
        <w:rPr>
          <w:rFonts w:hint="eastAsia" w:ascii="仿宋" w:hAnsi="仿宋" w:eastAsia="仿宋" w:cs="仿宋"/>
          <w:color w:val="auto"/>
          <w:sz w:val="24"/>
          <w:highlight w:val="none"/>
        </w:rPr>
      </w:pPr>
    </w:p>
    <w:p w14:paraId="6C7A4FC7">
      <w:pPr>
        <w:snapToGrid w:val="0"/>
        <w:spacing w:before="120" w:beforeLines="50" w:after="50"/>
        <w:ind w:firstLine="645"/>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05985B63">
      <w:pPr>
        <w:snapToGrid w:val="0"/>
        <w:spacing w:before="120" w:beforeLines="50" w:after="50"/>
        <w:ind w:firstLine="645"/>
        <w:jc w:val="center"/>
        <w:rPr>
          <w:rFonts w:hint="eastAsia" w:ascii="仿宋" w:hAnsi="仿宋" w:eastAsia="仿宋" w:cs="仿宋"/>
          <w:color w:val="auto"/>
          <w:sz w:val="24"/>
          <w:szCs w:val="20"/>
          <w:highlight w:val="none"/>
        </w:rPr>
      </w:pPr>
    </w:p>
    <w:p w14:paraId="77096C88">
      <w:pPr>
        <w:snapToGrid w:val="0"/>
        <w:spacing w:before="120" w:beforeLines="50" w:after="5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br w:type="page"/>
      </w:r>
      <w:r>
        <w:rPr>
          <w:rFonts w:hint="eastAsia" w:ascii="仿宋" w:hAnsi="仿宋" w:eastAsia="仿宋" w:cs="仿宋"/>
          <w:b/>
          <w:bCs/>
          <w:color w:val="auto"/>
          <w:sz w:val="24"/>
          <w:highlight w:val="none"/>
        </w:rPr>
        <w:t>2.技术文件目录</w:t>
      </w:r>
    </w:p>
    <w:p w14:paraId="1704006B">
      <w:pPr>
        <w:snapToGrid w:val="0"/>
        <w:spacing w:before="50" w:after="120" w:afterLines="50"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根据招标文件规定及投标人提供的材料自行编写目录。</w:t>
      </w:r>
    </w:p>
    <w:p w14:paraId="474F6292">
      <w:pPr>
        <w:snapToGrid w:val="0"/>
        <w:spacing w:before="120" w:beforeLines="50" w:after="50"/>
        <w:ind w:left="142"/>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br w:type="page"/>
      </w:r>
    </w:p>
    <w:p w14:paraId="6700AD76">
      <w:pPr>
        <w:snapToGrid w:val="0"/>
        <w:spacing w:before="120" w:beforeLines="50" w:after="50"/>
        <w:ind w:left="142"/>
        <w:jc w:val="left"/>
        <w:rPr>
          <w:rFonts w:hint="eastAsia" w:ascii="仿宋" w:hAnsi="仿宋" w:eastAsia="仿宋" w:cs="仿宋"/>
          <w:b/>
          <w:bCs w:val="0"/>
          <w:color w:val="auto"/>
          <w:sz w:val="24"/>
          <w:highlight w:val="none"/>
          <w:lang w:val="en-US" w:eastAsia="zh-CN"/>
        </w:rPr>
      </w:pPr>
      <w:r>
        <w:rPr>
          <w:rFonts w:hint="eastAsia" w:ascii="仿宋" w:hAnsi="仿宋" w:eastAsia="仿宋" w:cs="仿宋"/>
          <w:b/>
          <w:color w:val="auto"/>
          <w:sz w:val="24"/>
          <w:highlight w:val="none"/>
        </w:rPr>
        <w:t>3. 技术偏离表</w:t>
      </w:r>
      <w:r>
        <w:rPr>
          <w:rFonts w:hint="eastAsia" w:ascii="仿宋" w:hAnsi="仿宋" w:eastAsia="仿宋" w:cs="仿宋"/>
          <w:b/>
          <w:color w:val="auto"/>
          <w:sz w:val="24"/>
          <w:highlight w:val="none"/>
          <w:lang w:val="en-US" w:eastAsia="zh-CN"/>
        </w:rPr>
        <w:t>格式</w:t>
      </w:r>
    </w:p>
    <w:p w14:paraId="5976EA4B">
      <w:pPr>
        <w:snapToGrid/>
        <w:spacing w:before="0" w:beforeLines="0" w:after="0"/>
        <w:ind w:left="0"/>
        <w:jc w:val="center"/>
        <w:outlineLvl w:val="9"/>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技术偏离表</w:t>
      </w:r>
    </w:p>
    <w:p w14:paraId="4D114D6F">
      <w:pPr>
        <w:snapToGrid w:val="0"/>
        <w:spacing w:before="50" w:after="50"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分标：</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p w14:paraId="00432E96">
      <w:pPr>
        <w:snapToGrid/>
        <w:spacing w:before="0" w:beforeLines="0" w:after="0"/>
        <w:ind w:left="0"/>
        <w:jc w:val="left"/>
        <w:outlineLvl w:val="9"/>
        <w:rPr>
          <w:rFonts w:hint="eastAsia" w:ascii="仿宋" w:hAnsi="仿宋" w:eastAsia="仿宋" w:cs="仿宋"/>
          <w:b/>
          <w:bCs w:val="0"/>
          <w:color w:val="auto"/>
          <w:sz w:val="24"/>
          <w:szCs w:val="24"/>
          <w:highlight w:val="none"/>
        </w:rPr>
      </w:pP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2143"/>
        <w:gridCol w:w="1834"/>
        <w:gridCol w:w="2181"/>
        <w:gridCol w:w="1934"/>
      </w:tblGrid>
      <w:tr w14:paraId="7BE78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52" w:type="dxa"/>
            <w:noWrap w:val="0"/>
            <w:vAlign w:val="center"/>
          </w:tcPr>
          <w:p w14:paraId="1631A7BF">
            <w:pPr>
              <w:pStyle w:val="27"/>
              <w:spacing w:beforeLines="0" w:line="360" w:lineRule="auto"/>
              <w:jc w:val="center"/>
              <w:rPr>
                <w:rFonts w:hint="eastAsia" w:ascii="仿宋" w:hAnsi="仿宋" w:eastAsia="仿宋" w:cs="仿宋"/>
                <w:b/>
                <w:bCs w:val="0"/>
                <w:color w:val="auto"/>
                <w:kern w:val="2"/>
                <w:sz w:val="24"/>
                <w:szCs w:val="24"/>
                <w:highlight w:val="none"/>
              </w:rPr>
            </w:pPr>
            <w:r>
              <w:rPr>
                <w:rFonts w:hint="eastAsia" w:ascii="仿宋" w:hAnsi="仿宋" w:eastAsia="仿宋" w:cs="仿宋"/>
                <w:b/>
                <w:bCs w:val="0"/>
                <w:color w:val="auto"/>
                <w:kern w:val="2"/>
                <w:sz w:val="24"/>
                <w:szCs w:val="24"/>
                <w:highlight w:val="none"/>
              </w:rPr>
              <w:t>项号</w:t>
            </w:r>
          </w:p>
        </w:tc>
        <w:tc>
          <w:tcPr>
            <w:tcW w:w="2143" w:type="dxa"/>
            <w:noWrap w:val="0"/>
            <w:vAlign w:val="center"/>
          </w:tcPr>
          <w:p w14:paraId="30E0B3BA">
            <w:pPr>
              <w:pStyle w:val="27"/>
              <w:spacing w:beforeLines="0" w:line="360" w:lineRule="auto"/>
              <w:jc w:val="center"/>
              <w:rPr>
                <w:rFonts w:hint="eastAsia" w:ascii="仿宋" w:hAnsi="仿宋" w:eastAsia="仿宋" w:cs="仿宋"/>
                <w:b/>
                <w:bCs w:val="0"/>
                <w:color w:val="auto"/>
                <w:kern w:val="2"/>
                <w:sz w:val="24"/>
                <w:szCs w:val="24"/>
                <w:highlight w:val="none"/>
              </w:rPr>
            </w:pPr>
            <w:r>
              <w:rPr>
                <w:rFonts w:hint="eastAsia" w:ascii="仿宋" w:hAnsi="仿宋" w:eastAsia="仿宋" w:cs="仿宋"/>
                <w:b/>
                <w:bCs w:val="0"/>
                <w:color w:val="auto"/>
                <w:kern w:val="2"/>
                <w:sz w:val="24"/>
                <w:szCs w:val="24"/>
                <w:highlight w:val="none"/>
              </w:rPr>
              <w:t>标的的名称</w:t>
            </w:r>
          </w:p>
        </w:tc>
        <w:tc>
          <w:tcPr>
            <w:tcW w:w="1834" w:type="dxa"/>
            <w:noWrap w:val="0"/>
            <w:vAlign w:val="center"/>
          </w:tcPr>
          <w:p w14:paraId="1EE4007A">
            <w:pPr>
              <w:pStyle w:val="27"/>
              <w:spacing w:beforeLines="0" w:line="360" w:lineRule="auto"/>
              <w:jc w:val="center"/>
              <w:rPr>
                <w:rFonts w:hint="eastAsia" w:ascii="仿宋" w:hAnsi="仿宋" w:eastAsia="仿宋" w:cs="仿宋"/>
                <w:b/>
                <w:bCs w:val="0"/>
                <w:color w:val="auto"/>
                <w:kern w:val="2"/>
                <w:sz w:val="24"/>
                <w:szCs w:val="24"/>
                <w:highlight w:val="none"/>
              </w:rPr>
            </w:pPr>
            <w:r>
              <w:rPr>
                <w:rFonts w:hint="eastAsia" w:ascii="仿宋" w:hAnsi="仿宋" w:eastAsia="仿宋" w:cs="仿宋"/>
                <w:b/>
                <w:bCs w:val="0"/>
                <w:color w:val="auto"/>
                <w:kern w:val="2"/>
                <w:sz w:val="24"/>
                <w:szCs w:val="24"/>
                <w:highlight w:val="none"/>
              </w:rPr>
              <w:t>招标要求</w:t>
            </w:r>
          </w:p>
        </w:tc>
        <w:tc>
          <w:tcPr>
            <w:tcW w:w="2181" w:type="dxa"/>
            <w:noWrap w:val="0"/>
            <w:vAlign w:val="center"/>
          </w:tcPr>
          <w:p w14:paraId="753A1BDA">
            <w:pPr>
              <w:pStyle w:val="27"/>
              <w:spacing w:beforeLines="0" w:line="360" w:lineRule="auto"/>
              <w:jc w:val="center"/>
              <w:rPr>
                <w:rFonts w:hint="eastAsia" w:ascii="仿宋" w:hAnsi="仿宋" w:eastAsia="仿宋" w:cs="仿宋"/>
                <w:b/>
                <w:bCs w:val="0"/>
                <w:color w:val="auto"/>
                <w:kern w:val="2"/>
                <w:sz w:val="24"/>
                <w:szCs w:val="24"/>
                <w:highlight w:val="none"/>
              </w:rPr>
            </w:pPr>
            <w:r>
              <w:rPr>
                <w:rFonts w:hint="eastAsia" w:ascii="仿宋" w:hAnsi="仿宋" w:eastAsia="仿宋" w:cs="仿宋"/>
                <w:b/>
                <w:bCs w:val="0"/>
                <w:color w:val="auto"/>
                <w:kern w:val="2"/>
                <w:sz w:val="24"/>
                <w:szCs w:val="24"/>
                <w:highlight w:val="none"/>
              </w:rPr>
              <w:t>投标响应</w:t>
            </w:r>
          </w:p>
        </w:tc>
        <w:tc>
          <w:tcPr>
            <w:tcW w:w="1934" w:type="dxa"/>
            <w:noWrap w:val="0"/>
            <w:vAlign w:val="center"/>
          </w:tcPr>
          <w:p w14:paraId="38619783">
            <w:pPr>
              <w:pStyle w:val="27"/>
              <w:spacing w:beforeLines="0" w:line="360" w:lineRule="auto"/>
              <w:jc w:val="center"/>
              <w:rPr>
                <w:rFonts w:hint="eastAsia" w:ascii="仿宋" w:hAnsi="仿宋" w:eastAsia="仿宋" w:cs="仿宋"/>
                <w:b/>
                <w:bCs w:val="0"/>
                <w:color w:val="auto"/>
                <w:kern w:val="2"/>
                <w:sz w:val="24"/>
                <w:szCs w:val="24"/>
                <w:highlight w:val="none"/>
              </w:rPr>
            </w:pPr>
            <w:r>
              <w:rPr>
                <w:rFonts w:hint="eastAsia" w:ascii="仿宋" w:hAnsi="仿宋" w:eastAsia="仿宋" w:cs="仿宋"/>
                <w:b/>
                <w:bCs w:val="0"/>
                <w:color w:val="auto"/>
                <w:kern w:val="2"/>
                <w:sz w:val="24"/>
                <w:szCs w:val="24"/>
                <w:highlight w:val="none"/>
              </w:rPr>
              <w:t>偏离说明</w:t>
            </w:r>
          </w:p>
        </w:tc>
      </w:tr>
      <w:tr w14:paraId="434EF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36383827">
            <w:pPr>
              <w:pStyle w:val="27"/>
              <w:spacing w:beforeLines="0" w:line="360" w:lineRule="auto"/>
              <w:jc w:val="center"/>
              <w:rPr>
                <w:rFonts w:hint="eastAsia" w:ascii="仿宋" w:hAnsi="仿宋" w:eastAsia="仿宋" w:cs="仿宋"/>
                <w:color w:val="auto"/>
                <w:kern w:val="2"/>
                <w:sz w:val="24"/>
                <w:szCs w:val="24"/>
                <w:highlight w:val="none"/>
              </w:rPr>
            </w:pPr>
          </w:p>
        </w:tc>
        <w:tc>
          <w:tcPr>
            <w:tcW w:w="2143" w:type="dxa"/>
            <w:noWrap w:val="0"/>
            <w:vAlign w:val="center"/>
          </w:tcPr>
          <w:p w14:paraId="511F03DC">
            <w:pPr>
              <w:pStyle w:val="27"/>
              <w:spacing w:beforeLines="0" w:line="360" w:lineRule="auto"/>
              <w:jc w:val="center"/>
              <w:rPr>
                <w:rFonts w:hint="eastAsia" w:ascii="仿宋" w:hAnsi="仿宋" w:eastAsia="仿宋" w:cs="仿宋"/>
                <w:color w:val="auto"/>
                <w:kern w:val="2"/>
                <w:sz w:val="24"/>
                <w:szCs w:val="24"/>
                <w:highlight w:val="none"/>
              </w:rPr>
            </w:pPr>
          </w:p>
        </w:tc>
        <w:tc>
          <w:tcPr>
            <w:tcW w:w="1834" w:type="dxa"/>
            <w:noWrap w:val="0"/>
            <w:vAlign w:val="center"/>
          </w:tcPr>
          <w:p w14:paraId="1D9C7BDF">
            <w:pPr>
              <w:pStyle w:val="27"/>
              <w:spacing w:beforeLines="0" w:line="360" w:lineRule="auto"/>
              <w:jc w:val="center"/>
              <w:rPr>
                <w:rFonts w:hint="eastAsia" w:ascii="仿宋" w:hAnsi="仿宋" w:eastAsia="仿宋" w:cs="仿宋"/>
                <w:color w:val="auto"/>
                <w:kern w:val="2"/>
                <w:sz w:val="24"/>
                <w:szCs w:val="24"/>
                <w:highlight w:val="none"/>
              </w:rPr>
            </w:pPr>
          </w:p>
        </w:tc>
        <w:tc>
          <w:tcPr>
            <w:tcW w:w="2181" w:type="dxa"/>
            <w:noWrap w:val="0"/>
            <w:vAlign w:val="center"/>
          </w:tcPr>
          <w:p w14:paraId="1E6F818E">
            <w:pPr>
              <w:pStyle w:val="27"/>
              <w:spacing w:beforeLines="0" w:line="360" w:lineRule="auto"/>
              <w:jc w:val="center"/>
              <w:rPr>
                <w:rFonts w:hint="eastAsia" w:ascii="仿宋" w:hAnsi="仿宋" w:eastAsia="仿宋" w:cs="仿宋"/>
                <w:color w:val="auto"/>
                <w:kern w:val="2"/>
                <w:sz w:val="24"/>
                <w:szCs w:val="24"/>
                <w:highlight w:val="none"/>
              </w:rPr>
            </w:pPr>
          </w:p>
        </w:tc>
        <w:tc>
          <w:tcPr>
            <w:tcW w:w="1934" w:type="dxa"/>
            <w:noWrap w:val="0"/>
            <w:vAlign w:val="center"/>
          </w:tcPr>
          <w:p w14:paraId="2EE199DE">
            <w:pPr>
              <w:pStyle w:val="27"/>
              <w:spacing w:beforeLines="0" w:line="360" w:lineRule="auto"/>
              <w:jc w:val="center"/>
              <w:rPr>
                <w:rFonts w:hint="eastAsia" w:ascii="仿宋" w:hAnsi="仿宋" w:eastAsia="仿宋" w:cs="仿宋"/>
                <w:color w:val="auto"/>
                <w:kern w:val="2"/>
                <w:sz w:val="24"/>
                <w:szCs w:val="24"/>
                <w:highlight w:val="none"/>
              </w:rPr>
            </w:pPr>
          </w:p>
        </w:tc>
      </w:tr>
      <w:tr w14:paraId="5219E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7EA686CE">
            <w:pPr>
              <w:pStyle w:val="27"/>
              <w:spacing w:beforeLines="0" w:line="360" w:lineRule="auto"/>
              <w:rPr>
                <w:rFonts w:hint="eastAsia" w:ascii="仿宋" w:hAnsi="仿宋" w:eastAsia="仿宋" w:cs="仿宋"/>
                <w:color w:val="auto"/>
                <w:kern w:val="2"/>
                <w:sz w:val="24"/>
                <w:szCs w:val="24"/>
                <w:highlight w:val="none"/>
              </w:rPr>
            </w:pPr>
          </w:p>
        </w:tc>
        <w:tc>
          <w:tcPr>
            <w:tcW w:w="2143" w:type="dxa"/>
            <w:noWrap w:val="0"/>
            <w:vAlign w:val="top"/>
          </w:tcPr>
          <w:p w14:paraId="096916CC">
            <w:pPr>
              <w:pStyle w:val="27"/>
              <w:spacing w:beforeLines="0" w:line="360" w:lineRule="auto"/>
              <w:rPr>
                <w:rFonts w:hint="eastAsia" w:ascii="仿宋" w:hAnsi="仿宋" w:eastAsia="仿宋" w:cs="仿宋"/>
                <w:color w:val="auto"/>
                <w:kern w:val="2"/>
                <w:sz w:val="24"/>
                <w:szCs w:val="24"/>
                <w:highlight w:val="none"/>
              </w:rPr>
            </w:pPr>
          </w:p>
        </w:tc>
        <w:tc>
          <w:tcPr>
            <w:tcW w:w="1834" w:type="dxa"/>
            <w:noWrap w:val="0"/>
            <w:vAlign w:val="top"/>
          </w:tcPr>
          <w:p w14:paraId="1B9BFA44">
            <w:pPr>
              <w:pStyle w:val="27"/>
              <w:spacing w:beforeLines="0" w:line="360" w:lineRule="auto"/>
              <w:rPr>
                <w:rFonts w:hint="eastAsia" w:ascii="仿宋" w:hAnsi="仿宋" w:eastAsia="仿宋" w:cs="仿宋"/>
                <w:color w:val="auto"/>
                <w:kern w:val="2"/>
                <w:sz w:val="24"/>
                <w:szCs w:val="24"/>
                <w:highlight w:val="none"/>
              </w:rPr>
            </w:pPr>
          </w:p>
        </w:tc>
        <w:tc>
          <w:tcPr>
            <w:tcW w:w="2181" w:type="dxa"/>
            <w:noWrap w:val="0"/>
            <w:vAlign w:val="top"/>
          </w:tcPr>
          <w:p w14:paraId="648F6DF0">
            <w:pPr>
              <w:pStyle w:val="27"/>
              <w:spacing w:beforeLines="0" w:line="360" w:lineRule="auto"/>
              <w:rPr>
                <w:rFonts w:hint="eastAsia" w:ascii="仿宋" w:hAnsi="仿宋" w:eastAsia="仿宋" w:cs="仿宋"/>
                <w:color w:val="auto"/>
                <w:kern w:val="2"/>
                <w:sz w:val="24"/>
                <w:szCs w:val="24"/>
                <w:highlight w:val="none"/>
              </w:rPr>
            </w:pPr>
          </w:p>
        </w:tc>
        <w:tc>
          <w:tcPr>
            <w:tcW w:w="1934" w:type="dxa"/>
            <w:noWrap w:val="0"/>
            <w:vAlign w:val="top"/>
          </w:tcPr>
          <w:p w14:paraId="5A6B5A15">
            <w:pPr>
              <w:pStyle w:val="27"/>
              <w:spacing w:beforeLines="0" w:line="360" w:lineRule="auto"/>
              <w:rPr>
                <w:rFonts w:hint="eastAsia" w:ascii="仿宋" w:hAnsi="仿宋" w:eastAsia="仿宋" w:cs="仿宋"/>
                <w:color w:val="auto"/>
                <w:kern w:val="2"/>
                <w:sz w:val="24"/>
                <w:szCs w:val="24"/>
                <w:highlight w:val="none"/>
              </w:rPr>
            </w:pPr>
          </w:p>
        </w:tc>
      </w:tr>
      <w:tr w14:paraId="1D358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0EF8C67C">
            <w:pPr>
              <w:pStyle w:val="27"/>
              <w:spacing w:beforeLines="0" w:line="360" w:lineRule="auto"/>
              <w:rPr>
                <w:rFonts w:hint="eastAsia" w:ascii="仿宋" w:hAnsi="仿宋" w:eastAsia="仿宋" w:cs="仿宋"/>
                <w:color w:val="auto"/>
                <w:kern w:val="2"/>
                <w:sz w:val="24"/>
                <w:szCs w:val="24"/>
                <w:highlight w:val="none"/>
              </w:rPr>
            </w:pPr>
          </w:p>
        </w:tc>
        <w:tc>
          <w:tcPr>
            <w:tcW w:w="2143" w:type="dxa"/>
            <w:noWrap w:val="0"/>
            <w:vAlign w:val="top"/>
          </w:tcPr>
          <w:p w14:paraId="4742BB28">
            <w:pPr>
              <w:pStyle w:val="27"/>
              <w:spacing w:beforeLines="0" w:line="360" w:lineRule="auto"/>
              <w:rPr>
                <w:rFonts w:hint="eastAsia" w:ascii="仿宋" w:hAnsi="仿宋" w:eastAsia="仿宋" w:cs="仿宋"/>
                <w:color w:val="auto"/>
                <w:kern w:val="2"/>
                <w:sz w:val="24"/>
                <w:szCs w:val="24"/>
                <w:highlight w:val="none"/>
              </w:rPr>
            </w:pPr>
          </w:p>
        </w:tc>
        <w:tc>
          <w:tcPr>
            <w:tcW w:w="1834" w:type="dxa"/>
            <w:noWrap w:val="0"/>
            <w:vAlign w:val="top"/>
          </w:tcPr>
          <w:p w14:paraId="698BFBB6">
            <w:pPr>
              <w:pStyle w:val="27"/>
              <w:spacing w:beforeLines="0" w:line="360" w:lineRule="auto"/>
              <w:rPr>
                <w:rFonts w:hint="eastAsia" w:ascii="仿宋" w:hAnsi="仿宋" w:eastAsia="仿宋" w:cs="仿宋"/>
                <w:color w:val="auto"/>
                <w:kern w:val="2"/>
                <w:sz w:val="24"/>
                <w:szCs w:val="24"/>
                <w:highlight w:val="none"/>
              </w:rPr>
            </w:pPr>
          </w:p>
        </w:tc>
        <w:tc>
          <w:tcPr>
            <w:tcW w:w="2181" w:type="dxa"/>
            <w:noWrap w:val="0"/>
            <w:vAlign w:val="top"/>
          </w:tcPr>
          <w:p w14:paraId="05FB6848">
            <w:pPr>
              <w:pStyle w:val="27"/>
              <w:spacing w:beforeLines="0" w:line="360" w:lineRule="auto"/>
              <w:rPr>
                <w:rFonts w:hint="eastAsia" w:ascii="仿宋" w:hAnsi="仿宋" w:eastAsia="仿宋" w:cs="仿宋"/>
                <w:color w:val="auto"/>
                <w:kern w:val="2"/>
                <w:sz w:val="24"/>
                <w:szCs w:val="24"/>
                <w:highlight w:val="none"/>
              </w:rPr>
            </w:pPr>
          </w:p>
        </w:tc>
        <w:tc>
          <w:tcPr>
            <w:tcW w:w="1934" w:type="dxa"/>
            <w:noWrap w:val="0"/>
            <w:vAlign w:val="top"/>
          </w:tcPr>
          <w:p w14:paraId="18FF4877">
            <w:pPr>
              <w:pStyle w:val="27"/>
              <w:spacing w:beforeLines="0" w:line="360" w:lineRule="auto"/>
              <w:rPr>
                <w:rFonts w:hint="eastAsia" w:ascii="仿宋" w:hAnsi="仿宋" w:eastAsia="仿宋" w:cs="仿宋"/>
                <w:color w:val="auto"/>
                <w:kern w:val="2"/>
                <w:sz w:val="24"/>
                <w:szCs w:val="24"/>
                <w:highlight w:val="none"/>
              </w:rPr>
            </w:pPr>
          </w:p>
        </w:tc>
      </w:tr>
      <w:tr w14:paraId="7ED08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1D19C500">
            <w:pPr>
              <w:pStyle w:val="27"/>
              <w:spacing w:beforeLines="0" w:line="360" w:lineRule="auto"/>
              <w:rPr>
                <w:rFonts w:hint="eastAsia" w:ascii="仿宋" w:hAnsi="仿宋" w:eastAsia="仿宋" w:cs="仿宋"/>
                <w:color w:val="auto"/>
                <w:kern w:val="2"/>
                <w:sz w:val="24"/>
                <w:szCs w:val="24"/>
                <w:highlight w:val="none"/>
              </w:rPr>
            </w:pPr>
          </w:p>
        </w:tc>
        <w:tc>
          <w:tcPr>
            <w:tcW w:w="2143" w:type="dxa"/>
            <w:noWrap w:val="0"/>
            <w:vAlign w:val="top"/>
          </w:tcPr>
          <w:p w14:paraId="14489EC5">
            <w:pPr>
              <w:pStyle w:val="27"/>
              <w:spacing w:beforeLines="0" w:line="360" w:lineRule="auto"/>
              <w:rPr>
                <w:rFonts w:hint="eastAsia" w:ascii="仿宋" w:hAnsi="仿宋" w:eastAsia="仿宋" w:cs="仿宋"/>
                <w:color w:val="auto"/>
                <w:kern w:val="2"/>
                <w:sz w:val="24"/>
                <w:szCs w:val="24"/>
                <w:highlight w:val="none"/>
              </w:rPr>
            </w:pPr>
          </w:p>
        </w:tc>
        <w:tc>
          <w:tcPr>
            <w:tcW w:w="1834" w:type="dxa"/>
            <w:noWrap w:val="0"/>
            <w:vAlign w:val="top"/>
          </w:tcPr>
          <w:p w14:paraId="1BEEB6ED">
            <w:pPr>
              <w:pStyle w:val="27"/>
              <w:spacing w:beforeLines="0" w:line="360" w:lineRule="auto"/>
              <w:rPr>
                <w:rFonts w:hint="eastAsia" w:ascii="仿宋" w:hAnsi="仿宋" w:eastAsia="仿宋" w:cs="仿宋"/>
                <w:color w:val="auto"/>
                <w:kern w:val="2"/>
                <w:sz w:val="24"/>
                <w:szCs w:val="24"/>
                <w:highlight w:val="none"/>
              </w:rPr>
            </w:pPr>
          </w:p>
        </w:tc>
        <w:tc>
          <w:tcPr>
            <w:tcW w:w="2181" w:type="dxa"/>
            <w:noWrap w:val="0"/>
            <w:vAlign w:val="top"/>
          </w:tcPr>
          <w:p w14:paraId="2A4B591F">
            <w:pPr>
              <w:pStyle w:val="27"/>
              <w:spacing w:beforeLines="0" w:line="360" w:lineRule="auto"/>
              <w:rPr>
                <w:rFonts w:hint="eastAsia" w:ascii="仿宋" w:hAnsi="仿宋" w:eastAsia="仿宋" w:cs="仿宋"/>
                <w:color w:val="auto"/>
                <w:kern w:val="2"/>
                <w:sz w:val="24"/>
                <w:szCs w:val="24"/>
                <w:highlight w:val="none"/>
              </w:rPr>
            </w:pPr>
          </w:p>
        </w:tc>
        <w:tc>
          <w:tcPr>
            <w:tcW w:w="1934" w:type="dxa"/>
            <w:noWrap w:val="0"/>
            <w:vAlign w:val="top"/>
          </w:tcPr>
          <w:p w14:paraId="7E1C648F">
            <w:pPr>
              <w:pStyle w:val="27"/>
              <w:spacing w:beforeLines="0" w:line="360" w:lineRule="auto"/>
              <w:rPr>
                <w:rFonts w:hint="eastAsia" w:ascii="仿宋" w:hAnsi="仿宋" w:eastAsia="仿宋" w:cs="仿宋"/>
                <w:color w:val="auto"/>
                <w:kern w:val="2"/>
                <w:sz w:val="24"/>
                <w:szCs w:val="24"/>
                <w:highlight w:val="none"/>
              </w:rPr>
            </w:pPr>
          </w:p>
        </w:tc>
      </w:tr>
    </w:tbl>
    <w:p w14:paraId="2C308FE8">
      <w:pPr>
        <w:pStyle w:val="19"/>
        <w:spacing w:beforeLines="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w:t>
      </w:r>
    </w:p>
    <w:p w14:paraId="337D4FBE">
      <w:pPr>
        <w:pStyle w:val="20"/>
        <w:spacing w:beforeLines="0" w:line="360" w:lineRule="auto"/>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 说明：应对照招标文件“第二章 采购需求”中的技术需求逐条实质性响应，并作出偏离说明。</w:t>
      </w:r>
    </w:p>
    <w:p w14:paraId="1C3648E1">
      <w:pPr>
        <w:pStyle w:val="19"/>
        <w:spacing w:beforeLines="0" w:line="360" w:lineRule="auto"/>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rPr>
        <w:t>2.投标人应根据投标设备的性能指标，对照招标文件要求，在“偏离说明”中注明“</w:t>
      </w:r>
      <w:r>
        <w:rPr>
          <w:rFonts w:hint="eastAsia" w:ascii="仿宋" w:hAnsi="仿宋" w:eastAsia="仿宋" w:cs="仿宋"/>
          <w:color w:val="auto"/>
          <w:sz w:val="24"/>
          <w:szCs w:val="24"/>
          <w:highlight w:val="none"/>
        </w:rPr>
        <w:t>正偏离</w:t>
      </w:r>
      <w:r>
        <w:rPr>
          <w:rFonts w:hint="eastAsia" w:ascii="仿宋" w:hAnsi="仿宋" w:eastAsia="仿宋" w:cs="仿宋"/>
          <w:b w:val="0"/>
          <w:bCs w:val="0"/>
          <w:color w:val="auto"/>
          <w:sz w:val="24"/>
          <w:szCs w:val="24"/>
          <w:highlight w:val="none"/>
        </w:rPr>
        <w:t>”、“</w:t>
      </w:r>
      <w:r>
        <w:rPr>
          <w:rFonts w:hint="eastAsia" w:ascii="仿宋" w:hAnsi="仿宋" w:eastAsia="仿宋" w:cs="仿宋"/>
          <w:color w:val="auto"/>
          <w:sz w:val="24"/>
          <w:szCs w:val="24"/>
          <w:highlight w:val="none"/>
        </w:rPr>
        <w:t>负偏离</w:t>
      </w:r>
      <w:r>
        <w:rPr>
          <w:rFonts w:hint="eastAsia" w:ascii="仿宋" w:hAnsi="仿宋" w:eastAsia="仿宋" w:cs="仿宋"/>
          <w:b w:val="0"/>
          <w:bCs w:val="0"/>
          <w:color w:val="auto"/>
          <w:sz w:val="24"/>
          <w:szCs w:val="24"/>
          <w:highlight w:val="none"/>
        </w:rPr>
        <w:t>”或者“</w:t>
      </w:r>
      <w:r>
        <w:rPr>
          <w:rFonts w:hint="eastAsia" w:ascii="仿宋" w:hAnsi="仿宋" w:eastAsia="仿宋" w:cs="仿宋"/>
          <w:color w:val="auto"/>
          <w:sz w:val="24"/>
          <w:szCs w:val="24"/>
          <w:highlight w:val="none"/>
        </w:rPr>
        <w:t>无偏离</w:t>
      </w:r>
      <w:r>
        <w:rPr>
          <w:rFonts w:hint="eastAsia" w:ascii="仿宋" w:hAnsi="仿宋" w:eastAsia="仿宋" w:cs="仿宋"/>
          <w:b w:val="0"/>
          <w:bCs w:val="0"/>
          <w:color w:val="auto"/>
          <w:sz w:val="24"/>
          <w:szCs w:val="24"/>
          <w:highlight w:val="none"/>
        </w:rPr>
        <w:t>”。既不属于“</w:t>
      </w:r>
      <w:r>
        <w:rPr>
          <w:rFonts w:hint="eastAsia" w:ascii="仿宋" w:hAnsi="仿宋" w:eastAsia="仿宋" w:cs="仿宋"/>
          <w:color w:val="auto"/>
          <w:sz w:val="24"/>
          <w:szCs w:val="24"/>
          <w:highlight w:val="none"/>
        </w:rPr>
        <w:t>正偏离</w:t>
      </w:r>
      <w:r>
        <w:rPr>
          <w:rFonts w:hint="eastAsia" w:ascii="仿宋" w:hAnsi="仿宋" w:eastAsia="仿宋" w:cs="仿宋"/>
          <w:b w:val="0"/>
          <w:bCs w:val="0"/>
          <w:color w:val="auto"/>
          <w:sz w:val="24"/>
          <w:szCs w:val="24"/>
          <w:highlight w:val="none"/>
        </w:rPr>
        <w:t>”也不属于“</w:t>
      </w:r>
      <w:r>
        <w:rPr>
          <w:rFonts w:hint="eastAsia" w:ascii="仿宋" w:hAnsi="仿宋" w:eastAsia="仿宋" w:cs="仿宋"/>
          <w:color w:val="auto"/>
          <w:sz w:val="24"/>
          <w:szCs w:val="24"/>
          <w:highlight w:val="none"/>
        </w:rPr>
        <w:t>负偏离</w:t>
      </w:r>
      <w:r>
        <w:rPr>
          <w:rFonts w:hint="eastAsia" w:ascii="仿宋" w:hAnsi="仿宋" w:eastAsia="仿宋" w:cs="仿宋"/>
          <w:b w:val="0"/>
          <w:bCs w:val="0"/>
          <w:color w:val="auto"/>
          <w:sz w:val="24"/>
          <w:szCs w:val="24"/>
          <w:highlight w:val="none"/>
        </w:rPr>
        <w:t>”即为“</w:t>
      </w:r>
      <w:r>
        <w:rPr>
          <w:rFonts w:hint="eastAsia" w:ascii="仿宋" w:hAnsi="仿宋" w:eastAsia="仿宋" w:cs="仿宋"/>
          <w:color w:val="auto"/>
          <w:sz w:val="24"/>
          <w:szCs w:val="24"/>
          <w:highlight w:val="none"/>
        </w:rPr>
        <w:t>无偏离</w:t>
      </w:r>
      <w:r>
        <w:rPr>
          <w:rFonts w:hint="eastAsia" w:ascii="仿宋" w:hAnsi="仿宋" w:eastAsia="仿宋" w:cs="仿宋"/>
          <w:b w:val="0"/>
          <w:bCs w:val="0"/>
          <w:color w:val="auto"/>
          <w:sz w:val="24"/>
          <w:szCs w:val="24"/>
          <w:highlight w:val="none"/>
        </w:rPr>
        <w:t>”。</w:t>
      </w:r>
    </w:p>
    <w:p w14:paraId="5C1E961B">
      <w:pPr>
        <w:pStyle w:val="19"/>
        <w:spacing w:beforeLines="0" w:line="360" w:lineRule="auto"/>
        <w:rPr>
          <w:rFonts w:hint="eastAsia" w:ascii="仿宋" w:hAnsi="仿宋" w:eastAsia="仿宋" w:cs="仿宋"/>
          <w:color w:val="auto"/>
          <w:spacing w:val="20"/>
          <w:sz w:val="24"/>
          <w:szCs w:val="24"/>
          <w:highlight w:val="none"/>
        </w:rPr>
      </w:pPr>
    </w:p>
    <w:p w14:paraId="13F79869">
      <w:pPr>
        <w:pStyle w:val="27"/>
        <w:spacing w:beforeLines="0" w:line="360" w:lineRule="auto"/>
        <w:rPr>
          <w:rFonts w:hint="eastAsia" w:ascii="仿宋" w:hAnsi="仿宋" w:eastAsia="仿宋" w:cs="仿宋"/>
          <w:color w:val="auto"/>
          <w:spacing w:val="20"/>
          <w:sz w:val="24"/>
          <w:szCs w:val="24"/>
          <w:highlight w:val="none"/>
          <w:u w:val="single"/>
        </w:rPr>
      </w:pPr>
      <w:r>
        <w:rPr>
          <w:rFonts w:hint="eastAsia" w:ascii="仿宋" w:hAnsi="仿宋" w:eastAsia="仿宋" w:cs="仿宋"/>
          <w:color w:val="auto"/>
          <w:spacing w:val="20"/>
          <w:kern w:val="2"/>
          <w:sz w:val="24"/>
          <w:szCs w:val="24"/>
          <w:highlight w:val="none"/>
        </w:rPr>
        <w:t>法定代表人或者委托代理人签字[或盖章(CA签章)]</w:t>
      </w:r>
      <w:r>
        <w:rPr>
          <w:rFonts w:hint="eastAsia" w:ascii="仿宋" w:hAnsi="仿宋" w:eastAsia="仿宋" w:cs="仿宋"/>
          <w:color w:val="auto"/>
          <w:spacing w:val="20"/>
          <w:sz w:val="24"/>
          <w:szCs w:val="24"/>
          <w:highlight w:val="none"/>
        </w:rPr>
        <w:t>（属自然人的应在签名处加盖大拇指指印或个人CA签章）：</w:t>
      </w:r>
      <w:r>
        <w:rPr>
          <w:rFonts w:hint="eastAsia" w:ascii="仿宋" w:hAnsi="仿宋" w:eastAsia="仿宋" w:cs="仿宋"/>
          <w:color w:val="auto"/>
          <w:spacing w:val="20"/>
          <w:sz w:val="24"/>
          <w:szCs w:val="24"/>
          <w:highlight w:val="none"/>
          <w:u w:val="single"/>
        </w:rPr>
        <w:t xml:space="preserve">        </w:t>
      </w:r>
    </w:p>
    <w:p w14:paraId="14C1E1B5">
      <w:pPr>
        <w:snapToGrid w:val="0"/>
        <w:spacing w:before="0" w:beforeLines="0" w:after="0" w:line="360" w:lineRule="auto"/>
        <w:rPr>
          <w:rFonts w:hint="eastAsia" w:ascii="仿宋" w:hAnsi="仿宋" w:eastAsia="仿宋" w:cs="仿宋"/>
          <w:color w:val="auto"/>
          <w:spacing w:val="20"/>
          <w:sz w:val="24"/>
          <w:szCs w:val="24"/>
          <w:highlight w:val="none"/>
        </w:rPr>
      </w:pPr>
      <w:r>
        <w:rPr>
          <w:rFonts w:hint="eastAsia" w:ascii="仿宋" w:hAnsi="仿宋" w:eastAsia="仿宋" w:cs="仿宋"/>
          <w:color w:val="auto"/>
          <w:spacing w:val="20"/>
          <w:sz w:val="24"/>
          <w:szCs w:val="24"/>
          <w:highlight w:val="none"/>
        </w:rPr>
        <w:t>投标人[</w:t>
      </w:r>
      <w:r>
        <w:rPr>
          <w:rFonts w:hint="eastAsia" w:ascii="仿宋" w:hAnsi="仿宋" w:eastAsia="仿宋" w:cs="仿宋"/>
          <w:color w:val="auto"/>
          <w:spacing w:val="20"/>
          <w:sz w:val="24"/>
          <w:szCs w:val="24"/>
          <w:highlight w:val="none"/>
          <w:lang w:eastAsia="zh-CN"/>
        </w:rPr>
        <w:t>公章(或CA签章)</w:t>
      </w:r>
      <w:r>
        <w:rPr>
          <w:rFonts w:hint="eastAsia" w:ascii="仿宋" w:hAnsi="仿宋" w:eastAsia="仿宋" w:cs="仿宋"/>
          <w:color w:val="auto"/>
          <w:spacing w:val="20"/>
          <w:sz w:val="24"/>
          <w:szCs w:val="24"/>
          <w:highlight w:val="none"/>
        </w:rPr>
        <w:t>、自然人除外]：</w:t>
      </w:r>
      <w:r>
        <w:rPr>
          <w:rFonts w:hint="eastAsia" w:ascii="仿宋" w:hAnsi="仿宋" w:eastAsia="仿宋" w:cs="仿宋"/>
          <w:color w:val="auto"/>
          <w:spacing w:val="20"/>
          <w:sz w:val="24"/>
          <w:szCs w:val="24"/>
          <w:highlight w:val="none"/>
          <w:u w:val="single"/>
        </w:rPr>
        <w:t xml:space="preserve">            </w:t>
      </w:r>
      <w:r>
        <w:rPr>
          <w:rFonts w:hint="eastAsia" w:ascii="仿宋" w:hAnsi="仿宋" w:eastAsia="仿宋" w:cs="仿宋"/>
          <w:color w:val="auto"/>
          <w:spacing w:val="20"/>
          <w:sz w:val="24"/>
          <w:szCs w:val="24"/>
          <w:highlight w:val="none"/>
        </w:rPr>
        <w:t xml:space="preserve">              </w:t>
      </w:r>
    </w:p>
    <w:p w14:paraId="7A0E023F">
      <w:pPr>
        <w:snapToGrid w:val="0"/>
        <w:spacing w:before="0" w:beforeLines="0" w:after="0" w:line="360" w:lineRule="auto"/>
        <w:rPr>
          <w:rFonts w:hint="eastAsia" w:ascii="仿宋" w:hAnsi="仿宋" w:eastAsia="仿宋" w:cs="仿宋"/>
          <w:color w:val="auto"/>
          <w:spacing w:val="20"/>
          <w:sz w:val="24"/>
          <w:szCs w:val="24"/>
          <w:highlight w:val="none"/>
          <w:u w:val="single"/>
        </w:rPr>
      </w:pPr>
      <w:r>
        <w:rPr>
          <w:rFonts w:hint="eastAsia" w:ascii="仿宋" w:hAnsi="仿宋" w:eastAsia="仿宋" w:cs="仿宋"/>
          <w:color w:val="auto"/>
          <w:spacing w:val="20"/>
          <w:sz w:val="24"/>
          <w:szCs w:val="24"/>
          <w:highlight w:val="none"/>
        </w:rPr>
        <w:t>日 期：</w:t>
      </w:r>
      <w:r>
        <w:rPr>
          <w:rFonts w:hint="eastAsia" w:ascii="仿宋" w:hAnsi="仿宋" w:eastAsia="仿宋" w:cs="仿宋"/>
          <w:color w:val="auto"/>
          <w:spacing w:val="20"/>
          <w:sz w:val="24"/>
          <w:szCs w:val="24"/>
          <w:highlight w:val="none"/>
          <w:u w:val="single"/>
        </w:rPr>
        <w:t xml:space="preserve">        </w:t>
      </w:r>
    </w:p>
    <w:p w14:paraId="5217F968">
      <w:pPr>
        <w:snapToGrid w:val="0"/>
        <w:spacing w:before="0" w:beforeLines="0" w:after="0" w:line="360" w:lineRule="auto"/>
        <w:rPr>
          <w:rFonts w:hint="eastAsia" w:ascii="仿宋" w:hAnsi="仿宋" w:eastAsia="仿宋" w:cs="仿宋"/>
          <w:color w:val="auto"/>
          <w:sz w:val="24"/>
          <w:szCs w:val="24"/>
          <w:highlight w:val="none"/>
        </w:rPr>
      </w:pPr>
    </w:p>
    <w:p w14:paraId="7350D558">
      <w:pPr>
        <w:snapToGrid w:val="0"/>
        <w:spacing w:before="120" w:beforeLines="50" w:after="50"/>
        <w:ind w:left="142"/>
        <w:jc w:val="left"/>
        <w:rPr>
          <w:rFonts w:hint="eastAsia" w:ascii="仿宋" w:hAnsi="仿宋" w:eastAsia="仿宋" w:cs="仿宋"/>
          <w:b/>
          <w:color w:val="auto"/>
          <w:sz w:val="24"/>
          <w:highlight w:val="none"/>
          <w:lang w:val="en-US" w:eastAsia="zh-CN"/>
        </w:rPr>
      </w:pPr>
      <w:r>
        <w:rPr>
          <w:rFonts w:hint="eastAsia" w:ascii="仿宋" w:hAnsi="仿宋" w:eastAsia="仿宋" w:cs="仿宋"/>
          <w:b/>
          <w:color w:val="auto"/>
          <w:sz w:val="21"/>
          <w:szCs w:val="21"/>
          <w:highlight w:val="none"/>
        </w:rPr>
        <w:br w:type="page"/>
      </w:r>
    </w:p>
    <w:p w14:paraId="2AB9F6DB">
      <w:pPr>
        <w:snapToGrid w:val="0"/>
        <w:spacing w:before="120" w:beforeLines="50" w:after="50"/>
        <w:ind w:left="142"/>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lang w:eastAsia="zh-CN"/>
        </w:rPr>
        <w:t>实施人员配备表</w:t>
      </w:r>
      <w:r>
        <w:rPr>
          <w:rFonts w:hint="eastAsia" w:ascii="仿宋" w:hAnsi="仿宋" w:eastAsia="仿宋" w:cs="仿宋"/>
          <w:b/>
          <w:color w:val="auto"/>
          <w:sz w:val="24"/>
          <w:highlight w:val="none"/>
        </w:rPr>
        <w:t>格式</w:t>
      </w:r>
    </w:p>
    <w:p w14:paraId="0E05A7E1">
      <w:pPr>
        <w:snapToGrid w:val="0"/>
        <w:spacing w:before="120" w:beforeLines="50" w:after="50"/>
        <w:ind w:left="142"/>
        <w:jc w:val="center"/>
        <w:rPr>
          <w:rFonts w:hint="eastAsia" w:ascii="仿宋" w:hAnsi="仿宋" w:eastAsia="仿宋" w:cs="仿宋"/>
          <w:b/>
          <w:color w:val="auto"/>
          <w:sz w:val="32"/>
          <w:szCs w:val="32"/>
          <w:highlight w:val="none"/>
        </w:rPr>
      </w:pPr>
    </w:p>
    <w:p w14:paraId="2FC003C7">
      <w:pPr>
        <w:snapToGrid w:val="0"/>
        <w:spacing w:before="120" w:beforeLines="50" w:after="50"/>
        <w:ind w:left="142"/>
        <w:jc w:val="center"/>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lang w:eastAsia="zh-CN"/>
        </w:rPr>
        <w:t>实施人员配备表</w:t>
      </w:r>
    </w:p>
    <w:p w14:paraId="60BA15E0">
      <w:pPr>
        <w:snapToGrid w:val="0"/>
        <w:spacing w:before="50" w:after="50"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分标：</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p w14:paraId="10595252">
      <w:pPr>
        <w:pStyle w:val="2"/>
        <w:rPr>
          <w:rFonts w:hint="eastAsia"/>
          <w:highlight w:val="none"/>
          <w:lang w:eastAsia="zh-CN"/>
        </w:rPr>
      </w:pPr>
    </w:p>
    <w:tbl>
      <w:tblPr>
        <w:tblStyle w:val="50"/>
        <w:tblW w:w="980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20"/>
        <w:gridCol w:w="1723"/>
        <w:gridCol w:w="2267"/>
        <w:gridCol w:w="1776"/>
        <w:gridCol w:w="2216"/>
      </w:tblGrid>
      <w:tr w14:paraId="5EFF51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4" w:hRule="atLeast"/>
          <w:jc w:val="center"/>
        </w:trPr>
        <w:tc>
          <w:tcPr>
            <w:tcW w:w="1820" w:type="dxa"/>
            <w:tcBorders>
              <w:top w:val="single" w:color="auto" w:sz="4" w:space="0"/>
              <w:left w:val="single" w:color="auto" w:sz="4" w:space="0"/>
              <w:bottom w:val="single" w:color="auto" w:sz="4" w:space="0"/>
              <w:right w:val="single" w:color="auto" w:sz="4" w:space="0"/>
            </w:tcBorders>
            <w:vAlign w:val="center"/>
          </w:tcPr>
          <w:p w14:paraId="0946FD68">
            <w:pPr>
              <w:snapToGrid w:val="0"/>
              <w:spacing w:before="120" w:beforeLines="50" w:after="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723" w:type="dxa"/>
            <w:tcBorders>
              <w:top w:val="single" w:color="auto" w:sz="4" w:space="0"/>
              <w:left w:val="single" w:color="auto" w:sz="4" w:space="0"/>
              <w:bottom w:val="single" w:color="auto" w:sz="4" w:space="0"/>
              <w:right w:val="single" w:color="auto" w:sz="4" w:space="0"/>
            </w:tcBorders>
            <w:vAlign w:val="center"/>
          </w:tcPr>
          <w:p w14:paraId="70543177">
            <w:pPr>
              <w:snapToGrid w:val="0"/>
              <w:spacing w:before="120" w:beforeLines="50" w:after="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职务</w:t>
            </w:r>
          </w:p>
        </w:tc>
        <w:tc>
          <w:tcPr>
            <w:tcW w:w="2267" w:type="dxa"/>
            <w:tcBorders>
              <w:top w:val="single" w:color="auto" w:sz="4" w:space="0"/>
              <w:left w:val="single" w:color="auto" w:sz="4" w:space="0"/>
              <w:bottom w:val="single" w:color="auto" w:sz="4" w:space="0"/>
              <w:right w:val="single" w:color="auto" w:sz="4" w:space="0"/>
            </w:tcBorders>
            <w:vAlign w:val="center"/>
          </w:tcPr>
          <w:p w14:paraId="6E829C3D">
            <w:pPr>
              <w:snapToGrid w:val="0"/>
              <w:spacing w:before="120" w:beforeLines="50" w:after="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技术（技能）资格</w:t>
            </w:r>
          </w:p>
        </w:tc>
        <w:tc>
          <w:tcPr>
            <w:tcW w:w="1776" w:type="dxa"/>
            <w:tcBorders>
              <w:top w:val="single" w:color="auto" w:sz="4" w:space="0"/>
              <w:left w:val="single" w:color="auto" w:sz="4" w:space="0"/>
              <w:bottom w:val="single" w:color="auto" w:sz="4" w:space="0"/>
              <w:right w:val="single" w:color="auto" w:sz="4" w:space="0"/>
            </w:tcBorders>
            <w:vAlign w:val="center"/>
          </w:tcPr>
          <w:p w14:paraId="27F16A35">
            <w:pPr>
              <w:snapToGrid w:val="0"/>
              <w:spacing w:before="120" w:beforeLines="50" w:after="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证书编号</w:t>
            </w:r>
          </w:p>
        </w:tc>
        <w:tc>
          <w:tcPr>
            <w:tcW w:w="2216" w:type="dxa"/>
            <w:tcBorders>
              <w:top w:val="single" w:color="auto" w:sz="4" w:space="0"/>
              <w:left w:val="single" w:color="auto" w:sz="4" w:space="0"/>
              <w:bottom w:val="single" w:color="auto" w:sz="4" w:space="0"/>
              <w:right w:val="single" w:color="auto" w:sz="4" w:space="0"/>
            </w:tcBorders>
            <w:vAlign w:val="center"/>
          </w:tcPr>
          <w:p w14:paraId="072BF0F4">
            <w:pPr>
              <w:snapToGrid w:val="0"/>
              <w:spacing w:before="120" w:beforeLines="50" w:after="50"/>
              <w:jc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拟在本项目中担任的职务（或岗位）</w:t>
            </w:r>
          </w:p>
        </w:tc>
      </w:tr>
      <w:tr w14:paraId="4C75CC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1820" w:type="dxa"/>
            <w:tcBorders>
              <w:top w:val="single" w:color="auto" w:sz="4" w:space="0"/>
              <w:left w:val="single" w:color="auto" w:sz="4" w:space="0"/>
              <w:bottom w:val="single" w:color="auto" w:sz="4" w:space="0"/>
              <w:right w:val="single" w:color="auto" w:sz="4" w:space="0"/>
            </w:tcBorders>
          </w:tcPr>
          <w:p w14:paraId="1A3DBC3F">
            <w:pPr>
              <w:snapToGrid w:val="0"/>
              <w:spacing w:before="120" w:beforeLines="50" w:after="50"/>
              <w:rPr>
                <w:rFonts w:hint="eastAsia" w:ascii="仿宋" w:hAnsi="仿宋" w:eastAsia="仿宋" w:cs="仿宋"/>
                <w:color w:val="auto"/>
                <w:sz w:val="24"/>
                <w:highlight w:val="none"/>
              </w:rPr>
            </w:pPr>
          </w:p>
        </w:tc>
        <w:tc>
          <w:tcPr>
            <w:tcW w:w="1723" w:type="dxa"/>
            <w:tcBorders>
              <w:top w:val="single" w:color="auto" w:sz="4" w:space="0"/>
              <w:left w:val="single" w:color="auto" w:sz="4" w:space="0"/>
              <w:bottom w:val="single" w:color="auto" w:sz="4" w:space="0"/>
              <w:right w:val="single" w:color="auto" w:sz="4" w:space="0"/>
            </w:tcBorders>
          </w:tcPr>
          <w:p w14:paraId="665F9E4D">
            <w:pPr>
              <w:snapToGrid w:val="0"/>
              <w:spacing w:before="120" w:beforeLines="50" w:after="50"/>
              <w:rPr>
                <w:rFonts w:hint="eastAsia" w:ascii="仿宋" w:hAnsi="仿宋" w:eastAsia="仿宋" w:cs="仿宋"/>
                <w:color w:val="auto"/>
                <w:sz w:val="24"/>
                <w:highlight w:val="none"/>
              </w:rPr>
            </w:pPr>
          </w:p>
        </w:tc>
        <w:tc>
          <w:tcPr>
            <w:tcW w:w="2267" w:type="dxa"/>
            <w:tcBorders>
              <w:top w:val="single" w:color="auto" w:sz="4" w:space="0"/>
              <w:left w:val="single" w:color="auto" w:sz="4" w:space="0"/>
              <w:bottom w:val="single" w:color="auto" w:sz="4" w:space="0"/>
              <w:right w:val="single" w:color="auto" w:sz="4" w:space="0"/>
            </w:tcBorders>
          </w:tcPr>
          <w:p w14:paraId="0064724F">
            <w:pPr>
              <w:snapToGrid w:val="0"/>
              <w:spacing w:before="120" w:beforeLines="50" w:after="50"/>
              <w:rPr>
                <w:rFonts w:hint="eastAsia" w:ascii="仿宋" w:hAnsi="仿宋" w:eastAsia="仿宋" w:cs="仿宋"/>
                <w:color w:val="auto"/>
                <w:sz w:val="24"/>
                <w:highlight w:val="none"/>
              </w:rPr>
            </w:pPr>
          </w:p>
        </w:tc>
        <w:tc>
          <w:tcPr>
            <w:tcW w:w="1776" w:type="dxa"/>
            <w:tcBorders>
              <w:top w:val="single" w:color="auto" w:sz="4" w:space="0"/>
              <w:left w:val="single" w:color="auto" w:sz="4" w:space="0"/>
              <w:bottom w:val="single" w:color="auto" w:sz="4" w:space="0"/>
              <w:right w:val="single" w:color="auto" w:sz="4" w:space="0"/>
            </w:tcBorders>
          </w:tcPr>
          <w:p w14:paraId="0F28E53F">
            <w:pPr>
              <w:snapToGrid w:val="0"/>
              <w:spacing w:before="120" w:beforeLines="50" w:after="50"/>
              <w:rPr>
                <w:rFonts w:hint="eastAsia" w:ascii="仿宋" w:hAnsi="仿宋" w:eastAsia="仿宋" w:cs="仿宋"/>
                <w:color w:val="auto"/>
                <w:sz w:val="24"/>
                <w:highlight w:val="none"/>
              </w:rPr>
            </w:pPr>
          </w:p>
        </w:tc>
        <w:tc>
          <w:tcPr>
            <w:tcW w:w="2216" w:type="dxa"/>
            <w:tcBorders>
              <w:top w:val="single" w:color="auto" w:sz="4" w:space="0"/>
              <w:left w:val="single" w:color="auto" w:sz="4" w:space="0"/>
              <w:bottom w:val="single" w:color="auto" w:sz="4" w:space="0"/>
              <w:right w:val="single" w:color="auto" w:sz="4" w:space="0"/>
            </w:tcBorders>
          </w:tcPr>
          <w:p w14:paraId="14E4E02E">
            <w:pPr>
              <w:snapToGrid w:val="0"/>
              <w:spacing w:before="120" w:beforeLines="50" w:after="50"/>
              <w:rPr>
                <w:rFonts w:hint="eastAsia" w:ascii="仿宋" w:hAnsi="仿宋" w:eastAsia="仿宋" w:cs="仿宋"/>
                <w:color w:val="auto"/>
                <w:sz w:val="24"/>
                <w:highlight w:val="none"/>
              </w:rPr>
            </w:pPr>
          </w:p>
        </w:tc>
      </w:tr>
      <w:tr w14:paraId="78E804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7" w:hRule="atLeast"/>
          <w:jc w:val="center"/>
        </w:trPr>
        <w:tc>
          <w:tcPr>
            <w:tcW w:w="1820" w:type="dxa"/>
            <w:tcBorders>
              <w:top w:val="single" w:color="auto" w:sz="4" w:space="0"/>
              <w:left w:val="single" w:color="auto" w:sz="4" w:space="0"/>
              <w:bottom w:val="single" w:color="auto" w:sz="4" w:space="0"/>
              <w:right w:val="single" w:color="auto" w:sz="4" w:space="0"/>
            </w:tcBorders>
          </w:tcPr>
          <w:p w14:paraId="42F27765">
            <w:pPr>
              <w:snapToGrid w:val="0"/>
              <w:spacing w:before="120" w:beforeLines="50" w:after="50"/>
              <w:rPr>
                <w:rFonts w:hint="eastAsia" w:ascii="仿宋" w:hAnsi="仿宋" w:eastAsia="仿宋" w:cs="仿宋"/>
                <w:color w:val="auto"/>
                <w:sz w:val="24"/>
                <w:highlight w:val="none"/>
              </w:rPr>
            </w:pPr>
          </w:p>
        </w:tc>
        <w:tc>
          <w:tcPr>
            <w:tcW w:w="1723" w:type="dxa"/>
            <w:tcBorders>
              <w:top w:val="single" w:color="auto" w:sz="4" w:space="0"/>
              <w:left w:val="single" w:color="auto" w:sz="4" w:space="0"/>
              <w:bottom w:val="single" w:color="auto" w:sz="4" w:space="0"/>
              <w:right w:val="single" w:color="auto" w:sz="4" w:space="0"/>
            </w:tcBorders>
          </w:tcPr>
          <w:p w14:paraId="34E1435E">
            <w:pPr>
              <w:snapToGrid w:val="0"/>
              <w:spacing w:before="120" w:beforeLines="50" w:after="50"/>
              <w:rPr>
                <w:rFonts w:hint="eastAsia" w:ascii="仿宋" w:hAnsi="仿宋" w:eastAsia="仿宋" w:cs="仿宋"/>
                <w:color w:val="auto"/>
                <w:sz w:val="24"/>
                <w:highlight w:val="none"/>
              </w:rPr>
            </w:pPr>
          </w:p>
        </w:tc>
        <w:tc>
          <w:tcPr>
            <w:tcW w:w="2267" w:type="dxa"/>
            <w:tcBorders>
              <w:top w:val="single" w:color="auto" w:sz="4" w:space="0"/>
              <w:left w:val="single" w:color="auto" w:sz="4" w:space="0"/>
              <w:bottom w:val="single" w:color="auto" w:sz="4" w:space="0"/>
              <w:right w:val="single" w:color="auto" w:sz="4" w:space="0"/>
            </w:tcBorders>
          </w:tcPr>
          <w:p w14:paraId="181FB72C">
            <w:pPr>
              <w:snapToGrid w:val="0"/>
              <w:spacing w:before="120" w:beforeLines="50" w:after="50"/>
              <w:rPr>
                <w:rFonts w:hint="eastAsia" w:ascii="仿宋" w:hAnsi="仿宋" w:eastAsia="仿宋" w:cs="仿宋"/>
                <w:color w:val="auto"/>
                <w:sz w:val="24"/>
                <w:highlight w:val="none"/>
              </w:rPr>
            </w:pPr>
          </w:p>
        </w:tc>
        <w:tc>
          <w:tcPr>
            <w:tcW w:w="1776" w:type="dxa"/>
            <w:tcBorders>
              <w:top w:val="single" w:color="auto" w:sz="4" w:space="0"/>
              <w:left w:val="single" w:color="auto" w:sz="4" w:space="0"/>
              <w:bottom w:val="single" w:color="auto" w:sz="4" w:space="0"/>
              <w:right w:val="single" w:color="auto" w:sz="4" w:space="0"/>
            </w:tcBorders>
          </w:tcPr>
          <w:p w14:paraId="2735AF5A">
            <w:pPr>
              <w:snapToGrid w:val="0"/>
              <w:spacing w:before="120" w:beforeLines="50" w:after="50"/>
              <w:rPr>
                <w:rFonts w:hint="eastAsia" w:ascii="仿宋" w:hAnsi="仿宋" w:eastAsia="仿宋" w:cs="仿宋"/>
                <w:color w:val="auto"/>
                <w:sz w:val="24"/>
                <w:highlight w:val="none"/>
              </w:rPr>
            </w:pPr>
          </w:p>
        </w:tc>
        <w:tc>
          <w:tcPr>
            <w:tcW w:w="2216" w:type="dxa"/>
            <w:tcBorders>
              <w:top w:val="single" w:color="auto" w:sz="4" w:space="0"/>
              <w:left w:val="single" w:color="auto" w:sz="4" w:space="0"/>
              <w:bottom w:val="single" w:color="auto" w:sz="4" w:space="0"/>
              <w:right w:val="single" w:color="auto" w:sz="4" w:space="0"/>
            </w:tcBorders>
          </w:tcPr>
          <w:p w14:paraId="5FD909BE">
            <w:pPr>
              <w:snapToGrid w:val="0"/>
              <w:spacing w:before="120" w:beforeLines="50" w:after="50"/>
              <w:rPr>
                <w:rFonts w:hint="eastAsia" w:ascii="仿宋" w:hAnsi="仿宋" w:eastAsia="仿宋" w:cs="仿宋"/>
                <w:color w:val="auto"/>
                <w:sz w:val="24"/>
                <w:highlight w:val="none"/>
              </w:rPr>
            </w:pPr>
          </w:p>
        </w:tc>
      </w:tr>
      <w:tr w14:paraId="7C0D11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1820" w:type="dxa"/>
            <w:tcBorders>
              <w:top w:val="single" w:color="auto" w:sz="4" w:space="0"/>
              <w:left w:val="single" w:color="auto" w:sz="4" w:space="0"/>
              <w:bottom w:val="single" w:color="auto" w:sz="4" w:space="0"/>
              <w:right w:val="single" w:color="auto" w:sz="4" w:space="0"/>
            </w:tcBorders>
          </w:tcPr>
          <w:p w14:paraId="4A9AC955">
            <w:pPr>
              <w:snapToGrid w:val="0"/>
              <w:spacing w:before="120" w:beforeLines="50" w:after="50"/>
              <w:rPr>
                <w:rFonts w:hint="eastAsia" w:ascii="仿宋" w:hAnsi="仿宋" w:eastAsia="仿宋" w:cs="仿宋"/>
                <w:color w:val="auto"/>
                <w:sz w:val="24"/>
                <w:highlight w:val="none"/>
              </w:rPr>
            </w:pPr>
          </w:p>
        </w:tc>
        <w:tc>
          <w:tcPr>
            <w:tcW w:w="1723" w:type="dxa"/>
            <w:tcBorders>
              <w:top w:val="single" w:color="auto" w:sz="4" w:space="0"/>
              <w:left w:val="single" w:color="auto" w:sz="4" w:space="0"/>
              <w:bottom w:val="single" w:color="auto" w:sz="4" w:space="0"/>
              <w:right w:val="single" w:color="auto" w:sz="4" w:space="0"/>
            </w:tcBorders>
          </w:tcPr>
          <w:p w14:paraId="355CBC44">
            <w:pPr>
              <w:snapToGrid w:val="0"/>
              <w:spacing w:before="120" w:beforeLines="50" w:after="50"/>
              <w:rPr>
                <w:rFonts w:hint="eastAsia" w:ascii="仿宋" w:hAnsi="仿宋" w:eastAsia="仿宋" w:cs="仿宋"/>
                <w:color w:val="auto"/>
                <w:sz w:val="24"/>
                <w:highlight w:val="none"/>
              </w:rPr>
            </w:pPr>
          </w:p>
        </w:tc>
        <w:tc>
          <w:tcPr>
            <w:tcW w:w="2267" w:type="dxa"/>
            <w:tcBorders>
              <w:top w:val="single" w:color="auto" w:sz="4" w:space="0"/>
              <w:left w:val="single" w:color="auto" w:sz="4" w:space="0"/>
              <w:bottom w:val="single" w:color="auto" w:sz="4" w:space="0"/>
              <w:right w:val="single" w:color="auto" w:sz="4" w:space="0"/>
            </w:tcBorders>
          </w:tcPr>
          <w:p w14:paraId="1C2BC9C4">
            <w:pPr>
              <w:snapToGrid w:val="0"/>
              <w:spacing w:before="120" w:beforeLines="50" w:after="50"/>
              <w:ind w:left="5250" w:leftChars="2500"/>
              <w:rPr>
                <w:rFonts w:hint="eastAsia" w:ascii="仿宋" w:hAnsi="仿宋" w:eastAsia="仿宋" w:cs="仿宋"/>
                <w:color w:val="auto"/>
                <w:sz w:val="24"/>
                <w:highlight w:val="none"/>
              </w:rPr>
            </w:pPr>
          </w:p>
        </w:tc>
        <w:tc>
          <w:tcPr>
            <w:tcW w:w="1776" w:type="dxa"/>
            <w:tcBorders>
              <w:top w:val="single" w:color="auto" w:sz="4" w:space="0"/>
              <w:left w:val="single" w:color="auto" w:sz="4" w:space="0"/>
              <w:bottom w:val="single" w:color="auto" w:sz="4" w:space="0"/>
              <w:right w:val="single" w:color="auto" w:sz="4" w:space="0"/>
            </w:tcBorders>
          </w:tcPr>
          <w:p w14:paraId="74478288">
            <w:pPr>
              <w:snapToGrid w:val="0"/>
              <w:spacing w:before="120" w:beforeLines="50" w:after="50"/>
              <w:rPr>
                <w:rFonts w:hint="eastAsia" w:ascii="仿宋" w:hAnsi="仿宋" w:eastAsia="仿宋" w:cs="仿宋"/>
                <w:color w:val="auto"/>
                <w:sz w:val="24"/>
                <w:highlight w:val="none"/>
              </w:rPr>
            </w:pPr>
          </w:p>
        </w:tc>
        <w:tc>
          <w:tcPr>
            <w:tcW w:w="2216" w:type="dxa"/>
            <w:tcBorders>
              <w:top w:val="single" w:color="auto" w:sz="4" w:space="0"/>
              <w:left w:val="single" w:color="auto" w:sz="4" w:space="0"/>
              <w:bottom w:val="single" w:color="auto" w:sz="4" w:space="0"/>
              <w:right w:val="single" w:color="auto" w:sz="4" w:space="0"/>
            </w:tcBorders>
          </w:tcPr>
          <w:p w14:paraId="0B20B0BB">
            <w:pPr>
              <w:snapToGrid w:val="0"/>
              <w:spacing w:before="120" w:beforeLines="50" w:after="50"/>
              <w:rPr>
                <w:rFonts w:hint="eastAsia" w:ascii="仿宋" w:hAnsi="仿宋" w:eastAsia="仿宋" w:cs="仿宋"/>
                <w:color w:val="auto"/>
                <w:sz w:val="24"/>
                <w:highlight w:val="none"/>
              </w:rPr>
            </w:pPr>
          </w:p>
        </w:tc>
      </w:tr>
    </w:tbl>
    <w:p w14:paraId="7B939E24">
      <w:pPr>
        <w:spacing w:line="360" w:lineRule="auto"/>
        <w:contextualSpacing/>
        <w:jc w:val="left"/>
        <w:rPr>
          <w:rFonts w:hint="eastAsia" w:ascii="仿宋" w:hAnsi="仿宋" w:eastAsia="仿宋" w:cs="仿宋"/>
          <w:color w:val="auto"/>
          <w:sz w:val="24"/>
          <w:szCs w:val="20"/>
          <w:highlight w:val="none"/>
        </w:rPr>
      </w:pPr>
    </w:p>
    <w:p w14:paraId="1A2E0018">
      <w:pPr>
        <w:spacing w:line="360" w:lineRule="auto"/>
        <w:ind w:left="0" w:leftChars="0" w:firstLine="218" w:firstLineChars="91"/>
        <w:contextualSpacing/>
        <w:jc w:val="left"/>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注：</w:t>
      </w:r>
    </w:p>
    <w:p w14:paraId="0B17FC26">
      <w:pPr>
        <w:spacing w:line="360" w:lineRule="auto"/>
        <w:ind w:left="0" w:leftChars="0" w:firstLine="218" w:firstLineChars="91"/>
        <w:contextualSpacing/>
        <w:jc w:val="left"/>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1.在填写时，如本表格不适合投标单位的实际情况，可根据本表格式自行制表填写。</w:t>
      </w:r>
    </w:p>
    <w:p w14:paraId="563CEA11">
      <w:pPr>
        <w:spacing w:line="360" w:lineRule="auto"/>
        <w:ind w:left="0" w:leftChars="0" w:firstLine="218" w:firstLineChars="91"/>
        <w:contextualSpacing/>
        <w:jc w:val="left"/>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2.投标人应当附本表所列证书的复印件</w:t>
      </w:r>
      <w:r>
        <w:rPr>
          <w:rFonts w:hint="eastAsia" w:ascii="仿宋" w:hAnsi="仿宋" w:eastAsia="仿宋" w:cs="仿宋"/>
          <w:color w:val="auto"/>
          <w:sz w:val="24"/>
          <w:szCs w:val="20"/>
          <w:highlight w:val="none"/>
          <w:lang w:eastAsia="zh-CN"/>
        </w:rPr>
        <w:t>或相关证明</w:t>
      </w:r>
      <w:r>
        <w:rPr>
          <w:rFonts w:hint="eastAsia" w:ascii="仿宋" w:hAnsi="仿宋" w:eastAsia="仿宋" w:cs="仿宋"/>
          <w:color w:val="auto"/>
          <w:sz w:val="24"/>
          <w:szCs w:val="20"/>
          <w:highlight w:val="none"/>
        </w:rPr>
        <w:t>并加盖投标人公章。</w:t>
      </w:r>
    </w:p>
    <w:p w14:paraId="17EE5636">
      <w:pPr>
        <w:spacing w:line="360" w:lineRule="auto"/>
        <w:ind w:left="0" w:leftChars="0" w:firstLine="218" w:firstLineChars="91"/>
        <w:contextualSpacing/>
        <w:rPr>
          <w:rFonts w:hint="eastAsia" w:ascii="仿宋" w:hAnsi="仿宋" w:eastAsia="仿宋" w:cs="仿宋"/>
          <w:color w:val="auto"/>
          <w:sz w:val="24"/>
          <w:highlight w:val="none"/>
        </w:rPr>
      </w:pPr>
    </w:p>
    <w:p w14:paraId="1BFB41F8">
      <w:pPr>
        <w:spacing w:line="360" w:lineRule="auto"/>
        <w:ind w:left="0" w:leftChars="0" w:firstLine="218" w:firstLineChars="91"/>
        <w:contextualSpacing/>
        <w:rPr>
          <w:rFonts w:hint="eastAsia" w:ascii="仿宋" w:hAnsi="仿宋" w:eastAsia="仿宋" w:cs="仿宋"/>
          <w:color w:val="auto"/>
          <w:sz w:val="24"/>
          <w:highlight w:val="none"/>
        </w:rPr>
      </w:pPr>
    </w:p>
    <w:p w14:paraId="7B86F708">
      <w:pPr>
        <w:pStyle w:val="27"/>
        <w:spacing w:beforeLines="0" w:line="360" w:lineRule="auto"/>
        <w:rPr>
          <w:rFonts w:hint="eastAsia" w:ascii="仿宋" w:hAnsi="仿宋" w:eastAsia="仿宋" w:cs="仿宋"/>
          <w:color w:val="auto"/>
          <w:spacing w:val="20"/>
          <w:sz w:val="24"/>
          <w:szCs w:val="24"/>
          <w:highlight w:val="none"/>
          <w:u w:val="single"/>
        </w:rPr>
      </w:pPr>
      <w:r>
        <w:rPr>
          <w:rFonts w:hint="eastAsia" w:ascii="仿宋" w:hAnsi="仿宋" w:eastAsia="仿宋" w:cs="仿宋"/>
          <w:color w:val="auto"/>
          <w:spacing w:val="20"/>
          <w:kern w:val="2"/>
          <w:sz w:val="24"/>
          <w:szCs w:val="24"/>
          <w:highlight w:val="none"/>
        </w:rPr>
        <w:t>法定代表人或者委托代理人签字[或盖章(CA签章)]</w:t>
      </w:r>
      <w:r>
        <w:rPr>
          <w:rFonts w:hint="eastAsia" w:ascii="仿宋" w:hAnsi="仿宋" w:eastAsia="仿宋" w:cs="仿宋"/>
          <w:color w:val="auto"/>
          <w:spacing w:val="20"/>
          <w:sz w:val="24"/>
          <w:szCs w:val="24"/>
          <w:highlight w:val="none"/>
        </w:rPr>
        <w:t>（属自然人的应在签名处加盖大拇指指印或个人CA签章）：</w:t>
      </w:r>
      <w:r>
        <w:rPr>
          <w:rFonts w:hint="eastAsia" w:ascii="仿宋" w:hAnsi="仿宋" w:eastAsia="仿宋" w:cs="仿宋"/>
          <w:color w:val="auto"/>
          <w:spacing w:val="20"/>
          <w:sz w:val="24"/>
          <w:szCs w:val="24"/>
          <w:highlight w:val="none"/>
          <w:u w:val="single"/>
        </w:rPr>
        <w:t xml:space="preserve">        </w:t>
      </w:r>
    </w:p>
    <w:p w14:paraId="7CCAADD1">
      <w:pPr>
        <w:snapToGrid w:val="0"/>
        <w:spacing w:before="0" w:beforeLines="0" w:after="0" w:line="360" w:lineRule="auto"/>
        <w:rPr>
          <w:rFonts w:hint="eastAsia" w:ascii="仿宋" w:hAnsi="仿宋" w:eastAsia="仿宋" w:cs="仿宋"/>
          <w:color w:val="auto"/>
          <w:spacing w:val="20"/>
          <w:sz w:val="24"/>
          <w:szCs w:val="24"/>
          <w:highlight w:val="none"/>
        </w:rPr>
      </w:pPr>
      <w:r>
        <w:rPr>
          <w:rFonts w:hint="eastAsia" w:ascii="仿宋" w:hAnsi="仿宋" w:eastAsia="仿宋" w:cs="仿宋"/>
          <w:color w:val="auto"/>
          <w:spacing w:val="20"/>
          <w:sz w:val="24"/>
          <w:szCs w:val="24"/>
          <w:highlight w:val="none"/>
        </w:rPr>
        <w:t>投标人[</w:t>
      </w:r>
      <w:r>
        <w:rPr>
          <w:rFonts w:hint="eastAsia" w:ascii="仿宋" w:hAnsi="仿宋" w:eastAsia="仿宋" w:cs="仿宋"/>
          <w:color w:val="auto"/>
          <w:spacing w:val="20"/>
          <w:sz w:val="24"/>
          <w:szCs w:val="24"/>
          <w:highlight w:val="none"/>
          <w:lang w:eastAsia="zh-CN"/>
        </w:rPr>
        <w:t>公章(或CA签章)</w:t>
      </w:r>
      <w:r>
        <w:rPr>
          <w:rFonts w:hint="eastAsia" w:ascii="仿宋" w:hAnsi="仿宋" w:eastAsia="仿宋" w:cs="仿宋"/>
          <w:color w:val="auto"/>
          <w:spacing w:val="20"/>
          <w:sz w:val="24"/>
          <w:szCs w:val="24"/>
          <w:highlight w:val="none"/>
        </w:rPr>
        <w:t>、自然人除外]：</w:t>
      </w:r>
      <w:r>
        <w:rPr>
          <w:rFonts w:hint="eastAsia" w:ascii="仿宋" w:hAnsi="仿宋" w:eastAsia="仿宋" w:cs="仿宋"/>
          <w:color w:val="auto"/>
          <w:spacing w:val="20"/>
          <w:sz w:val="24"/>
          <w:szCs w:val="24"/>
          <w:highlight w:val="none"/>
          <w:u w:val="single"/>
        </w:rPr>
        <w:t xml:space="preserve">            </w:t>
      </w:r>
      <w:r>
        <w:rPr>
          <w:rFonts w:hint="eastAsia" w:ascii="仿宋" w:hAnsi="仿宋" w:eastAsia="仿宋" w:cs="仿宋"/>
          <w:color w:val="auto"/>
          <w:spacing w:val="20"/>
          <w:sz w:val="24"/>
          <w:szCs w:val="24"/>
          <w:highlight w:val="none"/>
        </w:rPr>
        <w:t xml:space="preserve">              </w:t>
      </w:r>
    </w:p>
    <w:p w14:paraId="715D7151">
      <w:pPr>
        <w:snapToGrid w:val="0"/>
        <w:spacing w:before="0" w:beforeLines="0" w:after="0" w:line="360" w:lineRule="auto"/>
        <w:rPr>
          <w:rFonts w:hint="eastAsia" w:ascii="仿宋" w:hAnsi="仿宋" w:eastAsia="仿宋" w:cs="仿宋"/>
          <w:color w:val="auto"/>
          <w:spacing w:val="20"/>
          <w:sz w:val="24"/>
          <w:szCs w:val="24"/>
          <w:highlight w:val="none"/>
          <w:u w:val="single"/>
        </w:rPr>
      </w:pPr>
      <w:r>
        <w:rPr>
          <w:rFonts w:hint="eastAsia" w:ascii="仿宋" w:hAnsi="仿宋" w:eastAsia="仿宋" w:cs="仿宋"/>
          <w:color w:val="auto"/>
          <w:spacing w:val="20"/>
          <w:sz w:val="24"/>
          <w:szCs w:val="24"/>
          <w:highlight w:val="none"/>
        </w:rPr>
        <w:t>日 期：</w:t>
      </w:r>
      <w:r>
        <w:rPr>
          <w:rFonts w:hint="eastAsia" w:ascii="仿宋" w:hAnsi="仿宋" w:eastAsia="仿宋" w:cs="仿宋"/>
          <w:color w:val="auto"/>
          <w:spacing w:val="20"/>
          <w:sz w:val="24"/>
          <w:szCs w:val="24"/>
          <w:highlight w:val="none"/>
          <w:u w:val="single"/>
        </w:rPr>
        <w:t xml:space="preserve">        </w:t>
      </w:r>
    </w:p>
    <w:p w14:paraId="28C0FF80">
      <w:pPr>
        <w:snapToGrid w:val="0"/>
        <w:spacing w:before="50" w:after="120" w:afterLines="50"/>
        <w:jc w:val="left"/>
        <w:rPr>
          <w:rFonts w:hint="eastAsia" w:ascii="仿宋" w:hAnsi="仿宋" w:eastAsia="仿宋" w:cs="仿宋"/>
          <w:color w:val="auto"/>
          <w:sz w:val="24"/>
          <w:szCs w:val="20"/>
          <w:highlight w:val="none"/>
        </w:rPr>
      </w:pPr>
    </w:p>
    <w:p w14:paraId="4A273592">
      <w:pPr>
        <w:snapToGrid w:val="0"/>
        <w:spacing w:before="120" w:beforeLines="50" w:after="50"/>
        <w:ind w:left="142"/>
        <w:jc w:val="left"/>
        <w:rPr>
          <w:rFonts w:hint="eastAsia" w:ascii="仿宋" w:hAnsi="仿宋" w:eastAsia="仿宋" w:cs="仿宋"/>
          <w:b/>
          <w:color w:val="auto"/>
          <w:sz w:val="28"/>
          <w:szCs w:val="28"/>
          <w:highlight w:val="none"/>
        </w:rPr>
      </w:pPr>
      <w:r>
        <w:rPr>
          <w:rFonts w:hint="eastAsia" w:ascii="仿宋" w:hAnsi="仿宋" w:eastAsia="仿宋" w:cs="仿宋"/>
          <w:b/>
          <w:color w:val="auto"/>
          <w:sz w:val="24"/>
          <w:highlight w:val="none"/>
        </w:rPr>
        <w:br w:type="page"/>
      </w:r>
    </w:p>
    <w:p w14:paraId="6A56D0DF">
      <w:pPr>
        <w:snapToGrid w:val="0"/>
        <w:spacing w:before="120" w:beforeLines="50" w:after="50"/>
        <w:ind w:left="142"/>
        <w:jc w:val="left"/>
        <w:outlineLvl w:val="2"/>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5</w:t>
      </w:r>
      <w:r>
        <w:rPr>
          <w:rFonts w:hint="eastAsia" w:ascii="仿宋" w:hAnsi="仿宋" w:eastAsia="仿宋" w:cs="仿宋"/>
          <w:b/>
          <w:color w:val="auto"/>
          <w:sz w:val="24"/>
          <w:szCs w:val="24"/>
          <w:highlight w:val="none"/>
        </w:rPr>
        <w:t>.设备性能配置清单格式</w:t>
      </w:r>
    </w:p>
    <w:p w14:paraId="5B89284F">
      <w:pPr>
        <w:snapToGrid w:val="0"/>
        <w:spacing w:before="120" w:beforeLines="50" w:after="50"/>
        <w:ind w:left="142"/>
        <w:jc w:val="left"/>
        <w:rPr>
          <w:rFonts w:hint="eastAsia" w:ascii="仿宋" w:hAnsi="仿宋" w:eastAsia="仿宋" w:cs="仿宋"/>
          <w:b/>
          <w:color w:val="auto"/>
          <w:sz w:val="24"/>
          <w:szCs w:val="24"/>
          <w:highlight w:val="none"/>
        </w:rPr>
      </w:pPr>
    </w:p>
    <w:p w14:paraId="13CDB329">
      <w:pPr>
        <w:snapToGrid w:val="0"/>
        <w:spacing w:before="0" w:beforeLines="0" w:after="0" w:line="360" w:lineRule="auto"/>
        <w:ind w:left="0" w:firstLine="480" w:firstLineChars="200"/>
        <w:jc w:val="center"/>
        <w:outlineLvl w:val="9"/>
        <w:rPr>
          <w:rFonts w:hint="eastAsia" w:ascii="仿宋" w:hAnsi="仿宋" w:eastAsia="仿宋" w:cs="仿宋"/>
          <w:b w:val="0"/>
          <w:color w:val="auto"/>
          <w:sz w:val="24"/>
          <w:szCs w:val="24"/>
          <w:highlight w:val="none"/>
        </w:rPr>
      </w:pPr>
      <w:r>
        <w:rPr>
          <w:rFonts w:hint="eastAsia" w:ascii="仿宋" w:hAnsi="仿宋" w:eastAsia="仿宋" w:cs="仿宋"/>
          <w:b w:val="0"/>
          <w:color w:val="auto"/>
          <w:sz w:val="24"/>
          <w:szCs w:val="24"/>
          <w:highlight w:val="none"/>
        </w:rPr>
        <w:t>设备性能配置清单</w:t>
      </w:r>
    </w:p>
    <w:p w14:paraId="07C56759">
      <w:pPr>
        <w:snapToGrid w:val="0"/>
        <w:spacing w:before="50" w:after="50"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分标：</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p w14:paraId="3C75747D">
      <w:pPr>
        <w:pStyle w:val="2"/>
        <w:rPr>
          <w:rFonts w:hint="eastAsia"/>
          <w:highlight w:val="none"/>
        </w:rPr>
      </w:pPr>
    </w:p>
    <w:tbl>
      <w:tblPr>
        <w:tblStyle w:val="5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27"/>
        <w:gridCol w:w="1865"/>
        <w:gridCol w:w="804"/>
        <w:gridCol w:w="1002"/>
        <w:gridCol w:w="1644"/>
        <w:gridCol w:w="1394"/>
        <w:gridCol w:w="825"/>
        <w:gridCol w:w="1675"/>
      </w:tblGrid>
      <w:tr w14:paraId="0D96C3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86" w:hRule="atLeast"/>
          <w:jc w:val="center"/>
        </w:trPr>
        <w:tc>
          <w:tcPr>
            <w:tcW w:w="827" w:type="dxa"/>
            <w:tcBorders>
              <w:top w:val="single" w:color="auto" w:sz="4" w:space="0"/>
              <w:left w:val="single" w:color="auto" w:sz="4" w:space="0"/>
              <w:bottom w:val="single" w:color="auto" w:sz="4" w:space="0"/>
              <w:right w:val="single" w:color="auto" w:sz="4" w:space="0"/>
            </w:tcBorders>
            <w:noWrap w:val="0"/>
            <w:vAlign w:val="center"/>
          </w:tcPr>
          <w:p w14:paraId="6D354D92">
            <w:pPr>
              <w:snapToGrid w:val="0"/>
              <w:spacing w:before="0" w:after="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865" w:type="dxa"/>
            <w:tcBorders>
              <w:top w:val="single" w:color="auto" w:sz="4" w:space="0"/>
              <w:left w:val="single" w:color="auto" w:sz="4" w:space="0"/>
              <w:bottom w:val="single" w:color="auto" w:sz="4" w:space="0"/>
              <w:right w:val="single" w:color="auto" w:sz="4" w:space="0"/>
            </w:tcBorders>
            <w:noWrap w:val="0"/>
            <w:vAlign w:val="center"/>
          </w:tcPr>
          <w:p w14:paraId="18F597D6">
            <w:pPr>
              <w:snapToGrid w:val="0"/>
              <w:spacing w:before="0" w:after="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标的的名称</w:t>
            </w:r>
          </w:p>
        </w:tc>
        <w:tc>
          <w:tcPr>
            <w:tcW w:w="804" w:type="dxa"/>
            <w:tcBorders>
              <w:top w:val="single" w:color="auto" w:sz="4" w:space="0"/>
              <w:left w:val="single" w:color="auto" w:sz="4" w:space="0"/>
              <w:bottom w:val="single" w:color="auto" w:sz="4" w:space="0"/>
              <w:right w:val="single" w:color="auto" w:sz="4" w:space="0"/>
            </w:tcBorders>
            <w:noWrap w:val="0"/>
            <w:vAlign w:val="center"/>
          </w:tcPr>
          <w:p w14:paraId="2600750C">
            <w:pPr>
              <w:snapToGrid w:val="0"/>
              <w:spacing w:before="0" w:after="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数量及单位</w:t>
            </w:r>
          </w:p>
        </w:tc>
        <w:tc>
          <w:tcPr>
            <w:tcW w:w="1002" w:type="dxa"/>
            <w:tcBorders>
              <w:top w:val="single" w:color="auto" w:sz="4" w:space="0"/>
              <w:left w:val="single" w:color="auto" w:sz="4" w:space="0"/>
              <w:bottom w:val="single" w:color="auto" w:sz="4" w:space="0"/>
              <w:right w:val="single" w:color="auto" w:sz="4" w:space="0"/>
            </w:tcBorders>
            <w:noWrap w:val="0"/>
            <w:vAlign w:val="center"/>
          </w:tcPr>
          <w:p w14:paraId="35CEF212">
            <w:pPr>
              <w:snapToGrid w:val="0"/>
              <w:spacing w:before="0" w:after="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品牌</w:t>
            </w:r>
          </w:p>
        </w:tc>
        <w:tc>
          <w:tcPr>
            <w:tcW w:w="1644" w:type="dxa"/>
            <w:tcBorders>
              <w:top w:val="single" w:color="auto" w:sz="4" w:space="0"/>
              <w:left w:val="single" w:color="auto" w:sz="4" w:space="0"/>
              <w:bottom w:val="single" w:color="auto" w:sz="4" w:space="0"/>
              <w:right w:val="single" w:color="auto" w:sz="4" w:space="0"/>
            </w:tcBorders>
            <w:noWrap w:val="0"/>
            <w:vAlign w:val="top"/>
          </w:tcPr>
          <w:p w14:paraId="24B5E0B1">
            <w:pPr>
              <w:snapToGrid w:val="0"/>
              <w:spacing w:before="0" w:after="0" w:line="360" w:lineRule="auto"/>
              <w:jc w:val="center"/>
              <w:rPr>
                <w:rFonts w:hint="eastAsia" w:ascii="仿宋" w:hAnsi="仿宋" w:eastAsia="仿宋" w:cs="仿宋"/>
                <w:color w:val="auto"/>
                <w:sz w:val="24"/>
                <w:szCs w:val="24"/>
                <w:highlight w:val="none"/>
              </w:rPr>
            </w:pPr>
          </w:p>
          <w:p w14:paraId="41C1F862">
            <w:pPr>
              <w:snapToGrid w:val="0"/>
              <w:spacing w:before="0" w:after="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规格型号</w:t>
            </w:r>
          </w:p>
        </w:tc>
        <w:tc>
          <w:tcPr>
            <w:tcW w:w="1394" w:type="dxa"/>
            <w:tcBorders>
              <w:top w:val="single" w:color="auto" w:sz="4" w:space="0"/>
              <w:left w:val="single" w:color="auto" w:sz="4" w:space="0"/>
              <w:bottom w:val="single" w:color="auto" w:sz="4" w:space="0"/>
              <w:right w:val="single" w:color="auto" w:sz="4" w:space="0"/>
            </w:tcBorders>
            <w:noWrap w:val="0"/>
            <w:vAlign w:val="center"/>
          </w:tcPr>
          <w:p w14:paraId="0113E5E4">
            <w:pPr>
              <w:snapToGrid w:val="0"/>
              <w:spacing w:before="0" w:after="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制造商</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25CA113E">
            <w:pPr>
              <w:snapToGrid w:val="0"/>
              <w:spacing w:before="0" w:after="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原产地</w:t>
            </w:r>
          </w:p>
        </w:tc>
        <w:tc>
          <w:tcPr>
            <w:tcW w:w="1675" w:type="dxa"/>
            <w:tcBorders>
              <w:top w:val="single" w:color="auto" w:sz="4" w:space="0"/>
              <w:left w:val="single" w:color="auto" w:sz="4" w:space="0"/>
              <w:bottom w:val="single" w:color="auto" w:sz="4" w:space="0"/>
              <w:right w:val="single" w:color="auto" w:sz="4" w:space="0"/>
            </w:tcBorders>
            <w:noWrap w:val="0"/>
            <w:vAlign w:val="center"/>
          </w:tcPr>
          <w:p w14:paraId="6EF85CF1">
            <w:pPr>
              <w:snapToGrid w:val="0"/>
              <w:spacing w:before="0" w:after="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参数性能、指标及配置</w:t>
            </w:r>
          </w:p>
        </w:tc>
      </w:tr>
      <w:tr w14:paraId="2EC44A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5" w:hRule="atLeast"/>
          <w:jc w:val="center"/>
        </w:trPr>
        <w:tc>
          <w:tcPr>
            <w:tcW w:w="827" w:type="dxa"/>
            <w:tcBorders>
              <w:top w:val="single" w:color="auto" w:sz="4" w:space="0"/>
              <w:left w:val="single" w:color="auto" w:sz="4" w:space="0"/>
              <w:bottom w:val="single" w:color="auto" w:sz="4" w:space="0"/>
              <w:right w:val="single" w:color="auto" w:sz="4" w:space="0"/>
            </w:tcBorders>
            <w:noWrap w:val="0"/>
            <w:vAlign w:val="center"/>
          </w:tcPr>
          <w:p w14:paraId="5AB444AE">
            <w:pPr>
              <w:snapToGrid w:val="0"/>
              <w:spacing w:before="0" w:after="0" w:line="360" w:lineRule="auto"/>
              <w:jc w:val="center"/>
              <w:rPr>
                <w:rFonts w:hint="eastAsia" w:ascii="仿宋" w:hAnsi="仿宋" w:eastAsia="仿宋" w:cs="仿宋"/>
                <w:color w:val="auto"/>
                <w:sz w:val="24"/>
                <w:szCs w:val="24"/>
                <w:highlight w:val="none"/>
              </w:rPr>
            </w:pPr>
          </w:p>
        </w:tc>
        <w:tc>
          <w:tcPr>
            <w:tcW w:w="1865" w:type="dxa"/>
            <w:tcBorders>
              <w:top w:val="single" w:color="auto" w:sz="4" w:space="0"/>
              <w:left w:val="single" w:color="auto" w:sz="4" w:space="0"/>
              <w:bottom w:val="single" w:color="auto" w:sz="4" w:space="0"/>
              <w:right w:val="single" w:color="auto" w:sz="4" w:space="0"/>
            </w:tcBorders>
            <w:noWrap w:val="0"/>
            <w:vAlign w:val="center"/>
          </w:tcPr>
          <w:p w14:paraId="73C78D93">
            <w:pPr>
              <w:snapToGrid w:val="0"/>
              <w:spacing w:before="0" w:after="0" w:line="360" w:lineRule="auto"/>
              <w:jc w:val="center"/>
              <w:rPr>
                <w:rFonts w:hint="eastAsia" w:ascii="仿宋" w:hAnsi="仿宋" w:eastAsia="仿宋" w:cs="仿宋"/>
                <w:color w:val="auto"/>
                <w:sz w:val="24"/>
                <w:szCs w:val="24"/>
                <w:highlight w:val="none"/>
              </w:rPr>
            </w:pPr>
          </w:p>
        </w:tc>
        <w:tc>
          <w:tcPr>
            <w:tcW w:w="804" w:type="dxa"/>
            <w:tcBorders>
              <w:top w:val="single" w:color="auto" w:sz="4" w:space="0"/>
              <w:left w:val="single" w:color="auto" w:sz="4" w:space="0"/>
              <w:bottom w:val="single" w:color="auto" w:sz="4" w:space="0"/>
              <w:right w:val="single" w:color="auto" w:sz="4" w:space="0"/>
            </w:tcBorders>
            <w:noWrap w:val="0"/>
            <w:vAlign w:val="center"/>
          </w:tcPr>
          <w:p w14:paraId="25CC464C">
            <w:pPr>
              <w:snapToGrid w:val="0"/>
              <w:spacing w:before="0" w:after="0" w:line="360" w:lineRule="auto"/>
              <w:jc w:val="center"/>
              <w:rPr>
                <w:rFonts w:hint="eastAsia" w:ascii="仿宋" w:hAnsi="仿宋" w:eastAsia="仿宋" w:cs="仿宋"/>
                <w:color w:val="auto"/>
                <w:sz w:val="24"/>
                <w:szCs w:val="24"/>
                <w:highlight w:val="none"/>
              </w:rPr>
            </w:pPr>
          </w:p>
        </w:tc>
        <w:tc>
          <w:tcPr>
            <w:tcW w:w="1002" w:type="dxa"/>
            <w:tcBorders>
              <w:top w:val="single" w:color="auto" w:sz="4" w:space="0"/>
              <w:left w:val="single" w:color="auto" w:sz="4" w:space="0"/>
              <w:bottom w:val="single" w:color="auto" w:sz="4" w:space="0"/>
              <w:right w:val="single" w:color="auto" w:sz="4" w:space="0"/>
            </w:tcBorders>
            <w:noWrap w:val="0"/>
            <w:vAlign w:val="center"/>
          </w:tcPr>
          <w:p w14:paraId="7FB9C7E2">
            <w:pPr>
              <w:snapToGrid w:val="0"/>
              <w:spacing w:before="0" w:after="0" w:line="360" w:lineRule="auto"/>
              <w:jc w:val="center"/>
              <w:rPr>
                <w:rFonts w:hint="eastAsia" w:ascii="仿宋" w:hAnsi="仿宋" w:eastAsia="仿宋" w:cs="仿宋"/>
                <w:color w:val="auto"/>
                <w:sz w:val="24"/>
                <w:szCs w:val="24"/>
                <w:highlight w:val="none"/>
              </w:rPr>
            </w:pPr>
          </w:p>
        </w:tc>
        <w:tc>
          <w:tcPr>
            <w:tcW w:w="1644" w:type="dxa"/>
            <w:tcBorders>
              <w:top w:val="single" w:color="auto" w:sz="4" w:space="0"/>
              <w:left w:val="single" w:color="auto" w:sz="4" w:space="0"/>
              <w:bottom w:val="single" w:color="auto" w:sz="4" w:space="0"/>
              <w:right w:val="single" w:color="auto" w:sz="4" w:space="0"/>
            </w:tcBorders>
            <w:noWrap w:val="0"/>
            <w:vAlign w:val="top"/>
          </w:tcPr>
          <w:p w14:paraId="3F06A864">
            <w:pPr>
              <w:snapToGrid w:val="0"/>
              <w:spacing w:before="0" w:after="0" w:line="360" w:lineRule="auto"/>
              <w:jc w:val="center"/>
              <w:rPr>
                <w:rFonts w:hint="eastAsia" w:ascii="仿宋" w:hAnsi="仿宋" w:eastAsia="仿宋" w:cs="仿宋"/>
                <w:color w:val="auto"/>
                <w:sz w:val="24"/>
                <w:szCs w:val="24"/>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center"/>
          </w:tcPr>
          <w:p w14:paraId="2A453CE7">
            <w:pPr>
              <w:snapToGrid w:val="0"/>
              <w:spacing w:before="0" w:after="0" w:line="360" w:lineRule="auto"/>
              <w:jc w:val="center"/>
              <w:rPr>
                <w:rFonts w:hint="eastAsia" w:ascii="仿宋" w:hAnsi="仿宋" w:eastAsia="仿宋" w:cs="仿宋"/>
                <w:color w:val="auto"/>
                <w:sz w:val="24"/>
                <w:szCs w:val="24"/>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02D59F21">
            <w:pPr>
              <w:snapToGrid w:val="0"/>
              <w:spacing w:before="0" w:after="0" w:line="360" w:lineRule="auto"/>
              <w:jc w:val="center"/>
              <w:rPr>
                <w:rFonts w:hint="eastAsia" w:ascii="仿宋" w:hAnsi="仿宋" w:eastAsia="仿宋" w:cs="仿宋"/>
                <w:color w:val="auto"/>
                <w:sz w:val="24"/>
                <w:szCs w:val="24"/>
                <w:highlight w:val="none"/>
              </w:rPr>
            </w:pPr>
          </w:p>
        </w:tc>
        <w:tc>
          <w:tcPr>
            <w:tcW w:w="1675" w:type="dxa"/>
            <w:tcBorders>
              <w:top w:val="single" w:color="auto" w:sz="4" w:space="0"/>
              <w:left w:val="single" w:color="auto" w:sz="4" w:space="0"/>
              <w:bottom w:val="single" w:color="auto" w:sz="4" w:space="0"/>
              <w:right w:val="single" w:color="auto" w:sz="4" w:space="0"/>
            </w:tcBorders>
            <w:noWrap w:val="0"/>
            <w:vAlign w:val="center"/>
          </w:tcPr>
          <w:p w14:paraId="106BFA98">
            <w:pPr>
              <w:snapToGrid w:val="0"/>
              <w:spacing w:before="0" w:after="0" w:line="360" w:lineRule="auto"/>
              <w:jc w:val="center"/>
              <w:rPr>
                <w:rFonts w:hint="eastAsia" w:ascii="仿宋" w:hAnsi="仿宋" w:eastAsia="仿宋" w:cs="仿宋"/>
                <w:color w:val="auto"/>
                <w:sz w:val="24"/>
                <w:szCs w:val="24"/>
                <w:highlight w:val="none"/>
              </w:rPr>
            </w:pPr>
          </w:p>
        </w:tc>
      </w:tr>
      <w:tr w14:paraId="7866F8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5" w:hRule="atLeast"/>
          <w:jc w:val="center"/>
        </w:trPr>
        <w:tc>
          <w:tcPr>
            <w:tcW w:w="827" w:type="dxa"/>
            <w:tcBorders>
              <w:top w:val="single" w:color="auto" w:sz="4" w:space="0"/>
              <w:left w:val="single" w:color="auto" w:sz="4" w:space="0"/>
              <w:bottom w:val="single" w:color="auto" w:sz="4" w:space="0"/>
              <w:right w:val="single" w:color="auto" w:sz="4" w:space="0"/>
            </w:tcBorders>
            <w:noWrap w:val="0"/>
            <w:vAlign w:val="center"/>
          </w:tcPr>
          <w:p w14:paraId="24CBE26B">
            <w:pPr>
              <w:snapToGrid w:val="0"/>
              <w:spacing w:before="0" w:after="0" w:line="360" w:lineRule="auto"/>
              <w:jc w:val="center"/>
              <w:rPr>
                <w:rFonts w:hint="eastAsia" w:ascii="仿宋" w:hAnsi="仿宋" w:eastAsia="仿宋" w:cs="仿宋"/>
                <w:color w:val="auto"/>
                <w:sz w:val="24"/>
                <w:szCs w:val="24"/>
                <w:highlight w:val="none"/>
              </w:rPr>
            </w:pPr>
          </w:p>
        </w:tc>
        <w:tc>
          <w:tcPr>
            <w:tcW w:w="1865" w:type="dxa"/>
            <w:tcBorders>
              <w:top w:val="single" w:color="auto" w:sz="4" w:space="0"/>
              <w:left w:val="single" w:color="auto" w:sz="4" w:space="0"/>
              <w:bottom w:val="single" w:color="auto" w:sz="4" w:space="0"/>
              <w:right w:val="single" w:color="auto" w:sz="4" w:space="0"/>
            </w:tcBorders>
            <w:noWrap w:val="0"/>
            <w:vAlign w:val="center"/>
          </w:tcPr>
          <w:p w14:paraId="260F03BC">
            <w:pPr>
              <w:snapToGrid w:val="0"/>
              <w:spacing w:before="0" w:after="0" w:line="360" w:lineRule="auto"/>
              <w:jc w:val="center"/>
              <w:rPr>
                <w:rFonts w:hint="eastAsia" w:ascii="仿宋" w:hAnsi="仿宋" w:eastAsia="仿宋" w:cs="仿宋"/>
                <w:color w:val="auto"/>
                <w:sz w:val="24"/>
                <w:szCs w:val="24"/>
                <w:highlight w:val="none"/>
              </w:rPr>
            </w:pPr>
          </w:p>
        </w:tc>
        <w:tc>
          <w:tcPr>
            <w:tcW w:w="804" w:type="dxa"/>
            <w:tcBorders>
              <w:top w:val="single" w:color="auto" w:sz="4" w:space="0"/>
              <w:left w:val="single" w:color="auto" w:sz="4" w:space="0"/>
              <w:bottom w:val="single" w:color="auto" w:sz="4" w:space="0"/>
              <w:right w:val="single" w:color="auto" w:sz="4" w:space="0"/>
            </w:tcBorders>
            <w:noWrap w:val="0"/>
            <w:vAlign w:val="center"/>
          </w:tcPr>
          <w:p w14:paraId="6CE8313B">
            <w:pPr>
              <w:snapToGrid w:val="0"/>
              <w:spacing w:before="0" w:after="0" w:line="360" w:lineRule="auto"/>
              <w:jc w:val="center"/>
              <w:rPr>
                <w:rFonts w:hint="eastAsia" w:ascii="仿宋" w:hAnsi="仿宋" w:eastAsia="仿宋" w:cs="仿宋"/>
                <w:color w:val="auto"/>
                <w:sz w:val="24"/>
                <w:szCs w:val="24"/>
                <w:highlight w:val="none"/>
              </w:rPr>
            </w:pPr>
          </w:p>
        </w:tc>
        <w:tc>
          <w:tcPr>
            <w:tcW w:w="1002" w:type="dxa"/>
            <w:tcBorders>
              <w:top w:val="single" w:color="auto" w:sz="4" w:space="0"/>
              <w:left w:val="single" w:color="auto" w:sz="4" w:space="0"/>
              <w:bottom w:val="single" w:color="auto" w:sz="4" w:space="0"/>
              <w:right w:val="single" w:color="auto" w:sz="4" w:space="0"/>
            </w:tcBorders>
            <w:noWrap w:val="0"/>
            <w:vAlign w:val="center"/>
          </w:tcPr>
          <w:p w14:paraId="395FFA31">
            <w:pPr>
              <w:snapToGrid w:val="0"/>
              <w:spacing w:before="0" w:after="0" w:line="360" w:lineRule="auto"/>
              <w:jc w:val="center"/>
              <w:rPr>
                <w:rFonts w:hint="eastAsia" w:ascii="仿宋" w:hAnsi="仿宋" w:eastAsia="仿宋" w:cs="仿宋"/>
                <w:color w:val="auto"/>
                <w:sz w:val="24"/>
                <w:szCs w:val="24"/>
                <w:highlight w:val="none"/>
              </w:rPr>
            </w:pPr>
          </w:p>
        </w:tc>
        <w:tc>
          <w:tcPr>
            <w:tcW w:w="1644" w:type="dxa"/>
            <w:tcBorders>
              <w:top w:val="single" w:color="auto" w:sz="4" w:space="0"/>
              <w:left w:val="single" w:color="auto" w:sz="4" w:space="0"/>
              <w:bottom w:val="single" w:color="auto" w:sz="4" w:space="0"/>
              <w:right w:val="single" w:color="auto" w:sz="4" w:space="0"/>
            </w:tcBorders>
            <w:noWrap w:val="0"/>
            <w:vAlign w:val="top"/>
          </w:tcPr>
          <w:p w14:paraId="4E184FD8">
            <w:pPr>
              <w:snapToGrid w:val="0"/>
              <w:spacing w:before="0" w:after="0" w:line="360" w:lineRule="auto"/>
              <w:jc w:val="center"/>
              <w:rPr>
                <w:rFonts w:hint="eastAsia" w:ascii="仿宋" w:hAnsi="仿宋" w:eastAsia="仿宋" w:cs="仿宋"/>
                <w:color w:val="auto"/>
                <w:sz w:val="24"/>
                <w:szCs w:val="24"/>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center"/>
          </w:tcPr>
          <w:p w14:paraId="141919FA">
            <w:pPr>
              <w:snapToGrid w:val="0"/>
              <w:spacing w:before="0" w:after="0" w:line="360" w:lineRule="auto"/>
              <w:jc w:val="center"/>
              <w:rPr>
                <w:rFonts w:hint="eastAsia" w:ascii="仿宋" w:hAnsi="仿宋" w:eastAsia="仿宋" w:cs="仿宋"/>
                <w:color w:val="auto"/>
                <w:sz w:val="24"/>
                <w:szCs w:val="24"/>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260E073B">
            <w:pPr>
              <w:snapToGrid w:val="0"/>
              <w:spacing w:before="0" w:after="0" w:line="360" w:lineRule="auto"/>
              <w:jc w:val="center"/>
              <w:rPr>
                <w:rFonts w:hint="eastAsia" w:ascii="仿宋" w:hAnsi="仿宋" w:eastAsia="仿宋" w:cs="仿宋"/>
                <w:color w:val="auto"/>
                <w:sz w:val="24"/>
                <w:szCs w:val="24"/>
                <w:highlight w:val="none"/>
              </w:rPr>
            </w:pPr>
          </w:p>
        </w:tc>
        <w:tc>
          <w:tcPr>
            <w:tcW w:w="1675" w:type="dxa"/>
            <w:tcBorders>
              <w:top w:val="single" w:color="auto" w:sz="4" w:space="0"/>
              <w:left w:val="single" w:color="auto" w:sz="4" w:space="0"/>
              <w:bottom w:val="single" w:color="auto" w:sz="4" w:space="0"/>
              <w:right w:val="single" w:color="auto" w:sz="4" w:space="0"/>
            </w:tcBorders>
            <w:noWrap w:val="0"/>
            <w:vAlign w:val="center"/>
          </w:tcPr>
          <w:p w14:paraId="644D5610">
            <w:pPr>
              <w:snapToGrid w:val="0"/>
              <w:spacing w:before="0" w:after="0" w:line="360" w:lineRule="auto"/>
              <w:jc w:val="center"/>
              <w:rPr>
                <w:rFonts w:hint="eastAsia" w:ascii="仿宋" w:hAnsi="仿宋" w:eastAsia="仿宋" w:cs="仿宋"/>
                <w:color w:val="auto"/>
                <w:sz w:val="24"/>
                <w:szCs w:val="24"/>
                <w:highlight w:val="none"/>
              </w:rPr>
            </w:pPr>
          </w:p>
        </w:tc>
      </w:tr>
      <w:tr w14:paraId="703C1B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jc w:val="center"/>
        </w:trPr>
        <w:tc>
          <w:tcPr>
            <w:tcW w:w="827" w:type="dxa"/>
            <w:tcBorders>
              <w:top w:val="single" w:color="auto" w:sz="4" w:space="0"/>
              <w:left w:val="single" w:color="auto" w:sz="4" w:space="0"/>
              <w:bottom w:val="single" w:color="auto" w:sz="4" w:space="0"/>
              <w:right w:val="single" w:color="auto" w:sz="4" w:space="0"/>
            </w:tcBorders>
            <w:noWrap w:val="0"/>
            <w:vAlign w:val="center"/>
          </w:tcPr>
          <w:p w14:paraId="0C9F799F">
            <w:pPr>
              <w:snapToGrid w:val="0"/>
              <w:spacing w:before="0" w:after="0" w:line="360" w:lineRule="auto"/>
              <w:jc w:val="center"/>
              <w:rPr>
                <w:rFonts w:hint="eastAsia" w:ascii="仿宋" w:hAnsi="仿宋" w:eastAsia="仿宋" w:cs="仿宋"/>
                <w:color w:val="auto"/>
                <w:sz w:val="24"/>
                <w:szCs w:val="24"/>
                <w:highlight w:val="none"/>
              </w:rPr>
            </w:pPr>
          </w:p>
        </w:tc>
        <w:tc>
          <w:tcPr>
            <w:tcW w:w="1865" w:type="dxa"/>
            <w:tcBorders>
              <w:top w:val="single" w:color="auto" w:sz="4" w:space="0"/>
              <w:left w:val="single" w:color="auto" w:sz="4" w:space="0"/>
              <w:bottom w:val="single" w:color="auto" w:sz="4" w:space="0"/>
              <w:right w:val="single" w:color="auto" w:sz="4" w:space="0"/>
            </w:tcBorders>
            <w:noWrap w:val="0"/>
            <w:vAlign w:val="center"/>
          </w:tcPr>
          <w:p w14:paraId="41B4B8EA">
            <w:pPr>
              <w:snapToGrid w:val="0"/>
              <w:spacing w:before="0" w:after="0" w:line="360" w:lineRule="auto"/>
              <w:jc w:val="center"/>
              <w:rPr>
                <w:rFonts w:hint="eastAsia" w:ascii="仿宋" w:hAnsi="仿宋" w:eastAsia="仿宋" w:cs="仿宋"/>
                <w:color w:val="auto"/>
                <w:sz w:val="24"/>
                <w:szCs w:val="24"/>
                <w:highlight w:val="none"/>
              </w:rPr>
            </w:pPr>
          </w:p>
        </w:tc>
        <w:tc>
          <w:tcPr>
            <w:tcW w:w="804" w:type="dxa"/>
            <w:tcBorders>
              <w:top w:val="single" w:color="auto" w:sz="4" w:space="0"/>
              <w:left w:val="single" w:color="auto" w:sz="4" w:space="0"/>
              <w:bottom w:val="single" w:color="auto" w:sz="4" w:space="0"/>
              <w:right w:val="single" w:color="auto" w:sz="4" w:space="0"/>
            </w:tcBorders>
            <w:noWrap w:val="0"/>
            <w:vAlign w:val="center"/>
          </w:tcPr>
          <w:p w14:paraId="4762B27E">
            <w:pPr>
              <w:snapToGrid w:val="0"/>
              <w:spacing w:before="0" w:after="0" w:line="360" w:lineRule="auto"/>
              <w:jc w:val="center"/>
              <w:rPr>
                <w:rFonts w:hint="eastAsia" w:ascii="仿宋" w:hAnsi="仿宋" w:eastAsia="仿宋" w:cs="仿宋"/>
                <w:color w:val="auto"/>
                <w:sz w:val="24"/>
                <w:szCs w:val="24"/>
                <w:highlight w:val="none"/>
              </w:rPr>
            </w:pPr>
          </w:p>
        </w:tc>
        <w:tc>
          <w:tcPr>
            <w:tcW w:w="1002" w:type="dxa"/>
            <w:tcBorders>
              <w:top w:val="single" w:color="auto" w:sz="4" w:space="0"/>
              <w:left w:val="single" w:color="auto" w:sz="4" w:space="0"/>
              <w:bottom w:val="single" w:color="auto" w:sz="4" w:space="0"/>
              <w:right w:val="single" w:color="auto" w:sz="4" w:space="0"/>
            </w:tcBorders>
            <w:noWrap w:val="0"/>
            <w:vAlign w:val="center"/>
          </w:tcPr>
          <w:p w14:paraId="25204972">
            <w:pPr>
              <w:snapToGrid w:val="0"/>
              <w:spacing w:before="0" w:after="0" w:line="360" w:lineRule="auto"/>
              <w:jc w:val="center"/>
              <w:rPr>
                <w:rFonts w:hint="eastAsia" w:ascii="仿宋" w:hAnsi="仿宋" w:eastAsia="仿宋" w:cs="仿宋"/>
                <w:color w:val="auto"/>
                <w:sz w:val="24"/>
                <w:szCs w:val="24"/>
                <w:highlight w:val="none"/>
              </w:rPr>
            </w:pPr>
          </w:p>
        </w:tc>
        <w:tc>
          <w:tcPr>
            <w:tcW w:w="1644" w:type="dxa"/>
            <w:tcBorders>
              <w:top w:val="single" w:color="auto" w:sz="4" w:space="0"/>
              <w:left w:val="single" w:color="auto" w:sz="4" w:space="0"/>
              <w:bottom w:val="single" w:color="auto" w:sz="4" w:space="0"/>
              <w:right w:val="single" w:color="auto" w:sz="4" w:space="0"/>
            </w:tcBorders>
            <w:noWrap w:val="0"/>
            <w:vAlign w:val="top"/>
          </w:tcPr>
          <w:p w14:paraId="092E31CE">
            <w:pPr>
              <w:snapToGrid w:val="0"/>
              <w:spacing w:before="0" w:after="0" w:line="360" w:lineRule="auto"/>
              <w:jc w:val="center"/>
              <w:rPr>
                <w:rFonts w:hint="eastAsia" w:ascii="仿宋" w:hAnsi="仿宋" w:eastAsia="仿宋" w:cs="仿宋"/>
                <w:color w:val="auto"/>
                <w:sz w:val="24"/>
                <w:szCs w:val="24"/>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center"/>
          </w:tcPr>
          <w:p w14:paraId="0EE8FEF8">
            <w:pPr>
              <w:snapToGrid w:val="0"/>
              <w:spacing w:before="0" w:after="0" w:line="360" w:lineRule="auto"/>
              <w:jc w:val="center"/>
              <w:rPr>
                <w:rFonts w:hint="eastAsia" w:ascii="仿宋" w:hAnsi="仿宋" w:eastAsia="仿宋" w:cs="仿宋"/>
                <w:color w:val="auto"/>
                <w:sz w:val="24"/>
                <w:szCs w:val="24"/>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53681E51">
            <w:pPr>
              <w:snapToGrid w:val="0"/>
              <w:spacing w:before="0" w:after="0" w:line="360" w:lineRule="auto"/>
              <w:jc w:val="center"/>
              <w:rPr>
                <w:rFonts w:hint="eastAsia" w:ascii="仿宋" w:hAnsi="仿宋" w:eastAsia="仿宋" w:cs="仿宋"/>
                <w:color w:val="auto"/>
                <w:sz w:val="24"/>
                <w:szCs w:val="24"/>
                <w:highlight w:val="none"/>
              </w:rPr>
            </w:pPr>
          </w:p>
        </w:tc>
        <w:tc>
          <w:tcPr>
            <w:tcW w:w="1675" w:type="dxa"/>
            <w:tcBorders>
              <w:top w:val="single" w:color="auto" w:sz="4" w:space="0"/>
              <w:left w:val="single" w:color="auto" w:sz="4" w:space="0"/>
              <w:bottom w:val="single" w:color="auto" w:sz="4" w:space="0"/>
              <w:right w:val="single" w:color="auto" w:sz="4" w:space="0"/>
            </w:tcBorders>
            <w:noWrap w:val="0"/>
            <w:vAlign w:val="center"/>
          </w:tcPr>
          <w:p w14:paraId="20C1BD12">
            <w:pPr>
              <w:snapToGrid w:val="0"/>
              <w:spacing w:before="0" w:after="0" w:line="360" w:lineRule="auto"/>
              <w:jc w:val="center"/>
              <w:rPr>
                <w:rFonts w:hint="eastAsia" w:ascii="仿宋" w:hAnsi="仿宋" w:eastAsia="仿宋" w:cs="仿宋"/>
                <w:color w:val="auto"/>
                <w:sz w:val="24"/>
                <w:szCs w:val="24"/>
                <w:highlight w:val="none"/>
              </w:rPr>
            </w:pPr>
          </w:p>
        </w:tc>
      </w:tr>
    </w:tbl>
    <w:p w14:paraId="6F96300E">
      <w:pPr>
        <w:snapToGrid w:val="0"/>
        <w:spacing w:before="0" w:after="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p w14:paraId="3CE3279A">
      <w:pPr>
        <w:snapToGrid w:val="0"/>
        <w:spacing w:before="0" w:after="0"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以上设备性能配置清单中“货物名称、数量及单位、品牌、规格型号、制造商、原产地、参数性能、指标及配置”必须如实填写完整，品牌、规格型号没有则填无，填写有缺漏</w:t>
      </w:r>
      <w:r>
        <w:rPr>
          <w:rFonts w:hint="eastAsia" w:ascii="仿宋" w:hAnsi="仿宋" w:eastAsia="仿宋" w:cs="仿宋"/>
          <w:bCs/>
          <w:color w:val="auto"/>
          <w:sz w:val="24"/>
          <w:szCs w:val="24"/>
          <w:highlight w:val="none"/>
        </w:rPr>
        <w:t>的，</w:t>
      </w:r>
      <w:r>
        <w:rPr>
          <w:rFonts w:hint="eastAsia" w:ascii="仿宋" w:hAnsi="仿宋" w:eastAsia="仿宋" w:cs="仿宋"/>
          <w:b/>
          <w:color w:val="auto"/>
          <w:sz w:val="24"/>
          <w:szCs w:val="24"/>
          <w:highlight w:val="none"/>
        </w:rPr>
        <w:t>作无效投标处理。</w:t>
      </w:r>
    </w:p>
    <w:p w14:paraId="4FA6F0C6">
      <w:pPr>
        <w:snapToGrid w:val="0"/>
        <w:spacing w:before="0" w:after="0" w:line="360" w:lineRule="auto"/>
        <w:ind w:firstLine="482" w:firstLineChars="200"/>
        <w:rPr>
          <w:rFonts w:hint="eastAsia" w:ascii="仿宋" w:hAnsi="仿宋" w:eastAsia="仿宋" w:cs="仿宋"/>
          <w:b/>
          <w:color w:val="auto"/>
          <w:sz w:val="24"/>
          <w:szCs w:val="24"/>
          <w:highlight w:val="none"/>
        </w:rPr>
      </w:pPr>
    </w:p>
    <w:p w14:paraId="3F376119">
      <w:pPr>
        <w:snapToGrid w:val="0"/>
        <w:spacing w:before="0" w:after="0" w:line="360" w:lineRule="auto"/>
        <w:ind w:firstLine="482" w:firstLineChars="200"/>
        <w:rPr>
          <w:rFonts w:hint="eastAsia" w:ascii="仿宋" w:hAnsi="仿宋" w:eastAsia="仿宋" w:cs="仿宋"/>
          <w:b/>
          <w:color w:val="auto"/>
          <w:sz w:val="24"/>
          <w:szCs w:val="24"/>
          <w:highlight w:val="none"/>
        </w:rPr>
      </w:pPr>
    </w:p>
    <w:p w14:paraId="5608603F">
      <w:pPr>
        <w:pStyle w:val="27"/>
        <w:spacing w:line="360" w:lineRule="auto"/>
        <w:rPr>
          <w:rFonts w:hint="eastAsia" w:ascii="仿宋" w:hAnsi="仿宋" w:eastAsia="仿宋" w:cs="仿宋"/>
          <w:color w:val="auto"/>
          <w:spacing w:val="20"/>
          <w:sz w:val="24"/>
          <w:szCs w:val="24"/>
          <w:highlight w:val="none"/>
          <w:u w:val="single"/>
        </w:rPr>
      </w:pPr>
      <w:r>
        <w:rPr>
          <w:rFonts w:hint="eastAsia" w:ascii="仿宋" w:hAnsi="仿宋" w:eastAsia="仿宋" w:cs="仿宋"/>
          <w:color w:val="auto"/>
          <w:spacing w:val="20"/>
          <w:kern w:val="2"/>
          <w:sz w:val="24"/>
          <w:szCs w:val="24"/>
          <w:highlight w:val="none"/>
        </w:rPr>
        <w:t>法定代表人或者委托代理人签字[或盖章(CA签章)]（属自然人的应在签名处加盖大拇指指印或个人CA签章）</w:t>
      </w:r>
      <w:r>
        <w:rPr>
          <w:rFonts w:hint="eastAsia" w:ascii="仿宋" w:hAnsi="仿宋" w:eastAsia="仿宋" w:cs="仿宋"/>
          <w:color w:val="auto"/>
          <w:spacing w:val="20"/>
          <w:sz w:val="24"/>
          <w:szCs w:val="24"/>
          <w:highlight w:val="none"/>
        </w:rPr>
        <w:t>：</w:t>
      </w:r>
      <w:r>
        <w:rPr>
          <w:rFonts w:hint="eastAsia" w:ascii="仿宋" w:hAnsi="仿宋" w:eastAsia="仿宋" w:cs="仿宋"/>
          <w:color w:val="auto"/>
          <w:spacing w:val="20"/>
          <w:sz w:val="24"/>
          <w:szCs w:val="24"/>
          <w:highlight w:val="none"/>
          <w:u w:val="single"/>
        </w:rPr>
        <w:t xml:space="preserve">        </w:t>
      </w:r>
    </w:p>
    <w:p w14:paraId="62CD1B56">
      <w:pPr>
        <w:snapToGrid w:val="0"/>
        <w:spacing w:before="0" w:after="0" w:line="360" w:lineRule="auto"/>
        <w:rPr>
          <w:rFonts w:hint="eastAsia" w:ascii="仿宋" w:hAnsi="仿宋" w:eastAsia="仿宋" w:cs="仿宋"/>
          <w:color w:val="auto"/>
          <w:spacing w:val="20"/>
          <w:sz w:val="24"/>
          <w:szCs w:val="24"/>
          <w:highlight w:val="none"/>
        </w:rPr>
      </w:pPr>
      <w:r>
        <w:rPr>
          <w:rFonts w:hint="eastAsia" w:ascii="仿宋" w:hAnsi="仿宋" w:eastAsia="仿宋" w:cs="仿宋"/>
          <w:color w:val="auto"/>
          <w:spacing w:val="20"/>
          <w:sz w:val="24"/>
          <w:szCs w:val="24"/>
          <w:highlight w:val="none"/>
        </w:rPr>
        <w:t>投标人[</w:t>
      </w:r>
      <w:r>
        <w:rPr>
          <w:rFonts w:hint="eastAsia" w:ascii="仿宋" w:hAnsi="仿宋" w:eastAsia="仿宋" w:cs="仿宋"/>
          <w:color w:val="auto"/>
          <w:spacing w:val="20"/>
          <w:sz w:val="24"/>
          <w:szCs w:val="24"/>
          <w:highlight w:val="none"/>
          <w:lang w:eastAsia="zh-CN"/>
        </w:rPr>
        <w:t>公章(或CA签章)</w:t>
      </w:r>
      <w:r>
        <w:rPr>
          <w:rFonts w:hint="eastAsia" w:ascii="仿宋" w:hAnsi="仿宋" w:eastAsia="仿宋" w:cs="仿宋"/>
          <w:color w:val="auto"/>
          <w:spacing w:val="20"/>
          <w:sz w:val="24"/>
          <w:szCs w:val="24"/>
          <w:highlight w:val="none"/>
        </w:rPr>
        <w:t>、自然人除外]：</w:t>
      </w:r>
      <w:r>
        <w:rPr>
          <w:rFonts w:hint="eastAsia" w:ascii="仿宋" w:hAnsi="仿宋" w:eastAsia="仿宋" w:cs="仿宋"/>
          <w:color w:val="auto"/>
          <w:spacing w:val="20"/>
          <w:sz w:val="24"/>
          <w:szCs w:val="24"/>
          <w:highlight w:val="none"/>
          <w:u w:val="single"/>
        </w:rPr>
        <w:t xml:space="preserve">            </w:t>
      </w:r>
      <w:r>
        <w:rPr>
          <w:rFonts w:hint="eastAsia" w:ascii="仿宋" w:hAnsi="仿宋" w:eastAsia="仿宋" w:cs="仿宋"/>
          <w:color w:val="auto"/>
          <w:spacing w:val="20"/>
          <w:sz w:val="24"/>
          <w:szCs w:val="24"/>
          <w:highlight w:val="none"/>
        </w:rPr>
        <w:t xml:space="preserve">              </w:t>
      </w:r>
    </w:p>
    <w:p w14:paraId="368F1807">
      <w:pPr>
        <w:snapToGrid w:val="0"/>
        <w:spacing w:before="0" w:after="0" w:line="360" w:lineRule="auto"/>
        <w:rPr>
          <w:rFonts w:hint="eastAsia" w:ascii="仿宋" w:hAnsi="仿宋" w:eastAsia="仿宋" w:cs="仿宋"/>
          <w:color w:val="auto"/>
          <w:sz w:val="24"/>
          <w:szCs w:val="24"/>
          <w:highlight w:val="none"/>
        </w:rPr>
      </w:pPr>
      <w:r>
        <w:rPr>
          <w:rFonts w:hint="eastAsia" w:ascii="仿宋" w:hAnsi="仿宋" w:eastAsia="仿宋" w:cs="仿宋"/>
          <w:color w:val="auto"/>
          <w:spacing w:val="20"/>
          <w:sz w:val="24"/>
          <w:szCs w:val="24"/>
          <w:highlight w:val="none"/>
        </w:rPr>
        <w:t>日  期：</w:t>
      </w:r>
      <w:r>
        <w:rPr>
          <w:rFonts w:hint="eastAsia" w:ascii="仿宋" w:hAnsi="仿宋" w:eastAsia="仿宋" w:cs="仿宋"/>
          <w:color w:val="auto"/>
          <w:spacing w:val="20"/>
          <w:sz w:val="24"/>
          <w:szCs w:val="24"/>
          <w:highlight w:val="none"/>
          <w:u w:val="single"/>
        </w:rPr>
        <w:t xml:space="preserve">          </w:t>
      </w:r>
    </w:p>
    <w:p w14:paraId="1AB03905">
      <w:pPr>
        <w:snapToGrid w:val="0"/>
        <w:spacing w:before="50" w:after="120" w:afterLines="50" w:line="360" w:lineRule="auto"/>
        <w:jc w:val="left"/>
        <w:rPr>
          <w:rFonts w:hint="eastAsia" w:ascii="仿宋" w:hAnsi="仿宋" w:eastAsia="仿宋" w:cs="仿宋"/>
          <w:color w:val="auto"/>
          <w:sz w:val="24"/>
          <w:szCs w:val="24"/>
          <w:highlight w:val="none"/>
        </w:rPr>
      </w:pPr>
    </w:p>
    <w:p w14:paraId="2D2A3295">
      <w:pP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br w:type="page"/>
      </w:r>
    </w:p>
    <w:p w14:paraId="10D26CA2">
      <w:pP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五、其他文书、文件格式</w:t>
      </w:r>
    </w:p>
    <w:p w14:paraId="2C821D7B">
      <w:pPr>
        <w:snapToGrid w:val="0"/>
        <w:spacing w:before="120" w:beforeLines="50" w:after="50"/>
        <w:ind w:left="142"/>
        <w:jc w:val="left"/>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1.联合投标协议书格式</w:t>
      </w:r>
    </w:p>
    <w:p w14:paraId="6E8238A5">
      <w:pPr>
        <w:snapToGrid w:val="0"/>
        <w:spacing w:before="120" w:beforeLines="50" w:after="50"/>
        <w:ind w:left="142"/>
        <w:jc w:val="left"/>
        <w:rPr>
          <w:rFonts w:hint="eastAsia" w:ascii="仿宋" w:hAnsi="仿宋" w:eastAsia="仿宋" w:cs="仿宋"/>
          <w:b/>
          <w:color w:val="auto"/>
          <w:spacing w:val="20"/>
          <w:sz w:val="24"/>
          <w:highlight w:val="none"/>
        </w:rPr>
      </w:pPr>
    </w:p>
    <w:p w14:paraId="532EE440">
      <w:pPr>
        <w:pStyle w:val="9"/>
        <w:overflowPunct w:val="0"/>
        <w:jc w:val="center"/>
        <w:rPr>
          <w:rFonts w:hint="eastAsia" w:ascii="仿宋" w:hAnsi="仿宋" w:eastAsia="仿宋" w:cs="仿宋"/>
          <w:color w:val="auto"/>
          <w:sz w:val="44"/>
          <w:szCs w:val="44"/>
          <w:highlight w:val="none"/>
        </w:rPr>
      </w:pPr>
      <w:r>
        <w:rPr>
          <w:rFonts w:hint="eastAsia" w:ascii="仿宋" w:hAnsi="仿宋" w:eastAsia="仿宋" w:cs="仿宋"/>
          <w:color w:val="auto"/>
          <w:sz w:val="44"/>
          <w:szCs w:val="44"/>
          <w:highlight w:val="none"/>
        </w:rPr>
        <w:t>联合体协议书</w:t>
      </w:r>
    </w:p>
    <w:p w14:paraId="32993F5E">
      <w:pPr>
        <w:pStyle w:val="9"/>
        <w:overflowPunct w:val="0"/>
        <w:rPr>
          <w:rFonts w:hint="eastAsia" w:ascii="仿宋" w:hAnsi="仿宋" w:eastAsia="仿宋" w:cs="仿宋"/>
          <w:color w:val="auto"/>
          <w:sz w:val="24"/>
          <w:highlight w:val="none"/>
        </w:rPr>
      </w:pPr>
    </w:p>
    <w:p w14:paraId="0CC308EE">
      <w:pPr>
        <w:pStyle w:val="9"/>
        <w:overflowPunct w:val="0"/>
        <w:spacing w:line="360" w:lineRule="auto"/>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rPr>
        <w:t>（所有成员单位名称）自愿组成</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rPr>
        <w:t>（联合体名称）联合体，共同参加</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 xml:space="preserve">（项目名称）      </w:t>
      </w:r>
      <w:r>
        <w:rPr>
          <w:rFonts w:hint="eastAsia" w:ascii="仿宋" w:hAnsi="仿宋" w:eastAsia="仿宋" w:cs="仿宋"/>
          <w:color w:val="auto"/>
          <w:sz w:val="24"/>
          <w:highlight w:val="none"/>
        </w:rPr>
        <w:t>采购招标项目投标。现就联合体投标事宜订立如下协议。</w:t>
      </w:r>
    </w:p>
    <w:p w14:paraId="314F8969">
      <w:pPr>
        <w:pStyle w:val="9"/>
        <w:overflowPunct w:val="0"/>
        <w:spacing w:line="360" w:lineRule="auto"/>
        <w:ind w:firstLineChars="175"/>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  </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rPr>
        <w:t>（某成员单位名称）为</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（联合体名称）牵头人。</w:t>
      </w:r>
    </w:p>
    <w:p w14:paraId="767BFC52">
      <w:pPr>
        <w:pStyle w:val="9"/>
        <w:overflowPunct w:val="0"/>
        <w:spacing w:line="360" w:lineRule="auto"/>
        <w:ind w:firstLineChars="175"/>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2.联合体各成员授权牵头人代表联合体参加投标活动，签署文件及对文件的盖章，提交和接收相关的资料、信息及指示，进行合同谈判活动，负责合同实施阶段的组织和协调工作，以及处理与本招标项目有关的一切事宜。</w:t>
      </w:r>
    </w:p>
    <w:p w14:paraId="21411B81">
      <w:pPr>
        <w:pStyle w:val="9"/>
        <w:overflowPunct w:val="0"/>
        <w:spacing w:line="360" w:lineRule="auto"/>
        <w:ind w:firstLineChars="175"/>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3.联合体牵头人在本项目中签署和盖章的一切文件和处理的一切事宜，联合体各成员均予以承认。联合体各成员将严格按照招标文件、投标文件和合同的要求全面履行义务，并向采购人承担连带责任。</w:t>
      </w:r>
    </w:p>
    <w:p w14:paraId="4B14A8F3">
      <w:pPr>
        <w:pStyle w:val="9"/>
        <w:overflowPunct w:val="0"/>
        <w:spacing w:line="360" w:lineRule="auto"/>
        <w:ind w:firstLineChars="175"/>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4.联合体各成员单位内部的职责分工如下：</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p>
    <w:p w14:paraId="7FBE902F">
      <w:pPr>
        <w:pStyle w:val="9"/>
        <w:overflowPunct w:val="0"/>
        <w:spacing w:line="360" w:lineRule="auto"/>
        <w:ind w:firstLineChars="175"/>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5.本协议书自所有成员单位法定代表人或者其委托代理人签字或者盖公章之日起生效，合同履行完毕后自动失效。</w:t>
      </w:r>
    </w:p>
    <w:p w14:paraId="2640C519">
      <w:pPr>
        <w:pStyle w:val="9"/>
        <w:overflowPunct w:val="0"/>
        <w:spacing w:line="360" w:lineRule="auto"/>
        <w:ind w:firstLineChars="175"/>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6.本协议书一式</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rPr>
        <w:t>份，联合体成员和采购人各执一份。</w:t>
      </w:r>
    </w:p>
    <w:p w14:paraId="3D67C343">
      <w:pPr>
        <w:pStyle w:val="9"/>
        <w:overflowPunct w:val="0"/>
        <w:spacing w:line="360" w:lineRule="auto"/>
        <w:ind w:firstLineChars="175"/>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注：本协议书由法定代表人签字的，应附法定代表人身份证明；由委托代理人签字的，应附授权委托书。</w:t>
      </w:r>
    </w:p>
    <w:p w14:paraId="5F95469C">
      <w:pPr>
        <w:pStyle w:val="9"/>
        <w:overflowPunct w:val="0"/>
        <w:spacing w:line="360" w:lineRule="auto"/>
        <w:ind w:firstLineChars="175"/>
        <w:contextualSpacing/>
        <w:rPr>
          <w:rFonts w:hint="eastAsia" w:ascii="仿宋" w:hAnsi="仿宋" w:eastAsia="仿宋" w:cs="仿宋"/>
          <w:color w:val="auto"/>
          <w:sz w:val="24"/>
          <w:highlight w:val="none"/>
        </w:rPr>
      </w:pPr>
    </w:p>
    <w:p w14:paraId="3793DDD4">
      <w:pPr>
        <w:pStyle w:val="9"/>
        <w:overflowPunct w:val="0"/>
        <w:spacing w:line="360" w:lineRule="auto"/>
        <w:ind w:firstLineChars="175"/>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联合体牵头人名称（盖公章）：</w:t>
      </w:r>
    </w:p>
    <w:p w14:paraId="395C39F1">
      <w:pPr>
        <w:pStyle w:val="9"/>
        <w:overflowPunct w:val="0"/>
        <w:spacing w:line="360" w:lineRule="auto"/>
        <w:ind w:firstLineChars="175"/>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法定代表人或者其委托代理人：</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（签字）</w:t>
      </w:r>
    </w:p>
    <w:p w14:paraId="1C1786C5">
      <w:pPr>
        <w:pStyle w:val="9"/>
        <w:overflowPunct w:val="0"/>
        <w:spacing w:line="360" w:lineRule="auto"/>
        <w:ind w:firstLineChars="175"/>
        <w:contextualSpacing/>
        <w:rPr>
          <w:rFonts w:hint="eastAsia" w:ascii="仿宋" w:hAnsi="仿宋" w:eastAsia="仿宋" w:cs="仿宋"/>
          <w:color w:val="auto"/>
          <w:sz w:val="24"/>
          <w:highlight w:val="none"/>
        </w:rPr>
      </w:pPr>
    </w:p>
    <w:p w14:paraId="3729D42E">
      <w:pPr>
        <w:pStyle w:val="9"/>
        <w:overflowPunct w:val="0"/>
        <w:spacing w:line="360" w:lineRule="auto"/>
        <w:ind w:firstLineChars="175"/>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联合体成员名称（盖公章）：</w:t>
      </w:r>
    </w:p>
    <w:p w14:paraId="5492A45F">
      <w:pPr>
        <w:pStyle w:val="9"/>
        <w:overflowPunct w:val="0"/>
        <w:spacing w:line="360" w:lineRule="auto"/>
        <w:ind w:firstLineChars="175"/>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法定代表人或者其委托代理人：</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（签字）</w:t>
      </w:r>
    </w:p>
    <w:p w14:paraId="2FBFE9BA">
      <w:pPr>
        <w:pStyle w:val="9"/>
        <w:overflowPunct w:val="0"/>
        <w:spacing w:line="360" w:lineRule="auto"/>
        <w:ind w:firstLineChars="175"/>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3E826DE5">
      <w:pPr>
        <w:pStyle w:val="9"/>
        <w:overflowPunct w:val="0"/>
        <w:spacing w:line="360" w:lineRule="auto"/>
        <w:ind w:firstLineChars="175"/>
        <w:contextualSpacing/>
        <w:rPr>
          <w:rFonts w:hint="eastAsia" w:ascii="仿宋" w:hAnsi="仿宋" w:eastAsia="仿宋" w:cs="仿宋"/>
          <w:color w:val="auto"/>
          <w:sz w:val="24"/>
          <w:highlight w:val="none"/>
        </w:rPr>
      </w:pPr>
    </w:p>
    <w:p w14:paraId="56E30E25">
      <w:pPr>
        <w:pStyle w:val="9"/>
        <w:overflowPunct w:val="0"/>
        <w:spacing w:line="360" w:lineRule="auto"/>
        <w:ind w:firstLineChars="175"/>
        <w:contextualSpacing/>
        <w:jc w:val="right"/>
        <w:rPr>
          <w:rFonts w:hint="eastAsia" w:ascii="仿宋" w:hAnsi="仿宋" w:eastAsia="仿宋" w:cs="仿宋"/>
          <w:b/>
          <w:color w:val="auto"/>
          <w:sz w:val="24"/>
          <w:highlight w:val="none"/>
        </w:rPr>
      </w:pP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年</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月</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日</w:t>
      </w:r>
    </w:p>
    <w:p w14:paraId="1F077A0D">
      <w:pPr>
        <w:snapToGrid w:val="0"/>
        <w:spacing w:before="120" w:beforeLines="50" w:after="50"/>
        <w:jc w:val="left"/>
        <w:rPr>
          <w:rFonts w:hint="eastAsia" w:ascii="仿宋" w:hAnsi="仿宋" w:eastAsia="仿宋" w:cs="仿宋"/>
          <w:color w:val="auto"/>
          <w:highlight w:val="none"/>
        </w:rPr>
      </w:pPr>
      <w:r>
        <w:rPr>
          <w:rFonts w:hint="eastAsia" w:ascii="仿宋" w:hAnsi="仿宋" w:eastAsia="仿宋" w:cs="仿宋"/>
          <w:b/>
          <w:color w:val="auto"/>
          <w:sz w:val="24"/>
          <w:highlight w:val="none"/>
        </w:rPr>
        <w:t>2.中小企业声明函格式</w:t>
      </w:r>
    </w:p>
    <w:p w14:paraId="6CE7C2EE">
      <w:pPr>
        <w:rPr>
          <w:rFonts w:hint="eastAsia" w:ascii="仿宋" w:hAnsi="仿宋" w:eastAsia="仿宋" w:cs="仿宋"/>
          <w:color w:val="auto"/>
          <w:highlight w:val="none"/>
        </w:rPr>
      </w:pPr>
    </w:p>
    <w:p w14:paraId="3BAC9102">
      <w:pPr>
        <w:jc w:val="center"/>
        <w:rPr>
          <w:rFonts w:hint="eastAsia" w:ascii="仿宋" w:hAnsi="仿宋" w:eastAsia="仿宋" w:cs="仿宋"/>
          <w:color w:val="auto"/>
          <w:sz w:val="44"/>
          <w:szCs w:val="44"/>
          <w:highlight w:val="none"/>
        </w:rPr>
      </w:pPr>
      <w:r>
        <w:rPr>
          <w:rFonts w:hint="eastAsia" w:ascii="仿宋" w:hAnsi="仿宋" w:eastAsia="仿宋" w:cs="仿宋"/>
          <w:color w:val="auto"/>
          <w:sz w:val="44"/>
          <w:szCs w:val="44"/>
          <w:highlight w:val="none"/>
        </w:rPr>
        <w:t>中小企业声明函（服务）</w:t>
      </w:r>
    </w:p>
    <w:p w14:paraId="5C826317">
      <w:pPr>
        <w:spacing w:before="2" w:line="500" w:lineRule="exact"/>
        <w:rPr>
          <w:rFonts w:hint="eastAsia" w:ascii="仿宋" w:hAnsi="仿宋" w:eastAsia="仿宋" w:cs="仿宋"/>
          <w:b/>
          <w:bCs/>
          <w:color w:val="auto"/>
          <w:sz w:val="27"/>
          <w:szCs w:val="27"/>
          <w:highlight w:val="none"/>
        </w:rPr>
      </w:pPr>
    </w:p>
    <w:p w14:paraId="7E52B7E7">
      <w:pPr>
        <w:pStyle w:val="142"/>
        <w:spacing w:line="400" w:lineRule="exact"/>
        <w:ind w:firstLine="480" w:firstLineChars="20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本公司（联合体）郑重声明，根据《政府采购促进中小企业发展管理办法》（财库〔2020〕46号）的规定，本公司（联合体）参加</w:t>
      </w:r>
      <w:r>
        <w:rPr>
          <w:rFonts w:hint="eastAsia" w:ascii="仿宋" w:hAnsi="仿宋" w:eastAsia="仿宋" w:cs="仿宋"/>
          <w:color w:val="auto"/>
          <w:sz w:val="24"/>
          <w:szCs w:val="24"/>
          <w:highlight w:val="none"/>
          <w:u w:val="single"/>
        </w:rPr>
        <w:t>（采购人名称）</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u w:val="single"/>
        </w:rPr>
        <w:t>（项目名称及项目编号）</w:t>
      </w:r>
      <w:r>
        <w:rPr>
          <w:rFonts w:hint="eastAsia" w:ascii="仿宋" w:hAnsi="仿宋" w:eastAsia="仿宋" w:cs="仿宋"/>
          <w:color w:val="auto"/>
          <w:sz w:val="24"/>
          <w:szCs w:val="24"/>
          <w:highlight w:val="none"/>
        </w:rPr>
        <w:t>釆购活动,服务全部由符合政策要求的中小企业承接。相关企业（含联合体中的中小企业、签订分包意向协议的中小企业）的具体情况如下</w:t>
      </w:r>
      <w:bookmarkStart w:id="197" w:name="bookmark1"/>
      <w:bookmarkEnd w:id="197"/>
      <w:r>
        <w:rPr>
          <w:rFonts w:hint="eastAsia" w:ascii="仿宋" w:hAnsi="仿宋" w:eastAsia="仿宋" w:cs="仿宋"/>
          <w:color w:val="auto"/>
          <w:sz w:val="24"/>
          <w:szCs w:val="24"/>
          <w:highlight w:val="none"/>
        </w:rPr>
        <w:t>：</w:t>
      </w:r>
    </w:p>
    <w:p w14:paraId="2D054AF1">
      <w:pPr>
        <w:pStyle w:val="142"/>
        <w:spacing w:line="400" w:lineRule="exact"/>
        <w:ind w:firstLine="64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u w:val="single"/>
        </w:rPr>
        <w:t xml:space="preserve"> （项目名称）</w:t>
      </w:r>
      <w:r>
        <w:rPr>
          <w:rFonts w:hint="eastAsia" w:ascii="仿宋" w:hAnsi="仿宋" w:eastAsia="仿宋" w:cs="仿宋"/>
          <w:color w:val="auto"/>
          <w:sz w:val="24"/>
          <w:szCs w:val="24"/>
          <w:highlight w:val="none"/>
        </w:rPr>
        <w:t>，属于；承接企业为</w:t>
      </w:r>
      <w:r>
        <w:rPr>
          <w:rFonts w:hint="eastAsia" w:ascii="仿宋" w:hAnsi="仿宋" w:eastAsia="仿宋" w:cs="仿宋"/>
          <w:color w:val="auto"/>
          <w:sz w:val="24"/>
          <w:szCs w:val="24"/>
          <w:highlight w:val="none"/>
          <w:u w:val="single"/>
        </w:rPr>
        <w:t>（企业名称）</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rPr>
        <w:tab/>
      </w:r>
      <w:r>
        <w:rPr>
          <w:rFonts w:hint="eastAsia" w:ascii="仿宋" w:hAnsi="仿宋" w:eastAsia="仿宋" w:cs="仿宋"/>
          <w:color w:val="auto"/>
          <w:sz w:val="24"/>
          <w:szCs w:val="24"/>
          <w:highlight w:val="none"/>
        </w:rPr>
        <w:t>人，营业收入为万元，资产总额为万元，属于</w:t>
      </w:r>
      <w:r>
        <w:rPr>
          <w:rFonts w:hint="eastAsia" w:ascii="仿宋" w:hAnsi="仿宋" w:eastAsia="仿宋" w:cs="仿宋"/>
          <w:color w:val="auto"/>
          <w:sz w:val="24"/>
          <w:szCs w:val="24"/>
          <w:highlight w:val="none"/>
          <w:u w:val="single"/>
        </w:rPr>
        <w:t>（中型企业、小型企业、微型企业）</w:t>
      </w:r>
      <w:r>
        <w:rPr>
          <w:rFonts w:hint="eastAsia" w:ascii="仿宋" w:hAnsi="仿宋" w:eastAsia="仿宋" w:cs="仿宋"/>
          <w:color w:val="auto"/>
          <w:sz w:val="24"/>
          <w:szCs w:val="24"/>
          <w:highlight w:val="none"/>
        </w:rPr>
        <w:t xml:space="preserve">； </w:t>
      </w:r>
    </w:p>
    <w:p w14:paraId="4E6F9BEA">
      <w:pPr>
        <w:pStyle w:val="142"/>
        <w:spacing w:line="400" w:lineRule="exact"/>
        <w:ind w:firstLine="64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p w14:paraId="6A67A6DD">
      <w:pPr>
        <w:pStyle w:val="142"/>
        <w:spacing w:line="400" w:lineRule="exact"/>
        <w:ind w:firstLine="64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以上企业，不属于大企业的分支机构，不存在控股股东为大企业的情形，也不存在与大企业的负责人为同一人的情形。</w:t>
      </w:r>
    </w:p>
    <w:p w14:paraId="1E299996">
      <w:pPr>
        <w:pStyle w:val="142"/>
        <w:spacing w:after="40" w:line="400" w:lineRule="exact"/>
        <w:ind w:firstLine="64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本企业对上述声明内容的真实性负责。如有虚假，将依法承担相应责任。</w:t>
      </w:r>
    </w:p>
    <w:p w14:paraId="0B7A4A17">
      <w:pPr>
        <w:pStyle w:val="142"/>
        <w:spacing w:after="40" w:line="400" w:lineRule="exact"/>
        <w:ind w:firstLine="640"/>
        <w:jc w:val="both"/>
        <w:rPr>
          <w:rFonts w:hint="eastAsia" w:ascii="仿宋" w:hAnsi="仿宋" w:eastAsia="仿宋" w:cs="仿宋"/>
          <w:color w:val="auto"/>
          <w:sz w:val="24"/>
          <w:szCs w:val="24"/>
          <w:highlight w:val="none"/>
        </w:rPr>
      </w:pPr>
    </w:p>
    <w:p w14:paraId="51754D2C">
      <w:pPr>
        <w:pStyle w:val="142"/>
        <w:spacing w:line="400" w:lineRule="exact"/>
        <w:ind w:firstLine="64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企业名称[盖公章]：</w:t>
      </w:r>
    </w:p>
    <w:p w14:paraId="33C1C186">
      <w:pPr>
        <w:pStyle w:val="142"/>
        <w:spacing w:line="400" w:lineRule="exact"/>
        <w:ind w:firstLine="64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日期：</w:t>
      </w:r>
    </w:p>
    <w:p w14:paraId="21F23379">
      <w:pPr>
        <w:spacing w:line="460" w:lineRule="exact"/>
        <w:rPr>
          <w:rFonts w:hint="eastAsia" w:ascii="仿宋" w:hAnsi="仿宋" w:eastAsia="仿宋" w:cs="仿宋"/>
          <w:color w:val="auto"/>
          <w:sz w:val="24"/>
          <w:highlight w:val="none"/>
        </w:rPr>
      </w:pPr>
    </w:p>
    <w:p w14:paraId="2874EEE4">
      <w:pPr>
        <w:spacing w:line="46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备注：如果投标产品（或服务）中有小型或微型企业的产品（服务），应在投标报价明细表中注明生产（或服务）企业名称，并在投标文件提供符合规定的有关证明材料（投标人应提供最近一年的年度财务审计报告，以证明投标人（或投标产品生产厂家）的营业收入、资产总额等指标），否则不认可该产品（服务）为小型或微型企业的产品（服务）。</w:t>
      </w:r>
    </w:p>
    <w:p w14:paraId="608EADE1">
      <w:pPr>
        <w:pStyle w:val="2"/>
        <w:spacing w:line="360" w:lineRule="auto"/>
        <w:ind w:left="3960" w:right="1808"/>
        <w:contextualSpacing/>
        <w:rPr>
          <w:rFonts w:hint="eastAsia" w:ascii="仿宋" w:hAnsi="仿宋" w:eastAsia="仿宋" w:cs="仿宋"/>
          <w:color w:val="auto"/>
          <w:kern w:val="24"/>
          <w:highlight w:val="none"/>
        </w:rPr>
      </w:pPr>
    </w:p>
    <w:p w14:paraId="238C427D">
      <w:pPr>
        <w:pStyle w:val="2"/>
        <w:spacing w:line="360" w:lineRule="auto"/>
        <w:ind w:left="-426" w:right="142" w:firstLine="567"/>
        <w:contextualSpacing/>
        <w:rPr>
          <w:rFonts w:hint="eastAsia" w:ascii="仿宋" w:hAnsi="仿宋" w:eastAsia="仿宋" w:cs="仿宋"/>
          <w:color w:val="auto"/>
          <w:kern w:val="24"/>
          <w:highlight w:val="none"/>
        </w:rPr>
      </w:pPr>
      <w:r>
        <w:rPr>
          <w:rFonts w:hint="eastAsia" w:ascii="仿宋" w:hAnsi="仿宋" w:eastAsia="仿宋" w:cs="仿宋"/>
          <w:color w:val="auto"/>
          <w:kern w:val="24"/>
          <w:highlight w:val="none"/>
        </w:rPr>
        <w:t>注：享受《政府采购促进中小企业发展管理办法》（财库〔2020〕46号）规定的中小企业扶持政策的，采购人、采购代理机构应当随中标结果公开中标供应商的《中小企业声明函》。从业人员、营业收入、资产总额填报上一年度数据，无上一年度数据的新成立企业可不填报。</w:t>
      </w:r>
    </w:p>
    <w:p w14:paraId="36F957EA">
      <w:pPr>
        <w:snapToGrid w:val="0"/>
        <w:spacing w:before="120" w:beforeLines="50" w:after="50"/>
        <w:ind w:left="142"/>
        <w:jc w:val="left"/>
        <w:rPr>
          <w:rFonts w:hint="eastAsia" w:ascii="仿宋" w:hAnsi="仿宋" w:eastAsia="仿宋" w:cs="仿宋"/>
          <w:b/>
          <w:color w:val="auto"/>
          <w:sz w:val="24"/>
          <w:highlight w:val="none"/>
        </w:rPr>
      </w:pPr>
    </w:p>
    <w:p w14:paraId="2F0D8937">
      <w:pPr>
        <w:pStyle w:val="27"/>
        <w:jc w:val="left"/>
        <w:rPr>
          <w:rFonts w:hint="eastAsia" w:ascii="仿宋" w:hAnsi="仿宋" w:eastAsia="仿宋" w:cs="仿宋"/>
          <w:b/>
          <w:color w:val="auto"/>
          <w:sz w:val="24"/>
          <w:highlight w:val="none"/>
        </w:rPr>
      </w:pPr>
      <w:r>
        <w:rPr>
          <w:rFonts w:hint="eastAsia" w:ascii="仿宋" w:hAnsi="仿宋" w:eastAsia="仿宋" w:cs="仿宋"/>
          <w:color w:val="auto"/>
          <w:sz w:val="32"/>
          <w:szCs w:val="32"/>
          <w:highlight w:val="none"/>
        </w:rPr>
        <w:br w:type="page"/>
      </w:r>
      <w:r>
        <w:rPr>
          <w:rFonts w:hint="eastAsia" w:ascii="仿宋" w:hAnsi="仿宋" w:eastAsia="仿宋" w:cs="仿宋"/>
          <w:b/>
          <w:color w:val="auto"/>
          <w:sz w:val="24"/>
          <w:highlight w:val="none"/>
        </w:rPr>
        <w:t>3.残疾人福利性单位声明函格式</w:t>
      </w:r>
    </w:p>
    <w:p w14:paraId="09D97D8F">
      <w:pPr>
        <w:spacing w:line="588" w:lineRule="exact"/>
        <w:jc w:val="center"/>
        <w:rPr>
          <w:rFonts w:hint="eastAsia" w:ascii="仿宋" w:hAnsi="仿宋" w:eastAsia="仿宋" w:cs="仿宋"/>
          <w:b/>
          <w:color w:val="auto"/>
          <w:spacing w:val="6"/>
          <w:sz w:val="32"/>
          <w:szCs w:val="32"/>
          <w:highlight w:val="none"/>
        </w:rPr>
      </w:pPr>
    </w:p>
    <w:p w14:paraId="0894BE4B">
      <w:pPr>
        <w:spacing w:line="588" w:lineRule="exact"/>
        <w:jc w:val="center"/>
        <w:rPr>
          <w:rFonts w:hint="eastAsia" w:ascii="仿宋" w:hAnsi="仿宋" w:eastAsia="仿宋" w:cs="仿宋"/>
          <w:bCs/>
          <w:color w:val="auto"/>
          <w:spacing w:val="6"/>
          <w:sz w:val="44"/>
          <w:szCs w:val="44"/>
          <w:highlight w:val="none"/>
        </w:rPr>
      </w:pPr>
      <w:r>
        <w:rPr>
          <w:rFonts w:hint="eastAsia" w:ascii="仿宋" w:hAnsi="仿宋" w:eastAsia="仿宋" w:cs="仿宋"/>
          <w:bCs/>
          <w:color w:val="auto"/>
          <w:spacing w:val="6"/>
          <w:sz w:val="44"/>
          <w:szCs w:val="44"/>
          <w:highlight w:val="none"/>
        </w:rPr>
        <w:t>残疾人福利性单位声明函</w:t>
      </w:r>
    </w:p>
    <w:p w14:paraId="203A4263">
      <w:pPr>
        <w:spacing w:line="360" w:lineRule="auto"/>
        <w:contextualSpacing/>
        <w:rPr>
          <w:rFonts w:hint="eastAsia" w:ascii="仿宋" w:hAnsi="仿宋" w:eastAsia="仿宋" w:cs="仿宋"/>
          <w:bCs/>
          <w:color w:val="auto"/>
          <w:spacing w:val="6"/>
          <w:sz w:val="30"/>
          <w:szCs w:val="30"/>
          <w:highlight w:val="none"/>
        </w:rPr>
      </w:pPr>
    </w:p>
    <w:p w14:paraId="3484908E">
      <w:pPr>
        <w:spacing w:line="360" w:lineRule="auto"/>
        <w:ind w:firstLine="504" w:firstLineChars="200"/>
        <w:contextualSpacing/>
        <w:rPr>
          <w:rFonts w:hint="eastAsia" w:ascii="仿宋" w:hAnsi="仿宋" w:eastAsia="仿宋" w:cs="仿宋"/>
          <w:color w:val="auto"/>
          <w:spacing w:val="6"/>
          <w:sz w:val="24"/>
          <w:highlight w:val="none"/>
        </w:rPr>
      </w:pPr>
      <w:r>
        <w:rPr>
          <w:rFonts w:hint="eastAsia" w:ascii="仿宋" w:hAnsi="仿宋" w:eastAsia="仿宋" w:cs="仿宋"/>
          <w:color w:val="auto"/>
          <w:spacing w:val="6"/>
          <w:sz w:val="24"/>
          <w:highlight w:val="none"/>
        </w:rPr>
        <w:t>本单位郑重声明，根据《财政部 民政部 中国残疾人联合会关于促进残疾人就业政府采购政策的通知》（财库</w:t>
      </w:r>
      <w:r>
        <w:rPr>
          <w:rFonts w:hint="eastAsia" w:ascii="仿宋" w:hAnsi="仿宋" w:eastAsia="仿宋" w:cs="仿宋"/>
          <w:color w:val="auto"/>
          <w:sz w:val="24"/>
          <w:highlight w:val="none"/>
        </w:rPr>
        <w:t>〔2017〕 141</w:t>
      </w:r>
      <w:r>
        <w:rPr>
          <w:rFonts w:hint="eastAsia" w:ascii="仿宋" w:hAnsi="仿宋" w:eastAsia="仿宋" w:cs="仿宋"/>
          <w:color w:val="auto"/>
          <w:spacing w:val="6"/>
          <w:sz w:val="24"/>
          <w:highlight w:val="none"/>
        </w:rPr>
        <w:t>号）的规定，本单位为符合条件的残疾人福利性单位，且本单位参加______单位的______项目采购活动提供本单位的服务</w:t>
      </w:r>
      <w:r>
        <w:rPr>
          <w:rFonts w:hint="eastAsia" w:ascii="仿宋" w:hAnsi="仿宋" w:eastAsia="仿宋" w:cs="仿宋"/>
          <w:color w:val="auto"/>
          <w:spacing w:val="-6"/>
          <w:sz w:val="24"/>
          <w:highlight w:val="none"/>
        </w:rPr>
        <w:t>。</w:t>
      </w:r>
    </w:p>
    <w:p w14:paraId="58B163E6">
      <w:pPr>
        <w:spacing w:line="360" w:lineRule="auto"/>
        <w:ind w:firstLine="504" w:firstLineChars="200"/>
        <w:contextualSpacing/>
        <w:rPr>
          <w:rFonts w:hint="eastAsia" w:ascii="仿宋" w:hAnsi="仿宋" w:eastAsia="仿宋" w:cs="仿宋"/>
          <w:color w:val="auto"/>
          <w:spacing w:val="6"/>
          <w:sz w:val="24"/>
          <w:highlight w:val="none"/>
        </w:rPr>
      </w:pPr>
      <w:r>
        <w:rPr>
          <w:rFonts w:hint="eastAsia" w:ascii="仿宋" w:hAnsi="仿宋" w:eastAsia="仿宋" w:cs="仿宋"/>
          <w:color w:val="auto"/>
          <w:spacing w:val="6"/>
          <w:sz w:val="24"/>
          <w:highlight w:val="none"/>
        </w:rPr>
        <w:t>本单位对上述声明的真实性负责。如有虚假，将依法承担相应责任。</w:t>
      </w:r>
    </w:p>
    <w:p w14:paraId="5284B5F6">
      <w:pPr>
        <w:spacing w:line="360" w:lineRule="auto"/>
        <w:ind w:firstLine="504" w:firstLineChars="200"/>
        <w:contextualSpacing/>
        <w:rPr>
          <w:rFonts w:hint="eastAsia" w:ascii="仿宋" w:hAnsi="仿宋" w:eastAsia="仿宋" w:cs="仿宋"/>
          <w:color w:val="auto"/>
          <w:spacing w:val="6"/>
          <w:sz w:val="24"/>
          <w:highlight w:val="none"/>
        </w:rPr>
      </w:pPr>
    </w:p>
    <w:p w14:paraId="60109A4E">
      <w:pPr>
        <w:spacing w:line="360" w:lineRule="auto"/>
        <w:ind w:firstLine="504" w:firstLineChars="200"/>
        <w:contextualSpacing/>
        <w:rPr>
          <w:rFonts w:hint="eastAsia" w:ascii="仿宋" w:hAnsi="仿宋" w:eastAsia="仿宋" w:cs="仿宋"/>
          <w:color w:val="auto"/>
          <w:spacing w:val="6"/>
          <w:sz w:val="24"/>
          <w:highlight w:val="none"/>
        </w:rPr>
      </w:pPr>
    </w:p>
    <w:p w14:paraId="4B44E815">
      <w:pPr>
        <w:tabs>
          <w:tab w:val="left" w:pos="4860"/>
        </w:tabs>
        <w:spacing w:line="360" w:lineRule="auto"/>
        <w:ind w:right="1560" w:firstLine="504" w:firstLineChars="200"/>
        <w:contextualSpacing/>
        <w:jc w:val="center"/>
        <w:rPr>
          <w:rFonts w:hint="eastAsia" w:ascii="仿宋" w:hAnsi="仿宋" w:eastAsia="仿宋" w:cs="仿宋"/>
          <w:color w:val="auto"/>
          <w:spacing w:val="6"/>
          <w:sz w:val="24"/>
          <w:highlight w:val="none"/>
        </w:rPr>
      </w:pPr>
      <w:r>
        <w:rPr>
          <w:rFonts w:hint="eastAsia" w:ascii="仿宋" w:hAnsi="仿宋" w:eastAsia="仿宋" w:cs="仿宋"/>
          <w:color w:val="auto"/>
          <w:spacing w:val="6"/>
          <w:sz w:val="24"/>
          <w:highlight w:val="none"/>
        </w:rPr>
        <w:t>单位名称（盖公章）：</w:t>
      </w:r>
    </w:p>
    <w:p w14:paraId="3D120B79">
      <w:pPr>
        <w:tabs>
          <w:tab w:val="left" w:pos="4860"/>
        </w:tabs>
        <w:spacing w:line="360" w:lineRule="auto"/>
        <w:ind w:right="1560" w:firstLine="504" w:firstLineChars="200"/>
        <w:contextualSpacing/>
        <w:jc w:val="center"/>
        <w:rPr>
          <w:rFonts w:hint="eastAsia" w:ascii="仿宋" w:hAnsi="仿宋" w:eastAsia="仿宋" w:cs="仿宋"/>
          <w:color w:val="auto"/>
          <w:spacing w:val="6"/>
          <w:sz w:val="24"/>
          <w:highlight w:val="none"/>
        </w:rPr>
      </w:pPr>
      <w:r>
        <w:rPr>
          <w:rFonts w:hint="eastAsia" w:ascii="仿宋" w:hAnsi="仿宋" w:eastAsia="仿宋" w:cs="仿宋"/>
          <w:color w:val="auto"/>
          <w:spacing w:val="6"/>
          <w:sz w:val="24"/>
          <w:highlight w:val="none"/>
        </w:rPr>
        <w:t>日  期：</w:t>
      </w:r>
    </w:p>
    <w:p w14:paraId="464268DA">
      <w:pPr>
        <w:spacing w:line="360" w:lineRule="auto"/>
        <w:contextualSpacing/>
        <w:rPr>
          <w:rFonts w:hint="eastAsia" w:ascii="仿宋" w:hAnsi="仿宋" w:eastAsia="仿宋" w:cs="仿宋"/>
          <w:color w:val="auto"/>
          <w:sz w:val="24"/>
          <w:highlight w:val="none"/>
        </w:rPr>
      </w:pPr>
    </w:p>
    <w:p w14:paraId="61A1B17D">
      <w:pPr>
        <w:spacing w:line="360" w:lineRule="auto"/>
        <w:contextualSpacing/>
        <w:rPr>
          <w:rFonts w:hint="eastAsia" w:ascii="仿宋" w:hAnsi="仿宋" w:eastAsia="仿宋" w:cs="仿宋"/>
          <w:color w:val="auto"/>
          <w:sz w:val="24"/>
          <w:highlight w:val="none"/>
        </w:rPr>
      </w:pPr>
    </w:p>
    <w:p w14:paraId="62B9AF08">
      <w:pPr>
        <w:spacing w:line="360" w:lineRule="auto"/>
        <w:contextualSpacing/>
        <w:rPr>
          <w:rFonts w:hint="eastAsia" w:ascii="仿宋" w:hAnsi="仿宋" w:eastAsia="仿宋" w:cs="仿宋"/>
          <w:color w:val="auto"/>
          <w:sz w:val="24"/>
          <w:highlight w:val="none"/>
        </w:rPr>
      </w:pPr>
    </w:p>
    <w:p w14:paraId="68B9D16A">
      <w:pPr>
        <w:spacing w:line="360" w:lineRule="auto"/>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w:t>
      </w:r>
    </w:p>
    <w:p w14:paraId="1C207624">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24"/>
          <w:highlight w:val="none"/>
        </w:rPr>
        <w:t>4.质疑函格式</w:t>
      </w:r>
    </w:p>
    <w:p w14:paraId="6B7F99AB">
      <w:pPr>
        <w:spacing w:line="5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质疑函</w:t>
      </w:r>
    </w:p>
    <w:p w14:paraId="1F15C3F3">
      <w:pPr>
        <w:pStyle w:val="27"/>
        <w:snapToGrid w:val="0"/>
        <w:spacing w:line="400" w:lineRule="exact"/>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一、质疑供应商基本信息：</w:t>
      </w:r>
    </w:p>
    <w:p w14:paraId="1CDC8629">
      <w:pPr>
        <w:pStyle w:val="27"/>
        <w:snapToGrid w:val="0"/>
        <w:spacing w:line="400" w:lineRule="exact"/>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质疑供应商：</w:t>
      </w:r>
    </w:p>
    <w:p w14:paraId="2348CF3C">
      <w:pPr>
        <w:pStyle w:val="27"/>
        <w:snapToGrid w:val="0"/>
        <w:spacing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地址：邮编：</w:t>
      </w:r>
    </w:p>
    <w:p w14:paraId="57209383">
      <w:pPr>
        <w:pStyle w:val="27"/>
        <w:snapToGrid w:val="0"/>
        <w:spacing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联系人：联系电话：</w:t>
      </w:r>
    </w:p>
    <w:p w14:paraId="4BD0716C">
      <w:pPr>
        <w:pStyle w:val="27"/>
        <w:snapToGrid w:val="0"/>
        <w:spacing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授权代表：联系电话：</w:t>
      </w:r>
    </w:p>
    <w:p w14:paraId="1692DCE4">
      <w:pPr>
        <w:pStyle w:val="27"/>
        <w:snapToGrid w:val="0"/>
        <w:spacing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地址：邮编：</w:t>
      </w:r>
    </w:p>
    <w:p w14:paraId="0BC49475">
      <w:pPr>
        <w:pStyle w:val="27"/>
        <w:snapToGrid w:val="0"/>
        <w:spacing w:line="400" w:lineRule="exact"/>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二、质疑项目基本情况：</w:t>
      </w:r>
    </w:p>
    <w:p w14:paraId="270CF4EF">
      <w:pPr>
        <w:pStyle w:val="27"/>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质疑</w:t>
      </w:r>
      <w:r>
        <w:rPr>
          <w:rFonts w:hint="eastAsia" w:ascii="仿宋" w:hAnsi="仿宋" w:eastAsia="仿宋" w:cs="仿宋"/>
          <w:color w:val="auto"/>
          <w:sz w:val="24"/>
          <w:szCs w:val="24"/>
          <w:highlight w:val="none"/>
        </w:rPr>
        <w:t>项目的名称：</w:t>
      </w:r>
    </w:p>
    <w:p w14:paraId="50F3FED5">
      <w:pPr>
        <w:pStyle w:val="27"/>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质疑</w:t>
      </w:r>
      <w:r>
        <w:rPr>
          <w:rFonts w:hint="eastAsia" w:ascii="仿宋" w:hAnsi="仿宋" w:eastAsia="仿宋" w:cs="仿宋"/>
          <w:color w:val="auto"/>
          <w:sz w:val="24"/>
          <w:szCs w:val="24"/>
          <w:highlight w:val="none"/>
        </w:rPr>
        <w:t>项目的编号：</w:t>
      </w:r>
    </w:p>
    <w:p w14:paraId="749D31F3">
      <w:pPr>
        <w:pStyle w:val="27"/>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采购人名称：</w:t>
      </w:r>
    </w:p>
    <w:p w14:paraId="6BC17DC1">
      <w:pPr>
        <w:pStyle w:val="27"/>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质疑事项：</w:t>
      </w:r>
    </w:p>
    <w:p w14:paraId="4F530157">
      <w:pPr>
        <w:pStyle w:val="27"/>
        <w:spacing w:line="400" w:lineRule="exact"/>
        <w:ind w:left="25" w:leftChars="12" w:firstLine="472" w:firstLineChars="197"/>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□招标文件   招标文件获取日期：</w:t>
      </w:r>
    </w:p>
    <w:p w14:paraId="00A6E343">
      <w:pPr>
        <w:pStyle w:val="27"/>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□采购过程   </w:t>
      </w:r>
    </w:p>
    <w:p w14:paraId="1C0ACB7B">
      <w:pPr>
        <w:pStyle w:val="27"/>
        <w:spacing w:line="400" w:lineRule="exact"/>
        <w:ind w:left="25" w:leftChars="12" w:firstLine="472" w:firstLineChars="197"/>
        <w:rPr>
          <w:rFonts w:hint="eastAsia" w:ascii="仿宋" w:hAnsi="仿宋" w:eastAsia="仿宋" w:cs="仿宋"/>
          <w:bCs/>
          <w:color w:val="auto"/>
          <w:sz w:val="24"/>
          <w:szCs w:val="24"/>
          <w:highlight w:val="none"/>
          <w:u w:val="single"/>
        </w:rPr>
      </w:pPr>
      <w:r>
        <w:rPr>
          <w:rFonts w:hint="eastAsia" w:ascii="仿宋" w:hAnsi="仿宋" w:eastAsia="仿宋" w:cs="仿宋"/>
          <w:color w:val="auto"/>
          <w:sz w:val="24"/>
          <w:szCs w:val="24"/>
          <w:highlight w:val="none"/>
        </w:rPr>
        <w:t xml:space="preserve">□中标结果   </w:t>
      </w:r>
    </w:p>
    <w:p w14:paraId="29A4E12E">
      <w:pPr>
        <w:pStyle w:val="27"/>
        <w:spacing w:line="400" w:lineRule="exact"/>
        <w:ind w:left="25" w:leftChars="12" w:firstLine="472" w:firstLineChars="196"/>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三、质疑事项具体内容</w:t>
      </w:r>
    </w:p>
    <w:p w14:paraId="46BDFA9A">
      <w:pPr>
        <w:pStyle w:val="27"/>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质疑事项1：</w:t>
      </w:r>
    </w:p>
    <w:p w14:paraId="16824ACA">
      <w:pPr>
        <w:pStyle w:val="27"/>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事实依据：</w:t>
      </w:r>
    </w:p>
    <w:p w14:paraId="2B96E0AD">
      <w:pPr>
        <w:pStyle w:val="27"/>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法律依据：</w:t>
      </w:r>
    </w:p>
    <w:p w14:paraId="0203E12C">
      <w:pPr>
        <w:pStyle w:val="27"/>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质疑事项2：</w:t>
      </w:r>
    </w:p>
    <w:p w14:paraId="7C140544">
      <w:pPr>
        <w:pStyle w:val="27"/>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p w14:paraId="17AEA9E8">
      <w:pPr>
        <w:pStyle w:val="27"/>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四、与质疑事项相关的质疑请求：</w:t>
      </w:r>
    </w:p>
    <w:p w14:paraId="7687680E">
      <w:pPr>
        <w:pStyle w:val="27"/>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请求：</w:t>
      </w:r>
    </w:p>
    <w:p w14:paraId="14DAF641">
      <w:pPr>
        <w:pStyle w:val="27"/>
        <w:spacing w:line="400" w:lineRule="exact"/>
        <w:ind w:left="25" w:leftChars="12" w:firstLine="352" w:firstLineChars="147"/>
        <w:rPr>
          <w:rFonts w:hint="eastAsia" w:ascii="仿宋" w:hAnsi="仿宋" w:eastAsia="仿宋" w:cs="仿宋"/>
          <w:color w:val="auto"/>
          <w:sz w:val="24"/>
          <w:szCs w:val="24"/>
          <w:highlight w:val="none"/>
        </w:rPr>
      </w:pPr>
    </w:p>
    <w:p w14:paraId="44D54F7A">
      <w:pPr>
        <w:pStyle w:val="27"/>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签字（签章）：</w:t>
      </w:r>
    </w:p>
    <w:p w14:paraId="213C7D16">
      <w:pPr>
        <w:pStyle w:val="27"/>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公章：</w:t>
      </w:r>
    </w:p>
    <w:p w14:paraId="1049F213">
      <w:pPr>
        <w:pStyle w:val="27"/>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w:t>
      </w:r>
    </w:p>
    <w:p w14:paraId="4208D1D5">
      <w:pPr>
        <w:pStyle w:val="27"/>
        <w:snapToGrid w:val="0"/>
        <w:spacing w:line="36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说明：</w:t>
      </w:r>
    </w:p>
    <w:p w14:paraId="1E1CED71">
      <w:pPr>
        <w:pStyle w:val="27"/>
        <w:spacing w:line="360" w:lineRule="exact"/>
        <w:ind w:left="25" w:leftChars="12" w:firstLine="354" w:firstLineChars="147"/>
        <w:rPr>
          <w:rFonts w:hint="eastAsia" w:ascii="仿宋" w:hAnsi="仿宋" w:eastAsia="仿宋" w:cs="仿宋"/>
          <w:b/>
          <w:bCs/>
          <w:color w:val="auto"/>
          <w:sz w:val="24"/>
          <w:szCs w:val="24"/>
          <w:highlight w:val="none"/>
        </w:rPr>
      </w:pPr>
      <w:r>
        <w:rPr>
          <w:rFonts w:hint="eastAsia" w:ascii="仿宋" w:hAnsi="仿宋" w:eastAsia="仿宋" w:cs="仿宋"/>
          <w:b/>
          <w:color w:val="auto"/>
          <w:sz w:val="24"/>
          <w:szCs w:val="24"/>
          <w:highlight w:val="none"/>
        </w:rPr>
        <w:t>1.供应商提出质疑时，应提交质疑函和必要的证明材料</w:t>
      </w:r>
      <w:r>
        <w:rPr>
          <w:rFonts w:hint="eastAsia" w:ascii="仿宋" w:hAnsi="仿宋" w:eastAsia="仿宋" w:cs="仿宋"/>
          <w:b/>
          <w:bCs/>
          <w:color w:val="auto"/>
          <w:sz w:val="24"/>
          <w:szCs w:val="24"/>
          <w:highlight w:val="none"/>
        </w:rPr>
        <w:t>。</w:t>
      </w:r>
    </w:p>
    <w:p w14:paraId="3767FE91">
      <w:pPr>
        <w:pStyle w:val="27"/>
        <w:spacing w:line="360" w:lineRule="exact"/>
        <w:ind w:left="25" w:leftChars="12" w:firstLine="354" w:firstLineChars="147"/>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43F39FFE">
      <w:pPr>
        <w:pStyle w:val="27"/>
        <w:spacing w:line="360" w:lineRule="exact"/>
        <w:ind w:left="25" w:leftChars="12" w:firstLine="354" w:firstLineChars="147"/>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3.质疑函的质疑事项应具体、明确，并有必要的事实依据和法律依据。</w:t>
      </w:r>
    </w:p>
    <w:p w14:paraId="408921BF">
      <w:pPr>
        <w:pStyle w:val="27"/>
        <w:spacing w:line="360" w:lineRule="exact"/>
        <w:ind w:left="25" w:leftChars="12" w:firstLine="354" w:firstLineChars="147"/>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4.质疑函的质疑请求应与质疑事项相关。</w:t>
      </w:r>
    </w:p>
    <w:p w14:paraId="0E60F13F">
      <w:pPr>
        <w:pStyle w:val="27"/>
        <w:spacing w:line="360" w:lineRule="exact"/>
        <w:ind w:left="25" w:leftChars="12" w:firstLine="354" w:firstLineChars="147"/>
        <w:rPr>
          <w:rFonts w:hint="eastAsia" w:ascii="仿宋" w:hAnsi="仿宋" w:eastAsia="仿宋" w:cs="仿宋"/>
          <w:b/>
          <w:bCs/>
          <w:color w:val="auto"/>
          <w:sz w:val="24"/>
          <w:szCs w:val="24"/>
          <w:highlight w:val="none"/>
        </w:rPr>
      </w:pPr>
      <w:r>
        <w:rPr>
          <w:rFonts w:hint="eastAsia" w:ascii="仿宋" w:hAnsi="仿宋" w:eastAsia="仿宋" w:cs="仿宋"/>
          <w:b/>
          <w:color w:val="auto"/>
          <w:sz w:val="24"/>
          <w:szCs w:val="24"/>
          <w:highlight w:val="none"/>
        </w:rPr>
        <w:t>5.质疑供应商为法人或者其他组织的，质疑函应由法定代表人、主要负责人，或者其授权代表签字或者盖章，并加盖公章。</w:t>
      </w:r>
    </w:p>
    <w:p w14:paraId="17582896">
      <w:pPr>
        <w:spacing w:line="360" w:lineRule="auto"/>
        <w:jc w:val="left"/>
        <w:rPr>
          <w:rFonts w:hint="eastAsia" w:ascii="仿宋" w:hAnsi="仿宋" w:eastAsia="仿宋" w:cs="仿宋"/>
          <w:b/>
          <w:bCs/>
          <w:color w:val="auto"/>
          <w:sz w:val="32"/>
          <w:szCs w:val="32"/>
          <w:highlight w:val="none"/>
        </w:rPr>
      </w:pPr>
      <w:r>
        <w:rPr>
          <w:rFonts w:hint="eastAsia" w:ascii="仿宋" w:hAnsi="仿宋" w:eastAsia="仿宋" w:cs="仿宋"/>
          <w:color w:val="auto"/>
          <w:sz w:val="44"/>
          <w:highlight w:val="none"/>
        </w:rPr>
        <w:br w:type="page"/>
      </w:r>
      <w:r>
        <w:rPr>
          <w:rFonts w:hint="eastAsia" w:ascii="仿宋" w:hAnsi="仿宋" w:eastAsia="仿宋" w:cs="仿宋"/>
          <w:b/>
          <w:color w:val="auto"/>
          <w:sz w:val="24"/>
          <w:highlight w:val="none"/>
        </w:rPr>
        <w:t>5.投诉书格式</w:t>
      </w:r>
    </w:p>
    <w:p w14:paraId="22179794">
      <w:pPr>
        <w:spacing w:line="5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投诉书</w:t>
      </w:r>
    </w:p>
    <w:p w14:paraId="441DF0A1">
      <w:pPr>
        <w:pStyle w:val="27"/>
        <w:snapToGrid w:val="0"/>
        <w:spacing w:line="400" w:lineRule="exact"/>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一、投诉相关主体基本情况：</w:t>
      </w:r>
    </w:p>
    <w:p w14:paraId="5C62D369">
      <w:pPr>
        <w:pStyle w:val="27"/>
        <w:snapToGrid w:val="0"/>
        <w:spacing w:line="400" w:lineRule="exact"/>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投标人：</w:t>
      </w:r>
    </w:p>
    <w:p w14:paraId="57B33176">
      <w:pPr>
        <w:pStyle w:val="27"/>
        <w:snapToGrid w:val="0"/>
        <w:spacing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地址：邮编：</w:t>
      </w:r>
    </w:p>
    <w:p w14:paraId="49BADA6E">
      <w:pPr>
        <w:pStyle w:val="27"/>
        <w:snapToGrid w:val="0"/>
        <w:spacing w:line="400" w:lineRule="exact"/>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法定代表人/主要负责人：</w:t>
      </w:r>
    </w:p>
    <w:p w14:paraId="7FA603AB">
      <w:pPr>
        <w:pStyle w:val="27"/>
        <w:snapToGrid w:val="0"/>
        <w:spacing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联系电话：</w:t>
      </w:r>
    </w:p>
    <w:p w14:paraId="33C102C9">
      <w:pPr>
        <w:pStyle w:val="27"/>
        <w:snapToGrid w:val="0"/>
        <w:spacing w:line="400" w:lineRule="exact"/>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授权代表：联系电话：</w:t>
      </w:r>
    </w:p>
    <w:p w14:paraId="25C55D05">
      <w:pPr>
        <w:pStyle w:val="27"/>
        <w:snapToGrid w:val="0"/>
        <w:spacing w:line="400" w:lineRule="exact"/>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地址：</w:t>
      </w:r>
    </w:p>
    <w:p w14:paraId="6861E975">
      <w:pPr>
        <w:pStyle w:val="27"/>
        <w:snapToGrid w:val="0"/>
        <w:spacing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邮编：</w:t>
      </w:r>
    </w:p>
    <w:p w14:paraId="162FCA40">
      <w:pPr>
        <w:pStyle w:val="27"/>
        <w:snapToGrid w:val="0"/>
        <w:spacing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被投诉人1：</w:t>
      </w:r>
    </w:p>
    <w:p w14:paraId="35385F1D">
      <w:pPr>
        <w:pStyle w:val="27"/>
        <w:snapToGrid w:val="0"/>
        <w:spacing w:line="400" w:lineRule="exact"/>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地址：</w:t>
      </w:r>
    </w:p>
    <w:p w14:paraId="0F060DA9">
      <w:pPr>
        <w:pStyle w:val="27"/>
        <w:snapToGrid w:val="0"/>
        <w:spacing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邮编：</w:t>
      </w:r>
    </w:p>
    <w:p w14:paraId="240BED03">
      <w:pPr>
        <w:pStyle w:val="27"/>
        <w:snapToGrid w:val="0"/>
        <w:spacing w:line="400" w:lineRule="exact"/>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联系人：联系电话：</w:t>
      </w:r>
    </w:p>
    <w:p w14:paraId="4D0796C0">
      <w:pPr>
        <w:pStyle w:val="27"/>
        <w:snapToGrid w:val="0"/>
        <w:spacing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被投诉人2：</w:t>
      </w:r>
    </w:p>
    <w:p w14:paraId="2FABDDE4">
      <w:pPr>
        <w:pStyle w:val="27"/>
        <w:snapToGrid w:val="0"/>
        <w:spacing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w:t>
      </w:r>
    </w:p>
    <w:p w14:paraId="01A2D516">
      <w:pPr>
        <w:pStyle w:val="27"/>
        <w:snapToGrid w:val="0"/>
        <w:spacing w:line="400" w:lineRule="exact"/>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相关供应商：</w:t>
      </w:r>
    </w:p>
    <w:p w14:paraId="71EC3A20">
      <w:pPr>
        <w:pStyle w:val="27"/>
        <w:snapToGrid w:val="0"/>
        <w:spacing w:line="400" w:lineRule="exact"/>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地址：邮编：</w:t>
      </w:r>
    </w:p>
    <w:p w14:paraId="5A8AFA62">
      <w:pPr>
        <w:pStyle w:val="27"/>
        <w:snapToGrid w:val="0"/>
        <w:spacing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联系人：联系电话：</w:t>
      </w:r>
    </w:p>
    <w:p w14:paraId="6F4BF9B5">
      <w:pPr>
        <w:pStyle w:val="27"/>
        <w:snapToGrid w:val="0"/>
        <w:spacing w:line="400" w:lineRule="exact"/>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二、投诉项目基本情况：</w:t>
      </w:r>
    </w:p>
    <w:p w14:paraId="2AC67C63">
      <w:pPr>
        <w:pStyle w:val="27"/>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采购</w:t>
      </w:r>
      <w:r>
        <w:rPr>
          <w:rFonts w:hint="eastAsia" w:ascii="仿宋" w:hAnsi="仿宋" w:eastAsia="仿宋" w:cs="仿宋"/>
          <w:color w:val="auto"/>
          <w:sz w:val="24"/>
          <w:szCs w:val="24"/>
          <w:highlight w:val="none"/>
        </w:rPr>
        <w:t>项目的名称：</w:t>
      </w:r>
    </w:p>
    <w:p w14:paraId="6AB2859C">
      <w:pPr>
        <w:pStyle w:val="27"/>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采购</w:t>
      </w:r>
      <w:r>
        <w:rPr>
          <w:rFonts w:hint="eastAsia" w:ascii="仿宋" w:hAnsi="仿宋" w:eastAsia="仿宋" w:cs="仿宋"/>
          <w:color w:val="auto"/>
          <w:sz w:val="24"/>
          <w:szCs w:val="24"/>
          <w:highlight w:val="none"/>
        </w:rPr>
        <w:t>项目的编号：</w:t>
      </w:r>
    </w:p>
    <w:p w14:paraId="4A2492B9">
      <w:pPr>
        <w:pStyle w:val="27"/>
        <w:spacing w:line="400" w:lineRule="exact"/>
        <w:ind w:left="25" w:leftChars="12" w:firstLine="472" w:firstLineChars="197"/>
        <w:rPr>
          <w:rFonts w:hint="eastAsia" w:ascii="仿宋" w:hAnsi="仿宋" w:eastAsia="仿宋" w:cs="仿宋"/>
          <w:bCs/>
          <w:color w:val="auto"/>
          <w:sz w:val="24"/>
          <w:szCs w:val="24"/>
          <w:highlight w:val="none"/>
          <w:u w:val="single"/>
        </w:rPr>
      </w:pPr>
      <w:r>
        <w:rPr>
          <w:rFonts w:hint="eastAsia" w:ascii="仿宋" w:hAnsi="仿宋" w:eastAsia="仿宋" w:cs="仿宋"/>
          <w:color w:val="auto"/>
          <w:sz w:val="24"/>
          <w:szCs w:val="24"/>
          <w:highlight w:val="none"/>
        </w:rPr>
        <w:t>采购人名称：</w:t>
      </w:r>
    </w:p>
    <w:p w14:paraId="2AF9BD5D">
      <w:pPr>
        <w:pStyle w:val="27"/>
        <w:spacing w:line="400" w:lineRule="exact"/>
        <w:ind w:left="25" w:leftChars="12" w:firstLine="472" w:firstLineChars="197"/>
        <w:rPr>
          <w:rFonts w:hint="eastAsia" w:ascii="仿宋" w:hAnsi="仿宋" w:eastAsia="仿宋" w:cs="仿宋"/>
          <w:bCs/>
          <w:color w:val="auto"/>
          <w:sz w:val="24"/>
          <w:szCs w:val="24"/>
          <w:highlight w:val="none"/>
          <w:u w:val="single"/>
        </w:rPr>
      </w:pPr>
      <w:r>
        <w:rPr>
          <w:rFonts w:hint="eastAsia" w:ascii="仿宋" w:hAnsi="仿宋" w:eastAsia="仿宋" w:cs="仿宋"/>
          <w:color w:val="auto"/>
          <w:sz w:val="24"/>
          <w:szCs w:val="24"/>
          <w:highlight w:val="none"/>
        </w:rPr>
        <w:t>代理机构名称：</w:t>
      </w:r>
    </w:p>
    <w:p w14:paraId="5201CE36">
      <w:pPr>
        <w:pStyle w:val="27"/>
        <w:spacing w:line="400" w:lineRule="exact"/>
        <w:ind w:left="25" w:leftChars="12" w:firstLine="472" w:firstLineChars="197"/>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招标文件公告：</w:t>
      </w:r>
      <w:r>
        <w:rPr>
          <w:rFonts w:hint="eastAsia" w:ascii="仿宋" w:hAnsi="仿宋" w:eastAsia="仿宋" w:cs="仿宋"/>
          <w:bCs/>
          <w:color w:val="auto"/>
          <w:sz w:val="24"/>
          <w:szCs w:val="24"/>
          <w:highlight w:val="none"/>
          <w:u w:val="single"/>
        </w:rPr>
        <w:t>是/否</w:t>
      </w:r>
      <w:r>
        <w:rPr>
          <w:rFonts w:hint="eastAsia" w:ascii="仿宋" w:hAnsi="仿宋" w:eastAsia="仿宋" w:cs="仿宋"/>
          <w:bCs/>
          <w:color w:val="auto"/>
          <w:sz w:val="24"/>
          <w:szCs w:val="24"/>
          <w:highlight w:val="none"/>
        </w:rPr>
        <w:t>公告期限：</w:t>
      </w:r>
    </w:p>
    <w:p w14:paraId="571A5638">
      <w:pPr>
        <w:pStyle w:val="27"/>
        <w:spacing w:line="400" w:lineRule="exact"/>
        <w:ind w:left="25" w:leftChars="12" w:firstLine="472" w:firstLineChars="197"/>
        <w:rPr>
          <w:rFonts w:hint="eastAsia" w:ascii="仿宋" w:hAnsi="仿宋" w:eastAsia="仿宋" w:cs="仿宋"/>
          <w:b/>
          <w:color w:val="auto"/>
          <w:sz w:val="24"/>
          <w:szCs w:val="24"/>
          <w:highlight w:val="none"/>
        </w:rPr>
      </w:pPr>
      <w:r>
        <w:rPr>
          <w:rFonts w:hint="eastAsia" w:ascii="仿宋" w:hAnsi="仿宋" w:eastAsia="仿宋" w:cs="仿宋"/>
          <w:bCs/>
          <w:color w:val="auto"/>
          <w:sz w:val="24"/>
          <w:szCs w:val="24"/>
          <w:highlight w:val="none"/>
        </w:rPr>
        <w:t>采购结果公告：</w:t>
      </w:r>
      <w:r>
        <w:rPr>
          <w:rFonts w:hint="eastAsia" w:ascii="仿宋" w:hAnsi="仿宋" w:eastAsia="仿宋" w:cs="仿宋"/>
          <w:bCs/>
          <w:color w:val="auto"/>
          <w:sz w:val="24"/>
          <w:szCs w:val="24"/>
          <w:highlight w:val="none"/>
          <w:u w:val="single"/>
        </w:rPr>
        <w:t>是/否</w:t>
      </w:r>
      <w:r>
        <w:rPr>
          <w:rFonts w:hint="eastAsia" w:ascii="仿宋" w:hAnsi="仿宋" w:eastAsia="仿宋" w:cs="仿宋"/>
          <w:bCs/>
          <w:color w:val="auto"/>
          <w:sz w:val="24"/>
          <w:szCs w:val="24"/>
          <w:highlight w:val="none"/>
        </w:rPr>
        <w:t xml:space="preserve">     公告期限：</w:t>
      </w:r>
    </w:p>
    <w:p w14:paraId="7183E54A">
      <w:pPr>
        <w:pStyle w:val="27"/>
        <w:spacing w:line="400" w:lineRule="exact"/>
        <w:ind w:left="25" w:leftChars="12" w:firstLine="472" w:firstLineChars="196"/>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三、质疑基本情况</w:t>
      </w:r>
    </w:p>
    <w:p w14:paraId="3C6A3F45">
      <w:pPr>
        <w:pStyle w:val="27"/>
        <w:spacing w:line="400" w:lineRule="exact"/>
        <w:ind w:left="25" w:leftChars="12"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color w:val="auto"/>
          <w:sz w:val="24"/>
          <w:szCs w:val="24"/>
          <w:highlight w:val="none"/>
        </w:rPr>
        <w:t>投诉人于  年   月   日，向提出质疑，质疑事项为：</w:t>
      </w:r>
    </w:p>
    <w:p w14:paraId="283DFCC3">
      <w:pPr>
        <w:pStyle w:val="27"/>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u w:val="single"/>
        </w:rPr>
        <w:t>采购人/代理机构</w:t>
      </w:r>
      <w:r>
        <w:rPr>
          <w:rFonts w:hint="eastAsia" w:ascii="仿宋" w:hAnsi="仿宋" w:eastAsia="仿宋" w:cs="仿宋"/>
          <w:bCs/>
          <w:color w:val="auto"/>
          <w:sz w:val="24"/>
          <w:szCs w:val="24"/>
          <w:highlight w:val="none"/>
        </w:rPr>
        <w:t xml:space="preserve">于   </w:t>
      </w:r>
      <w:r>
        <w:rPr>
          <w:rFonts w:hint="eastAsia" w:ascii="仿宋" w:hAnsi="仿宋" w:eastAsia="仿宋" w:cs="仿宋"/>
          <w:color w:val="auto"/>
          <w:sz w:val="24"/>
          <w:szCs w:val="24"/>
          <w:highlight w:val="none"/>
        </w:rPr>
        <w:t>年  月   日，</w:t>
      </w:r>
      <w:r>
        <w:rPr>
          <w:rFonts w:hint="eastAsia" w:ascii="仿宋" w:hAnsi="仿宋" w:eastAsia="仿宋" w:cs="仿宋"/>
          <w:bCs/>
          <w:color w:val="auto"/>
          <w:sz w:val="24"/>
          <w:szCs w:val="24"/>
          <w:highlight w:val="none"/>
        </w:rPr>
        <w:t xml:space="preserve">就质疑事项作出了答复/没有在法定期限内作出答复。                                                                                             </w:t>
      </w:r>
    </w:p>
    <w:p w14:paraId="254F33A2">
      <w:pPr>
        <w:pStyle w:val="27"/>
        <w:spacing w:line="400" w:lineRule="exact"/>
        <w:ind w:left="25" w:leftChars="12" w:firstLine="472" w:firstLineChars="196"/>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四、投诉事项具体内容</w:t>
      </w:r>
    </w:p>
    <w:p w14:paraId="439BAF63">
      <w:pPr>
        <w:pStyle w:val="27"/>
        <w:spacing w:line="400" w:lineRule="exact"/>
        <w:ind w:left="25" w:leftChars="12" w:firstLine="472" w:firstLineChars="197"/>
        <w:rPr>
          <w:rFonts w:hint="eastAsia" w:ascii="仿宋" w:hAnsi="仿宋" w:eastAsia="仿宋" w:cs="仿宋"/>
          <w:bCs/>
          <w:color w:val="auto"/>
          <w:sz w:val="24"/>
          <w:szCs w:val="24"/>
          <w:highlight w:val="none"/>
          <w:u w:val="single"/>
        </w:rPr>
      </w:pPr>
      <w:r>
        <w:rPr>
          <w:rFonts w:hint="eastAsia" w:ascii="仿宋" w:hAnsi="仿宋" w:eastAsia="仿宋" w:cs="仿宋"/>
          <w:color w:val="auto"/>
          <w:sz w:val="24"/>
          <w:szCs w:val="24"/>
          <w:highlight w:val="none"/>
        </w:rPr>
        <w:t>投诉事项1：</w:t>
      </w:r>
    </w:p>
    <w:p w14:paraId="725F1315">
      <w:pPr>
        <w:pStyle w:val="27"/>
        <w:spacing w:line="400" w:lineRule="exact"/>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事实依据：</w:t>
      </w:r>
    </w:p>
    <w:p w14:paraId="400BCF6F">
      <w:pPr>
        <w:pStyle w:val="27"/>
        <w:spacing w:line="400" w:lineRule="exact"/>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法律依据：</w:t>
      </w:r>
    </w:p>
    <w:p w14:paraId="53423B88">
      <w:pPr>
        <w:pStyle w:val="27"/>
        <w:spacing w:line="400" w:lineRule="exact"/>
        <w:ind w:left="25" w:leftChars="12" w:firstLine="472" w:firstLineChars="197"/>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投诉事项2：</w:t>
      </w:r>
    </w:p>
    <w:p w14:paraId="61801E6E">
      <w:pPr>
        <w:pStyle w:val="27"/>
        <w:spacing w:line="400" w:lineRule="exact"/>
        <w:ind w:left="25" w:leftChars="12" w:firstLine="472" w:firstLineChars="197"/>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w:t>
      </w:r>
    </w:p>
    <w:p w14:paraId="3E0321E9">
      <w:pPr>
        <w:pStyle w:val="27"/>
        <w:spacing w:line="400" w:lineRule="exact"/>
        <w:ind w:left="25" w:leftChars="12" w:firstLine="472" w:firstLineChars="196"/>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五、与投诉事项相关的投诉请求：</w:t>
      </w:r>
    </w:p>
    <w:p w14:paraId="47AB3DE8">
      <w:pPr>
        <w:pStyle w:val="27"/>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请求：</w:t>
      </w:r>
    </w:p>
    <w:p w14:paraId="52E1C6E3">
      <w:pPr>
        <w:pStyle w:val="27"/>
        <w:spacing w:line="400" w:lineRule="exact"/>
        <w:ind w:left="25" w:leftChars="12" w:firstLine="352" w:firstLineChars="147"/>
        <w:rPr>
          <w:rFonts w:hint="eastAsia" w:ascii="仿宋" w:hAnsi="仿宋" w:eastAsia="仿宋" w:cs="仿宋"/>
          <w:color w:val="auto"/>
          <w:sz w:val="24"/>
          <w:szCs w:val="24"/>
          <w:highlight w:val="none"/>
        </w:rPr>
      </w:pPr>
    </w:p>
    <w:p w14:paraId="68117DEA">
      <w:pPr>
        <w:pStyle w:val="27"/>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签字（签章）：</w:t>
      </w:r>
    </w:p>
    <w:p w14:paraId="6E5B3749">
      <w:pPr>
        <w:pStyle w:val="27"/>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公章：</w:t>
      </w:r>
    </w:p>
    <w:p w14:paraId="78E8EDC1">
      <w:pPr>
        <w:pStyle w:val="27"/>
        <w:spacing w:line="400" w:lineRule="exact"/>
        <w:ind w:left="25" w:leftChars="12" w:firstLine="472" w:firstLineChars="19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w:t>
      </w:r>
    </w:p>
    <w:p w14:paraId="72F3DEB5">
      <w:pPr>
        <w:pStyle w:val="27"/>
        <w:snapToGrid w:val="0"/>
        <w:spacing w:line="36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说明：</w:t>
      </w:r>
    </w:p>
    <w:p w14:paraId="578EE3CC">
      <w:pPr>
        <w:pStyle w:val="27"/>
        <w:spacing w:line="360" w:lineRule="exact"/>
        <w:ind w:left="25" w:leftChars="12" w:firstLine="354" w:firstLineChars="147"/>
        <w:rPr>
          <w:rFonts w:hint="eastAsia" w:ascii="仿宋" w:hAnsi="仿宋" w:eastAsia="仿宋" w:cs="仿宋"/>
          <w:b/>
          <w:bCs/>
          <w:color w:val="auto"/>
          <w:sz w:val="24"/>
          <w:szCs w:val="24"/>
          <w:highlight w:val="none"/>
        </w:rPr>
      </w:pPr>
      <w:r>
        <w:rPr>
          <w:rFonts w:hint="eastAsia" w:ascii="仿宋" w:hAnsi="仿宋" w:eastAsia="仿宋" w:cs="仿宋"/>
          <w:b/>
          <w:color w:val="auto"/>
          <w:sz w:val="24"/>
          <w:szCs w:val="24"/>
          <w:highlight w:val="none"/>
        </w:rPr>
        <w:t>1.投诉人提起投诉时，应当提交投诉书和必要的证明材料，并按照被投诉人和与投诉事项有关的供应商数量提供投诉书副本</w:t>
      </w:r>
      <w:r>
        <w:rPr>
          <w:rFonts w:hint="eastAsia" w:ascii="仿宋" w:hAnsi="仿宋" w:eastAsia="仿宋" w:cs="仿宋"/>
          <w:b/>
          <w:bCs/>
          <w:color w:val="auto"/>
          <w:sz w:val="24"/>
          <w:szCs w:val="24"/>
          <w:highlight w:val="none"/>
        </w:rPr>
        <w:t>。</w:t>
      </w:r>
    </w:p>
    <w:p w14:paraId="29AE95B3">
      <w:pPr>
        <w:pStyle w:val="27"/>
        <w:spacing w:line="360" w:lineRule="exact"/>
        <w:ind w:left="25" w:leftChars="12" w:firstLine="354" w:firstLineChars="147"/>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27AD9C28">
      <w:pPr>
        <w:pStyle w:val="27"/>
        <w:spacing w:line="360" w:lineRule="exact"/>
        <w:ind w:left="25" w:leftChars="12" w:firstLine="354" w:firstLineChars="147"/>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3.投诉书应简要列明质疑事项，质疑函、质疑答复等作为附件材料提供。</w:t>
      </w:r>
    </w:p>
    <w:p w14:paraId="146E4AD4">
      <w:pPr>
        <w:pStyle w:val="27"/>
        <w:spacing w:line="360" w:lineRule="exact"/>
        <w:ind w:left="25" w:leftChars="12" w:firstLine="354" w:firstLineChars="147"/>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4.投诉书的投诉事项应具体、明确，并有必要的事实依据和法律依据。</w:t>
      </w:r>
    </w:p>
    <w:p w14:paraId="47AC0E44">
      <w:pPr>
        <w:pStyle w:val="27"/>
        <w:spacing w:line="360" w:lineRule="exact"/>
        <w:ind w:left="25" w:leftChars="12" w:firstLine="354" w:firstLineChars="147"/>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5.投诉书的投诉请求应与投诉事项相关。</w:t>
      </w:r>
    </w:p>
    <w:p w14:paraId="038739A4">
      <w:pPr>
        <w:pStyle w:val="27"/>
        <w:spacing w:line="360" w:lineRule="exact"/>
        <w:ind w:left="25" w:leftChars="12" w:firstLine="354" w:firstLineChars="147"/>
      </w:pPr>
      <w:r>
        <w:rPr>
          <w:rFonts w:hint="eastAsia" w:ascii="仿宋" w:hAnsi="仿宋" w:eastAsia="仿宋" w:cs="仿宋"/>
          <w:b/>
          <w:color w:val="auto"/>
          <w:sz w:val="24"/>
          <w:szCs w:val="24"/>
          <w:highlight w:val="none"/>
        </w:rPr>
        <w:t>6.投诉人为法人或者其他组织的，投诉书应由法定代表人、主要负责人，或者其授权代表签字或者盖章，并加盖公章。</w:t>
      </w:r>
    </w:p>
    <w:sectPr>
      <w:footerReference r:id="rId12" w:type="first"/>
      <w:headerReference r:id="rId9" w:type="default"/>
      <w:footerReference r:id="rId10" w:type="default"/>
      <w:footerReference r:id="rId11" w:type="even"/>
      <w:pgSz w:w="11906" w:h="16838"/>
      <w:pgMar w:top="907" w:right="851" w:bottom="907" w:left="851" w:header="851" w:footer="510" w:gutter="0"/>
      <w:pgNumType w:fmt="numberInDash"/>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Century">
    <w:altName w:val="Times New Roman"/>
    <w:panose1 w:val="02040604050505020304"/>
    <w:charset w:val="00"/>
    <w:family w:val="roman"/>
    <w:pitch w:val="default"/>
    <w:sig w:usb0="00000000" w:usb1="00000000" w:usb2="00000000" w:usb3="00000000" w:csb0="0000009F" w:csb1="00000000"/>
  </w:font>
  <w:font w:name="Arial Unicode MS">
    <w:altName w:val="宋体"/>
    <w:panose1 w:val="020B0604020202020204"/>
    <w:charset w:val="86"/>
    <w:family w:val="swiss"/>
    <w:pitch w:val="default"/>
    <w:sig w:usb0="00000000" w:usb1="00000000" w:usb2="0000003F" w:usb3="00000000" w:csb0="003F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845952"/>
    </w:sdtPr>
    <w:sdtEndPr>
      <w:rPr>
        <w:rFonts w:ascii="仿宋" w:hAnsi="仿宋" w:eastAsia="仿宋"/>
        <w:sz w:val="21"/>
        <w:szCs w:val="21"/>
      </w:rPr>
    </w:sdtEndPr>
    <w:sdtContent>
      <w:p w14:paraId="17B8D708">
        <w:pPr>
          <w:pStyle w:val="33"/>
          <w:jc w:val="center"/>
          <w:rPr>
            <w:rFonts w:hint="eastAsia" w:ascii="仿宋" w:hAnsi="仿宋" w:eastAsia="仿宋"/>
            <w:sz w:val="21"/>
            <w:szCs w:val="21"/>
          </w:rPr>
        </w:pPr>
        <w:r>
          <w:rPr>
            <w:rFonts w:ascii="仿宋" w:hAnsi="仿宋" w:eastAsia="仿宋"/>
            <w:sz w:val="21"/>
            <w:szCs w:val="21"/>
          </w:rPr>
          <w:fldChar w:fldCharType="begin"/>
        </w:r>
        <w:r>
          <w:rPr>
            <w:rFonts w:ascii="仿宋" w:hAnsi="仿宋" w:eastAsia="仿宋"/>
            <w:sz w:val="21"/>
            <w:szCs w:val="21"/>
          </w:rPr>
          <w:instrText xml:space="preserve">PAGE   \* MERGEFORMAT</w:instrText>
        </w:r>
        <w:r>
          <w:rPr>
            <w:rFonts w:ascii="仿宋" w:hAnsi="仿宋" w:eastAsia="仿宋"/>
            <w:sz w:val="21"/>
            <w:szCs w:val="21"/>
          </w:rPr>
          <w:fldChar w:fldCharType="separate"/>
        </w:r>
        <w:r>
          <w:rPr>
            <w:rFonts w:ascii="仿宋" w:hAnsi="仿宋" w:eastAsia="仿宋"/>
            <w:sz w:val="21"/>
            <w:szCs w:val="21"/>
            <w:lang w:val="zh-CN"/>
          </w:rPr>
          <w:t>-</w:t>
        </w:r>
        <w:r>
          <w:rPr>
            <w:rFonts w:ascii="仿宋" w:hAnsi="仿宋" w:eastAsia="仿宋"/>
            <w:sz w:val="21"/>
            <w:szCs w:val="21"/>
          </w:rPr>
          <w:t xml:space="preserve"> 38 -</w:t>
        </w:r>
        <w:r>
          <w:rPr>
            <w:rFonts w:ascii="仿宋" w:hAnsi="仿宋" w:eastAsia="仿宋"/>
            <w:sz w:val="21"/>
            <w:szCs w:val="21"/>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34C58">
    <w:pPr>
      <w:pStyle w:val="33"/>
      <w:framePr w:wrap="around" w:vAnchor="text" w:hAnchor="margin" w:xAlign="center" w:y="1"/>
      <w:rPr>
        <w:rStyle w:val="55"/>
      </w:rPr>
    </w:pPr>
    <w:r>
      <w:fldChar w:fldCharType="begin"/>
    </w:r>
    <w:r>
      <w:rPr>
        <w:rStyle w:val="55"/>
      </w:rPr>
      <w:instrText xml:space="preserve">PAGE  </w:instrText>
    </w:r>
    <w:r>
      <w:fldChar w:fldCharType="end"/>
    </w:r>
  </w:p>
  <w:p w14:paraId="49F86894">
    <w:pPr>
      <w:pStyle w:val="3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202C8">
    <w:pPr>
      <w:pStyle w:val="33"/>
      <w:ind w:right="360"/>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482997">
    <w:pPr>
      <w:pStyle w:val="33"/>
      <w:jc w:val="center"/>
      <w:rPr>
        <w:rFonts w:ascii="仿宋" w:hAnsi="仿宋" w:eastAsia="仿宋"/>
        <w:sz w:val="21"/>
        <w:szCs w:val="21"/>
      </w:rPr>
    </w:pPr>
    <w:r>
      <w:rPr>
        <w:rFonts w:ascii="仿宋" w:hAnsi="仿宋" w:eastAsia="仿宋"/>
        <w:sz w:val="21"/>
        <w:szCs w:val="21"/>
      </w:rPr>
      <w:fldChar w:fldCharType="begin"/>
    </w:r>
    <w:r>
      <w:rPr>
        <w:rFonts w:ascii="仿宋" w:hAnsi="仿宋" w:eastAsia="仿宋"/>
        <w:sz w:val="21"/>
        <w:szCs w:val="21"/>
      </w:rPr>
      <w:instrText xml:space="preserve"> PAGE   \* MERGEFORMAT </w:instrText>
    </w:r>
    <w:r>
      <w:rPr>
        <w:rFonts w:ascii="仿宋" w:hAnsi="仿宋" w:eastAsia="仿宋"/>
        <w:sz w:val="21"/>
        <w:szCs w:val="21"/>
      </w:rPr>
      <w:fldChar w:fldCharType="separate"/>
    </w:r>
    <w:r>
      <w:rPr>
        <w:rFonts w:ascii="仿宋" w:hAnsi="仿宋" w:eastAsia="仿宋"/>
        <w:sz w:val="21"/>
        <w:szCs w:val="21"/>
        <w:lang w:val="zh-CN"/>
      </w:rPr>
      <w:t>-</w:t>
    </w:r>
    <w:r>
      <w:rPr>
        <w:rFonts w:ascii="仿宋" w:hAnsi="仿宋" w:eastAsia="仿宋"/>
        <w:sz w:val="21"/>
        <w:szCs w:val="21"/>
      </w:rPr>
      <w:t xml:space="preserve"> 114 -</w:t>
    </w:r>
    <w:r>
      <w:rPr>
        <w:rFonts w:ascii="仿宋" w:hAnsi="仿宋" w:eastAsia="仿宋"/>
        <w:sz w:val="21"/>
        <w:szCs w:val="21"/>
      </w:rPr>
      <w:fldChar w:fldCharType="end"/>
    </w:r>
  </w:p>
  <w:p w14:paraId="08B8A6AC">
    <w:pPr>
      <w:pStyle w:val="3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0BD00">
    <w:pPr>
      <w:pStyle w:val="33"/>
      <w:framePr w:wrap="around" w:vAnchor="text" w:hAnchor="margin" w:xAlign="center" w:y="1"/>
      <w:rPr>
        <w:rStyle w:val="55"/>
      </w:rPr>
    </w:pPr>
    <w:r>
      <w:fldChar w:fldCharType="begin"/>
    </w:r>
    <w:r>
      <w:rPr>
        <w:rStyle w:val="55"/>
      </w:rPr>
      <w:instrText xml:space="preserve">PAGE  </w:instrText>
    </w:r>
    <w:r>
      <w:fldChar w:fldCharType="end"/>
    </w:r>
  </w:p>
  <w:p w14:paraId="1132A6D7">
    <w:pPr>
      <w:pStyle w:val="3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FDBBF">
    <w:pPr>
      <w:pStyle w:val="33"/>
      <w:ind w:right="360"/>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BE300">
    <w:pPr>
      <w:pStyle w:val="3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973DB">
    <w:pPr>
      <w:pStyle w:val="34"/>
      <w:pBdr>
        <w:bottom w:val="none" w:color="auto" w:sz="0" w:space="0"/>
      </w:pBdr>
      <w:rPr>
        <w:rFonts w:hint="eastAsia" w:eastAsia="宋体"/>
        <w:lang w:eastAsia="zh-CN"/>
      </w:rPr>
    </w:pPr>
    <w:r>
      <w:rPr>
        <w:rFonts w:hint="eastAsia"/>
        <w:lang w:eastAsia="zh-CN"/>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84DDE76"/>
    <w:multiLevelType w:val="multilevel"/>
    <w:tmpl w:val="F84DDE76"/>
    <w:lvl w:ilvl="0" w:tentative="0">
      <w:start w:val="1"/>
      <w:numFmt w:val="decimal"/>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
    <w:nsid w:val="FFFFFF7E"/>
    <w:multiLevelType w:val="singleLevel"/>
    <w:tmpl w:val="FFFFFF7E"/>
    <w:lvl w:ilvl="0" w:tentative="0">
      <w:start w:val="1"/>
      <w:numFmt w:val="decimal"/>
      <w:pStyle w:val="22"/>
      <w:lvlText w:val="%1."/>
      <w:lvlJc w:val="left"/>
      <w:pPr>
        <w:tabs>
          <w:tab w:val="left" w:pos="1200"/>
        </w:tabs>
        <w:ind w:left="1200" w:hanging="360"/>
      </w:pPr>
    </w:lvl>
  </w:abstractNum>
  <w:abstractNum w:abstractNumId="2">
    <w:nsid w:val="166BC886"/>
    <w:multiLevelType w:val="singleLevel"/>
    <w:tmpl w:val="166BC886"/>
    <w:lvl w:ilvl="0" w:tentative="0">
      <w:start w:val="1"/>
      <w:numFmt w:val="decimal"/>
      <w:suff w:val="nothing"/>
      <w:lvlText w:val="%1、"/>
      <w:lvlJc w:val="left"/>
    </w:lvl>
  </w:abstractNum>
  <w:abstractNum w:abstractNumId="3">
    <w:nsid w:val="1FBE69EA"/>
    <w:multiLevelType w:val="singleLevel"/>
    <w:tmpl w:val="1FBE69EA"/>
    <w:lvl w:ilvl="0" w:tentative="0">
      <w:start w:val="2"/>
      <w:numFmt w:val="chineseCounting"/>
      <w:suff w:val="space"/>
      <w:lvlText w:val="第%1章"/>
      <w:lvlJc w:val="left"/>
      <w:rPr>
        <w:rFonts w:hint="eastAsia"/>
      </w:rPr>
    </w:lvl>
  </w:abstractNum>
  <w:abstractNum w:abstractNumId="4">
    <w:nsid w:val="31708CC3"/>
    <w:multiLevelType w:val="singleLevel"/>
    <w:tmpl w:val="31708CC3"/>
    <w:lvl w:ilvl="0" w:tentative="0">
      <w:start w:val="1"/>
      <w:numFmt w:val="decimal"/>
      <w:lvlText w:val="%1."/>
      <w:lvlJc w:val="left"/>
      <w:pPr>
        <w:ind w:left="425" w:hanging="425"/>
      </w:pPr>
      <w:rPr>
        <w:rFonts w:hint="default"/>
      </w:rPr>
    </w:lvl>
  </w:abstractNum>
  <w:abstractNum w:abstractNumId="5">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7"/>
      <w:suff w:val="nothing"/>
      <w:lvlText w:val=""/>
      <w:lvlJc w:val="left"/>
      <w:pPr>
        <w:ind w:left="0" w:firstLine="0"/>
      </w:pPr>
      <w:rPr>
        <w:rFonts w:hint="eastAsia"/>
      </w:rPr>
    </w:lvl>
    <w:lvl w:ilvl="5" w:tentative="0">
      <w:start w:val="1"/>
      <w:numFmt w:val="none"/>
      <w:pStyle w:val="8"/>
      <w:suff w:val="nothing"/>
      <w:lvlText w:val=""/>
      <w:lvlJc w:val="left"/>
      <w:pPr>
        <w:ind w:left="0" w:firstLine="0"/>
      </w:pPr>
      <w:rPr>
        <w:rFonts w:hint="eastAsia"/>
      </w:rPr>
    </w:lvl>
    <w:lvl w:ilvl="6" w:tentative="0">
      <w:start w:val="1"/>
      <w:numFmt w:val="none"/>
      <w:pStyle w:val="10"/>
      <w:suff w:val="nothing"/>
      <w:lvlText w:val=""/>
      <w:lvlJc w:val="left"/>
      <w:pPr>
        <w:ind w:left="0" w:firstLine="0"/>
      </w:pPr>
      <w:rPr>
        <w:rFonts w:hint="eastAsia"/>
      </w:rPr>
    </w:lvl>
    <w:lvl w:ilvl="7" w:tentative="0">
      <w:start w:val="1"/>
      <w:numFmt w:val="none"/>
      <w:pStyle w:val="11"/>
      <w:suff w:val="nothing"/>
      <w:lvlText w:val=""/>
      <w:lvlJc w:val="left"/>
      <w:pPr>
        <w:ind w:left="0" w:firstLine="0"/>
      </w:pPr>
      <w:rPr>
        <w:rFonts w:hint="eastAsia"/>
      </w:rPr>
    </w:lvl>
    <w:lvl w:ilvl="8" w:tentative="0">
      <w:start w:val="1"/>
      <w:numFmt w:val="none"/>
      <w:pStyle w:val="12"/>
      <w:suff w:val="nothing"/>
      <w:lvlText w:val=""/>
      <w:lvlJc w:val="left"/>
      <w:pPr>
        <w:ind w:left="0" w:firstLine="0"/>
      </w:pPr>
      <w:rPr>
        <w:rFonts w:hint="eastAsia"/>
      </w:rPr>
    </w:lvl>
  </w:abstractNum>
  <w:abstractNum w:abstractNumId="6">
    <w:nsid w:val="4C601917"/>
    <w:multiLevelType w:val="singleLevel"/>
    <w:tmpl w:val="4C601917"/>
    <w:lvl w:ilvl="0" w:tentative="0">
      <w:start w:val="1"/>
      <w:numFmt w:val="decimal"/>
      <w:suff w:val="nothing"/>
      <w:lvlText w:val="（%1）"/>
      <w:lvlJc w:val="left"/>
      <w:pPr>
        <w:ind w:left="-2"/>
      </w:pPr>
    </w:lvl>
  </w:abstractNum>
  <w:abstractNum w:abstractNumId="7">
    <w:nsid w:val="5FABD14B"/>
    <w:multiLevelType w:val="singleLevel"/>
    <w:tmpl w:val="5FABD14B"/>
    <w:lvl w:ilvl="0" w:tentative="0">
      <w:start w:val="1"/>
      <w:numFmt w:val="decimal"/>
      <w:suff w:val="nothing"/>
      <w:lvlText w:val="（%1）"/>
      <w:lvlJc w:val="left"/>
    </w:lvl>
  </w:abstractNum>
  <w:abstractNum w:abstractNumId="8">
    <w:nsid w:val="68423BD2"/>
    <w:multiLevelType w:val="multilevel"/>
    <w:tmpl w:val="68423BD2"/>
    <w:lvl w:ilvl="0" w:tentative="0">
      <w:start w:val="1"/>
      <w:numFmt w:val="japaneseCounting"/>
      <w:lvlText w:val="第%1章"/>
      <w:lvlJc w:val="left"/>
      <w:pPr>
        <w:tabs>
          <w:tab w:val="left" w:pos="1815"/>
        </w:tabs>
        <w:ind w:left="1815" w:hanging="1275"/>
      </w:pPr>
      <w:rPr>
        <w:rFonts w:hint="eastAsia"/>
        <w:lang w:val="en-US"/>
      </w:rPr>
    </w:lvl>
    <w:lvl w:ilvl="1" w:tentative="0">
      <w:start w:val="1"/>
      <w:numFmt w:val="japaneseCounting"/>
      <w:lvlText w:val="%2、"/>
      <w:lvlJc w:val="left"/>
      <w:pPr>
        <w:tabs>
          <w:tab w:val="left" w:pos="1680"/>
        </w:tabs>
        <w:ind w:left="1680" w:hanging="720"/>
      </w:pPr>
      <w:rPr>
        <w:rFonts w:hint="eastAsia"/>
      </w:rPr>
    </w:lvl>
    <w:lvl w:ilvl="2" w:tentative="0">
      <w:start w:val="1"/>
      <w:numFmt w:val="decimal"/>
      <w:lvlText w:val="%3."/>
      <w:lvlJc w:val="left"/>
      <w:pPr>
        <w:ind w:left="502" w:hanging="360"/>
      </w:pPr>
      <w:rPr>
        <w:rFonts w:hint="default"/>
        <w:sz w:val="24"/>
        <w:szCs w:val="24"/>
      </w:r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abstractNum w:abstractNumId="9">
    <w:nsid w:val="756A4368"/>
    <w:multiLevelType w:val="multilevel"/>
    <w:tmpl w:val="756A4368"/>
    <w:lvl w:ilvl="0" w:tentative="0">
      <w:start w:val="1"/>
      <w:numFmt w:val="chineseCountingThousand"/>
      <w:lvlText w:val="%1. "/>
      <w:lvlJc w:val="left"/>
      <w:pPr>
        <w:tabs>
          <w:tab w:val="left" w:pos="432"/>
        </w:tabs>
        <w:ind w:left="432" w:hanging="432"/>
      </w:pPr>
      <w:rPr>
        <w:rFonts w:hint="eastAsia"/>
      </w:rPr>
    </w:lvl>
    <w:lvl w:ilvl="1" w:tentative="0">
      <w:start w:val="1"/>
      <w:numFmt w:val="decimal"/>
      <w:isLgl/>
      <w:lvlText w:val="%1.%2"/>
      <w:lvlJc w:val="left"/>
      <w:pPr>
        <w:tabs>
          <w:tab w:val="left" w:pos="576"/>
        </w:tabs>
        <w:ind w:left="576" w:hanging="576"/>
      </w:pPr>
      <w:rPr>
        <w:rFonts w:hint="eastAsia"/>
      </w:rPr>
    </w:lvl>
    <w:lvl w:ilvl="2" w:tentative="0">
      <w:start w:val="1"/>
      <w:numFmt w:val="decimal"/>
      <w:isLgl/>
      <w:lvlText w:val="%1.%2.%3"/>
      <w:lvlJc w:val="left"/>
      <w:pPr>
        <w:tabs>
          <w:tab w:val="left" w:pos="720"/>
        </w:tabs>
        <w:ind w:left="720" w:hanging="720"/>
      </w:pPr>
      <w:rPr>
        <w:rFonts w:hint="eastAsia"/>
      </w:rPr>
    </w:lvl>
    <w:lvl w:ilvl="3" w:tentative="0">
      <w:start w:val="1"/>
      <w:numFmt w:val="decimal"/>
      <w:pStyle w:val="6"/>
      <w:isLg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9"/>
  </w:num>
  <w:num w:numId="2">
    <w:abstractNumId w:val="5"/>
  </w:num>
  <w:num w:numId="3">
    <w:abstractNumId w:val="1"/>
  </w:num>
  <w:num w:numId="4">
    <w:abstractNumId w:val="3"/>
  </w:num>
  <w:num w:numId="5">
    <w:abstractNumId w:val="4"/>
  </w:num>
  <w:num w:numId="6">
    <w:abstractNumId w:val="0"/>
  </w:num>
  <w:num w:numId="7">
    <w:abstractNumId w:val="2"/>
  </w:num>
  <w:num w:numId="8">
    <w:abstractNumId w:val="6"/>
  </w:num>
  <w:num w:numId="9">
    <w:abstractNumId w:val="7"/>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A2ZWNiYTYzNTlhN2IzYjYzMmQxZTljMTQyOWJmZGYifQ=="/>
  </w:docVars>
  <w:rsids>
    <w:rsidRoot w:val="00F9008B"/>
    <w:rsid w:val="0000010C"/>
    <w:rsid w:val="000004FE"/>
    <w:rsid w:val="00000FE0"/>
    <w:rsid w:val="00001068"/>
    <w:rsid w:val="0000114A"/>
    <w:rsid w:val="000013F0"/>
    <w:rsid w:val="00001417"/>
    <w:rsid w:val="00001731"/>
    <w:rsid w:val="00001C2D"/>
    <w:rsid w:val="00001C55"/>
    <w:rsid w:val="00001CA8"/>
    <w:rsid w:val="00001ED4"/>
    <w:rsid w:val="00001FAE"/>
    <w:rsid w:val="00002291"/>
    <w:rsid w:val="00002DBF"/>
    <w:rsid w:val="00002EC0"/>
    <w:rsid w:val="00003224"/>
    <w:rsid w:val="000033F5"/>
    <w:rsid w:val="0000358C"/>
    <w:rsid w:val="0000361D"/>
    <w:rsid w:val="00003BEF"/>
    <w:rsid w:val="00004130"/>
    <w:rsid w:val="0000431F"/>
    <w:rsid w:val="00004634"/>
    <w:rsid w:val="000046FA"/>
    <w:rsid w:val="00004D8B"/>
    <w:rsid w:val="000059E2"/>
    <w:rsid w:val="00005E6D"/>
    <w:rsid w:val="000061EA"/>
    <w:rsid w:val="00006AE7"/>
    <w:rsid w:val="00006B9B"/>
    <w:rsid w:val="00006BCA"/>
    <w:rsid w:val="00006C35"/>
    <w:rsid w:val="000072B1"/>
    <w:rsid w:val="00007329"/>
    <w:rsid w:val="00007E28"/>
    <w:rsid w:val="00007E84"/>
    <w:rsid w:val="00010401"/>
    <w:rsid w:val="000105A1"/>
    <w:rsid w:val="000107AD"/>
    <w:rsid w:val="00010835"/>
    <w:rsid w:val="000117D5"/>
    <w:rsid w:val="00011842"/>
    <w:rsid w:val="00012137"/>
    <w:rsid w:val="000121FF"/>
    <w:rsid w:val="00012456"/>
    <w:rsid w:val="000125B8"/>
    <w:rsid w:val="00012692"/>
    <w:rsid w:val="00012705"/>
    <w:rsid w:val="00013446"/>
    <w:rsid w:val="00013509"/>
    <w:rsid w:val="000135BC"/>
    <w:rsid w:val="000135DC"/>
    <w:rsid w:val="000136D6"/>
    <w:rsid w:val="00014085"/>
    <w:rsid w:val="00014D89"/>
    <w:rsid w:val="00014DD9"/>
    <w:rsid w:val="00014EE0"/>
    <w:rsid w:val="000151E4"/>
    <w:rsid w:val="00015577"/>
    <w:rsid w:val="000156E4"/>
    <w:rsid w:val="000159A7"/>
    <w:rsid w:val="00015EA2"/>
    <w:rsid w:val="00015FB8"/>
    <w:rsid w:val="0001609F"/>
    <w:rsid w:val="0001611C"/>
    <w:rsid w:val="0001635B"/>
    <w:rsid w:val="00016549"/>
    <w:rsid w:val="00016814"/>
    <w:rsid w:val="00016BF7"/>
    <w:rsid w:val="0001720C"/>
    <w:rsid w:val="0001767E"/>
    <w:rsid w:val="0001776D"/>
    <w:rsid w:val="00017F31"/>
    <w:rsid w:val="00020607"/>
    <w:rsid w:val="00020CBB"/>
    <w:rsid w:val="0002103A"/>
    <w:rsid w:val="000217E4"/>
    <w:rsid w:val="00021852"/>
    <w:rsid w:val="00021A12"/>
    <w:rsid w:val="000223BF"/>
    <w:rsid w:val="00022622"/>
    <w:rsid w:val="00023363"/>
    <w:rsid w:val="000235F3"/>
    <w:rsid w:val="00023644"/>
    <w:rsid w:val="00023712"/>
    <w:rsid w:val="00024E3C"/>
    <w:rsid w:val="00024EB0"/>
    <w:rsid w:val="00025471"/>
    <w:rsid w:val="00025604"/>
    <w:rsid w:val="00025DAF"/>
    <w:rsid w:val="0002646A"/>
    <w:rsid w:val="0002651D"/>
    <w:rsid w:val="00026C90"/>
    <w:rsid w:val="00026CFD"/>
    <w:rsid w:val="00027C8B"/>
    <w:rsid w:val="00027CD9"/>
    <w:rsid w:val="00027E96"/>
    <w:rsid w:val="00030242"/>
    <w:rsid w:val="00030422"/>
    <w:rsid w:val="00030B06"/>
    <w:rsid w:val="0003183A"/>
    <w:rsid w:val="00031CDC"/>
    <w:rsid w:val="00032461"/>
    <w:rsid w:val="0003263B"/>
    <w:rsid w:val="0003282C"/>
    <w:rsid w:val="000329E7"/>
    <w:rsid w:val="00032F6D"/>
    <w:rsid w:val="0003304A"/>
    <w:rsid w:val="0003317E"/>
    <w:rsid w:val="00033413"/>
    <w:rsid w:val="000337F3"/>
    <w:rsid w:val="00033DDB"/>
    <w:rsid w:val="00034499"/>
    <w:rsid w:val="000345AB"/>
    <w:rsid w:val="00034B24"/>
    <w:rsid w:val="00034C27"/>
    <w:rsid w:val="00034E2A"/>
    <w:rsid w:val="0003577F"/>
    <w:rsid w:val="00035B29"/>
    <w:rsid w:val="00035DFD"/>
    <w:rsid w:val="000363B6"/>
    <w:rsid w:val="00036466"/>
    <w:rsid w:val="0003675E"/>
    <w:rsid w:val="00037F87"/>
    <w:rsid w:val="00037FA2"/>
    <w:rsid w:val="000400D0"/>
    <w:rsid w:val="000402BE"/>
    <w:rsid w:val="00040343"/>
    <w:rsid w:val="000425AC"/>
    <w:rsid w:val="000427B8"/>
    <w:rsid w:val="00042F4A"/>
    <w:rsid w:val="00043AC8"/>
    <w:rsid w:val="00043BE5"/>
    <w:rsid w:val="00044003"/>
    <w:rsid w:val="00044527"/>
    <w:rsid w:val="000447E8"/>
    <w:rsid w:val="00044897"/>
    <w:rsid w:val="00044ACF"/>
    <w:rsid w:val="00045465"/>
    <w:rsid w:val="000454F4"/>
    <w:rsid w:val="00045789"/>
    <w:rsid w:val="00045D1E"/>
    <w:rsid w:val="00045E69"/>
    <w:rsid w:val="00045E97"/>
    <w:rsid w:val="00045EF4"/>
    <w:rsid w:val="00046547"/>
    <w:rsid w:val="000466D7"/>
    <w:rsid w:val="00046753"/>
    <w:rsid w:val="00047254"/>
    <w:rsid w:val="00047E41"/>
    <w:rsid w:val="0005022B"/>
    <w:rsid w:val="00050450"/>
    <w:rsid w:val="00050771"/>
    <w:rsid w:val="000509BA"/>
    <w:rsid w:val="0005137A"/>
    <w:rsid w:val="000513F3"/>
    <w:rsid w:val="000521C4"/>
    <w:rsid w:val="00052287"/>
    <w:rsid w:val="000522E0"/>
    <w:rsid w:val="00052FED"/>
    <w:rsid w:val="000532F4"/>
    <w:rsid w:val="000535A9"/>
    <w:rsid w:val="000536AE"/>
    <w:rsid w:val="00054C2F"/>
    <w:rsid w:val="00054CD5"/>
    <w:rsid w:val="00054D03"/>
    <w:rsid w:val="000550AC"/>
    <w:rsid w:val="0005584D"/>
    <w:rsid w:val="00055CC3"/>
    <w:rsid w:val="00055CEE"/>
    <w:rsid w:val="00055FB7"/>
    <w:rsid w:val="000566FA"/>
    <w:rsid w:val="00056A2B"/>
    <w:rsid w:val="00056DA8"/>
    <w:rsid w:val="00056E37"/>
    <w:rsid w:val="00056EE2"/>
    <w:rsid w:val="00056F27"/>
    <w:rsid w:val="00056FE2"/>
    <w:rsid w:val="000570FB"/>
    <w:rsid w:val="000575B8"/>
    <w:rsid w:val="00060131"/>
    <w:rsid w:val="0006026B"/>
    <w:rsid w:val="00060293"/>
    <w:rsid w:val="00061341"/>
    <w:rsid w:val="00061AA1"/>
    <w:rsid w:val="00061BD3"/>
    <w:rsid w:val="00061BDA"/>
    <w:rsid w:val="000621FE"/>
    <w:rsid w:val="00062B90"/>
    <w:rsid w:val="00062C70"/>
    <w:rsid w:val="00062DD0"/>
    <w:rsid w:val="00062E6F"/>
    <w:rsid w:val="000630C7"/>
    <w:rsid w:val="0006400F"/>
    <w:rsid w:val="000645DD"/>
    <w:rsid w:val="00064D7E"/>
    <w:rsid w:val="00064F65"/>
    <w:rsid w:val="00064FD0"/>
    <w:rsid w:val="0006534A"/>
    <w:rsid w:val="00065A5D"/>
    <w:rsid w:val="00065BA2"/>
    <w:rsid w:val="000661CA"/>
    <w:rsid w:val="0006668D"/>
    <w:rsid w:val="000667B3"/>
    <w:rsid w:val="00066896"/>
    <w:rsid w:val="00067002"/>
    <w:rsid w:val="00067993"/>
    <w:rsid w:val="00067B1C"/>
    <w:rsid w:val="00067CED"/>
    <w:rsid w:val="00067F66"/>
    <w:rsid w:val="0007041A"/>
    <w:rsid w:val="00070634"/>
    <w:rsid w:val="0007063F"/>
    <w:rsid w:val="00070883"/>
    <w:rsid w:val="00070C3F"/>
    <w:rsid w:val="0007102C"/>
    <w:rsid w:val="00071D68"/>
    <w:rsid w:val="00071FCE"/>
    <w:rsid w:val="00072661"/>
    <w:rsid w:val="00072CCC"/>
    <w:rsid w:val="000730BC"/>
    <w:rsid w:val="0007315D"/>
    <w:rsid w:val="00073549"/>
    <w:rsid w:val="000737BE"/>
    <w:rsid w:val="0007483E"/>
    <w:rsid w:val="000751DB"/>
    <w:rsid w:val="0007542D"/>
    <w:rsid w:val="0007578F"/>
    <w:rsid w:val="000758C2"/>
    <w:rsid w:val="00075E43"/>
    <w:rsid w:val="00076CB1"/>
    <w:rsid w:val="00076DE2"/>
    <w:rsid w:val="00077706"/>
    <w:rsid w:val="00077878"/>
    <w:rsid w:val="00077E81"/>
    <w:rsid w:val="000804EF"/>
    <w:rsid w:val="00080558"/>
    <w:rsid w:val="0008069D"/>
    <w:rsid w:val="00080DCC"/>
    <w:rsid w:val="00081230"/>
    <w:rsid w:val="000814E2"/>
    <w:rsid w:val="000818C9"/>
    <w:rsid w:val="00081CBB"/>
    <w:rsid w:val="00081D42"/>
    <w:rsid w:val="000822EF"/>
    <w:rsid w:val="0008241E"/>
    <w:rsid w:val="000826F5"/>
    <w:rsid w:val="000829B1"/>
    <w:rsid w:val="00082AAB"/>
    <w:rsid w:val="0008307D"/>
    <w:rsid w:val="000831E9"/>
    <w:rsid w:val="000833BB"/>
    <w:rsid w:val="00083F72"/>
    <w:rsid w:val="0008452D"/>
    <w:rsid w:val="0008467B"/>
    <w:rsid w:val="000850FA"/>
    <w:rsid w:val="000857A6"/>
    <w:rsid w:val="00085C12"/>
    <w:rsid w:val="00085DA0"/>
    <w:rsid w:val="00085F82"/>
    <w:rsid w:val="00086506"/>
    <w:rsid w:val="00086B6E"/>
    <w:rsid w:val="00086C2F"/>
    <w:rsid w:val="00086C64"/>
    <w:rsid w:val="000874BB"/>
    <w:rsid w:val="0008781A"/>
    <w:rsid w:val="00087FF8"/>
    <w:rsid w:val="00090951"/>
    <w:rsid w:val="00090A61"/>
    <w:rsid w:val="000918F5"/>
    <w:rsid w:val="000919B5"/>
    <w:rsid w:val="00091C1D"/>
    <w:rsid w:val="00091D01"/>
    <w:rsid w:val="00091E08"/>
    <w:rsid w:val="00092100"/>
    <w:rsid w:val="000922D8"/>
    <w:rsid w:val="00092E07"/>
    <w:rsid w:val="000932E7"/>
    <w:rsid w:val="0009333A"/>
    <w:rsid w:val="000933C3"/>
    <w:rsid w:val="00093459"/>
    <w:rsid w:val="00093A93"/>
    <w:rsid w:val="00093B8B"/>
    <w:rsid w:val="000944C3"/>
    <w:rsid w:val="000951E7"/>
    <w:rsid w:val="00095B82"/>
    <w:rsid w:val="00096098"/>
    <w:rsid w:val="000961B2"/>
    <w:rsid w:val="000969D9"/>
    <w:rsid w:val="00096F37"/>
    <w:rsid w:val="00097FE5"/>
    <w:rsid w:val="000A0354"/>
    <w:rsid w:val="000A079F"/>
    <w:rsid w:val="000A091F"/>
    <w:rsid w:val="000A0958"/>
    <w:rsid w:val="000A0FCC"/>
    <w:rsid w:val="000A1033"/>
    <w:rsid w:val="000A25DA"/>
    <w:rsid w:val="000A2712"/>
    <w:rsid w:val="000A2877"/>
    <w:rsid w:val="000A355D"/>
    <w:rsid w:val="000A35DA"/>
    <w:rsid w:val="000A371E"/>
    <w:rsid w:val="000A3DE5"/>
    <w:rsid w:val="000A4011"/>
    <w:rsid w:val="000A45D5"/>
    <w:rsid w:val="000A46CD"/>
    <w:rsid w:val="000A490E"/>
    <w:rsid w:val="000A4B64"/>
    <w:rsid w:val="000A529E"/>
    <w:rsid w:val="000A57C9"/>
    <w:rsid w:val="000A5B49"/>
    <w:rsid w:val="000A5FE5"/>
    <w:rsid w:val="000A6684"/>
    <w:rsid w:val="000A7194"/>
    <w:rsid w:val="000A7218"/>
    <w:rsid w:val="000A740A"/>
    <w:rsid w:val="000A7446"/>
    <w:rsid w:val="000A7E7F"/>
    <w:rsid w:val="000A7ECD"/>
    <w:rsid w:val="000B04DD"/>
    <w:rsid w:val="000B09EE"/>
    <w:rsid w:val="000B0F01"/>
    <w:rsid w:val="000B1346"/>
    <w:rsid w:val="000B1914"/>
    <w:rsid w:val="000B19DC"/>
    <w:rsid w:val="000B1B44"/>
    <w:rsid w:val="000B1CA2"/>
    <w:rsid w:val="000B202E"/>
    <w:rsid w:val="000B2293"/>
    <w:rsid w:val="000B24A4"/>
    <w:rsid w:val="000B255C"/>
    <w:rsid w:val="000B395E"/>
    <w:rsid w:val="000B39C3"/>
    <w:rsid w:val="000B3A00"/>
    <w:rsid w:val="000B3F6B"/>
    <w:rsid w:val="000B4840"/>
    <w:rsid w:val="000B4D79"/>
    <w:rsid w:val="000B53E8"/>
    <w:rsid w:val="000B5627"/>
    <w:rsid w:val="000B5671"/>
    <w:rsid w:val="000B5A2F"/>
    <w:rsid w:val="000B6BF0"/>
    <w:rsid w:val="000B6CE8"/>
    <w:rsid w:val="000B7DAF"/>
    <w:rsid w:val="000C006F"/>
    <w:rsid w:val="000C071C"/>
    <w:rsid w:val="000C0931"/>
    <w:rsid w:val="000C0BB4"/>
    <w:rsid w:val="000C0BEE"/>
    <w:rsid w:val="000C11BE"/>
    <w:rsid w:val="000C1CB9"/>
    <w:rsid w:val="000C2159"/>
    <w:rsid w:val="000C21BB"/>
    <w:rsid w:val="000C289B"/>
    <w:rsid w:val="000C2EB4"/>
    <w:rsid w:val="000C352F"/>
    <w:rsid w:val="000C3F01"/>
    <w:rsid w:val="000C410D"/>
    <w:rsid w:val="000C420D"/>
    <w:rsid w:val="000C4773"/>
    <w:rsid w:val="000C4944"/>
    <w:rsid w:val="000C4E24"/>
    <w:rsid w:val="000C52D0"/>
    <w:rsid w:val="000C5851"/>
    <w:rsid w:val="000C591E"/>
    <w:rsid w:val="000C5C4A"/>
    <w:rsid w:val="000C5F01"/>
    <w:rsid w:val="000C63C4"/>
    <w:rsid w:val="000C66C1"/>
    <w:rsid w:val="000C689F"/>
    <w:rsid w:val="000C69CE"/>
    <w:rsid w:val="000C6F0B"/>
    <w:rsid w:val="000C6F32"/>
    <w:rsid w:val="000C6FEF"/>
    <w:rsid w:val="000C7324"/>
    <w:rsid w:val="000C778C"/>
    <w:rsid w:val="000C7833"/>
    <w:rsid w:val="000C7E1B"/>
    <w:rsid w:val="000C7E73"/>
    <w:rsid w:val="000D001B"/>
    <w:rsid w:val="000D0A45"/>
    <w:rsid w:val="000D136E"/>
    <w:rsid w:val="000D14AC"/>
    <w:rsid w:val="000D15BA"/>
    <w:rsid w:val="000D15BE"/>
    <w:rsid w:val="000D1C25"/>
    <w:rsid w:val="000D252B"/>
    <w:rsid w:val="000D2BCC"/>
    <w:rsid w:val="000D2C9B"/>
    <w:rsid w:val="000D2CCB"/>
    <w:rsid w:val="000D35FD"/>
    <w:rsid w:val="000D3D2D"/>
    <w:rsid w:val="000D3D99"/>
    <w:rsid w:val="000D451B"/>
    <w:rsid w:val="000D4653"/>
    <w:rsid w:val="000D4696"/>
    <w:rsid w:val="000D4817"/>
    <w:rsid w:val="000D4D0C"/>
    <w:rsid w:val="000D4FB9"/>
    <w:rsid w:val="000D54B4"/>
    <w:rsid w:val="000D584B"/>
    <w:rsid w:val="000D5EE9"/>
    <w:rsid w:val="000D5F55"/>
    <w:rsid w:val="000D6147"/>
    <w:rsid w:val="000D6372"/>
    <w:rsid w:val="000D6979"/>
    <w:rsid w:val="000D6CE7"/>
    <w:rsid w:val="000D6E38"/>
    <w:rsid w:val="000D6E63"/>
    <w:rsid w:val="000D711C"/>
    <w:rsid w:val="000D7B6E"/>
    <w:rsid w:val="000E0644"/>
    <w:rsid w:val="000E076D"/>
    <w:rsid w:val="000E087C"/>
    <w:rsid w:val="000E187C"/>
    <w:rsid w:val="000E1AF6"/>
    <w:rsid w:val="000E1B28"/>
    <w:rsid w:val="000E1E8D"/>
    <w:rsid w:val="000E1EBC"/>
    <w:rsid w:val="000E2173"/>
    <w:rsid w:val="000E220B"/>
    <w:rsid w:val="000E2266"/>
    <w:rsid w:val="000E2A50"/>
    <w:rsid w:val="000E30F2"/>
    <w:rsid w:val="000E316B"/>
    <w:rsid w:val="000E372D"/>
    <w:rsid w:val="000E3B3C"/>
    <w:rsid w:val="000E3D08"/>
    <w:rsid w:val="000E4728"/>
    <w:rsid w:val="000E4D1F"/>
    <w:rsid w:val="000E5658"/>
    <w:rsid w:val="000E5698"/>
    <w:rsid w:val="000E5723"/>
    <w:rsid w:val="000E581B"/>
    <w:rsid w:val="000E64B2"/>
    <w:rsid w:val="000E65D2"/>
    <w:rsid w:val="000E6919"/>
    <w:rsid w:val="000E6B1B"/>
    <w:rsid w:val="000E6F0C"/>
    <w:rsid w:val="000E7215"/>
    <w:rsid w:val="000E732D"/>
    <w:rsid w:val="000F07ED"/>
    <w:rsid w:val="000F0CF2"/>
    <w:rsid w:val="000F1401"/>
    <w:rsid w:val="000F15C8"/>
    <w:rsid w:val="000F1A32"/>
    <w:rsid w:val="000F1CC2"/>
    <w:rsid w:val="000F1D15"/>
    <w:rsid w:val="000F270A"/>
    <w:rsid w:val="000F2FA3"/>
    <w:rsid w:val="000F34C8"/>
    <w:rsid w:val="000F38BC"/>
    <w:rsid w:val="000F3E2A"/>
    <w:rsid w:val="000F41CA"/>
    <w:rsid w:val="000F46AF"/>
    <w:rsid w:val="000F4D26"/>
    <w:rsid w:val="000F5639"/>
    <w:rsid w:val="000F5645"/>
    <w:rsid w:val="000F58A4"/>
    <w:rsid w:val="000F5F99"/>
    <w:rsid w:val="000F6833"/>
    <w:rsid w:val="000F6A24"/>
    <w:rsid w:val="000F7502"/>
    <w:rsid w:val="000F7616"/>
    <w:rsid w:val="000F7DE9"/>
    <w:rsid w:val="000F7F7A"/>
    <w:rsid w:val="001002F4"/>
    <w:rsid w:val="001004C7"/>
    <w:rsid w:val="0010050C"/>
    <w:rsid w:val="001006CB"/>
    <w:rsid w:val="001011FC"/>
    <w:rsid w:val="0010121A"/>
    <w:rsid w:val="0010165F"/>
    <w:rsid w:val="00101D61"/>
    <w:rsid w:val="00101E7C"/>
    <w:rsid w:val="001021D7"/>
    <w:rsid w:val="001023DC"/>
    <w:rsid w:val="001024A7"/>
    <w:rsid w:val="00102572"/>
    <w:rsid w:val="00102946"/>
    <w:rsid w:val="001029A0"/>
    <w:rsid w:val="00102A9C"/>
    <w:rsid w:val="00102FBF"/>
    <w:rsid w:val="0010333D"/>
    <w:rsid w:val="0010372A"/>
    <w:rsid w:val="00103F41"/>
    <w:rsid w:val="00104662"/>
    <w:rsid w:val="001047D9"/>
    <w:rsid w:val="00104F34"/>
    <w:rsid w:val="001053C5"/>
    <w:rsid w:val="001055AD"/>
    <w:rsid w:val="00105C14"/>
    <w:rsid w:val="001065A3"/>
    <w:rsid w:val="00106610"/>
    <w:rsid w:val="00106831"/>
    <w:rsid w:val="0010683E"/>
    <w:rsid w:val="0010691D"/>
    <w:rsid w:val="00106931"/>
    <w:rsid w:val="00106B33"/>
    <w:rsid w:val="00106E69"/>
    <w:rsid w:val="00110AC5"/>
    <w:rsid w:val="00110F0B"/>
    <w:rsid w:val="0011108B"/>
    <w:rsid w:val="00111136"/>
    <w:rsid w:val="00111164"/>
    <w:rsid w:val="00111761"/>
    <w:rsid w:val="00112164"/>
    <w:rsid w:val="0011241F"/>
    <w:rsid w:val="001128BF"/>
    <w:rsid w:val="00112D09"/>
    <w:rsid w:val="00112E8F"/>
    <w:rsid w:val="00112F03"/>
    <w:rsid w:val="00112F38"/>
    <w:rsid w:val="0011374E"/>
    <w:rsid w:val="00113821"/>
    <w:rsid w:val="00114058"/>
    <w:rsid w:val="0011449E"/>
    <w:rsid w:val="00114B4E"/>
    <w:rsid w:val="00114DF5"/>
    <w:rsid w:val="001153EF"/>
    <w:rsid w:val="00115D55"/>
    <w:rsid w:val="00115E45"/>
    <w:rsid w:val="00115F1E"/>
    <w:rsid w:val="00115F85"/>
    <w:rsid w:val="0011688E"/>
    <w:rsid w:val="00116A8B"/>
    <w:rsid w:val="00116ACD"/>
    <w:rsid w:val="00116AF0"/>
    <w:rsid w:val="00116E19"/>
    <w:rsid w:val="00116F55"/>
    <w:rsid w:val="0011718F"/>
    <w:rsid w:val="00117B7D"/>
    <w:rsid w:val="00117D52"/>
    <w:rsid w:val="00117EFC"/>
    <w:rsid w:val="00120023"/>
    <w:rsid w:val="001205A8"/>
    <w:rsid w:val="00121766"/>
    <w:rsid w:val="0012291C"/>
    <w:rsid w:val="00122A64"/>
    <w:rsid w:val="001233B4"/>
    <w:rsid w:val="00123694"/>
    <w:rsid w:val="0012388A"/>
    <w:rsid w:val="0012388C"/>
    <w:rsid w:val="00123AFA"/>
    <w:rsid w:val="00123C8C"/>
    <w:rsid w:val="00123E8B"/>
    <w:rsid w:val="00124405"/>
    <w:rsid w:val="00124B43"/>
    <w:rsid w:val="00124DF8"/>
    <w:rsid w:val="001253EA"/>
    <w:rsid w:val="00125B99"/>
    <w:rsid w:val="00126160"/>
    <w:rsid w:val="00126AEC"/>
    <w:rsid w:val="00126DB5"/>
    <w:rsid w:val="0012711C"/>
    <w:rsid w:val="00127178"/>
    <w:rsid w:val="00127700"/>
    <w:rsid w:val="00127F09"/>
    <w:rsid w:val="0013002A"/>
    <w:rsid w:val="0013013C"/>
    <w:rsid w:val="0013085D"/>
    <w:rsid w:val="0013089C"/>
    <w:rsid w:val="00130A2D"/>
    <w:rsid w:val="00130CEA"/>
    <w:rsid w:val="00130F54"/>
    <w:rsid w:val="00131888"/>
    <w:rsid w:val="00131B07"/>
    <w:rsid w:val="00131F17"/>
    <w:rsid w:val="0013212F"/>
    <w:rsid w:val="00132284"/>
    <w:rsid w:val="001323F9"/>
    <w:rsid w:val="0013251F"/>
    <w:rsid w:val="00133088"/>
    <w:rsid w:val="00133346"/>
    <w:rsid w:val="001335B1"/>
    <w:rsid w:val="00133668"/>
    <w:rsid w:val="00133B4E"/>
    <w:rsid w:val="0013410F"/>
    <w:rsid w:val="001346AF"/>
    <w:rsid w:val="00134990"/>
    <w:rsid w:val="00134BAD"/>
    <w:rsid w:val="001354D1"/>
    <w:rsid w:val="00135840"/>
    <w:rsid w:val="00135A0A"/>
    <w:rsid w:val="00135BB9"/>
    <w:rsid w:val="0013621D"/>
    <w:rsid w:val="00136354"/>
    <w:rsid w:val="00136674"/>
    <w:rsid w:val="00136B0E"/>
    <w:rsid w:val="00136C3B"/>
    <w:rsid w:val="001376AB"/>
    <w:rsid w:val="0013777C"/>
    <w:rsid w:val="00137D5F"/>
    <w:rsid w:val="00140082"/>
    <w:rsid w:val="001400C5"/>
    <w:rsid w:val="00140175"/>
    <w:rsid w:val="00140757"/>
    <w:rsid w:val="00140D07"/>
    <w:rsid w:val="00141854"/>
    <w:rsid w:val="00141A3A"/>
    <w:rsid w:val="00141FD4"/>
    <w:rsid w:val="001423FA"/>
    <w:rsid w:val="001427B5"/>
    <w:rsid w:val="001428CF"/>
    <w:rsid w:val="00142D0C"/>
    <w:rsid w:val="00142E3C"/>
    <w:rsid w:val="00143387"/>
    <w:rsid w:val="001439BA"/>
    <w:rsid w:val="00144013"/>
    <w:rsid w:val="0014557F"/>
    <w:rsid w:val="001455C3"/>
    <w:rsid w:val="00145A17"/>
    <w:rsid w:val="00145BBE"/>
    <w:rsid w:val="001460B5"/>
    <w:rsid w:val="0014641F"/>
    <w:rsid w:val="001464A8"/>
    <w:rsid w:val="001467BB"/>
    <w:rsid w:val="00146CA8"/>
    <w:rsid w:val="00146DB9"/>
    <w:rsid w:val="00147884"/>
    <w:rsid w:val="00150827"/>
    <w:rsid w:val="00150B0D"/>
    <w:rsid w:val="00150E10"/>
    <w:rsid w:val="00151A32"/>
    <w:rsid w:val="00151B2C"/>
    <w:rsid w:val="00151E31"/>
    <w:rsid w:val="00151F9B"/>
    <w:rsid w:val="00152289"/>
    <w:rsid w:val="00152425"/>
    <w:rsid w:val="00152BAD"/>
    <w:rsid w:val="00152CE3"/>
    <w:rsid w:val="00153652"/>
    <w:rsid w:val="00153697"/>
    <w:rsid w:val="00153828"/>
    <w:rsid w:val="00153956"/>
    <w:rsid w:val="00153B95"/>
    <w:rsid w:val="00154146"/>
    <w:rsid w:val="00154190"/>
    <w:rsid w:val="00154396"/>
    <w:rsid w:val="001545EA"/>
    <w:rsid w:val="001549BA"/>
    <w:rsid w:val="00154BBF"/>
    <w:rsid w:val="00155099"/>
    <w:rsid w:val="00155C85"/>
    <w:rsid w:val="00156592"/>
    <w:rsid w:val="00156A6C"/>
    <w:rsid w:val="00156B10"/>
    <w:rsid w:val="001576FE"/>
    <w:rsid w:val="00157823"/>
    <w:rsid w:val="0015790D"/>
    <w:rsid w:val="00157C5E"/>
    <w:rsid w:val="00157DD3"/>
    <w:rsid w:val="0016015A"/>
    <w:rsid w:val="0016020E"/>
    <w:rsid w:val="00160503"/>
    <w:rsid w:val="00160BF6"/>
    <w:rsid w:val="00160D1F"/>
    <w:rsid w:val="00160D7C"/>
    <w:rsid w:val="00160E30"/>
    <w:rsid w:val="0016106D"/>
    <w:rsid w:val="001612E1"/>
    <w:rsid w:val="001614DB"/>
    <w:rsid w:val="00161752"/>
    <w:rsid w:val="00161793"/>
    <w:rsid w:val="0016194E"/>
    <w:rsid w:val="00161B1E"/>
    <w:rsid w:val="0016236C"/>
    <w:rsid w:val="00162625"/>
    <w:rsid w:val="0016280E"/>
    <w:rsid w:val="001630A8"/>
    <w:rsid w:val="00163826"/>
    <w:rsid w:val="00163943"/>
    <w:rsid w:val="00163BA1"/>
    <w:rsid w:val="00163C89"/>
    <w:rsid w:val="00163EB2"/>
    <w:rsid w:val="00163F22"/>
    <w:rsid w:val="0016417B"/>
    <w:rsid w:val="001643A6"/>
    <w:rsid w:val="0016470E"/>
    <w:rsid w:val="001649D3"/>
    <w:rsid w:val="00164E0A"/>
    <w:rsid w:val="001652D7"/>
    <w:rsid w:val="00165A5F"/>
    <w:rsid w:val="00165EEF"/>
    <w:rsid w:val="00166223"/>
    <w:rsid w:val="0016793E"/>
    <w:rsid w:val="00167D4D"/>
    <w:rsid w:val="0017054C"/>
    <w:rsid w:val="00170635"/>
    <w:rsid w:val="0017070D"/>
    <w:rsid w:val="00170837"/>
    <w:rsid w:val="00171035"/>
    <w:rsid w:val="001713B7"/>
    <w:rsid w:val="00171ADB"/>
    <w:rsid w:val="00171E2C"/>
    <w:rsid w:val="00172029"/>
    <w:rsid w:val="001721CA"/>
    <w:rsid w:val="0017234A"/>
    <w:rsid w:val="001733A4"/>
    <w:rsid w:val="00173AB9"/>
    <w:rsid w:val="00173BED"/>
    <w:rsid w:val="00173EED"/>
    <w:rsid w:val="00174368"/>
    <w:rsid w:val="001744EA"/>
    <w:rsid w:val="00174731"/>
    <w:rsid w:val="00174B2F"/>
    <w:rsid w:val="00174D82"/>
    <w:rsid w:val="00174E44"/>
    <w:rsid w:val="00175053"/>
    <w:rsid w:val="00175151"/>
    <w:rsid w:val="001753B7"/>
    <w:rsid w:val="001757E7"/>
    <w:rsid w:val="00175873"/>
    <w:rsid w:val="00175A5C"/>
    <w:rsid w:val="00175C59"/>
    <w:rsid w:val="00175E8F"/>
    <w:rsid w:val="001760BC"/>
    <w:rsid w:val="00176674"/>
    <w:rsid w:val="00176818"/>
    <w:rsid w:val="00176B82"/>
    <w:rsid w:val="00176E3B"/>
    <w:rsid w:val="00176ECB"/>
    <w:rsid w:val="0017752D"/>
    <w:rsid w:val="0017759F"/>
    <w:rsid w:val="00177832"/>
    <w:rsid w:val="00180CC5"/>
    <w:rsid w:val="00181178"/>
    <w:rsid w:val="0018119E"/>
    <w:rsid w:val="0018152C"/>
    <w:rsid w:val="00181DBA"/>
    <w:rsid w:val="00181EEF"/>
    <w:rsid w:val="00181F3E"/>
    <w:rsid w:val="00182456"/>
    <w:rsid w:val="00182FE0"/>
    <w:rsid w:val="0018374A"/>
    <w:rsid w:val="00183911"/>
    <w:rsid w:val="00184418"/>
    <w:rsid w:val="001845FB"/>
    <w:rsid w:val="001857FB"/>
    <w:rsid w:val="00185DA6"/>
    <w:rsid w:val="00185F64"/>
    <w:rsid w:val="00186096"/>
    <w:rsid w:val="001862FE"/>
    <w:rsid w:val="001864AC"/>
    <w:rsid w:val="00187317"/>
    <w:rsid w:val="0018772E"/>
    <w:rsid w:val="00187765"/>
    <w:rsid w:val="00187A4E"/>
    <w:rsid w:val="00187A94"/>
    <w:rsid w:val="0019029E"/>
    <w:rsid w:val="00190804"/>
    <w:rsid w:val="0019088F"/>
    <w:rsid w:val="00190C51"/>
    <w:rsid w:val="00190F5E"/>
    <w:rsid w:val="0019285F"/>
    <w:rsid w:val="00192F00"/>
    <w:rsid w:val="00193ACC"/>
    <w:rsid w:val="00193BFE"/>
    <w:rsid w:val="001943CA"/>
    <w:rsid w:val="00195062"/>
    <w:rsid w:val="00195322"/>
    <w:rsid w:val="0019560E"/>
    <w:rsid w:val="001958E3"/>
    <w:rsid w:val="00195FFA"/>
    <w:rsid w:val="0019601B"/>
    <w:rsid w:val="00196048"/>
    <w:rsid w:val="00196A82"/>
    <w:rsid w:val="0019769B"/>
    <w:rsid w:val="001979F9"/>
    <w:rsid w:val="00197FFE"/>
    <w:rsid w:val="001A0D25"/>
    <w:rsid w:val="001A0E14"/>
    <w:rsid w:val="001A1570"/>
    <w:rsid w:val="001A1917"/>
    <w:rsid w:val="001A1C64"/>
    <w:rsid w:val="001A1DFB"/>
    <w:rsid w:val="001A1E7F"/>
    <w:rsid w:val="001A200C"/>
    <w:rsid w:val="001A2466"/>
    <w:rsid w:val="001A2918"/>
    <w:rsid w:val="001A2AF3"/>
    <w:rsid w:val="001A2D02"/>
    <w:rsid w:val="001A2DF0"/>
    <w:rsid w:val="001A2FD7"/>
    <w:rsid w:val="001A3076"/>
    <w:rsid w:val="001A3163"/>
    <w:rsid w:val="001A31A5"/>
    <w:rsid w:val="001A3879"/>
    <w:rsid w:val="001A389C"/>
    <w:rsid w:val="001A3B75"/>
    <w:rsid w:val="001A42A3"/>
    <w:rsid w:val="001A46FB"/>
    <w:rsid w:val="001A4EC9"/>
    <w:rsid w:val="001A5482"/>
    <w:rsid w:val="001A5944"/>
    <w:rsid w:val="001A5FB1"/>
    <w:rsid w:val="001A5FD2"/>
    <w:rsid w:val="001A618F"/>
    <w:rsid w:val="001A698A"/>
    <w:rsid w:val="001A6CCC"/>
    <w:rsid w:val="001A6E3B"/>
    <w:rsid w:val="001A70C8"/>
    <w:rsid w:val="001A71C9"/>
    <w:rsid w:val="001A7429"/>
    <w:rsid w:val="001A760C"/>
    <w:rsid w:val="001A76F0"/>
    <w:rsid w:val="001A7977"/>
    <w:rsid w:val="001A799B"/>
    <w:rsid w:val="001A7AC7"/>
    <w:rsid w:val="001A7C38"/>
    <w:rsid w:val="001B011F"/>
    <w:rsid w:val="001B02F8"/>
    <w:rsid w:val="001B2104"/>
    <w:rsid w:val="001B2279"/>
    <w:rsid w:val="001B2729"/>
    <w:rsid w:val="001B2866"/>
    <w:rsid w:val="001B2881"/>
    <w:rsid w:val="001B2B73"/>
    <w:rsid w:val="001B3675"/>
    <w:rsid w:val="001B37C8"/>
    <w:rsid w:val="001B3B29"/>
    <w:rsid w:val="001B48BA"/>
    <w:rsid w:val="001B4945"/>
    <w:rsid w:val="001B4B2C"/>
    <w:rsid w:val="001B4F10"/>
    <w:rsid w:val="001B5154"/>
    <w:rsid w:val="001B5323"/>
    <w:rsid w:val="001B5AC2"/>
    <w:rsid w:val="001B6DCE"/>
    <w:rsid w:val="001B6E30"/>
    <w:rsid w:val="001B7060"/>
    <w:rsid w:val="001B7BF7"/>
    <w:rsid w:val="001B7C83"/>
    <w:rsid w:val="001B7F9E"/>
    <w:rsid w:val="001C0206"/>
    <w:rsid w:val="001C0246"/>
    <w:rsid w:val="001C04D4"/>
    <w:rsid w:val="001C0B34"/>
    <w:rsid w:val="001C12A3"/>
    <w:rsid w:val="001C1419"/>
    <w:rsid w:val="001C15D8"/>
    <w:rsid w:val="001C17BB"/>
    <w:rsid w:val="001C187E"/>
    <w:rsid w:val="001C1A37"/>
    <w:rsid w:val="001C1C49"/>
    <w:rsid w:val="001C286F"/>
    <w:rsid w:val="001C2B86"/>
    <w:rsid w:val="001C2F54"/>
    <w:rsid w:val="001C3308"/>
    <w:rsid w:val="001C34F5"/>
    <w:rsid w:val="001C3BBB"/>
    <w:rsid w:val="001C40D1"/>
    <w:rsid w:val="001C468A"/>
    <w:rsid w:val="001C4834"/>
    <w:rsid w:val="001C4A38"/>
    <w:rsid w:val="001C4A9E"/>
    <w:rsid w:val="001C5001"/>
    <w:rsid w:val="001C5103"/>
    <w:rsid w:val="001C52A8"/>
    <w:rsid w:val="001C5ADF"/>
    <w:rsid w:val="001C5E8E"/>
    <w:rsid w:val="001C6120"/>
    <w:rsid w:val="001C6516"/>
    <w:rsid w:val="001C6B5C"/>
    <w:rsid w:val="001C6CF0"/>
    <w:rsid w:val="001C7155"/>
    <w:rsid w:val="001C7E48"/>
    <w:rsid w:val="001D0190"/>
    <w:rsid w:val="001D039B"/>
    <w:rsid w:val="001D05A3"/>
    <w:rsid w:val="001D0849"/>
    <w:rsid w:val="001D1258"/>
    <w:rsid w:val="001D18BA"/>
    <w:rsid w:val="001D1AB8"/>
    <w:rsid w:val="001D26F5"/>
    <w:rsid w:val="001D286F"/>
    <w:rsid w:val="001D2C94"/>
    <w:rsid w:val="001D33D9"/>
    <w:rsid w:val="001D3698"/>
    <w:rsid w:val="001D36A9"/>
    <w:rsid w:val="001D36F6"/>
    <w:rsid w:val="001D4303"/>
    <w:rsid w:val="001D45E5"/>
    <w:rsid w:val="001D461A"/>
    <w:rsid w:val="001D4A9D"/>
    <w:rsid w:val="001D4AAD"/>
    <w:rsid w:val="001D4E16"/>
    <w:rsid w:val="001D59FF"/>
    <w:rsid w:val="001D5AFA"/>
    <w:rsid w:val="001D652D"/>
    <w:rsid w:val="001D72D9"/>
    <w:rsid w:val="001D7421"/>
    <w:rsid w:val="001D784A"/>
    <w:rsid w:val="001E04A4"/>
    <w:rsid w:val="001E07C5"/>
    <w:rsid w:val="001E0B45"/>
    <w:rsid w:val="001E0BF4"/>
    <w:rsid w:val="001E176D"/>
    <w:rsid w:val="001E196E"/>
    <w:rsid w:val="001E1BCE"/>
    <w:rsid w:val="001E1E05"/>
    <w:rsid w:val="001E2086"/>
    <w:rsid w:val="001E339F"/>
    <w:rsid w:val="001E3629"/>
    <w:rsid w:val="001E3785"/>
    <w:rsid w:val="001E3E7D"/>
    <w:rsid w:val="001E40F0"/>
    <w:rsid w:val="001E4172"/>
    <w:rsid w:val="001E4C01"/>
    <w:rsid w:val="001E4F08"/>
    <w:rsid w:val="001E5366"/>
    <w:rsid w:val="001E5490"/>
    <w:rsid w:val="001E5730"/>
    <w:rsid w:val="001E5D2B"/>
    <w:rsid w:val="001E5E2E"/>
    <w:rsid w:val="001E6352"/>
    <w:rsid w:val="001E700A"/>
    <w:rsid w:val="001E70AD"/>
    <w:rsid w:val="001E7237"/>
    <w:rsid w:val="001E7AF6"/>
    <w:rsid w:val="001F01B8"/>
    <w:rsid w:val="001F0FC3"/>
    <w:rsid w:val="001F1188"/>
    <w:rsid w:val="001F1B8D"/>
    <w:rsid w:val="001F1C50"/>
    <w:rsid w:val="001F274F"/>
    <w:rsid w:val="001F289C"/>
    <w:rsid w:val="001F2BF9"/>
    <w:rsid w:val="001F3AF2"/>
    <w:rsid w:val="001F6008"/>
    <w:rsid w:val="001F604B"/>
    <w:rsid w:val="001F641B"/>
    <w:rsid w:val="001F6D4D"/>
    <w:rsid w:val="001F7F7E"/>
    <w:rsid w:val="0020125C"/>
    <w:rsid w:val="0020130D"/>
    <w:rsid w:val="00201916"/>
    <w:rsid w:val="00201D06"/>
    <w:rsid w:val="00201E9F"/>
    <w:rsid w:val="00202071"/>
    <w:rsid w:val="002021AF"/>
    <w:rsid w:val="00202F25"/>
    <w:rsid w:val="002035B3"/>
    <w:rsid w:val="00203929"/>
    <w:rsid w:val="00203CD6"/>
    <w:rsid w:val="00203D01"/>
    <w:rsid w:val="00204460"/>
    <w:rsid w:val="002049B5"/>
    <w:rsid w:val="002051EA"/>
    <w:rsid w:val="00205CBC"/>
    <w:rsid w:val="00206259"/>
    <w:rsid w:val="002074B7"/>
    <w:rsid w:val="0020758D"/>
    <w:rsid w:val="00207C7B"/>
    <w:rsid w:val="002102F4"/>
    <w:rsid w:val="00211470"/>
    <w:rsid w:val="0021168C"/>
    <w:rsid w:val="00211922"/>
    <w:rsid w:val="00211DF3"/>
    <w:rsid w:val="0021213A"/>
    <w:rsid w:val="002123E8"/>
    <w:rsid w:val="0021265F"/>
    <w:rsid w:val="00213232"/>
    <w:rsid w:val="00213817"/>
    <w:rsid w:val="00214428"/>
    <w:rsid w:val="002145A8"/>
    <w:rsid w:val="002145EB"/>
    <w:rsid w:val="00214F82"/>
    <w:rsid w:val="00214FE7"/>
    <w:rsid w:val="00215033"/>
    <w:rsid w:val="00215834"/>
    <w:rsid w:val="00215CC2"/>
    <w:rsid w:val="00215D95"/>
    <w:rsid w:val="00215ED8"/>
    <w:rsid w:val="00215FAF"/>
    <w:rsid w:val="002175F1"/>
    <w:rsid w:val="00217700"/>
    <w:rsid w:val="002177E2"/>
    <w:rsid w:val="0021783B"/>
    <w:rsid w:val="00217B43"/>
    <w:rsid w:val="002200C0"/>
    <w:rsid w:val="002201C3"/>
    <w:rsid w:val="002205F3"/>
    <w:rsid w:val="0022085B"/>
    <w:rsid w:val="00220E53"/>
    <w:rsid w:val="0022176C"/>
    <w:rsid w:val="002225D1"/>
    <w:rsid w:val="002230FA"/>
    <w:rsid w:val="0022319D"/>
    <w:rsid w:val="002232B9"/>
    <w:rsid w:val="002236E5"/>
    <w:rsid w:val="00223DF2"/>
    <w:rsid w:val="002249A2"/>
    <w:rsid w:val="00224C0C"/>
    <w:rsid w:val="002256C2"/>
    <w:rsid w:val="002256D0"/>
    <w:rsid w:val="00225C8E"/>
    <w:rsid w:val="00226428"/>
    <w:rsid w:val="002265A9"/>
    <w:rsid w:val="002266CB"/>
    <w:rsid w:val="0022697C"/>
    <w:rsid w:val="00227052"/>
    <w:rsid w:val="002272D5"/>
    <w:rsid w:val="0022738E"/>
    <w:rsid w:val="00227906"/>
    <w:rsid w:val="00227934"/>
    <w:rsid w:val="00227E21"/>
    <w:rsid w:val="0023008A"/>
    <w:rsid w:val="00230C8C"/>
    <w:rsid w:val="00231927"/>
    <w:rsid w:val="00231D05"/>
    <w:rsid w:val="0023241A"/>
    <w:rsid w:val="002336E2"/>
    <w:rsid w:val="00233AC2"/>
    <w:rsid w:val="00233BAF"/>
    <w:rsid w:val="00233CD8"/>
    <w:rsid w:val="00233F80"/>
    <w:rsid w:val="00234082"/>
    <w:rsid w:val="0023423A"/>
    <w:rsid w:val="002343A8"/>
    <w:rsid w:val="00235420"/>
    <w:rsid w:val="00235700"/>
    <w:rsid w:val="00236525"/>
    <w:rsid w:val="00236DA1"/>
    <w:rsid w:val="0023788D"/>
    <w:rsid w:val="00240422"/>
    <w:rsid w:val="0024065B"/>
    <w:rsid w:val="002409A6"/>
    <w:rsid w:val="00240C63"/>
    <w:rsid w:val="00240D91"/>
    <w:rsid w:val="00240EA5"/>
    <w:rsid w:val="00241132"/>
    <w:rsid w:val="002411BB"/>
    <w:rsid w:val="00241205"/>
    <w:rsid w:val="002418C5"/>
    <w:rsid w:val="0024261D"/>
    <w:rsid w:val="00242712"/>
    <w:rsid w:val="00242DFB"/>
    <w:rsid w:val="00243807"/>
    <w:rsid w:val="002440AC"/>
    <w:rsid w:val="00244365"/>
    <w:rsid w:val="0024459A"/>
    <w:rsid w:val="0024459B"/>
    <w:rsid w:val="002446A3"/>
    <w:rsid w:val="00244771"/>
    <w:rsid w:val="00244903"/>
    <w:rsid w:val="00244AFB"/>
    <w:rsid w:val="002453DF"/>
    <w:rsid w:val="00245A81"/>
    <w:rsid w:val="002462A5"/>
    <w:rsid w:val="00246B86"/>
    <w:rsid w:val="00247335"/>
    <w:rsid w:val="002473EF"/>
    <w:rsid w:val="00247538"/>
    <w:rsid w:val="002477B9"/>
    <w:rsid w:val="00247B69"/>
    <w:rsid w:val="00247CBE"/>
    <w:rsid w:val="00247E69"/>
    <w:rsid w:val="00250A1F"/>
    <w:rsid w:val="00250ADA"/>
    <w:rsid w:val="00250D6E"/>
    <w:rsid w:val="00250F1D"/>
    <w:rsid w:val="00251DB0"/>
    <w:rsid w:val="00251FF1"/>
    <w:rsid w:val="002520BA"/>
    <w:rsid w:val="00252234"/>
    <w:rsid w:val="002528E3"/>
    <w:rsid w:val="00252944"/>
    <w:rsid w:val="00252D55"/>
    <w:rsid w:val="00252D82"/>
    <w:rsid w:val="00252FEA"/>
    <w:rsid w:val="00253006"/>
    <w:rsid w:val="00253165"/>
    <w:rsid w:val="002531EA"/>
    <w:rsid w:val="002533F5"/>
    <w:rsid w:val="00253C60"/>
    <w:rsid w:val="00253F21"/>
    <w:rsid w:val="0025429D"/>
    <w:rsid w:val="002549E9"/>
    <w:rsid w:val="00254FF6"/>
    <w:rsid w:val="00255099"/>
    <w:rsid w:val="002555C6"/>
    <w:rsid w:val="0025597E"/>
    <w:rsid w:val="00255C3E"/>
    <w:rsid w:val="00255E14"/>
    <w:rsid w:val="00255E45"/>
    <w:rsid w:val="00255FF9"/>
    <w:rsid w:val="00257059"/>
    <w:rsid w:val="0025712F"/>
    <w:rsid w:val="00257395"/>
    <w:rsid w:val="00257857"/>
    <w:rsid w:val="002578DA"/>
    <w:rsid w:val="00257CBC"/>
    <w:rsid w:val="002602C2"/>
    <w:rsid w:val="002602DA"/>
    <w:rsid w:val="0026040B"/>
    <w:rsid w:val="002604F2"/>
    <w:rsid w:val="00260802"/>
    <w:rsid w:val="002609E3"/>
    <w:rsid w:val="002611AA"/>
    <w:rsid w:val="00261223"/>
    <w:rsid w:val="002616E6"/>
    <w:rsid w:val="002617AB"/>
    <w:rsid w:val="00261D08"/>
    <w:rsid w:val="00261DCC"/>
    <w:rsid w:val="002624D0"/>
    <w:rsid w:val="00263CF7"/>
    <w:rsid w:val="00263EC7"/>
    <w:rsid w:val="0026491B"/>
    <w:rsid w:val="00264A36"/>
    <w:rsid w:val="00264B06"/>
    <w:rsid w:val="00264C1B"/>
    <w:rsid w:val="002657FB"/>
    <w:rsid w:val="00265D10"/>
    <w:rsid w:val="00265E2E"/>
    <w:rsid w:val="002661AB"/>
    <w:rsid w:val="0026742B"/>
    <w:rsid w:val="002674FE"/>
    <w:rsid w:val="00267A82"/>
    <w:rsid w:val="00267E59"/>
    <w:rsid w:val="002702F6"/>
    <w:rsid w:val="00270748"/>
    <w:rsid w:val="00270CAB"/>
    <w:rsid w:val="0027117F"/>
    <w:rsid w:val="00271264"/>
    <w:rsid w:val="002712DC"/>
    <w:rsid w:val="00271875"/>
    <w:rsid w:val="002718FF"/>
    <w:rsid w:val="00271955"/>
    <w:rsid w:val="002720EC"/>
    <w:rsid w:val="00272278"/>
    <w:rsid w:val="00272432"/>
    <w:rsid w:val="00272633"/>
    <w:rsid w:val="00272D36"/>
    <w:rsid w:val="00272E48"/>
    <w:rsid w:val="00272F1C"/>
    <w:rsid w:val="00272FBF"/>
    <w:rsid w:val="00273599"/>
    <w:rsid w:val="00273A10"/>
    <w:rsid w:val="00273A58"/>
    <w:rsid w:val="00274630"/>
    <w:rsid w:val="00274C6E"/>
    <w:rsid w:val="00274CAB"/>
    <w:rsid w:val="00274E8A"/>
    <w:rsid w:val="0027550D"/>
    <w:rsid w:val="002755A8"/>
    <w:rsid w:val="00275C21"/>
    <w:rsid w:val="00275FCE"/>
    <w:rsid w:val="002762EA"/>
    <w:rsid w:val="002766B8"/>
    <w:rsid w:val="0027680F"/>
    <w:rsid w:val="002777C0"/>
    <w:rsid w:val="0028076D"/>
    <w:rsid w:val="00281006"/>
    <w:rsid w:val="002815B1"/>
    <w:rsid w:val="002815FC"/>
    <w:rsid w:val="00281893"/>
    <w:rsid w:val="00281C1F"/>
    <w:rsid w:val="00281EEA"/>
    <w:rsid w:val="00281F88"/>
    <w:rsid w:val="0028240D"/>
    <w:rsid w:val="0028288D"/>
    <w:rsid w:val="00282967"/>
    <w:rsid w:val="002829B7"/>
    <w:rsid w:val="00282B82"/>
    <w:rsid w:val="00282C74"/>
    <w:rsid w:val="00282E5B"/>
    <w:rsid w:val="00283995"/>
    <w:rsid w:val="00283B11"/>
    <w:rsid w:val="002841A9"/>
    <w:rsid w:val="00284313"/>
    <w:rsid w:val="00284554"/>
    <w:rsid w:val="002848AD"/>
    <w:rsid w:val="00284DE4"/>
    <w:rsid w:val="00285154"/>
    <w:rsid w:val="00285AFF"/>
    <w:rsid w:val="00285BF2"/>
    <w:rsid w:val="00285C78"/>
    <w:rsid w:val="002863CE"/>
    <w:rsid w:val="00287E20"/>
    <w:rsid w:val="0029041D"/>
    <w:rsid w:val="00290AEB"/>
    <w:rsid w:val="0029110F"/>
    <w:rsid w:val="00291492"/>
    <w:rsid w:val="00291527"/>
    <w:rsid w:val="002916B4"/>
    <w:rsid w:val="0029199A"/>
    <w:rsid w:val="00291BBE"/>
    <w:rsid w:val="00291FEB"/>
    <w:rsid w:val="00292E70"/>
    <w:rsid w:val="00293146"/>
    <w:rsid w:val="0029361E"/>
    <w:rsid w:val="00293D68"/>
    <w:rsid w:val="0029408A"/>
    <w:rsid w:val="00294352"/>
    <w:rsid w:val="002944A0"/>
    <w:rsid w:val="00294629"/>
    <w:rsid w:val="002946E4"/>
    <w:rsid w:val="0029495C"/>
    <w:rsid w:val="002957D9"/>
    <w:rsid w:val="0029596F"/>
    <w:rsid w:val="002959D4"/>
    <w:rsid w:val="00295B52"/>
    <w:rsid w:val="00296024"/>
    <w:rsid w:val="00296293"/>
    <w:rsid w:val="002969C7"/>
    <w:rsid w:val="00296AF7"/>
    <w:rsid w:val="00297021"/>
    <w:rsid w:val="002972F9"/>
    <w:rsid w:val="00297612"/>
    <w:rsid w:val="002977CA"/>
    <w:rsid w:val="00297ED7"/>
    <w:rsid w:val="002A0007"/>
    <w:rsid w:val="002A03AA"/>
    <w:rsid w:val="002A056D"/>
    <w:rsid w:val="002A07FE"/>
    <w:rsid w:val="002A094D"/>
    <w:rsid w:val="002A0CAF"/>
    <w:rsid w:val="002A0DDB"/>
    <w:rsid w:val="002A1565"/>
    <w:rsid w:val="002A16A9"/>
    <w:rsid w:val="002A2745"/>
    <w:rsid w:val="002A2941"/>
    <w:rsid w:val="002A2C69"/>
    <w:rsid w:val="002A2DC4"/>
    <w:rsid w:val="002A3703"/>
    <w:rsid w:val="002A3817"/>
    <w:rsid w:val="002A3E69"/>
    <w:rsid w:val="002A44F9"/>
    <w:rsid w:val="002A4946"/>
    <w:rsid w:val="002A49EF"/>
    <w:rsid w:val="002A4B8B"/>
    <w:rsid w:val="002A5107"/>
    <w:rsid w:val="002A535E"/>
    <w:rsid w:val="002A5DBD"/>
    <w:rsid w:val="002A5EF6"/>
    <w:rsid w:val="002A6406"/>
    <w:rsid w:val="002A6432"/>
    <w:rsid w:val="002A68FB"/>
    <w:rsid w:val="002A6CF0"/>
    <w:rsid w:val="002A6DDE"/>
    <w:rsid w:val="002A6FFC"/>
    <w:rsid w:val="002A7010"/>
    <w:rsid w:val="002A70BA"/>
    <w:rsid w:val="002A7A57"/>
    <w:rsid w:val="002A7BB2"/>
    <w:rsid w:val="002A7CC1"/>
    <w:rsid w:val="002A7DCB"/>
    <w:rsid w:val="002B0685"/>
    <w:rsid w:val="002B0794"/>
    <w:rsid w:val="002B0B53"/>
    <w:rsid w:val="002B1617"/>
    <w:rsid w:val="002B1A90"/>
    <w:rsid w:val="002B1D11"/>
    <w:rsid w:val="002B273B"/>
    <w:rsid w:val="002B29AA"/>
    <w:rsid w:val="002B2A7E"/>
    <w:rsid w:val="002B2C2B"/>
    <w:rsid w:val="002B2F1B"/>
    <w:rsid w:val="002B3082"/>
    <w:rsid w:val="002B3332"/>
    <w:rsid w:val="002B34C7"/>
    <w:rsid w:val="002B3F25"/>
    <w:rsid w:val="002B4903"/>
    <w:rsid w:val="002B5AFB"/>
    <w:rsid w:val="002B62DA"/>
    <w:rsid w:val="002B6320"/>
    <w:rsid w:val="002B66AC"/>
    <w:rsid w:val="002B6852"/>
    <w:rsid w:val="002B6923"/>
    <w:rsid w:val="002B723C"/>
    <w:rsid w:val="002B74EF"/>
    <w:rsid w:val="002B77E1"/>
    <w:rsid w:val="002C039C"/>
    <w:rsid w:val="002C0656"/>
    <w:rsid w:val="002C0714"/>
    <w:rsid w:val="002C0796"/>
    <w:rsid w:val="002C0A96"/>
    <w:rsid w:val="002C13C6"/>
    <w:rsid w:val="002C1503"/>
    <w:rsid w:val="002C1BF4"/>
    <w:rsid w:val="002C1E0D"/>
    <w:rsid w:val="002C2266"/>
    <w:rsid w:val="002C2356"/>
    <w:rsid w:val="002C238F"/>
    <w:rsid w:val="002C23C2"/>
    <w:rsid w:val="002C276F"/>
    <w:rsid w:val="002C28EB"/>
    <w:rsid w:val="002C316C"/>
    <w:rsid w:val="002C3265"/>
    <w:rsid w:val="002C3AED"/>
    <w:rsid w:val="002C3E56"/>
    <w:rsid w:val="002C414C"/>
    <w:rsid w:val="002C49F8"/>
    <w:rsid w:val="002C4C2F"/>
    <w:rsid w:val="002C5776"/>
    <w:rsid w:val="002C5EED"/>
    <w:rsid w:val="002C66DE"/>
    <w:rsid w:val="002C7193"/>
    <w:rsid w:val="002C7699"/>
    <w:rsid w:val="002C7A49"/>
    <w:rsid w:val="002D0128"/>
    <w:rsid w:val="002D0E85"/>
    <w:rsid w:val="002D0FA7"/>
    <w:rsid w:val="002D12FB"/>
    <w:rsid w:val="002D1603"/>
    <w:rsid w:val="002D19D1"/>
    <w:rsid w:val="002D1B26"/>
    <w:rsid w:val="002D1F35"/>
    <w:rsid w:val="002D1FA3"/>
    <w:rsid w:val="002D20CD"/>
    <w:rsid w:val="002D22DA"/>
    <w:rsid w:val="002D23C6"/>
    <w:rsid w:val="002D24F0"/>
    <w:rsid w:val="002D25EB"/>
    <w:rsid w:val="002D29F3"/>
    <w:rsid w:val="002D3126"/>
    <w:rsid w:val="002D3529"/>
    <w:rsid w:val="002D37C1"/>
    <w:rsid w:val="002D3D0A"/>
    <w:rsid w:val="002D3EF0"/>
    <w:rsid w:val="002D478E"/>
    <w:rsid w:val="002D4799"/>
    <w:rsid w:val="002D47AE"/>
    <w:rsid w:val="002D4A94"/>
    <w:rsid w:val="002D4AFE"/>
    <w:rsid w:val="002D55BB"/>
    <w:rsid w:val="002D5D85"/>
    <w:rsid w:val="002D65FF"/>
    <w:rsid w:val="002D6D10"/>
    <w:rsid w:val="002D71E2"/>
    <w:rsid w:val="002D79C9"/>
    <w:rsid w:val="002D7B6A"/>
    <w:rsid w:val="002E0026"/>
    <w:rsid w:val="002E08E8"/>
    <w:rsid w:val="002E0918"/>
    <w:rsid w:val="002E0BAA"/>
    <w:rsid w:val="002E0D96"/>
    <w:rsid w:val="002E0EA5"/>
    <w:rsid w:val="002E0F1C"/>
    <w:rsid w:val="002E1BF0"/>
    <w:rsid w:val="002E1E19"/>
    <w:rsid w:val="002E1FAC"/>
    <w:rsid w:val="002E2572"/>
    <w:rsid w:val="002E283F"/>
    <w:rsid w:val="002E2854"/>
    <w:rsid w:val="002E2E74"/>
    <w:rsid w:val="002E32D2"/>
    <w:rsid w:val="002E361B"/>
    <w:rsid w:val="002E37AB"/>
    <w:rsid w:val="002E3A80"/>
    <w:rsid w:val="002E3D4C"/>
    <w:rsid w:val="002E3FE4"/>
    <w:rsid w:val="002E41C7"/>
    <w:rsid w:val="002E51DF"/>
    <w:rsid w:val="002E57B9"/>
    <w:rsid w:val="002E5A56"/>
    <w:rsid w:val="002E6127"/>
    <w:rsid w:val="002E6885"/>
    <w:rsid w:val="002E72E4"/>
    <w:rsid w:val="002E739D"/>
    <w:rsid w:val="002F0F36"/>
    <w:rsid w:val="002F1276"/>
    <w:rsid w:val="002F1986"/>
    <w:rsid w:val="002F1E5F"/>
    <w:rsid w:val="002F2A49"/>
    <w:rsid w:val="002F2A5F"/>
    <w:rsid w:val="002F3550"/>
    <w:rsid w:val="002F3B63"/>
    <w:rsid w:val="002F3C56"/>
    <w:rsid w:val="002F4271"/>
    <w:rsid w:val="002F46B0"/>
    <w:rsid w:val="002F477E"/>
    <w:rsid w:val="002F4B17"/>
    <w:rsid w:val="002F5150"/>
    <w:rsid w:val="002F5463"/>
    <w:rsid w:val="002F58C2"/>
    <w:rsid w:val="002F5932"/>
    <w:rsid w:val="002F5C85"/>
    <w:rsid w:val="002F603B"/>
    <w:rsid w:val="002F61A3"/>
    <w:rsid w:val="002F61D4"/>
    <w:rsid w:val="002F6201"/>
    <w:rsid w:val="002F6493"/>
    <w:rsid w:val="002F724B"/>
    <w:rsid w:val="002F72BA"/>
    <w:rsid w:val="002F73C7"/>
    <w:rsid w:val="00300267"/>
    <w:rsid w:val="003004D2"/>
    <w:rsid w:val="00300D6B"/>
    <w:rsid w:val="00301380"/>
    <w:rsid w:val="00301D6A"/>
    <w:rsid w:val="00301E89"/>
    <w:rsid w:val="00302052"/>
    <w:rsid w:val="00302142"/>
    <w:rsid w:val="00302169"/>
    <w:rsid w:val="00302612"/>
    <w:rsid w:val="00303254"/>
    <w:rsid w:val="003044D9"/>
    <w:rsid w:val="00304D8A"/>
    <w:rsid w:val="00305216"/>
    <w:rsid w:val="003053B9"/>
    <w:rsid w:val="0030555B"/>
    <w:rsid w:val="003061F5"/>
    <w:rsid w:val="00306A49"/>
    <w:rsid w:val="00306D27"/>
    <w:rsid w:val="0030731E"/>
    <w:rsid w:val="0030739C"/>
    <w:rsid w:val="003103A9"/>
    <w:rsid w:val="00310A50"/>
    <w:rsid w:val="00310D51"/>
    <w:rsid w:val="00310FFF"/>
    <w:rsid w:val="00311B36"/>
    <w:rsid w:val="00311C92"/>
    <w:rsid w:val="00313321"/>
    <w:rsid w:val="003133AE"/>
    <w:rsid w:val="0031371B"/>
    <w:rsid w:val="00313E5C"/>
    <w:rsid w:val="00314156"/>
    <w:rsid w:val="00314CF8"/>
    <w:rsid w:val="0031535B"/>
    <w:rsid w:val="003154DD"/>
    <w:rsid w:val="00315DC2"/>
    <w:rsid w:val="00315FCF"/>
    <w:rsid w:val="003161A6"/>
    <w:rsid w:val="00316B42"/>
    <w:rsid w:val="00316F76"/>
    <w:rsid w:val="003170F4"/>
    <w:rsid w:val="00317552"/>
    <w:rsid w:val="0032035D"/>
    <w:rsid w:val="003204EB"/>
    <w:rsid w:val="003205E9"/>
    <w:rsid w:val="00320B28"/>
    <w:rsid w:val="0032123E"/>
    <w:rsid w:val="003216D5"/>
    <w:rsid w:val="003216FF"/>
    <w:rsid w:val="00321866"/>
    <w:rsid w:val="00321A83"/>
    <w:rsid w:val="00321C1A"/>
    <w:rsid w:val="00321F6B"/>
    <w:rsid w:val="003220D3"/>
    <w:rsid w:val="00322389"/>
    <w:rsid w:val="003223CA"/>
    <w:rsid w:val="00322458"/>
    <w:rsid w:val="00322BE5"/>
    <w:rsid w:val="00322E87"/>
    <w:rsid w:val="0032312D"/>
    <w:rsid w:val="00323AA5"/>
    <w:rsid w:val="003242E4"/>
    <w:rsid w:val="0032468D"/>
    <w:rsid w:val="00324887"/>
    <w:rsid w:val="00324926"/>
    <w:rsid w:val="00324B25"/>
    <w:rsid w:val="0032522F"/>
    <w:rsid w:val="003253C4"/>
    <w:rsid w:val="0032550F"/>
    <w:rsid w:val="00325992"/>
    <w:rsid w:val="00325B74"/>
    <w:rsid w:val="00325B96"/>
    <w:rsid w:val="0032638F"/>
    <w:rsid w:val="003263EA"/>
    <w:rsid w:val="00326B59"/>
    <w:rsid w:val="00326BD4"/>
    <w:rsid w:val="003270BC"/>
    <w:rsid w:val="003272C6"/>
    <w:rsid w:val="00327752"/>
    <w:rsid w:val="00327C7C"/>
    <w:rsid w:val="00327FFE"/>
    <w:rsid w:val="00330009"/>
    <w:rsid w:val="003301E6"/>
    <w:rsid w:val="003302C5"/>
    <w:rsid w:val="00330411"/>
    <w:rsid w:val="003310AB"/>
    <w:rsid w:val="00331415"/>
    <w:rsid w:val="003314D2"/>
    <w:rsid w:val="00331712"/>
    <w:rsid w:val="00331A3F"/>
    <w:rsid w:val="00331D94"/>
    <w:rsid w:val="00332191"/>
    <w:rsid w:val="00332720"/>
    <w:rsid w:val="00332EBD"/>
    <w:rsid w:val="00332EED"/>
    <w:rsid w:val="00333195"/>
    <w:rsid w:val="003334A7"/>
    <w:rsid w:val="003337E8"/>
    <w:rsid w:val="00333A14"/>
    <w:rsid w:val="00333B2A"/>
    <w:rsid w:val="00333FD5"/>
    <w:rsid w:val="00334649"/>
    <w:rsid w:val="003350E9"/>
    <w:rsid w:val="003351BA"/>
    <w:rsid w:val="0033520F"/>
    <w:rsid w:val="0033596B"/>
    <w:rsid w:val="00335A93"/>
    <w:rsid w:val="0033650E"/>
    <w:rsid w:val="00336907"/>
    <w:rsid w:val="003369DF"/>
    <w:rsid w:val="00336AD1"/>
    <w:rsid w:val="00336C71"/>
    <w:rsid w:val="00336D96"/>
    <w:rsid w:val="00336DFC"/>
    <w:rsid w:val="00337230"/>
    <w:rsid w:val="003377D0"/>
    <w:rsid w:val="00337D75"/>
    <w:rsid w:val="00340020"/>
    <w:rsid w:val="00340AFD"/>
    <w:rsid w:val="00341162"/>
    <w:rsid w:val="00341866"/>
    <w:rsid w:val="00341DAF"/>
    <w:rsid w:val="00342181"/>
    <w:rsid w:val="00342B37"/>
    <w:rsid w:val="00343560"/>
    <w:rsid w:val="00343A20"/>
    <w:rsid w:val="0034402B"/>
    <w:rsid w:val="0034449E"/>
    <w:rsid w:val="003449F4"/>
    <w:rsid w:val="00344D46"/>
    <w:rsid w:val="00345337"/>
    <w:rsid w:val="003465A5"/>
    <w:rsid w:val="00346817"/>
    <w:rsid w:val="00347440"/>
    <w:rsid w:val="003475EA"/>
    <w:rsid w:val="00347A27"/>
    <w:rsid w:val="00347CD4"/>
    <w:rsid w:val="00347E2E"/>
    <w:rsid w:val="00350A55"/>
    <w:rsid w:val="00350DF8"/>
    <w:rsid w:val="00351A8A"/>
    <w:rsid w:val="003524B2"/>
    <w:rsid w:val="0035266A"/>
    <w:rsid w:val="0035279C"/>
    <w:rsid w:val="003535D2"/>
    <w:rsid w:val="0035384D"/>
    <w:rsid w:val="0035396D"/>
    <w:rsid w:val="00353C0B"/>
    <w:rsid w:val="00354472"/>
    <w:rsid w:val="00354AE4"/>
    <w:rsid w:val="00354B0A"/>
    <w:rsid w:val="00355350"/>
    <w:rsid w:val="0035551B"/>
    <w:rsid w:val="003555ED"/>
    <w:rsid w:val="00355756"/>
    <w:rsid w:val="00355911"/>
    <w:rsid w:val="00355BFC"/>
    <w:rsid w:val="00355FE2"/>
    <w:rsid w:val="0035636B"/>
    <w:rsid w:val="003564CC"/>
    <w:rsid w:val="0035690F"/>
    <w:rsid w:val="00357424"/>
    <w:rsid w:val="00357BE9"/>
    <w:rsid w:val="003601A2"/>
    <w:rsid w:val="00361474"/>
    <w:rsid w:val="00361789"/>
    <w:rsid w:val="0036196D"/>
    <w:rsid w:val="00361A59"/>
    <w:rsid w:val="00361AA1"/>
    <w:rsid w:val="00362136"/>
    <w:rsid w:val="00362336"/>
    <w:rsid w:val="003627BD"/>
    <w:rsid w:val="00362997"/>
    <w:rsid w:val="00362C59"/>
    <w:rsid w:val="00363040"/>
    <w:rsid w:val="003630B7"/>
    <w:rsid w:val="00363786"/>
    <w:rsid w:val="003638A4"/>
    <w:rsid w:val="003639BF"/>
    <w:rsid w:val="00363E41"/>
    <w:rsid w:val="00363FD2"/>
    <w:rsid w:val="00364653"/>
    <w:rsid w:val="00364D36"/>
    <w:rsid w:val="003653EC"/>
    <w:rsid w:val="0036572E"/>
    <w:rsid w:val="00366168"/>
    <w:rsid w:val="003663D9"/>
    <w:rsid w:val="003666BF"/>
    <w:rsid w:val="00366707"/>
    <w:rsid w:val="00366BD3"/>
    <w:rsid w:val="00366FA9"/>
    <w:rsid w:val="00367B19"/>
    <w:rsid w:val="00367E49"/>
    <w:rsid w:val="00367E95"/>
    <w:rsid w:val="003700E6"/>
    <w:rsid w:val="0037017C"/>
    <w:rsid w:val="00370490"/>
    <w:rsid w:val="00370A8C"/>
    <w:rsid w:val="003712A9"/>
    <w:rsid w:val="00371C86"/>
    <w:rsid w:val="0037236C"/>
    <w:rsid w:val="003729DE"/>
    <w:rsid w:val="00372EA2"/>
    <w:rsid w:val="003734B8"/>
    <w:rsid w:val="003735D3"/>
    <w:rsid w:val="0037386D"/>
    <w:rsid w:val="00373956"/>
    <w:rsid w:val="00373BE1"/>
    <w:rsid w:val="00374153"/>
    <w:rsid w:val="003741BC"/>
    <w:rsid w:val="00374671"/>
    <w:rsid w:val="003750E0"/>
    <w:rsid w:val="00375AF1"/>
    <w:rsid w:val="00375C2F"/>
    <w:rsid w:val="00375FC5"/>
    <w:rsid w:val="003769BA"/>
    <w:rsid w:val="00376D1C"/>
    <w:rsid w:val="00377871"/>
    <w:rsid w:val="003778B2"/>
    <w:rsid w:val="00377E58"/>
    <w:rsid w:val="003805E3"/>
    <w:rsid w:val="00380618"/>
    <w:rsid w:val="0038062E"/>
    <w:rsid w:val="003806D7"/>
    <w:rsid w:val="003807F7"/>
    <w:rsid w:val="00381610"/>
    <w:rsid w:val="00381C9E"/>
    <w:rsid w:val="00381CA8"/>
    <w:rsid w:val="00382106"/>
    <w:rsid w:val="00382657"/>
    <w:rsid w:val="00382708"/>
    <w:rsid w:val="00382B82"/>
    <w:rsid w:val="00383446"/>
    <w:rsid w:val="003838E0"/>
    <w:rsid w:val="003844BF"/>
    <w:rsid w:val="003847A0"/>
    <w:rsid w:val="003854D5"/>
    <w:rsid w:val="0038552A"/>
    <w:rsid w:val="003859EA"/>
    <w:rsid w:val="00386704"/>
    <w:rsid w:val="0038709E"/>
    <w:rsid w:val="00387623"/>
    <w:rsid w:val="00387D30"/>
    <w:rsid w:val="00391753"/>
    <w:rsid w:val="00391C7F"/>
    <w:rsid w:val="00392454"/>
    <w:rsid w:val="00392C85"/>
    <w:rsid w:val="00392FD8"/>
    <w:rsid w:val="00393923"/>
    <w:rsid w:val="00393E11"/>
    <w:rsid w:val="00393FE3"/>
    <w:rsid w:val="00394475"/>
    <w:rsid w:val="0039517A"/>
    <w:rsid w:val="003954FE"/>
    <w:rsid w:val="00395B51"/>
    <w:rsid w:val="00396796"/>
    <w:rsid w:val="00396EC6"/>
    <w:rsid w:val="003970BA"/>
    <w:rsid w:val="0039746C"/>
    <w:rsid w:val="00397DC6"/>
    <w:rsid w:val="003A0E82"/>
    <w:rsid w:val="003A0FAC"/>
    <w:rsid w:val="003A184D"/>
    <w:rsid w:val="003A1FB7"/>
    <w:rsid w:val="003A2773"/>
    <w:rsid w:val="003A371E"/>
    <w:rsid w:val="003A3957"/>
    <w:rsid w:val="003A3E29"/>
    <w:rsid w:val="003A439B"/>
    <w:rsid w:val="003A462A"/>
    <w:rsid w:val="003A5140"/>
    <w:rsid w:val="003A595F"/>
    <w:rsid w:val="003A5EEC"/>
    <w:rsid w:val="003A6B7A"/>
    <w:rsid w:val="003A730A"/>
    <w:rsid w:val="003A748F"/>
    <w:rsid w:val="003A79AE"/>
    <w:rsid w:val="003A7CA3"/>
    <w:rsid w:val="003B00B6"/>
    <w:rsid w:val="003B01C4"/>
    <w:rsid w:val="003B0BB0"/>
    <w:rsid w:val="003B11EE"/>
    <w:rsid w:val="003B15F8"/>
    <w:rsid w:val="003B166F"/>
    <w:rsid w:val="003B1B60"/>
    <w:rsid w:val="003B207E"/>
    <w:rsid w:val="003B230B"/>
    <w:rsid w:val="003B23BC"/>
    <w:rsid w:val="003B28BA"/>
    <w:rsid w:val="003B28F6"/>
    <w:rsid w:val="003B2DB5"/>
    <w:rsid w:val="003B2F05"/>
    <w:rsid w:val="003B3966"/>
    <w:rsid w:val="003B39B7"/>
    <w:rsid w:val="003B4754"/>
    <w:rsid w:val="003B4EB0"/>
    <w:rsid w:val="003B5094"/>
    <w:rsid w:val="003B57FD"/>
    <w:rsid w:val="003B5F6A"/>
    <w:rsid w:val="003B6584"/>
    <w:rsid w:val="003B6B7F"/>
    <w:rsid w:val="003B7820"/>
    <w:rsid w:val="003C01A4"/>
    <w:rsid w:val="003C0219"/>
    <w:rsid w:val="003C0941"/>
    <w:rsid w:val="003C0C12"/>
    <w:rsid w:val="003C0E6B"/>
    <w:rsid w:val="003C16EE"/>
    <w:rsid w:val="003C1C87"/>
    <w:rsid w:val="003C1D4D"/>
    <w:rsid w:val="003C2927"/>
    <w:rsid w:val="003C2C85"/>
    <w:rsid w:val="003C2F61"/>
    <w:rsid w:val="003C345E"/>
    <w:rsid w:val="003C4409"/>
    <w:rsid w:val="003C4997"/>
    <w:rsid w:val="003C4DA5"/>
    <w:rsid w:val="003C502A"/>
    <w:rsid w:val="003C5666"/>
    <w:rsid w:val="003C60CC"/>
    <w:rsid w:val="003C6193"/>
    <w:rsid w:val="003C64F4"/>
    <w:rsid w:val="003C6D4E"/>
    <w:rsid w:val="003C724B"/>
    <w:rsid w:val="003C73DB"/>
    <w:rsid w:val="003D0185"/>
    <w:rsid w:val="003D02CB"/>
    <w:rsid w:val="003D0382"/>
    <w:rsid w:val="003D069C"/>
    <w:rsid w:val="003D18F6"/>
    <w:rsid w:val="003D191E"/>
    <w:rsid w:val="003D1A19"/>
    <w:rsid w:val="003D2027"/>
    <w:rsid w:val="003D22A5"/>
    <w:rsid w:val="003D2316"/>
    <w:rsid w:val="003D23A4"/>
    <w:rsid w:val="003D2B82"/>
    <w:rsid w:val="003D2DF6"/>
    <w:rsid w:val="003D2F93"/>
    <w:rsid w:val="003D3414"/>
    <w:rsid w:val="003D3426"/>
    <w:rsid w:val="003D3654"/>
    <w:rsid w:val="003D3721"/>
    <w:rsid w:val="003D413A"/>
    <w:rsid w:val="003D57F7"/>
    <w:rsid w:val="003D643B"/>
    <w:rsid w:val="003D6722"/>
    <w:rsid w:val="003D7428"/>
    <w:rsid w:val="003D77F2"/>
    <w:rsid w:val="003D78CC"/>
    <w:rsid w:val="003D7D01"/>
    <w:rsid w:val="003D7ED8"/>
    <w:rsid w:val="003E0003"/>
    <w:rsid w:val="003E0099"/>
    <w:rsid w:val="003E08C7"/>
    <w:rsid w:val="003E122B"/>
    <w:rsid w:val="003E1427"/>
    <w:rsid w:val="003E1A72"/>
    <w:rsid w:val="003E27B8"/>
    <w:rsid w:val="003E283C"/>
    <w:rsid w:val="003E2880"/>
    <w:rsid w:val="003E28FB"/>
    <w:rsid w:val="003E2A00"/>
    <w:rsid w:val="003E2ECC"/>
    <w:rsid w:val="003E382C"/>
    <w:rsid w:val="003E3B8C"/>
    <w:rsid w:val="003E3D00"/>
    <w:rsid w:val="003E4487"/>
    <w:rsid w:val="003E4531"/>
    <w:rsid w:val="003E4771"/>
    <w:rsid w:val="003E52E3"/>
    <w:rsid w:val="003E541C"/>
    <w:rsid w:val="003E54A8"/>
    <w:rsid w:val="003E5833"/>
    <w:rsid w:val="003E5DA8"/>
    <w:rsid w:val="003E7059"/>
    <w:rsid w:val="003E7109"/>
    <w:rsid w:val="003E77DC"/>
    <w:rsid w:val="003E7BC1"/>
    <w:rsid w:val="003F0453"/>
    <w:rsid w:val="003F0A07"/>
    <w:rsid w:val="003F0C9F"/>
    <w:rsid w:val="003F1359"/>
    <w:rsid w:val="003F144A"/>
    <w:rsid w:val="003F1B02"/>
    <w:rsid w:val="003F1EFE"/>
    <w:rsid w:val="003F221B"/>
    <w:rsid w:val="003F2240"/>
    <w:rsid w:val="003F2460"/>
    <w:rsid w:val="003F2E7B"/>
    <w:rsid w:val="003F3A1F"/>
    <w:rsid w:val="003F3CD5"/>
    <w:rsid w:val="003F3ED4"/>
    <w:rsid w:val="003F4473"/>
    <w:rsid w:val="003F4CF5"/>
    <w:rsid w:val="003F4E31"/>
    <w:rsid w:val="003F51EE"/>
    <w:rsid w:val="003F528F"/>
    <w:rsid w:val="003F574E"/>
    <w:rsid w:val="003F60D6"/>
    <w:rsid w:val="003F6244"/>
    <w:rsid w:val="003F68E9"/>
    <w:rsid w:val="003F728C"/>
    <w:rsid w:val="003F7704"/>
    <w:rsid w:val="003F7936"/>
    <w:rsid w:val="003F7E15"/>
    <w:rsid w:val="003F7FDA"/>
    <w:rsid w:val="004008BC"/>
    <w:rsid w:val="00400B19"/>
    <w:rsid w:val="00400E65"/>
    <w:rsid w:val="00400EED"/>
    <w:rsid w:val="004013AD"/>
    <w:rsid w:val="00401E20"/>
    <w:rsid w:val="004021C0"/>
    <w:rsid w:val="004024F9"/>
    <w:rsid w:val="004028CE"/>
    <w:rsid w:val="0040313D"/>
    <w:rsid w:val="004043FA"/>
    <w:rsid w:val="00404970"/>
    <w:rsid w:val="00405181"/>
    <w:rsid w:val="0040567F"/>
    <w:rsid w:val="00405727"/>
    <w:rsid w:val="00405873"/>
    <w:rsid w:val="00405F09"/>
    <w:rsid w:val="004066F4"/>
    <w:rsid w:val="00406A32"/>
    <w:rsid w:val="00406A35"/>
    <w:rsid w:val="0040760B"/>
    <w:rsid w:val="00410117"/>
    <w:rsid w:val="00410C32"/>
    <w:rsid w:val="0041108F"/>
    <w:rsid w:val="00411237"/>
    <w:rsid w:val="00411557"/>
    <w:rsid w:val="0041192A"/>
    <w:rsid w:val="00411994"/>
    <w:rsid w:val="00411D74"/>
    <w:rsid w:val="00411DDE"/>
    <w:rsid w:val="00411F84"/>
    <w:rsid w:val="00412069"/>
    <w:rsid w:val="004121A1"/>
    <w:rsid w:val="00412477"/>
    <w:rsid w:val="00412570"/>
    <w:rsid w:val="004127A2"/>
    <w:rsid w:val="0041280A"/>
    <w:rsid w:val="00412850"/>
    <w:rsid w:val="00412A9D"/>
    <w:rsid w:val="00412CB1"/>
    <w:rsid w:val="004133A5"/>
    <w:rsid w:val="00413D45"/>
    <w:rsid w:val="00414197"/>
    <w:rsid w:val="004144D7"/>
    <w:rsid w:val="00414D68"/>
    <w:rsid w:val="00414FD9"/>
    <w:rsid w:val="004150F8"/>
    <w:rsid w:val="004151D4"/>
    <w:rsid w:val="00415773"/>
    <w:rsid w:val="00415CAE"/>
    <w:rsid w:val="00415EE7"/>
    <w:rsid w:val="00415FD6"/>
    <w:rsid w:val="00415FE9"/>
    <w:rsid w:val="004160FA"/>
    <w:rsid w:val="0041669E"/>
    <w:rsid w:val="00416ACA"/>
    <w:rsid w:val="00416C56"/>
    <w:rsid w:val="00417294"/>
    <w:rsid w:val="00417416"/>
    <w:rsid w:val="004176B8"/>
    <w:rsid w:val="00417B99"/>
    <w:rsid w:val="00417CE0"/>
    <w:rsid w:val="004209D5"/>
    <w:rsid w:val="00420FAF"/>
    <w:rsid w:val="00421184"/>
    <w:rsid w:val="004212C1"/>
    <w:rsid w:val="004214B7"/>
    <w:rsid w:val="00421510"/>
    <w:rsid w:val="00421892"/>
    <w:rsid w:val="00421EA6"/>
    <w:rsid w:val="00421FB5"/>
    <w:rsid w:val="004226ED"/>
    <w:rsid w:val="00422AF4"/>
    <w:rsid w:val="00422F3B"/>
    <w:rsid w:val="004235F4"/>
    <w:rsid w:val="004236C9"/>
    <w:rsid w:val="00423CF3"/>
    <w:rsid w:val="00423E18"/>
    <w:rsid w:val="004245E4"/>
    <w:rsid w:val="00424B7C"/>
    <w:rsid w:val="0042500C"/>
    <w:rsid w:val="00425514"/>
    <w:rsid w:val="004256BD"/>
    <w:rsid w:val="004256E9"/>
    <w:rsid w:val="00425863"/>
    <w:rsid w:val="00425D02"/>
    <w:rsid w:val="00425EDC"/>
    <w:rsid w:val="00426C3E"/>
    <w:rsid w:val="00426CF3"/>
    <w:rsid w:val="00426E85"/>
    <w:rsid w:val="004275CD"/>
    <w:rsid w:val="00427CC6"/>
    <w:rsid w:val="00427E74"/>
    <w:rsid w:val="00427FEB"/>
    <w:rsid w:val="00427FF2"/>
    <w:rsid w:val="004305C0"/>
    <w:rsid w:val="00430B20"/>
    <w:rsid w:val="00430B6C"/>
    <w:rsid w:val="0043227C"/>
    <w:rsid w:val="00432E94"/>
    <w:rsid w:val="004330B1"/>
    <w:rsid w:val="004335C0"/>
    <w:rsid w:val="00433B34"/>
    <w:rsid w:val="00434B9D"/>
    <w:rsid w:val="00435121"/>
    <w:rsid w:val="00435715"/>
    <w:rsid w:val="0043571B"/>
    <w:rsid w:val="00435EE0"/>
    <w:rsid w:val="00435F29"/>
    <w:rsid w:val="0043610C"/>
    <w:rsid w:val="004366FF"/>
    <w:rsid w:val="00437D83"/>
    <w:rsid w:val="004401DD"/>
    <w:rsid w:val="00440344"/>
    <w:rsid w:val="00440790"/>
    <w:rsid w:val="0044083D"/>
    <w:rsid w:val="00441264"/>
    <w:rsid w:val="00441B0F"/>
    <w:rsid w:val="00441F06"/>
    <w:rsid w:val="004425C6"/>
    <w:rsid w:val="00443B33"/>
    <w:rsid w:val="00443D5D"/>
    <w:rsid w:val="004445C6"/>
    <w:rsid w:val="00445CBA"/>
    <w:rsid w:val="004463CB"/>
    <w:rsid w:val="004466F7"/>
    <w:rsid w:val="00446858"/>
    <w:rsid w:val="00447304"/>
    <w:rsid w:val="004476F6"/>
    <w:rsid w:val="00447CDD"/>
    <w:rsid w:val="00450127"/>
    <w:rsid w:val="0045075F"/>
    <w:rsid w:val="0045164B"/>
    <w:rsid w:val="004516AD"/>
    <w:rsid w:val="00451E84"/>
    <w:rsid w:val="00451EA3"/>
    <w:rsid w:val="00451F01"/>
    <w:rsid w:val="004533E2"/>
    <w:rsid w:val="00454660"/>
    <w:rsid w:val="004546A7"/>
    <w:rsid w:val="00454831"/>
    <w:rsid w:val="004548DF"/>
    <w:rsid w:val="00454937"/>
    <w:rsid w:val="00455407"/>
    <w:rsid w:val="00456CC0"/>
    <w:rsid w:val="00457933"/>
    <w:rsid w:val="00457C78"/>
    <w:rsid w:val="0046068D"/>
    <w:rsid w:val="00460735"/>
    <w:rsid w:val="00460AD5"/>
    <w:rsid w:val="00460E4C"/>
    <w:rsid w:val="00460EB8"/>
    <w:rsid w:val="00461090"/>
    <w:rsid w:val="0046112B"/>
    <w:rsid w:val="00461952"/>
    <w:rsid w:val="00461991"/>
    <w:rsid w:val="00461ACB"/>
    <w:rsid w:val="00461C43"/>
    <w:rsid w:val="00462125"/>
    <w:rsid w:val="004631BF"/>
    <w:rsid w:val="00463216"/>
    <w:rsid w:val="0046334D"/>
    <w:rsid w:val="00463911"/>
    <w:rsid w:val="00463C95"/>
    <w:rsid w:val="00463E1C"/>
    <w:rsid w:val="00463EA1"/>
    <w:rsid w:val="00464052"/>
    <w:rsid w:val="00465153"/>
    <w:rsid w:val="00465602"/>
    <w:rsid w:val="004656A4"/>
    <w:rsid w:val="0046616F"/>
    <w:rsid w:val="00466A4A"/>
    <w:rsid w:val="00466AFD"/>
    <w:rsid w:val="00466D18"/>
    <w:rsid w:val="004704DE"/>
    <w:rsid w:val="00470696"/>
    <w:rsid w:val="004713A5"/>
    <w:rsid w:val="0047162F"/>
    <w:rsid w:val="00472177"/>
    <w:rsid w:val="00472234"/>
    <w:rsid w:val="004724C9"/>
    <w:rsid w:val="00472515"/>
    <w:rsid w:val="00472585"/>
    <w:rsid w:val="00474130"/>
    <w:rsid w:val="004746D5"/>
    <w:rsid w:val="00474EDD"/>
    <w:rsid w:val="00475A6C"/>
    <w:rsid w:val="004761F5"/>
    <w:rsid w:val="004764AF"/>
    <w:rsid w:val="00476D04"/>
    <w:rsid w:val="00476F58"/>
    <w:rsid w:val="0047775E"/>
    <w:rsid w:val="00477AAE"/>
    <w:rsid w:val="00477AF6"/>
    <w:rsid w:val="00477B3B"/>
    <w:rsid w:val="00477BCB"/>
    <w:rsid w:val="004801A7"/>
    <w:rsid w:val="00480C45"/>
    <w:rsid w:val="00480E47"/>
    <w:rsid w:val="00481666"/>
    <w:rsid w:val="0048181B"/>
    <w:rsid w:val="00481F2B"/>
    <w:rsid w:val="004820C5"/>
    <w:rsid w:val="00482198"/>
    <w:rsid w:val="004823D8"/>
    <w:rsid w:val="0048252D"/>
    <w:rsid w:val="00482F20"/>
    <w:rsid w:val="00483086"/>
    <w:rsid w:val="00483196"/>
    <w:rsid w:val="0048340F"/>
    <w:rsid w:val="0048423C"/>
    <w:rsid w:val="00484449"/>
    <w:rsid w:val="004850BD"/>
    <w:rsid w:val="004852CE"/>
    <w:rsid w:val="0048540C"/>
    <w:rsid w:val="00485F92"/>
    <w:rsid w:val="004860BD"/>
    <w:rsid w:val="004866E1"/>
    <w:rsid w:val="00486C72"/>
    <w:rsid w:val="00486F9C"/>
    <w:rsid w:val="00487220"/>
    <w:rsid w:val="00487639"/>
    <w:rsid w:val="00487D3A"/>
    <w:rsid w:val="00487F7F"/>
    <w:rsid w:val="00490954"/>
    <w:rsid w:val="00490E7E"/>
    <w:rsid w:val="00490F94"/>
    <w:rsid w:val="0049102F"/>
    <w:rsid w:val="00491754"/>
    <w:rsid w:val="0049277A"/>
    <w:rsid w:val="00492B38"/>
    <w:rsid w:val="00492FE4"/>
    <w:rsid w:val="00493035"/>
    <w:rsid w:val="0049330F"/>
    <w:rsid w:val="00493321"/>
    <w:rsid w:val="004936DE"/>
    <w:rsid w:val="004949B0"/>
    <w:rsid w:val="00494A50"/>
    <w:rsid w:val="00494E6C"/>
    <w:rsid w:val="00494F03"/>
    <w:rsid w:val="0049544E"/>
    <w:rsid w:val="00495670"/>
    <w:rsid w:val="0049567B"/>
    <w:rsid w:val="0049604B"/>
    <w:rsid w:val="00496666"/>
    <w:rsid w:val="00496AC9"/>
    <w:rsid w:val="00496B28"/>
    <w:rsid w:val="00496D27"/>
    <w:rsid w:val="00496DC9"/>
    <w:rsid w:val="004A040E"/>
    <w:rsid w:val="004A042D"/>
    <w:rsid w:val="004A11E0"/>
    <w:rsid w:val="004A18B3"/>
    <w:rsid w:val="004A1953"/>
    <w:rsid w:val="004A1FC5"/>
    <w:rsid w:val="004A2158"/>
    <w:rsid w:val="004A29A5"/>
    <w:rsid w:val="004A3225"/>
    <w:rsid w:val="004A374A"/>
    <w:rsid w:val="004A395B"/>
    <w:rsid w:val="004A3C59"/>
    <w:rsid w:val="004A3FE2"/>
    <w:rsid w:val="004A4195"/>
    <w:rsid w:val="004A480D"/>
    <w:rsid w:val="004A48F4"/>
    <w:rsid w:val="004A4D76"/>
    <w:rsid w:val="004A5212"/>
    <w:rsid w:val="004A5851"/>
    <w:rsid w:val="004A5A91"/>
    <w:rsid w:val="004A5B0F"/>
    <w:rsid w:val="004A5CD2"/>
    <w:rsid w:val="004A5CF1"/>
    <w:rsid w:val="004A66E0"/>
    <w:rsid w:val="004A7AAE"/>
    <w:rsid w:val="004A7D49"/>
    <w:rsid w:val="004A7E52"/>
    <w:rsid w:val="004A7F21"/>
    <w:rsid w:val="004B08DB"/>
    <w:rsid w:val="004B0D73"/>
    <w:rsid w:val="004B1422"/>
    <w:rsid w:val="004B15C5"/>
    <w:rsid w:val="004B176D"/>
    <w:rsid w:val="004B1DF2"/>
    <w:rsid w:val="004B24EB"/>
    <w:rsid w:val="004B2999"/>
    <w:rsid w:val="004B29AC"/>
    <w:rsid w:val="004B322B"/>
    <w:rsid w:val="004B3C8B"/>
    <w:rsid w:val="004B44A9"/>
    <w:rsid w:val="004B4509"/>
    <w:rsid w:val="004B452A"/>
    <w:rsid w:val="004B4871"/>
    <w:rsid w:val="004B4ADF"/>
    <w:rsid w:val="004B4C00"/>
    <w:rsid w:val="004B4E06"/>
    <w:rsid w:val="004B5493"/>
    <w:rsid w:val="004B5914"/>
    <w:rsid w:val="004B6C77"/>
    <w:rsid w:val="004B6CA9"/>
    <w:rsid w:val="004B6D0A"/>
    <w:rsid w:val="004B6DA4"/>
    <w:rsid w:val="004B794C"/>
    <w:rsid w:val="004B7995"/>
    <w:rsid w:val="004C02B3"/>
    <w:rsid w:val="004C098E"/>
    <w:rsid w:val="004C0BBE"/>
    <w:rsid w:val="004C0E2F"/>
    <w:rsid w:val="004C1705"/>
    <w:rsid w:val="004C172A"/>
    <w:rsid w:val="004C222E"/>
    <w:rsid w:val="004C2561"/>
    <w:rsid w:val="004C25B4"/>
    <w:rsid w:val="004C2806"/>
    <w:rsid w:val="004C2F87"/>
    <w:rsid w:val="004C3386"/>
    <w:rsid w:val="004C3A7A"/>
    <w:rsid w:val="004C3ADD"/>
    <w:rsid w:val="004C3CB1"/>
    <w:rsid w:val="004C428E"/>
    <w:rsid w:val="004C441A"/>
    <w:rsid w:val="004C4775"/>
    <w:rsid w:val="004C483D"/>
    <w:rsid w:val="004C48A9"/>
    <w:rsid w:val="004C49B3"/>
    <w:rsid w:val="004C4D05"/>
    <w:rsid w:val="004C4FF6"/>
    <w:rsid w:val="004C590B"/>
    <w:rsid w:val="004C6017"/>
    <w:rsid w:val="004C63C7"/>
    <w:rsid w:val="004C6D39"/>
    <w:rsid w:val="004C6D98"/>
    <w:rsid w:val="004C7217"/>
    <w:rsid w:val="004C7743"/>
    <w:rsid w:val="004C77A7"/>
    <w:rsid w:val="004D039E"/>
    <w:rsid w:val="004D04A3"/>
    <w:rsid w:val="004D0C9F"/>
    <w:rsid w:val="004D15FD"/>
    <w:rsid w:val="004D1A0A"/>
    <w:rsid w:val="004D2369"/>
    <w:rsid w:val="004D2485"/>
    <w:rsid w:val="004D25D5"/>
    <w:rsid w:val="004D3A57"/>
    <w:rsid w:val="004D47FF"/>
    <w:rsid w:val="004D4D35"/>
    <w:rsid w:val="004D518F"/>
    <w:rsid w:val="004D54D7"/>
    <w:rsid w:val="004D5BB7"/>
    <w:rsid w:val="004D6053"/>
    <w:rsid w:val="004D68FE"/>
    <w:rsid w:val="004D6FA4"/>
    <w:rsid w:val="004D7C23"/>
    <w:rsid w:val="004E01C6"/>
    <w:rsid w:val="004E0212"/>
    <w:rsid w:val="004E0ADC"/>
    <w:rsid w:val="004E0C4E"/>
    <w:rsid w:val="004E0FB1"/>
    <w:rsid w:val="004E1043"/>
    <w:rsid w:val="004E14C8"/>
    <w:rsid w:val="004E1DCA"/>
    <w:rsid w:val="004E1E38"/>
    <w:rsid w:val="004E21B4"/>
    <w:rsid w:val="004E252B"/>
    <w:rsid w:val="004E2861"/>
    <w:rsid w:val="004E2A85"/>
    <w:rsid w:val="004E3F72"/>
    <w:rsid w:val="004E4A78"/>
    <w:rsid w:val="004E551E"/>
    <w:rsid w:val="004E584D"/>
    <w:rsid w:val="004E58F6"/>
    <w:rsid w:val="004E5E37"/>
    <w:rsid w:val="004E5E4C"/>
    <w:rsid w:val="004E5F79"/>
    <w:rsid w:val="004E623E"/>
    <w:rsid w:val="004E6589"/>
    <w:rsid w:val="004E6CF9"/>
    <w:rsid w:val="004E7152"/>
    <w:rsid w:val="004E734E"/>
    <w:rsid w:val="004E7EC0"/>
    <w:rsid w:val="004E7F48"/>
    <w:rsid w:val="004F014E"/>
    <w:rsid w:val="004F023B"/>
    <w:rsid w:val="004F042D"/>
    <w:rsid w:val="004F0BC6"/>
    <w:rsid w:val="004F1123"/>
    <w:rsid w:val="004F12D3"/>
    <w:rsid w:val="004F1715"/>
    <w:rsid w:val="004F17DA"/>
    <w:rsid w:val="004F2D3C"/>
    <w:rsid w:val="004F355B"/>
    <w:rsid w:val="004F3BD2"/>
    <w:rsid w:val="004F4372"/>
    <w:rsid w:val="004F43E0"/>
    <w:rsid w:val="004F45EB"/>
    <w:rsid w:val="004F5079"/>
    <w:rsid w:val="004F521B"/>
    <w:rsid w:val="004F52BB"/>
    <w:rsid w:val="004F5582"/>
    <w:rsid w:val="004F56B1"/>
    <w:rsid w:val="004F59B8"/>
    <w:rsid w:val="004F62A7"/>
    <w:rsid w:val="004F62F9"/>
    <w:rsid w:val="004F66B3"/>
    <w:rsid w:val="004F6A72"/>
    <w:rsid w:val="004F6FA7"/>
    <w:rsid w:val="004F72D2"/>
    <w:rsid w:val="004F72DA"/>
    <w:rsid w:val="004F7352"/>
    <w:rsid w:val="004F7889"/>
    <w:rsid w:val="0050015C"/>
    <w:rsid w:val="00500418"/>
    <w:rsid w:val="00500CCF"/>
    <w:rsid w:val="00500E62"/>
    <w:rsid w:val="005010DE"/>
    <w:rsid w:val="005011FD"/>
    <w:rsid w:val="0050164B"/>
    <w:rsid w:val="00501AA5"/>
    <w:rsid w:val="00502958"/>
    <w:rsid w:val="00502BD2"/>
    <w:rsid w:val="00502DA4"/>
    <w:rsid w:val="00503790"/>
    <w:rsid w:val="005038F3"/>
    <w:rsid w:val="00503F83"/>
    <w:rsid w:val="0050421C"/>
    <w:rsid w:val="005048FF"/>
    <w:rsid w:val="00504A9B"/>
    <w:rsid w:val="00504E9A"/>
    <w:rsid w:val="00504F83"/>
    <w:rsid w:val="0050518F"/>
    <w:rsid w:val="005059B9"/>
    <w:rsid w:val="00505F64"/>
    <w:rsid w:val="00506DCD"/>
    <w:rsid w:val="00507325"/>
    <w:rsid w:val="00507583"/>
    <w:rsid w:val="00507C56"/>
    <w:rsid w:val="00507F13"/>
    <w:rsid w:val="005109D4"/>
    <w:rsid w:val="00510CF4"/>
    <w:rsid w:val="0051160A"/>
    <w:rsid w:val="005118BA"/>
    <w:rsid w:val="00511C56"/>
    <w:rsid w:val="00512385"/>
    <w:rsid w:val="005128B7"/>
    <w:rsid w:val="00512A4D"/>
    <w:rsid w:val="00512D87"/>
    <w:rsid w:val="005130DA"/>
    <w:rsid w:val="00513DDA"/>
    <w:rsid w:val="00513E19"/>
    <w:rsid w:val="005148B4"/>
    <w:rsid w:val="00514B29"/>
    <w:rsid w:val="00514E8C"/>
    <w:rsid w:val="005152B1"/>
    <w:rsid w:val="005152F0"/>
    <w:rsid w:val="0051532D"/>
    <w:rsid w:val="00515856"/>
    <w:rsid w:val="00515FD2"/>
    <w:rsid w:val="005163E6"/>
    <w:rsid w:val="00516D23"/>
    <w:rsid w:val="005172EC"/>
    <w:rsid w:val="0051740D"/>
    <w:rsid w:val="005178CE"/>
    <w:rsid w:val="00517CA0"/>
    <w:rsid w:val="00521356"/>
    <w:rsid w:val="00521583"/>
    <w:rsid w:val="00521CAB"/>
    <w:rsid w:val="00521DFB"/>
    <w:rsid w:val="005224EF"/>
    <w:rsid w:val="00522654"/>
    <w:rsid w:val="00522835"/>
    <w:rsid w:val="0052293D"/>
    <w:rsid w:val="00522AF4"/>
    <w:rsid w:val="00523499"/>
    <w:rsid w:val="00523BC7"/>
    <w:rsid w:val="00523C08"/>
    <w:rsid w:val="00523C10"/>
    <w:rsid w:val="00523E23"/>
    <w:rsid w:val="005241C4"/>
    <w:rsid w:val="005242F0"/>
    <w:rsid w:val="005242FF"/>
    <w:rsid w:val="005245D5"/>
    <w:rsid w:val="005247FE"/>
    <w:rsid w:val="00524889"/>
    <w:rsid w:val="0052575D"/>
    <w:rsid w:val="0052582C"/>
    <w:rsid w:val="005259FC"/>
    <w:rsid w:val="00525A0E"/>
    <w:rsid w:val="00525A53"/>
    <w:rsid w:val="00525DDA"/>
    <w:rsid w:val="005260F1"/>
    <w:rsid w:val="00526569"/>
    <w:rsid w:val="00526726"/>
    <w:rsid w:val="00526DB5"/>
    <w:rsid w:val="00526F91"/>
    <w:rsid w:val="00527256"/>
    <w:rsid w:val="00527934"/>
    <w:rsid w:val="00527B57"/>
    <w:rsid w:val="00527C8D"/>
    <w:rsid w:val="00527C9C"/>
    <w:rsid w:val="00530217"/>
    <w:rsid w:val="00530AC4"/>
    <w:rsid w:val="00530B2C"/>
    <w:rsid w:val="00531F7B"/>
    <w:rsid w:val="00532064"/>
    <w:rsid w:val="0053268A"/>
    <w:rsid w:val="0053309E"/>
    <w:rsid w:val="00533169"/>
    <w:rsid w:val="00533194"/>
    <w:rsid w:val="005332C8"/>
    <w:rsid w:val="00534021"/>
    <w:rsid w:val="0053464E"/>
    <w:rsid w:val="00534CBD"/>
    <w:rsid w:val="005352C8"/>
    <w:rsid w:val="005354C1"/>
    <w:rsid w:val="00535CAE"/>
    <w:rsid w:val="00535F99"/>
    <w:rsid w:val="005361DE"/>
    <w:rsid w:val="005362E9"/>
    <w:rsid w:val="00536356"/>
    <w:rsid w:val="00536C03"/>
    <w:rsid w:val="00536CBB"/>
    <w:rsid w:val="00536DDD"/>
    <w:rsid w:val="00537033"/>
    <w:rsid w:val="00540A37"/>
    <w:rsid w:val="00540B49"/>
    <w:rsid w:val="005418DB"/>
    <w:rsid w:val="0054230B"/>
    <w:rsid w:val="005426B9"/>
    <w:rsid w:val="005434EA"/>
    <w:rsid w:val="00544ABA"/>
    <w:rsid w:val="00545D55"/>
    <w:rsid w:val="005461AB"/>
    <w:rsid w:val="00546C6A"/>
    <w:rsid w:val="00546FBA"/>
    <w:rsid w:val="00547F04"/>
    <w:rsid w:val="00550924"/>
    <w:rsid w:val="00550D63"/>
    <w:rsid w:val="00550EF1"/>
    <w:rsid w:val="00551075"/>
    <w:rsid w:val="005513C8"/>
    <w:rsid w:val="0055236E"/>
    <w:rsid w:val="0055352C"/>
    <w:rsid w:val="005538A6"/>
    <w:rsid w:val="00554F94"/>
    <w:rsid w:val="00555016"/>
    <w:rsid w:val="00555161"/>
    <w:rsid w:val="00555A59"/>
    <w:rsid w:val="00555DE6"/>
    <w:rsid w:val="00555EB3"/>
    <w:rsid w:val="005567F6"/>
    <w:rsid w:val="00556E29"/>
    <w:rsid w:val="00557474"/>
    <w:rsid w:val="00557C6F"/>
    <w:rsid w:val="00557DAA"/>
    <w:rsid w:val="00557DAD"/>
    <w:rsid w:val="005604AD"/>
    <w:rsid w:val="005607F0"/>
    <w:rsid w:val="00561138"/>
    <w:rsid w:val="00561699"/>
    <w:rsid w:val="0056194F"/>
    <w:rsid w:val="005619E1"/>
    <w:rsid w:val="00562629"/>
    <w:rsid w:val="005628FE"/>
    <w:rsid w:val="005629C4"/>
    <w:rsid w:val="0056364B"/>
    <w:rsid w:val="00563D49"/>
    <w:rsid w:val="00564191"/>
    <w:rsid w:val="00564557"/>
    <w:rsid w:val="0056458C"/>
    <w:rsid w:val="00564628"/>
    <w:rsid w:val="005648B9"/>
    <w:rsid w:val="00564A3C"/>
    <w:rsid w:val="00564F82"/>
    <w:rsid w:val="00564FF6"/>
    <w:rsid w:val="005653AF"/>
    <w:rsid w:val="00565501"/>
    <w:rsid w:val="00565755"/>
    <w:rsid w:val="0056601E"/>
    <w:rsid w:val="00566406"/>
    <w:rsid w:val="005664A6"/>
    <w:rsid w:val="00566538"/>
    <w:rsid w:val="005667CE"/>
    <w:rsid w:val="0056725A"/>
    <w:rsid w:val="005672D9"/>
    <w:rsid w:val="0056741F"/>
    <w:rsid w:val="00567647"/>
    <w:rsid w:val="0056781B"/>
    <w:rsid w:val="00567BE2"/>
    <w:rsid w:val="00570102"/>
    <w:rsid w:val="00570505"/>
    <w:rsid w:val="0057106A"/>
    <w:rsid w:val="005712E6"/>
    <w:rsid w:val="00571F80"/>
    <w:rsid w:val="00572942"/>
    <w:rsid w:val="005730DB"/>
    <w:rsid w:val="00573251"/>
    <w:rsid w:val="005733A8"/>
    <w:rsid w:val="005734F9"/>
    <w:rsid w:val="00573B5B"/>
    <w:rsid w:val="00573F55"/>
    <w:rsid w:val="00574070"/>
    <w:rsid w:val="00574FD2"/>
    <w:rsid w:val="00575148"/>
    <w:rsid w:val="0057540E"/>
    <w:rsid w:val="005757B6"/>
    <w:rsid w:val="005761E2"/>
    <w:rsid w:val="0058000F"/>
    <w:rsid w:val="00580557"/>
    <w:rsid w:val="0058074F"/>
    <w:rsid w:val="00580A76"/>
    <w:rsid w:val="00581042"/>
    <w:rsid w:val="005816AE"/>
    <w:rsid w:val="00581703"/>
    <w:rsid w:val="00581B15"/>
    <w:rsid w:val="005821DD"/>
    <w:rsid w:val="00583908"/>
    <w:rsid w:val="00583C9C"/>
    <w:rsid w:val="0058434A"/>
    <w:rsid w:val="00584757"/>
    <w:rsid w:val="00584E21"/>
    <w:rsid w:val="0058608B"/>
    <w:rsid w:val="005863C1"/>
    <w:rsid w:val="0058654D"/>
    <w:rsid w:val="00586786"/>
    <w:rsid w:val="00587729"/>
    <w:rsid w:val="00587886"/>
    <w:rsid w:val="00587A66"/>
    <w:rsid w:val="00590147"/>
    <w:rsid w:val="00590528"/>
    <w:rsid w:val="00590BD1"/>
    <w:rsid w:val="00590D26"/>
    <w:rsid w:val="00591276"/>
    <w:rsid w:val="00591490"/>
    <w:rsid w:val="0059151A"/>
    <w:rsid w:val="005916C9"/>
    <w:rsid w:val="00591C7E"/>
    <w:rsid w:val="00591DCF"/>
    <w:rsid w:val="005929B4"/>
    <w:rsid w:val="00592A3C"/>
    <w:rsid w:val="0059367F"/>
    <w:rsid w:val="00593720"/>
    <w:rsid w:val="00593909"/>
    <w:rsid w:val="00593A71"/>
    <w:rsid w:val="00593E3F"/>
    <w:rsid w:val="005941E1"/>
    <w:rsid w:val="005943E2"/>
    <w:rsid w:val="005946E1"/>
    <w:rsid w:val="00594B8A"/>
    <w:rsid w:val="00595009"/>
    <w:rsid w:val="005954B7"/>
    <w:rsid w:val="00595A05"/>
    <w:rsid w:val="00595F17"/>
    <w:rsid w:val="00595F3D"/>
    <w:rsid w:val="00595F89"/>
    <w:rsid w:val="005960C7"/>
    <w:rsid w:val="005963FB"/>
    <w:rsid w:val="00596873"/>
    <w:rsid w:val="00596B85"/>
    <w:rsid w:val="00596BB3"/>
    <w:rsid w:val="00596BD4"/>
    <w:rsid w:val="00596FA8"/>
    <w:rsid w:val="005971A7"/>
    <w:rsid w:val="00597310"/>
    <w:rsid w:val="005977AB"/>
    <w:rsid w:val="005A01C5"/>
    <w:rsid w:val="005A0532"/>
    <w:rsid w:val="005A071C"/>
    <w:rsid w:val="005A07E7"/>
    <w:rsid w:val="005A0A26"/>
    <w:rsid w:val="005A0A57"/>
    <w:rsid w:val="005A0B9F"/>
    <w:rsid w:val="005A0DBB"/>
    <w:rsid w:val="005A0EBD"/>
    <w:rsid w:val="005A1270"/>
    <w:rsid w:val="005A1295"/>
    <w:rsid w:val="005A1370"/>
    <w:rsid w:val="005A1711"/>
    <w:rsid w:val="005A1F08"/>
    <w:rsid w:val="005A1FBF"/>
    <w:rsid w:val="005A1FD5"/>
    <w:rsid w:val="005A24B2"/>
    <w:rsid w:val="005A29B1"/>
    <w:rsid w:val="005A2EBF"/>
    <w:rsid w:val="005A3750"/>
    <w:rsid w:val="005A380B"/>
    <w:rsid w:val="005A4890"/>
    <w:rsid w:val="005A49D4"/>
    <w:rsid w:val="005A4D7C"/>
    <w:rsid w:val="005A5132"/>
    <w:rsid w:val="005A51C9"/>
    <w:rsid w:val="005A5A96"/>
    <w:rsid w:val="005A5D78"/>
    <w:rsid w:val="005A5D7F"/>
    <w:rsid w:val="005A5DC0"/>
    <w:rsid w:val="005A65C3"/>
    <w:rsid w:val="005A6B6D"/>
    <w:rsid w:val="005A6ED5"/>
    <w:rsid w:val="005A6F0E"/>
    <w:rsid w:val="005A6F57"/>
    <w:rsid w:val="005A7213"/>
    <w:rsid w:val="005A7235"/>
    <w:rsid w:val="005A795B"/>
    <w:rsid w:val="005A7BAF"/>
    <w:rsid w:val="005B05FA"/>
    <w:rsid w:val="005B0652"/>
    <w:rsid w:val="005B1213"/>
    <w:rsid w:val="005B1B55"/>
    <w:rsid w:val="005B1DBD"/>
    <w:rsid w:val="005B26B0"/>
    <w:rsid w:val="005B3EBD"/>
    <w:rsid w:val="005B3F0C"/>
    <w:rsid w:val="005B48E8"/>
    <w:rsid w:val="005B4E38"/>
    <w:rsid w:val="005B564F"/>
    <w:rsid w:val="005B56D9"/>
    <w:rsid w:val="005B5BA3"/>
    <w:rsid w:val="005B5E62"/>
    <w:rsid w:val="005B6BE5"/>
    <w:rsid w:val="005B6DBE"/>
    <w:rsid w:val="005B746E"/>
    <w:rsid w:val="005B787D"/>
    <w:rsid w:val="005B7E97"/>
    <w:rsid w:val="005B7F46"/>
    <w:rsid w:val="005C059E"/>
    <w:rsid w:val="005C060F"/>
    <w:rsid w:val="005C07D2"/>
    <w:rsid w:val="005C09A7"/>
    <w:rsid w:val="005C0EA8"/>
    <w:rsid w:val="005C0FE5"/>
    <w:rsid w:val="005C102D"/>
    <w:rsid w:val="005C132C"/>
    <w:rsid w:val="005C17FB"/>
    <w:rsid w:val="005C1833"/>
    <w:rsid w:val="005C1838"/>
    <w:rsid w:val="005C18C2"/>
    <w:rsid w:val="005C1E72"/>
    <w:rsid w:val="005C2063"/>
    <w:rsid w:val="005C2384"/>
    <w:rsid w:val="005C244F"/>
    <w:rsid w:val="005C2767"/>
    <w:rsid w:val="005C2922"/>
    <w:rsid w:val="005C2C01"/>
    <w:rsid w:val="005C2F60"/>
    <w:rsid w:val="005C323D"/>
    <w:rsid w:val="005C3772"/>
    <w:rsid w:val="005C39C3"/>
    <w:rsid w:val="005C4229"/>
    <w:rsid w:val="005C4580"/>
    <w:rsid w:val="005C5065"/>
    <w:rsid w:val="005C52F3"/>
    <w:rsid w:val="005C564C"/>
    <w:rsid w:val="005C6234"/>
    <w:rsid w:val="005C64DC"/>
    <w:rsid w:val="005C6605"/>
    <w:rsid w:val="005C6CCB"/>
    <w:rsid w:val="005C71A0"/>
    <w:rsid w:val="005C7461"/>
    <w:rsid w:val="005C7802"/>
    <w:rsid w:val="005C7B50"/>
    <w:rsid w:val="005D029E"/>
    <w:rsid w:val="005D0427"/>
    <w:rsid w:val="005D0776"/>
    <w:rsid w:val="005D07AE"/>
    <w:rsid w:val="005D08FD"/>
    <w:rsid w:val="005D0C83"/>
    <w:rsid w:val="005D113B"/>
    <w:rsid w:val="005D1732"/>
    <w:rsid w:val="005D19C7"/>
    <w:rsid w:val="005D2D9A"/>
    <w:rsid w:val="005D31C2"/>
    <w:rsid w:val="005D3A6E"/>
    <w:rsid w:val="005D3B21"/>
    <w:rsid w:val="005D4019"/>
    <w:rsid w:val="005D4050"/>
    <w:rsid w:val="005D41DC"/>
    <w:rsid w:val="005D460F"/>
    <w:rsid w:val="005D4DC5"/>
    <w:rsid w:val="005D5442"/>
    <w:rsid w:val="005D5C22"/>
    <w:rsid w:val="005D5E6C"/>
    <w:rsid w:val="005D63A9"/>
    <w:rsid w:val="005D65AF"/>
    <w:rsid w:val="005D65D5"/>
    <w:rsid w:val="005D6AD4"/>
    <w:rsid w:val="005D6C56"/>
    <w:rsid w:val="005D6CED"/>
    <w:rsid w:val="005D6F49"/>
    <w:rsid w:val="005D7E8A"/>
    <w:rsid w:val="005E0687"/>
    <w:rsid w:val="005E06FA"/>
    <w:rsid w:val="005E07F6"/>
    <w:rsid w:val="005E11A5"/>
    <w:rsid w:val="005E13D4"/>
    <w:rsid w:val="005E1435"/>
    <w:rsid w:val="005E21F3"/>
    <w:rsid w:val="005E235C"/>
    <w:rsid w:val="005E2703"/>
    <w:rsid w:val="005E2DA0"/>
    <w:rsid w:val="005E3078"/>
    <w:rsid w:val="005E34C0"/>
    <w:rsid w:val="005E45F3"/>
    <w:rsid w:val="005E4757"/>
    <w:rsid w:val="005E4785"/>
    <w:rsid w:val="005E49CA"/>
    <w:rsid w:val="005E5384"/>
    <w:rsid w:val="005E5427"/>
    <w:rsid w:val="005E5428"/>
    <w:rsid w:val="005E5A7C"/>
    <w:rsid w:val="005E5C33"/>
    <w:rsid w:val="005E6976"/>
    <w:rsid w:val="005E703B"/>
    <w:rsid w:val="005E721A"/>
    <w:rsid w:val="005E74EC"/>
    <w:rsid w:val="005E7917"/>
    <w:rsid w:val="005E7AB6"/>
    <w:rsid w:val="005E7B1E"/>
    <w:rsid w:val="005E7CBC"/>
    <w:rsid w:val="005E7DB0"/>
    <w:rsid w:val="005F0A62"/>
    <w:rsid w:val="005F0FA8"/>
    <w:rsid w:val="005F1C5D"/>
    <w:rsid w:val="005F2317"/>
    <w:rsid w:val="005F2550"/>
    <w:rsid w:val="005F2B2D"/>
    <w:rsid w:val="005F2FD5"/>
    <w:rsid w:val="005F340A"/>
    <w:rsid w:val="005F359B"/>
    <w:rsid w:val="005F3869"/>
    <w:rsid w:val="005F3AE8"/>
    <w:rsid w:val="005F3B09"/>
    <w:rsid w:val="005F3B47"/>
    <w:rsid w:val="005F3E80"/>
    <w:rsid w:val="005F42B2"/>
    <w:rsid w:val="005F47C1"/>
    <w:rsid w:val="005F4926"/>
    <w:rsid w:val="005F4B6F"/>
    <w:rsid w:val="005F5009"/>
    <w:rsid w:val="005F5054"/>
    <w:rsid w:val="005F530F"/>
    <w:rsid w:val="005F5D2A"/>
    <w:rsid w:val="005F5FE6"/>
    <w:rsid w:val="005F65D9"/>
    <w:rsid w:val="005F6768"/>
    <w:rsid w:val="005F69CF"/>
    <w:rsid w:val="005F6E39"/>
    <w:rsid w:val="005F6E58"/>
    <w:rsid w:val="005F7031"/>
    <w:rsid w:val="005F704C"/>
    <w:rsid w:val="005F7A22"/>
    <w:rsid w:val="005F7B9D"/>
    <w:rsid w:val="00600501"/>
    <w:rsid w:val="00600B0C"/>
    <w:rsid w:val="00602DFA"/>
    <w:rsid w:val="006031D1"/>
    <w:rsid w:val="006033BF"/>
    <w:rsid w:val="00603702"/>
    <w:rsid w:val="00603B4B"/>
    <w:rsid w:val="00603F20"/>
    <w:rsid w:val="006046A9"/>
    <w:rsid w:val="0060471B"/>
    <w:rsid w:val="00604F37"/>
    <w:rsid w:val="0060508A"/>
    <w:rsid w:val="006055AF"/>
    <w:rsid w:val="00605942"/>
    <w:rsid w:val="00605C9F"/>
    <w:rsid w:val="00605F43"/>
    <w:rsid w:val="00605F95"/>
    <w:rsid w:val="006068E8"/>
    <w:rsid w:val="00606ADB"/>
    <w:rsid w:val="006072DE"/>
    <w:rsid w:val="006075F4"/>
    <w:rsid w:val="006078A8"/>
    <w:rsid w:val="00607A07"/>
    <w:rsid w:val="00607BAD"/>
    <w:rsid w:val="00607EC7"/>
    <w:rsid w:val="006102BC"/>
    <w:rsid w:val="0061048A"/>
    <w:rsid w:val="00610AE7"/>
    <w:rsid w:val="00611178"/>
    <w:rsid w:val="0061148D"/>
    <w:rsid w:val="00611D01"/>
    <w:rsid w:val="006122EC"/>
    <w:rsid w:val="006124B3"/>
    <w:rsid w:val="00612611"/>
    <w:rsid w:val="0061279A"/>
    <w:rsid w:val="00612A10"/>
    <w:rsid w:val="00613009"/>
    <w:rsid w:val="006132EA"/>
    <w:rsid w:val="00613481"/>
    <w:rsid w:val="006134F0"/>
    <w:rsid w:val="00613BB0"/>
    <w:rsid w:val="00613CA5"/>
    <w:rsid w:val="0061401C"/>
    <w:rsid w:val="0061420B"/>
    <w:rsid w:val="00614A59"/>
    <w:rsid w:val="00614BD4"/>
    <w:rsid w:val="00614D33"/>
    <w:rsid w:val="00614E7E"/>
    <w:rsid w:val="0061537D"/>
    <w:rsid w:val="0061537F"/>
    <w:rsid w:val="006156D7"/>
    <w:rsid w:val="00615CF1"/>
    <w:rsid w:val="00615DEA"/>
    <w:rsid w:val="006165A4"/>
    <w:rsid w:val="00616A60"/>
    <w:rsid w:val="00616D0C"/>
    <w:rsid w:val="00616D43"/>
    <w:rsid w:val="00616EE6"/>
    <w:rsid w:val="006171FB"/>
    <w:rsid w:val="00617283"/>
    <w:rsid w:val="0061747F"/>
    <w:rsid w:val="00617A2A"/>
    <w:rsid w:val="006206F3"/>
    <w:rsid w:val="006207F4"/>
    <w:rsid w:val="00620C67"/>
    <w:rsid w:val="00620CD9"/>
    <w:rsid w:val="006214E3"/>
    <w:rsid w:val="00621646"/>
    <w:rsid w:val="00621803"/>
    <w:rsid w:val="00621A34"/>
    <w:rsid w:val="006220F1"/>
    <w:rsid w:val="006222C3"/>
    <w:rsid w:val="00623E46"/>
    <w:rsid w:val="00624604"/>
    <w:rsid w:val="00624A9E"/>
    <w:rsid w:val="00624D2C"/>
    <w:rsid w:val="00624F7F"/>
    <w:rsid w:val="00625142"/>
    <w:rsid w:val="00625145"/>
    <w:rsid w:val="00626768"/>
    <w:rsid w:val="00626F9D"/>
    <w:rsid w:val="00627402"/>
    <w:rsid w:val="00627403"/>
    <w:rsid w:val="00627474"/>
    <w:rsid w:val="00627CEA"/>
    <w:rsid w:val="00627E37"/>
    <w:rsid w:val="00630480"/>
    <w:rsid w:val="0063058E"/>
    <w:rsid w:val="006305F8"/>
    <w:rsid w:val="0063197B"/>
    <w:rsid w:val="006319D0"/>
    <w:rsid w:val="00631DA7"/>
    <w:rsid w:val="006327BB"/>
    <w:rsid w:val="00632B9C"/>
    <w:rsid w:val="00632F18"/>
    <w:rsid w:val="006332D7"/>
    <w:rsid w:val="0063333D"/>
    <w:rsid w:val="00634225"/>
    <w:rsid w:val="00635003"/>
    <w:rsid w:val="006351CE"/>
    <w:rsid w:val="006352FD"/>
    <w:rsid w:val="00635B15"/>
    <w:rsid w:val="00636037"/>
    <w:rsid w:val="00636269"/>
    <w:rsid w:val="006362E1"/>
    <w:rsid w:val="006367DA"/>
    <w:rsid w:val="00636F62"/>
    <w:rsid w:val="006370E1"/>
    <w:rsid w:val="00637382"/>
    <w:rsid w:val="006375B2"/>
    <w:rsid w:val="006375BB"/>
    <w:rsid w:val="006409EE"/>
    <w:rsid w:val="00640BF7"/>
    <w:rsid w:val="00640C5F"/>
    <w:rsid w:val="00640FFF"/>
    <w:rsid w:val="00641761"/>
    <w:rsid w:val="006419AF"/>
    <w:rsid w:val="006425FC"/>
    <w:rsid w:val="00642631"/>
    <w:rsid w:val="00642856"/>
    <w:rsid w:val="00642DF5"/>
    <w:rsid w:val="0064304A"/>
    <w:rsid w:val="0064380B"/>
    <w:rsid w:val="00643A4F"/>
    <w:rsid w:val="00643FF5"/>
    <w:rsid w:val="006441FD"/>
    <w:rsid w:val="00644E5A"/>
    <w:rsid w:val="00644F2C"/>
    <w:rsid w:val="00645065"/>
    <w:rsid w:val="006450DD"/>
    <w:rsid w:val="00645141"/>
    <w:rsid w:val="0064573A"/>
    <w:rsid w:val="00645AEE"/>
    <w:rsid w:val="00645F2F"/>
    <w:rsid w:val="00646428"/>
    <w:rsid w:val="00646AFD"/>
    <w:rsid w:val="0064707F"/>
    <w:rsid w:val="006471E8"/>
    <w:rsid w:val="00647E90"/>
    <w:rsid w:val="00647FA3"/>
    <w:rsid w:val="006500F7"/>
    <w:rsid w:val="00650769"/>
    <w:rsid w:val="0065106D"/>
    <w:rsid w:val="006516B7"/>
    <w:rsid w:val="006518E4"/>
    <w:rsid w:val="006519F4"/>
    <w:rsid w:val="00651FB8"/>
    <w:rsid w:val="00652036"/>
    <w:rsid w:val="0065203F"/>
    <w:rsid w:val="006520D5"/>
    <w:rsid w:val="0065239B"/>
    <w:rsid w:val="00652BA0"/>
    <w:rsid w:val="00653045"/>
    <w:rsid w:val="0065349A"/>
    <w:rsid w:val="00653A25"/>
    <w:rsid w:val="00653D93"/>
    <w:rsid w:val="00653FDA"/>
    <w:rsid w:val="00654079"/>
    <w:rsid w:val="006541A0"/>
    <w:rsid w:val="00654E99"/>
    <w:rsid w:val="00655104"/>
    <w:rsid w:val="0065548F"/>
    <w:rsid w:val="0065552E"/>
    <w:rsid w:val="00655633"/>
    <w:rsid w:val="006557BB"/>
    <w:rsid w:val="006559BB"/>
    <w:rsid w:val="00655D93"/>
    <w:rsid w:val="00655E86"/>
    <w:rsid w:val="00656614"/>
    <w:rsid w:val="00656C4D"/>
    <w:rsid w:val="006577CD"/>
    <w:rsid w:val="00657C69"/>
    <w:rsid w:val="00657CCC"/>
    <w:rsid w:val="00660162"/>
    <w:rsid w:val="0066036D"/>
    <w:rsid w:val="006604FA"/>
    <w:rsid w:val="00660879"/>
    <w:rsid w:val="00660B3F"/>
    <w:rsid w:val="006610B1"/>
    <w:rsid w:val="00661639"/>
    <w:rsid w:val="00661655"/>
    <w:rsid w:val="0066174D"/>
    <w:rsid w:val="006618D9"/>
    <w:rsid w:val="00661E36"/>
    <w:rsid w:val="0066263D"/>
    <w:rsid w:val="0066288A"/>
    <w:rsid w:val="0066318A"/>
    <w:rsid w:val="006631D3"/>
    <w:rsid w:val="00663D0F"/>
    <w:rsid w:val="00664525"/>
    <w:rsid w:val="0066465B"/>
    <w:rsid w:val="00664C81"/>
    <w:rsid w:val="0066521A"/>
    <w:rsid w:val="0066540C"/>
    <w:rsid w:val="006656E2"/>
    <w:rsid w:val="00665877"/>
    <w:rsid w:val="00665EAE"/>
    <w:rsid w:val="00666123"/>
    <w:rsid w:val="006661EA"/>
    <w:rsid w:val="0066655C"/>
    <w:rsid w:val="00666909"/>
    <w:rsid w:val="00666EBC"/>
    <w:rsid w:val="00667189"/>
    <w:rsid w:val="0066749E"/>
    <w:rsid w:val="00667C98"/>
    <w:rsid w:val="00667CCB"/>
    <w:rsid w:val="00667EFD"/>
    <w:rsid w:val="00670475"/>
    <w:rsid w:val="00670725"/>
    <w:rsid w:val="00670B8C"/>
    <w:rsid w:val="00670C4A"/>
    <w:rsid w:val="006712FE"/>
    <w:rsid w:val="00671F3E"/>
    <w:rsid w:val="00672482"/>
    <w:rsid w:val="00672A18"/>
    <w:rsid w:val="006735D0"/>
    <w:rsid w:val="006739E9"/>
    <w:rsid w:val="00674D52"/>
    <w:rsid w:val="00674F93"/>
    <w:rsid w:val="0067546F"/>
    <w:rsid w:val="00676287"/>
    <w:rsid w:val="00676CE4"/>
    <w:rsid w:val="00676EC2"/>
    <w:rsid w:val="00676F61"/>
    <w:rsid w:val="00676FA5"/>
    <w:rsid w:val="006771A4"/>
    <w:rsid w:val="006771AD"/>
    <w:rsid w:val="006774A8"/>
    <w:rsid w:val="00677572"/>
    <w:rsid w:val="00677885"/>
    <w:rsid w:val="00677F2E"/>
    <w:rsid w:val="00681156"/>
    <w:rsid w:val="00681229"/>
    <w:rsid w:val="0068122F"/>
    <w:rsid w:val="00681514"/>
    <w:rsid w:val="0068185E"/>
    <w:rsid w:val="00681BE5"/>
    <w:rsid w:val="00681E30"/>
    <w:rsid w:val="0068379B"/>
    <w:rsid w:val="00683D98"/>
    <w:rsid w:val="00683D99"/>
    <w:rsid w:val="00684079"/>
    <w:rsid w:val="006848EE"/>
    <w:rsid w:val="006860E2"/>
    <w:rsid w:val="0068629B"/>
    <w:rsid w:val="00686425"/>
    <w:rsid w:val="006866F6"/>
    <w:rsid w:val="00686C12"/>
    <w:rsid w:val="00686D75"/>
    <w:rsid w:val="0068736A"/>
    <w:rsid w:val="00687D17"/>
    <w:rsid w:val="00690024"/>
    <w:rsid w:val="006903A4"/>
    <w:rsid w:val="00690CAA"/>
    <w:rsid w:val="00690EFB"/>
    <w:rsid w:val="00690F28"/>
    <w:rsid w:val="0069137B"/>
    <w:rsid w:val="006913EC"/>
    <w:rsid w:val="006914B7"/>
    <w:rsid w:val="00691742"/>
    <w:rsid w:val="00691DEE"/>
    <w:rsid w:val="00692242"/>
    <w:rsid w:val="0069236E"/>
    <w:rsid w:val="00692704"/>
    <w:rsid w:val="00692755"/>
    <w:rsid w:val="00692E67"/>
    <w:rsid w:val="0069381A"/>
    <w:rsid w:val="00693ACF"/>
    <w:rsid w:val="00693EE5"/>
    <w:rsid w:val="00694314"/>
    <w:rsid w:val="006944C5"/>
    <w:rsid w:val="00694B8D"/>
    <w:rsid w:val="00694DC1"/>
    <w:rsid w:val="0069532F"/>
    <w:rsid w:val="0069561C"/>
    <w:rsid w:val="00695634"/>
    <w:rsid w:val="0069600D"/>
    <w:rsid w:val="00696016"/>
    <w:rsid w:val="006963AE"/>
    <w:rsid w:val="0069689C"/>
    <w:rsid w:val="00697053"/>
    <w:rsid w:val="00697CBE"/>
    <w:rsid w:val="006A066A"/>
    <w:rsid w:val="006A06CA"/>
    <w:rsid w:val="006A083E"/>
    <w:rsid w:val="006A0FFD"/>
    <w:rsid w:val="006A1170"/>
    <w:rsid w:val="006A12CA"/>
    <w:rsid w:val="006A14A3"/>
    <w:rsid w:val="006A159D"/>
    <w:rsid w:val="006A18BF"/>
    <w:rsid w:val="006A1F58"/>
    <w:rsid w:val="006A242E"/>
    <w:rsid w:val="006A26AB"/>
    <w:rsid w:val="006A298D"/>
    <w:rsid w:val="006A2F80"/>
    <w:rsid w:val="006A347A"/>
    <w:rsid w:val="006A3A48"/>
    <w:rsid w:val="006A3FD6"/>
    <w:rsid w:val="006A4076"/>
    <w:rsid w:val="006A436F"/>
    <w:rsid w:val="006A4E5B"/>
    <w:rsid w:val="006A5675"/>
    <w:rsid w:val="006A59D8"/>
    <w:rsid w:val="006A6B7B"/>
    <w:rsid w:val="006A78F8"/>
    <w:rsid w:val="006A7C26"/>
    <w:rsid w:val="006A7E27"/>
    <w:rsid w:val="006B010E"/>
    <w:rsid w:val="006B03CA"/>
    <w:rsid w:val="006B091F"/>
    <w:rsid w:val="006B0CAF"/>
    <w:rsid w:val="006B0ED0"/>
    <w:rsid w:val="006B0EED"/>
    <w:rsid w:val="006B147E"/>
    <w:rsid w:val="006B1DF6"/>
    <w:rsid w:val="006B233F"/>
    <w:rsid w:val="006B275E"/>
    <w:rsid w:val="006B28EA"/>
    <w:rsid w:val="006B2DA3"/>
    <w:rsid w:val="006B2FBB"/>
    <w:rsid w:val="006B378A"/>
    <w:rsid w:val="006B3BD5"/>
    <w:rsid w:val="006B4185"/>
    <w:rsid w:val="006B4224"/>
    <w:rsid w:val="006B4493"/>
    <w:rsid w:val="006B4B62"/>
    <w:rsid w:val="006B5144"/>
    <w:rsid w:val="006B53DC"/>
    <w:rsid w:val="006B5423"/>
    <w:rsid w:val="006B5855"/>
    <w:rsid w:val="006B5AB2"/>
    <w:rsid w:val="006B5C67"/>
    <w:rsid w:val="006B6B5D"/>
    <w:rsid w:val="006B6BF6"/>
    <w:rsid w:val="006B6C0D"/>
    <w:rsid w:val="006B7657"/>
    <w:rsid w:val="006C11D4"/>
    <w:rsid w:val="006C166D"/>
    <w:rsid w:val="006C1818"/>
    <w:rsid w:val="006C1C4F"/>
    <w:rsid w:val="006C1F8B"/>
    <w:rsid w:val="006C2633"/>
    <w:rsid w:val="006C2721"/>
    <w:rsid w:val="006C2BE5"/>
    <w:rsid w:val="006C377A"/>
    <w:rsid w:val="006C3868"/>
    <w:rsid w:val="006C38FF"/>
    <w:rsid w:val="006C3E6E"/>
    <w:rsid w:val="006C3EEA"/>
    <w:rsid w:val="006C3F92"/>
    <w:rsid w:val="006C43A6"/>
    <w:rsid w:val="006C4A4A"/>
    <w:rsid w:val="006C4E89"/>
    <w:rsid w:val="006C53EB"/>
    <w:rsid w:val="006C5434"/>
    <w:rsid w:val="006C5848"/>
    <w:rsid w:val="006C5D29"/>
    <w:rsid w:val="006C650D"/>
    <w:rsid w:val="006C69A5"/>
    <w:rsid w:val="006C7740"/>
    <w:rsid w:val="006D0389"/>
    <w:rsid w:val="006D0848"/>
    <w:rsid w:val="006D0BA5"/>
    <w:rsid w:val="006D0C15"/>
    <w:rsid w:val="006D0D8B"/>
    <w:rsid w:val="006D0FBF"/>
    <w:rsid w:val="006D10DC"/>
    <w:rsid w:val="006D1586"/>
    <w:rsid w:val="006D19C1"/>
    <w:rsid w:val="006D222C"/>
    <w:rsid w:val="006D2538"/>
    <w:rsid w:val="006D2827"/>
    <w:rsid w:val="006D2848"/>
    <w:rsid w:val="006D2B19"/>
    <w:rsid w:val="006D2EC9"/>
    <w:rsid w:val="006D3A05"/>
    <w:rsid w:val="006D3B62"/>
    <w:rsid w:val="006D3FDF"/>
    <w:rsid w:val="006D4527"/>
    <w:rsid w:val="006D4B05"/>
    <w:rsid w:val="006D4F86"/>
    <w:rsid w:val="006D5F98"/>
    <w:rsid w:val="006D6665"/>
    <w:rsid w:val="006D7098"/>
    <w:rsid w:val="006D740E"/>
    <w:rsid w:val="006D7AA0"/>
    <w:rsid w:val="006D7F72"/>
    <w:rsid w:val="006E00B7"/>
    <w:rsid w:val="006E0767"/>
    <w:rsid w:val="006E0DCF"/>
    <w:rsid w:val="006E0E5B"/>
    <w:rsid w:val="006E1976"/>
    <w:rsid w:val="006E2562"/>
    <w:rsid w:val="006E3023"/>
    <w:rsid w:val="006E3369"/>
    <w:rsid w:val="006E3C34"/>
    <w:rsid w:val="006E3D12"/>
    <w:rsid w:val="006E449C"/>
    <w:rsid w:val="006E4726"/>
    <w:rsid w:val="006E4E72"/>
    <w:rsid w:val="006E50D0"/>
    <w:rsid w:val="006E5EDA"/>
    <w:rsid w:val="006E663E"/>
    <w:rsid w:val="006E6994"/>
    <w:rsid w:val="006E6EDF"/>
    <w:rsid w:val="006E7A77"/>
    <w:rsid w:val="006E7BA5"/>
    <w:rsid w:val="006E7E85"/>
    <w:rsid w:val="006F01E8"/>
    <w:rsid w:val="006F02D7"/>
    <w:rsid w:val="006F03EC"/>
    <w:rsid w:val="006F059F"/>
    <w:rsid w:val="006F086A"/>
    <w:rsid w:val="006F0EBB"/>
    <w:rsid w:val="006F1E96"/>
    <w:rsid w:val="006F1F7D"/>
    <w:rsid w:val="006F2D24"/>
    <w:rsid w:val="006F3117"/>
    <w:rsid w:val="006F352A"/>
    <w:rsid w:val="006F37A7"/>
    <w:rsid w:val="006F37F7"/>
    <w:rsid w:val="006F3909"/>
    <w:rsid w:val="006F4036"/>
    <w:rsid w:val="006F428E"/>
    <w:rsid w:val="006F48E1"/>
    <w:rsid w:val="006F4FA0"/>
    <w:rsid w:val="006F5096"/>
    <w:rsid w:val="006F5160"/>
    <w:rsid w:val="006F5374"/>
    <w:rsid w:val="006F57D7"/>
    <w:rsid w:val="006F5C15"/>
    <w:rsid w:val="006F60DF"/>
    <w:rsid w:val="006F64DE"/>
    <w:rsid w:val="006F6766"/>
    <w:rsid w:val="006F68C1"/>
    <w:rsid w:val="006F6CE2"/>
    <w:rsid w:val="006F6E10"/>
    <w:rsid w:val="007014F8"/>
    <w:rsid w:val="0070150D"/>
    <w:rsid w:val="007016D2"/>
    <w:rsid w:val="007018D8"/>
    <w:rsid w:val="00701979"/>
    <w:rsid w:val="00701C6E"/>
    <w:rsid w:val="007029E8"/>
    <w:rsid w:val="00703107"/>
    <w:rsid w:val="00703138"/>
    <w:rsid w:val="00703277"/>
    <w:rsid w:val="0070356D"/>
    <w:rsid w:val="00703981"/>
    <w:rsid w:val="00703CDF"/>
    <w:rsid w:val="00703D7E"/>
    <w:rsid w:val="0070495F"/>
    <w:rsid w:val="00704B6E"/>
    <w:rsid w:val="00704F73"/>
    <w:rsid w:val="0070508D"/>
    <w:rsid w:val="007050C6"/>
    <w:rsid w:val="0070542E"/>
    <w:rsid w:val="0070604A"/>
    <w:rsid w:val="007060D4"/>
    <w:rsid w:val="0070624C"/>
    <w:rsid w:val="00706451"/>
    <w:rsid w:val="00707E0F"/>
    <w:rsid w:val="0071068A"/>
    <w:rsid w:val="00710E19"/>
    <w:rsid w:val="00710E52"/>
    <w:rsid w:val="0071154B"/>
    <w:rsid w:val="0071174F"/>
    <w:rsid w:val="0071196A"/>
    <w:rsid w:val="00711B11"/>
    <w:rsid w:val="0071219C"/>
    <w:rsid w:val="0071277C"/>
    <w:rsid w:val="007131CF"/>
    <w:rsid w:val="007133C0"/>
    <w:rsid w:val="0071342C"/>
    <w:rsid w:val="00713613"/>
    <w:rsid w:val="007137C6"/>
    <w:rsid w:val="007138FC"/>
    <w:rsid w:val="0071393D"/>
    <w:rsid w:val="00713E79"/>
    <w:rsid w:val="00714245"/>
    <w:rsid w:val="00714A14"/>
    <w:rsid w:val="00715441"/>
    <w:rsid w:val="00715739"/>
    <w:rsid w:val="0071576C"/>
    <w:rsid w:val="00715C94"/>
    <w:rsid w:val="007165F0"/>
    <w:rsid w:val="00716A09"/>
    <w:rsid w:val="007170DB"/>
    <w:rsid w:val="0071725B"/>
    <w:rsid w:val="00717880"/>
    <w:rsid w:val="00717CA8"/>
    <w:rsid w:val="007202CB"/>
    <w:rsid w:val="007205E7"/>
    <w:rsid w:val="007209C4"/>
    <w:rsid w:val="00720A9F"/>
    <w:rsid w:val="00720E9D"/>
    <w:rsid w:val="007217C8"/>
    <w:rsid w:val="00721E9E"/>
    <w:rsid w:val="007227FE"/>
    <w:rsid w:val="007233C3"/>
    <w:rsid w:val="00723C95"/>
    <w:rsid w:val="00723E9E"/>
    <w:rsid w:val="007244E7"/>
    <w:rsid w:val="00724F31"/>
    <w:rsid w:val="00725034"/>
    <w:rsid w:val="0072505F"/>
    <w:rsid w:val="00725B00"/>
    <w:rsid w:val="0072680C"/>
    <w:rsid w:val="00726B3D"/>
    <w:rsid w:val="00726C64"/>
    <w:rsid w:val="0072733B"/>
    <w:rsid w:val="00727499"/>
    <w:rsid w:val="00730E71"/>
    <w:rsid w:val="0073108F"/>
    <w:rsid w:val="007310B7"/>
    <w:rsid w:val="00731237"/>
    <w:rsid w:val="00731642"/>
    <w:rsid w:val="00731A22"/>
    <w:rsid w:val="0073207E"/>
    <w:rsid w:val="00732523"/>
    <w:rsid w:val="0073254B"/>
    <w:rsid w:val="00732664"/>
    <w:rsid w:val="00732B9E"/>
    <w:rsid w:val="00732BA7"/>
    <w:rsid w:val="0073318D"/>
    <w:rsid w:val="007333EA"/>
    <w:rsid w:val="00733601"/>
    <w:rsid w:val="00733A57"/>
    <w:rsid w:val="00733F36"/>
    <w:rsid w:val="007340CE"/>
    <w:rsid w:val="00734781"/>
    <w:rsid w:val="007349FC"/>
    <w:rsid w:val="00734B6F"/>
    <w:rsid w:val="007351A5"/>
    <w:rsid w:val="00735293"/>
    <w:rsid w:val="00735376"/>
    <w:rsid w:val="00735D05"/>
    <w:rsid w:val="007363EA"/>
    <w:rsid w:val="007363FF"/>
    <w:rsid w:val="0073668E"/>
    <w:rsid w:val="00736A02"/>
    <w:rsid w:val="00736E06"/>
    <w:rsid w:val="00736E37"/>
    <w:rsid w:val="00737286"/>
    <w:rsid w:val="007373DB"/>
    <w:rsid w:val="00737847"/>
    <w:rsid w:val="00737F27"/>
    <w:rsid w:val="00737FD3"/>
    <w:rsid w:val="00740240"/>
    <w:rsid w:val="007407DB"/>
    <w:rsid w:val="00740BFC"/>
    <w:rsid w:val="00740F76"/>
    <w:rsid w:val="00741032"/>
    <w:rsid w:val="00741037"/>
    <w:rsid w:val="00741D3F"/>
    <w:rsid w:val="007422B3"/>
    <w:rsid w:val="007424BF"/>
    <w:rsid w:val="00742FFB"/>
    <w:rsid w:val="007435F1"/>
    <w:rsid w:val="00743BC1"/>
    <w:rsid w:val="00743DDD"/>
    <w:rsid w:val="00744625"/>
    <w:rsid w:val="007446BB"/>
    <w:rsid w:val="00744AF1"/>
    <w:rsid w:val="007454F1"/>
    <w:rsid w:val="00745882"/>
    <w:rsid w:val="007459BC"/>
    <w:rsid w:val="00745A04"/>
    <w:rsid w:val="00745A0F"/>
    <w:rsid w:val="00745DFD"/>
    <w:rsid w:val="00745F2E"/>
    <w:rsid w:val="00745F88"/>
    <w:rsid w:val="00746197"/>
    <w:rsid w:val="0074689C"/>
    <w:rsid w:val="00746AC3"/>
    <w:rsid w:val="00746B3F"/>
    <w:rsid w:val="00747117"/>
    <w:rsid w:val="007479C2"/>
    <w:rsid w:val="00747B0D"/>
    <w:rsid w:val="00751452"/>
    <w:rsid w:val="007521A5"/>
    <w:rsid w:val="00752B03"/>
    <w:rsid w:val="00752E99"/>
    <w:rsid w:val="00753959"/>
    <w:rsid w:val="00753DD6"/>
    <w:rsid w:val="00754A4A"/>
    <w:rsid w:val="00755BCF"/>
    <w:rsid w:val="00755F9F"/>
    <w:rsid w:val="007566FB"/>
    <w:rsid w:val="007567A8"/>
    <w:rsid w:val="00756D6A"/>
    <w:rsid w:val="00757054"/>
    <w:rsid w:val="00757EE2"/>
    <w:rsid w:val="0076043F"/>
    <w:rsid w:val="00760F66"/>
    <w:rsid w:val="007611F8"/>
    <w:rsid w:val="00761200"/>
    <w:rsid w:val="00761931"/>
    <w:rsid w:val="00761BD1"/>
    <w:rsid w:val="007627BA"/>
    <w:rsid w:val="0076291E"/>
    <w:rsid w:val="00762C76"/>
    <w:rsid w:val="00762D81"/>
    <w:rsid w:val="0076317B"/>
    <w:rsid w:val="007643D5"/>
    <w:rsid w:val="00764F2A"/>
    <w:rsid w:val="00765366"/>
    <w:rsid w:val="00765914"/>
    <w:rsid w:val="00765AC2"/>
    <w:rsid w:val="0076614D"/>
    <w:rsid w:val="0076624C"/>
    <w:rsid w:val="0076627D"/>
    <w:rsid w:val="00766304"/>
    <w:rsid w:val="0076691C"/>
    <w:rsid w:val="00767A28"/>
    <w:rsid w:val="00767DD2"/>
    <w:rsid w:val="00770264"/>
    <w:rsid w:val="0077082B"/>
    <w:rsid w:val="00770E60"/>
    <w:rsid w:val="007710CB"/>
    <w:rsid w:val="00771324"/>
    <w:rsid w:val="00771C8F"/>
    <w:rsid w:val="0077266E"/>
    <w:rsid w:val="0077292E"/>
    <w:rsid w:val="007737D4"/>
    <w:rsid w:val="007737D8"/>
    <w:rsid w:val="0077391C"/>
    <w:rsid w:val="00773D24"/>
    <w:rsid w:val="00774387"/>
    <w:rsid w:val="00774576"/>
    <w:rsid w:val="007745DA"/>
    <w:rsid w:val="0077508A"/>
    <w:rsid w:val="00775475"/>
    <w:rsid w:val="00775526"/>
    <w:rsid w:val="00775567"/>
    <w:rsid w:val="00775E0D"/>
    <w:rsid w:val="00776343"/>
    <w:rsid w:val="00776416"/>
    <w:rsid w:val="00776C7B"/>
    <w:rsid w:val="00776CEF"/>
    <w:rsid w:val="007774AE"/>
    <w:rsid w:val="00777E7E"/>
    <w:rsid w:val="00777EFA"/>
    <w:rsid w:val="007804DD"/>
    <w:rsid w:val="00780EC1"/>
    <w:rsid w:val="00780F3B"/>
    <w:rsid w:val="0078115B"/>
    <w:rsid w:val="007816EE"/>
    <w:rsid w:val="0078180C"/>
    <w:rsid w:val="00782071"/>
    <w:rsid w:val="00782783"/>
    <w:rsid w:val="00782946"/>
    <w:rsid w:val="00782E6F"/>
    <w:rsid w:val="00782ECD"/>
    <w:rsid w:val="00782F44"/>
    <w:rsid w:val="007830C6"/>
    <w:rsid w:val="0078363B"/>
    <w:rsid w:val="00783CCF"/>
    <w:rsid w:val="00783F5B"/>
    <w:rsid w:val="007842AE"/>
    <w:rsid w:val="00784609"/>
    <w:rsid w:val="00784720"/>
    <w:rsid w:val="0078481D"/>
    <w:rsid w:val="007859FC"/>
    <w:rsid w:val="00785F1E"/>
    <w:rsid w:val="00785F4C"/>
    <w:rsid w:val="0078609C"/>
    <w:rsid w:val="00786355"/>
    <w:rsid w:val="00786932"/>
    <w:rsid w:val="007872D5"/>
    <w:rsid w:val="00787370"/>
    <w:rsid w:val="007874AE"/>
    <w:rsid w:val="0078750B"/>
    <w:rsid w:val="00787F5E"/>
    <w:rsid w:val="0079024D"/>
    <w:rsid w:val="00790925"/>
    <w:rsid w:val="00790EB4"/>
    <w:rsid w:val="00791069"/>
    <w:rsid w:val="007911B8"/>
    <w:rsid w:val="0079129C"/>
    <w:rsid w:val="007917FF"/>
    <w:rsid w:val="00791DAE"/>
    <w:rsid w:val="007930E8"/>
    <w:rsid w:val="00793A57"/>
    <w:rsid w:val="00793A9C"/>
    <w:rsid w:val="00793F28"/>
    <w:rsid w:val="007944D2"/>
    <w:rsid w:val="00794B19"/>
    <w:rsid w:val="00794FFA"/>
    <w:rsid w:val="00795B8D"/>
    <w:rsid w:val="00795E34"/>
    <w:rsid w:val="00795F0E"/>
    <w:rsid w:val="00796168"/>
    <w:rsid w:val="00796495"/>
    <w:rsid w:val="00797063"/>
    <w:rsid w:val="00797D8F"/>
    <w:rsid w:val="007A0AB7"/>
    <w:rsid w:val="007A0C00"/>
    <w:rsid w:val="007A0E15"/>
    <w:rsid w:val="007A176E"/>
    <w:rsid w:val="007A19BF"/>
    <w:rsid w:val="007A2A69"/>
    <w:rsid w:val="007A2CF1"/>
    <w:rsid w:val="007A384E"/>
    <w:rsid w:val="007A41B5"/>
    <w:rsid w:val="007A4486"/>
    <w:rsid w:val="007A4682"/>
    <w:rsid w:val="007A4F27"/>
    <w:rsid w:val="007A5879"/>
    <w:rsid w:val="007A58A8"/>
    <w:rsid w:val="007A5BDC"/>
    <w:rsid w:val="007A6047"/>
    <w:rsid w:val="007A629D"/>
    <w:rsid w:val="007A6610"/>
    <w:rsid w:val="007A6D51"/>
    <w:rsid w:val="007A6DD3"/>
    <w:rsid w:val="007A6FF3"/>
    <w:rsid w:val="007A7169"/>
    <w:rsid w:val="007A71DC"/>
    <w:rsid w:val="007A7A04"/>
    <w:rsid w:val="007B04FF"/>
    <w:rsid w:val="007B0976"/>
    <w:rsid w:val="007B0CAC"/>
    <w:rsid w:val="007B15F3"/>
    <w:rsid w:val="007B1701"/>
    <w:rsid w:val="007B1C32"/>
    <w:rsid w:val="007B1DBB"/>
    <w:rsid w:val="007B2319"/>
    <w:rsid w:val="007B2FBF"/>
    <w:rsid w:val="007B35FE"/>
    <w:rsid w:val="007B3E13"/>
    <w:rsid w:val="007B4044"/>
    <w:rsid w:val="007B4046"/>
    <w:rsid w:val="007B4300"/>
    <w:rsid w:val="007B4FED"/>
    <w:rsid w:val="007B565C"/>
    <w:rsid w:val="007B595F"/>
    <w:rsid w:val="007B5B7E"/>
    <w:rsid w:val="007B5D75"/>
    <w:rsid w:val="007B5EA7"/>
    <w:rsid w:val="007B6D5E"/>
    <w:rsid w:val="007B7115"/>
    <w:rsid w:val="007B736B"/>
    <w:rsid w:val="007B78AD"/>
    <w:rsid w:val="007B79BE"/>
    <w:rsid w:val="007B7AE1"/>
    <w:rsid w:val="007C012E"/>
    <w:rsid w:val="007C055A"/>
    <w:rsid w:val="007C0853"/>
    <w:rsid w:val="007C0C90"/>
    <w:rsid w:val="007C0E07"/>
    <w:rsid w:val="007C0E86"/>
    <w:rsid w:val="007C192C"/>
    <w:rsid w:val="007C249E"/>
    <w:rsid w:val="007C26CF"/>
    <w:rsid w:val="007C271B"/>
    <w:rsid w:val="007C2C14"/>
    <w:rsid w:val="007C39F1"/>
    <w:rsid w:val="007C3A55"/>
    <w:rsid w:val="007C404B"/>
    <w:rsid w:val="007C4166"/>
    <w:rsid w:val="007C44E1"/>
    <w:rsid w:val="007C48DD"/>
    <w:rsid w:val="007C4A05"/>
    <w:rsid w:val="007C5711"/>
    <w:rsid w:val="007C57B9"/>
    <w:rsid w:val="007C6325"/>
    <w:rsid w:val="007C73A3"/>
    <w:rsid w:val="007C7975"/>
    <w:rsid w:val="007C7EF5"/>
    <w:rsid w:val="007D06AC"/>
    <w:rsid w:val="007D0741"/>
    <w:rsid w:val="007D0997"/>
    <w:rsid w:val="007D0A53"/>
    <w:rsid w:val="007D0FFC"/>
    <w:rsid w:val="007D1013"/>
    <w:rsid w:val="007D1933"/>
    <w:rsid w:val="007D19EC"/>
    <w:rsid w:val="007D2608"/>
    <w:rsid w:val="007D30C3"/>
    <w:rsid w:val="007D316C"/>
    <w:rsid w:val="007D35AC"/>
    <w:rsid w:val="007D36B1"/>
    <w:rsid w:val="007D36D7"/>
    <w:rsid w:val="007D3BA1"/>
    <w:rsid w:val="007D3EC8"/>
    <w:rsid w:val="007D40AC"/>
    <w:rsid w:val="007D4317"/>
    <w:rsid w:val="007D4C12"/>
    <w:rsid w:val="007D555C"/>
    <w:rsid w:val="007D57E0"/>
    <w:rsid w:val="007D5946"/>
    <w:rsid w:val="007D5962"/>
    <w:rsid w:val="007D5A2B"/>
    <w:rsid w:val="007D6213"/>
    <w:rsid w:val="007D63B2"/>
    <w:rsid w:val="007D651D"/>
    <w:rsid w:val="007D69E5"/>
    <w:rsid w:val="007D6F49"/>
    <w:rsid w:val="007D71B7"/>
    <w:rsid w:val="007D7C66"/>
    <w:rsid w:val="007D7CF3"/>
    <w:rsid w:val="007E0274"/>
    <w:rsid w:val="007E02A7"/>
    <w:rsid w:val="007E0415"/>
    <w:rsid w:val="007E0991"/>
    <w:rsid w:val="007E0AFE"/>
    <w:rsid w:val="007E0B2C"/>
    <w:rsid w:val="007E0BD1"/>
    <w:rsid w:val="007E107F"/>
    <w:rsid w:val="007E2FD7"/>
    <w:rsid w:val="007E310B"/>
    <w:rsid w:val="007E32A5"/>
    <w:rsid w:val="007E38DA"/>
    <w:rsid w:val="007E3D65"/>
    <w:rsid w:val="007E3EE2"/>
    <w:rsid w:val="007E47E7"/>
    <w:rsid w:val="007E4A68"/>
    <w:rsid w:val="007E4A98"/>
    <w:rsid w:val="007E4EB6"/>
    <w:rsid w:val="007E5912"/>
    <w:rsid w:val="007E5DD7"/>
    <w:rsid w:val="007E6FB9"/>
    <w:rsid w:val="007E7139"/>
    <w:rsid w:val="007E7366"/>
    <w:rsid w:val="007E7EA1"/>
    <w:rsid w:val="007E7EA4"/>
    <w:rsid w:val="007E7EBC"/>
    <w:rsid w:val="007F03CE"/>
    <w:rsid w:val="007F04D3"/>
    <w:rsid w:val="007F0DEE"/>
    <w:rsid w:val="007F137D"/>
    <w:rsid w:val="007F165A"/>
    <w:rsid w:val="007F17B5"/>
    <w:rsid w:val="007F20E8"/>
    <w:rsid w:val="007F245F"/>
    <w:rsid w:val="007F2569"/>
    <w:rsid w:val="007F25D5"/>
    <w:rsid w:val="007F2D8D"/>
    <w:rsid w:val="007F2EBF"/>
    <w:rsid w:val="007F2F23"/>
    <w:rsid w:val="007F3044"/>
    <w:rsid w:val="007F3249"/>
    <w:rsid w:val="007F3448"/>
    <w:rsid w:val="007F3704"/>
    <w:rsid w:val="007F4464"/>
    <w:rsid w:val="007F4657"/>
    <w:rsid w:val="007F482E"/>
    <w:rsid w:val="007F5609"/>
    <w:rsid w:val="007F5625"/>
    <w:rsid w:val="007F568A"/>
    <w:rsid w:val="007F59F7"/>
    <w:rsid w:val="007F5E21"/>
    <w:rsid w:val="007F6413"/>
    <w:rsid w:val="007F6519"/>
    <w:rsid w:val="007F6761"/>
    <w:rsid w:val="007F676E"/>
    <w:rsid w:val="007F6B11"/>
    <w:rsid w:val="007F6E2B"/>
    <w:rsid w:val="007F786F"/>
    <w:rsid w:val="007F7B6C"/>
    <w:rsid w:val="007F7D12"/>
    <w:rsid w:val="007F7EDC"/>
    <w:rsid w:val="007F7F02"/>
    <w:rsid w:val="00800258"/>
    <w:rsid w:val="00800C97"/>
    <w:rsid w:val="0080153D"/>
    <w:rsid w:val="0080220F"/>
    <w:rsid w:val="008026A7"/>
    <w:rsid w:val="00802735"/>
    <w:rsid w:val="008028C2"/>
    <w:rsid w:val="00802DDB"/>
    <w:rsid w:val="0080379D"/>
    <w:rsid w:val="008037D8"/>
    <w:rsid w:val="00803B7E"/>
    <w:rsid w:val="00803DA6"/>
    <w:rsid w:val="008040D9"/>
    <w:rsid w:val="0080436E"/>
    <w:rsid w:val="00804937"/>
    <w:rsid w:val="00804E1E"/>
    <w:rsid w:val="00804E43"/>
    <w:rsid w:val="008050F5"/>
    <w:rsid w:val="0080519C"/>
    <w:rsid w:val="0080553F"/>
    <w:rsid w:val="008059C3"/>
    <w:rsid w:val="00805E48"/>
    <w:rsid w:val="00806E84"/>
    <w:rsid w:val="00807ADD"/>
    <w:rsid w:val="00810BC2"/>
    <w:rsid w:val="00811683"/>
    <w:rsid w:val="00811AFF"/>
    <w:rsid w:val="00812024"/>
    <w:rsid w:val="00812373"/>
    <w:rsid w:val="00812D30"/>
    <w:rsid w:val="00813A4F"/>
    <w:rsid w:val="00813F3A"/>
    <w:rsid w:val="008140E8"/>
    <w:rsid w:val="008146D8"/>
    <w:rsid w:val="008148D4"/>
    <w:rsid w:val="0081491F"/>
    <w:rsid w:val="00814941"/>
    <w:rsid w:val="00814A65"/>
    <w:rsid w:val="00814BD9"/>
    <w:rsid w:val="00814D72"/>
    <w:rsid w:val="008158AC"/>
    <w:rsid w:val="00815D3A"/>
    <w:rsid w:val="00815E41"/>
    <w:rsid w:val="008160DF"/>
    <w:rsid w:val="0081612D"/>
    <w:rsid w:val="00816805"/>
    <w:rsid w:val="00816BE8"/>
    <w:rsid w:val="00816CD5"/>
    <w:rsid w:val="00816DBD"/>
    <w:rsid w:val="00816FE2"/>
    <w:rsid w:val="00817062"/>
    <w:rsid w:val="00817991"/>
    <w:rsid w:val="00817F58"/>
    <w:rsid w:val="008203C5"/>
    <w:rsid w:val="0082045D"/>
    <w:rsid w:val="0082046A"/>
    <w:rsid w:val="00820B20"/>
    <w:rsid w:val="00820B84"/>
    <w:rsid w:val="00820D84"/>
    <w:rsid w:val="0082199B"/>
    <w:rsid w:val="00821C2A"/>
    <w:rsid w:val="008227B7"/>
    <w:rsid w:val="008232F6"/>
    <w:rsid w:val="00823D9C"/>
    <w:rsid w:val="008243A8"/>
    <w:rsid w:val="00824925"/>
    <w:rsid w:val="00824C8B"/>
    <w:rsid w:val="008252E8"/>
    <w:rsid w:val="00825BA8"/>
    <w:rsid w:val="00825C14"/>
    <w:rsid w:val="0082641D"/>
    <w:rsid w:val="008266D7"/>
    <w:rsid w:val="008267CA"/>
    <w:rsid w:val="00826E45"/>
    <w:rsid w:val="008270EE"/>
    <w:rsid w:val="0082722B"/>
    <w:rsid w:val="0082745B"/>
    <w:rsid w:val="00827C1B"/>
    <w:rsid w:val="0083016B"/>
    <w:rsid w:val="008301F1"/>
    <w:rsid w:val="00830C0E"/>
    <w:rsid w:val="008313E0"/>
    <w:rsid w:val="008317EC"/>
    <w:rsid w:val="00831805"/>
    <w:rsid w:val="0083195D"/>
    <w:rsid w:val="00831B7B"/>
    <w:rsid w:val="00831D90"/>
    <w:rsid w:val="008324F3"/>
    <w:rsid w:val="00832691"/>
    <w:rsid w:val="0083296B"/>
    <w:rsid w:val="00832B8A"/>
    <w:rsid w:val="0083300F"/>
    <w:rsid w:val="008331D4"/>
    <w:rsid w:val="00833547"/>
    <w:rsid w:val="008337D3"/>
    <w:rsid w:val="00833852"/>
    <w:rsid w:val="00833AB9"/>
    <w:rsid w:val="00833B62"/>
    <w:rsid w:val="008341FB"/>
    <w:rsid w:val="00834820"/>
    <w:rsid w:val="00834C82"/>
    <w:rsid w:val="00834DB6"/>
    <w:rsid w:val="00834F93"/>
    <w:rsid w:val="00834FA5"/>
    <w:rsid w:val="00835F6D"/>
    <w:rsid w:val="008375DA"/>
    <w:rsid w:val="00840C4A"/>
    <w:rsid w:val="008411B9"/>
    <w:rsid w:val="0084122F"/>
    <w:rsid w:val="00841325"/>
    <w:rsid w:val="00841573"/>
    <w:rsid w:val="00841D08"/>
    <w:rsid w:val="00842606"/>
    <w:rsid w:val="00842D43"/>
    <w:rsid w:val="00842F64"/>
    <w:rsid w:val="00843108"/>
    <w:rsid w:val="0084323E"/>
    <w:rsid w:val="008432A5"/>
    <w:rsid w:val="0084399E"/>
    <w:rsid w:val="00843D50"/>
    <w:rsid w:val="008441D9"/>
    <w:rsid w:val="0084464E"/>
    <w:rsid w:val="008455E6"/>
    <w:rsid w:val="008458BF"/>
    <w:rsid w:val="00846262"/>
    <w:rsid w:val="00846370"/>
    <w:rsid w:val="008463E8"/>
    <w:rsid w:val="00847665"/>
    <w:rsid w:val="00847BC5"/>
    <w:rsid w:val="00847F11"/>
    <w:rsid w:val="00850010"/>
    <w:rsid w:val="008503F4"/>
    <w:rsid w:val="008504A0"/>
    <w:rsid w:val="00850AC1"/>
    <w:rsid w:val="00850C2A"/>
    <w:rsid w:val="00850CFF"/>
    <w:rsid w:val="00850DFA"/>
    <w:rsid w:val="00851331"/>
    <w:rsid w:val="008516D1"/>
    <w:rsid w:val="00852003"/>
    <w:rsid w:val="0085212C"/>
    <w:rsid w:val="00852988"/>
    <w:rsid w:val="00852F9E"/>
    <w:rsid w:val="00854053"/>
    <w:rsid w:val="008543AC"/>
    <w:rsid w:val="008548B8"/>
    <w:rsid w:val="00854965"/>
    <w:rsid w:val="00855298"/>
    <w:rsid w:val="008554D1"/>
    <w:rsid w:val="008558E0"/>
    <w:rsid w:val="008569E0"/>
    <w:rsid w:val="008572BA"/>
    <w:rsid w:val="00857AF7"/>
    <w:rsid w:val="00857BE5"/>
    <w:rsid w:val="00860109"/>
    <w:rsid w:val="008601BD"/>
    <w:rsid w:val="00860359"/>
    <w:rsid w:val="00860E43"/>
    <w:rsid w:val="00861252"/>
    <w:rsid w:val="0086171A"/>
    <w:rsid w:val="0086226C"/>
    <w:rsid w:val="00862553"/>
    <w:rsid w:val="00863237"/>
    <w:rsid w:val="00863C07"/>
    <w:rsid w:val="00863E55"/>
    <w:rsid w:val="008640B7"/>
    <w:rsid w:val="008644A4"/>
    <w:rsid w:val="00864A6C"/>
    <w:rsid w:val="00864BB1"/>
    <w:rsid w:val="00864DF7"/>
    <w:rsid w:val="00865278"/>
    <w:rsid w:val="008654F9"/>
    <w:rsid w:val="008658C0"/>
    <w:rsid w:val="008660F7"/>
    <w:rsid w:val="00866388"/>
    <w:rsid w:val="0086644B"/>
    <w:rsid w:val="008664EB"/>
    <w:rsid w:val="0086659D"/>
    <w:rsid w:val="00866FE3"/>
    <w:rsid w:val="0086722D"/>
    <w:rsid w:val="008677FB"/>
    <w:rsid w:val="00867AD8"/>
    <w:rsid w:val="00867D56"/>
    <w:rsid w:val="00867D70"/>
    <w:rsid w:val="00870646"/>
    <w:rsid w:val="008706C3"/>
    <w:rsid w:val="00870BAA"/>
    <w:rsid w:val="00870D91"/>
    <w:rsid w:val="008716D1"/>
    <w:rsid w:val="008716ED"/>
    <w:rsid w:val="008717C8"/>
    <w:rsid w:val="008718AD"/>
    <w:rsid w:val="0087193F"/>
    <w:rsid w:val="00871DFB"/>
    <w:rsid w:val="008724E6"/>
    <w:rsid w:val="008728C8"/>
    <w:rsid w:val="0087313D"/>
    <w:rsid w:val="00873205"/>
    <w:rsid w:val="00873301"/>
    <w:rsid w:val="008735E8"/>
    <w:rsid w:val="0087377E"/>
    <w:rsid w:val="00874594"/>
    <w:rsid w:val="00874776"/>
    <w:rsid w:val="0087485D"/>
    <w:rsid w:val="0087487C"/>
    <w:rsid w:val="00874A07"/>
    <w:rsid w:val="00874B75"/>
    <w:rsid w:val="00875007"/>
    <w:rsid w:val="008750DB"/>
    <w:rsid w:val="008751B4"/>
    <w:rsid w:val="0087527F"/>
    <w:rsid w:val="0087535E"/>
    <w:rsid w:val="00875370"/>
    <w:rsid w:val="008754B5"/>
    <w:rsid w:val="00875AF3"/>
    <w:rsid w:val="0087646D"/>
    <w:rsid w:val="008765E9"/>
    <w:rsid w:val="00876605"/>
    <w:rsid w:val="00876B13"/>
    <w:rsid w:val="008774FF"/>
    <w:rsid w:val="00880017"/>
    <w:rsid w:val="00880305"/>
    <w:rsid w:val="0088088A"/>
    <w:rsid w:val="00880A3F"/>
    <w:rsid w:val="00880EE2"/>
    <w:rsid w:val="008813BC"/>
    <w:rsid w:val="00881732"/>
    <w:rsid w:val="008818A2"/>
    <w:rsid w:val="00881FF9"/>
    <w:rsid w:val="0088213D"/>
    <w:rsid w:val="008821C6"/>
    <w:rsid w:val="0088243D"/>
    <w:rsid w:val="0088251A"/>
    <w:rsid w:val="00882D28"/>
    <w:rsid w:val="00883A67"/>
    <w:rsid w:val="00883CBF"/>
    <w:rsid w:val="00883FA9"/>
    <w:rsid w:val="008848E9"/>
    <w:rsid w:val="00884FD8"/>
    <w:rsid w:val="00885209"/>
    <w:rsid w:val="00885244"/>
    <w:rsid w:val="00885282"/>
    <w:rsid w:val="008857C7"/>
    <w:rsid w:val="008858B3"/>
    <w:rsid w:val="00885BF6"/>
    <w:rsid w:val="008866CF"/>
    <w:rsid w:val="00886782"/>
    <w:rsid w:val="0088682A"/>
    <w:rsid w:val="008869A1"/>
    <w:rsid w:val="00886B3F"/>
    <w:rsid w:val="0088727A"/>
    <w:rsid w:val="00887964"/>
    <w:rsid w:val="00887B10"/>
    <w:rsid w:val="0089015D"/>
    <w:rsid w:val="0089021A"/>
    <w:rsid w:val="0089022E"/>
    <w:rsid w:val="00890475"/>
    <w:rsid w:val="00890A7C"/>
    <w:rsid w:val="00890D11"/>
    <w:rsid w:val="008910EE"/>
    <w:rsid w:val="00891A26"/>
    <w:rsid w:val="008923F8"/>
    <w:rsid w:val="008928F1"/>
    <w:rsid w:val="00892BBF"/>
    <w:rsid w:val="00892DB5"/>
    <w:rsid w:val="008930AF"/>
    <w:rsid w:val="00893F27"/>
    <w:rsid w:val="008942BD"/>
    <w:rsid w:val="0089478A"/>
    <w:rsid w:val="0089480A"/>
    <w:rsid w:val="00894FE5"/>
    <w:rsid w:val="00895658"/>
    <w:rsid w:val="008956DA"/>
    <w:rsid w:val="00895BA9"/>
    <w:rsid w:val="00895D79"/>
    <w:rsid w:val="0089601B"/>
    <w:rsid w:val="00896348"/>
    <w:rsid w:val="0089647F"/>
    <w:rsid w:val="0089655D"/>
    <w:rsid w:val="00896784"/>
    <w:rsid w:val="00896C56"/>
    <w:rsid w:val="00897051"/>
    <w:rsid w:val="00897824"/>
    <w:rsid w:val="00897BCB"/>
    <w:rsid w:val="00897C07"/>
    <w:rsid w:val="00897DBA"/>
    <w:rsid w:val="008A016F"/>
    <w:rsid w:val="008A0219"/>
    <w:rsid w:val="008A02FA"/>
    <w:rsid w:val="008A06A8"/>
    <w:rsid w:val="008A0E81"/>
    <w:rsid w:val="008A1AAC"/>
    <w:rsid w:val="008A20CA"/>
    <w:rsid w:val="008A239B"/>
    <w:rsid w:val="008A2505"/>
    <w:rsid w:val="008A2956"/>
    <w:rsid w:val="008A2EA1"/>
    <w:rsid w:val="008A2EF6"/>
    <w:rsid w:val="008A3480"/>
    <w:rsid w:val="008A3642"/>
    <w:rsid w:val="008A4F3C"/>
    <w:rsid w:val="008A51AD"/>
    <w:rsid w:val="008A53BA"/>
    <w:rsid w:val="008A551D"/>
    <w:rsid w:val="008A56BA"/>
    <w:rsid w:val="008A570A"/>
    <w:rsid w:val="008A58E4"/>
    <w:rsid w:val="008A58E7"/>
    <w:rsid w:val="008A5C1D"/>
    <w:rsid w:val="008A615A"/>
    <w:rsid w:val="008A6357"/>
    <w:rsid w:val="008A637B"/>
    <w:rsid w:val="008A650C"/>
    <w:rsid w:val="008A6A36"/>
    <w:rsid w:val="008A6CB9"/>
    <w:rsid w:val="008A6DC1"/>
    <w:rsid w:val="008A7083"/>
    <w:rsid w:val="008A7100"/>
    <w:rsid w:val="008A7139"/>
    <w:rsid w:val="008A776D"/>
    <w:rsid w:val="008A7C74"/>
    <w:rsid w:val="008B03BD"/>
    <w:rsid w:val="008B04C0"/>
    <w:rsid w:val="008B09E1"/>
    <w:rsid w:val="008B0A83"/>
    <w:rsid w:val="008B0DCF"/>
    <w:rsid w:val="008B0E93"/>
    <w:rsid w:val="008B0F8D"/>
    <w:rsid w:val="008B198D"/>
    <w:rsid w:val="008B2269"/>
    <w:rsid w:val="008B23A8"/>
    <w:rsid w:val="008B29A4"/>
    <w:rsid w:val="008B2BB4"/>
    <w:rsid w:val="008B2C30"/>
    <w:rsid w:val="008B3A74"/>
    <w:rsid w:val="008B3C2B"/>
    <w:rsid w:val="008B3EFE"/>
    <w:rsid w:val="008B4679"/>
    <w:rsid w:val="008B4D00"/>
    <w:rsid w:val="008B4D13"/>
    <w:rsid w:val="008B4E78"/>
    <w:rsid w:val="008B4FE2"/>
    <w:rsid w:val="008B503D"/>
    <w:rsid w:val="008B5179"/>
    <w:rsid w:val="008B61A1"/>
    <w:rsid w:val="008B66D8"/>
    <w:rsid w:val="008B66EE"/>
    <w:rsid w:val="008B6793"/>
    <w:rsid w:val="008B6868"/>
    <w:rsid w:val="008B6E62"/>
    <w:rsid w:val="008B6E87"/>
    <w:rsid w:val="008B75C2"/>
    <w:rsid w:val="008B787A"/>
    <w:rsid w:val="008C0A89"/>
    <w:rsid w:val="008C0AA9"/>
    <w:rsid w:val="008C0E71"/>
    <w:rsid w:val="008C1852"/>
    <w:rsid w:val="008C2CFF"/>
    <w:rsid w:val="008C2E1E"/>
    <w:rsid w:val="008C2E22"/>
    <w:rsid w:val="008C2ED2"/>
    <w:rsid w:val="008C3612"/>
    <w:rsid w:val="008C38FE"/>
    <w:rsid w:val="008C3D4D"/>
    <w:rsid w:val="008C3DB0"/>
    <w:rsid w:val="008C4026"/>
    <w:rsid w:val="008C417E"/>
    <w:rsid w:val="008C4E31"/>
    <w:rsid w:val="008C5B51"/>
    <w:rsid w:val="008C5F0A"/>
    <w:rsid w:val="008C6105"/>
    <w:rsid w:val="008C6124"/>
    <w:rsid w:val="008C6334"/>
    <w:rsid w:val="008C66BD"/>
    <w:rsid w:val="008C68D6"/>
    <w:rsid w:val="008C6968"/>
    <w:rsid w:val="008C742A"/>
    <w:rsid w:val="008C74C7"/>
    <w:rsid w:val="008C7714"/>
    <w:rsid w:val="008C7F4F"/>
    <w:rsid w:val="008D00F3"/>
    <w:rsid w:val="008D0241"/>
    <w:rsid w:val="008D0B34"/>
    <w:rsid w:val="008D0F27"/>
    <w:rsid w:val="008D11A2"/>
    <w:rsid w:val="008D11F0"/>
    <w:rsid w:val="008D15A2"/>
    <w:rsid w:val="008D18CD"/>
    <w:rsid w:val="008D1A16"/>
    <w:rsid w:val="008D1F86"/>
    <w:rsid w:val="008D20E0"/>
    <w:rsid w:val="008D2B6E"/>
    <w:rsid w:val="008D335C"/>
    <w:rsid w:val="008D35B7"/>
    <w:rsid w:val="008D4007"/>
    <w:rsid w:val="008D436A"/>
    <w:rsid w:val="008D49AB"/>
    <w:rsid w:val="008D4C72"/>
    <w:rsid w:val="008D4CF8"/>
    <w:rsid w:val="008D4D6B"/>
    <w:rsid w:val="008D5246"/>
    <w:rsid w:val="008D5291"/>
    <w:rsid w:val="008D5368"/>
    <w:rsid w:val="008D561B"/>
    <w:rsid w:val="008D582B"/>
    <w:rsid w:val="008D5CF9"/>
    <w:rsid w:val="008D5D0A"/>
    <w:rsid w:val="008D6199"/>
    <w:rsid w:val="008D64B9"/>
    <w:rsid w:val="008D6794"/>
    <w:rsid w:val="008D77A6"/>
    <w:rsid w:val="008D7F65"/>
    <w:rsid w:val="008E0178"/>
    <w:rsid w:val="008E02F8"/>
    <w:rsid w:val="008E0557"/>
    <w:rsid w:val="008E12AF"/>
    <w:rsid w:val="008E1311"/>
    <w:rsid w:val="008E1342"/>
    <w:rsid w:val="008E1A49"/>
    <w:rsid w:val="008E1C73"/>
    <w:rsid w:val="008E1DC9"/>
    <w:rsid w:val="008E211C"/>
    <w:rsid w:val="008E23F9"/>
    <w:rsid w:val="008E28EC"/>
    <w:rsid w:val="008E2BB3"/>
    <w:rsid w:val="008E2BC5"/>
    <w:rsid w:val="008E2C79"/>
    <w:rsid w:val="008E3176"/>
    <w:rsid w:val="008E3564"/>
    <w:rsid w:val="008E378C"/>
    <w:rsid w:val="008E3A0B"/>
    <w:rsid w:val="008E3A90"/>
    <w:rsid w:val="008E3AAB"/>
    <w:rsid w:val="008E3F34"/>
    <w:rsid w:val="008E4043"/>
    <w:rsid w:val="008E4520"/>
    <w:rsid w:val="008E4D3D"/>
    <w:rsid w:val="008E54E8"/>
    <w:rsid w:val="008E5740"/>
    <w:rsid w:val="008E5868"/>
    <w:rsid w:val="008E5ADB"/>
    <w:rsid w:val="008E5DC8"/>
    <w:rsid w:val="008E5EAD"/>
    <w:rsid w:val="008E6465"/>
    <w:rsid w:val="008E6AB8"/>
    <w:rsid w:val="008E6C57"/>
    <w:rsid w:val="008E7082"/>
    <w:rsid w:val="008E72AF"/>
    <w:rsid w:val="008F0952"/>
    <w:rsid w:val="008F1154"/>
    <w:rsid w:val="008F1B84"/>
    <w:rsid w:val="008F1B9D"/>
    <w:rsid w:val="008F1DB6"/>
    <w:rsid w:val="008F337C"/>
    <w:rsid w:val="008F33FB"/>
    <w:rsid w:val="008F39C0"/>
    <w:rsid w:val="008F39E4"/>
    <w:rsid w:val="008F3A94"/>
    <w:rsid w:val="008F44F4"/>
    <w:rsid w:val="008F51F0"/>
    <w:rsid w:val="008F57CD"/>
    <w:rsid w:val="008F5960"/>
    <w:rsid w:val="008F5CD0"/>
    <w:rsid w:val="008F629A"/>
    <w:rsid w:val="008F62B4"/>
    <w:rsid w:val="008F667F"/>
    <w:rsid w:val="008F6A9B"/>
    <w:rsid w:val="008F6F03"/>
    <w:rsid w:val="008F7603"/>
    <w:rsid w:val="008F769D"/>
    <w:rsid w:val="008F76B7"/>
    <w:rsid w:val="008F76DC"/>
    <w:rsid w:val="008F793D"/>
    <w:rsid w:val="008F7D2F"/>
    <w:rsid w:val="008F7E68"/>
    <w:rsid w:val="009013C5"/>
    <w:rsid w:val="0090147B"/>
    <w:rsid w:val="00901649"/>
    <w:rsid w:val="00901CBA"/>
    <w:rsid w:val="00901CF1"/>
    <w:rsid w:val="00901DC6"/>
    <w:rsid w:val="009021DC"/>
    <w:rsid w:val="00902240"/>
    <w:rsid w:val="009025E1"/>
    <w:rsid w:val="00902EFD"/>
    <w:rsid w:val="00903026"/>
    <w:rsid w:val="0090357B"/>
    <w:rsid w:val="00903832"/>
    <w:rsid w:val="00903905"/>
    <w:rsid w:val="009042D0"/>
    <w:rsid w:val="009044BE"/>
    <w:rsid w:val="009048EB"/>
    <w:rsid w:val="00904913"/>
    <w:rsid w:val="00904C15"/>
    <w:rsid w:val="009050B3"/>
    <w:rsid w:val="00905298"/>
    <w:rsid w:val="00905945"/>
    <w:rsid w:val="00905FEB"/>
    <w:rsid w:val="00906164"/>
    <w:rsid w:val="00906252"/>
    <w:rsid w:val="0090672E"/>
    <w:rsid w:val="00906A4F"/>
    <w:rsid w:val="00906BD6"/>
    <w:rsid w:val="00907074"/>
    <w:rsid w:val="009073C7"/>
    <w:rsid w:val="00907868"/>
    <w:rsid w:val="009078BA"/>
    <w:rsid w:val="009079C7"/>
    <w:rsid w:val="009079F7"/>
    <w:rsid w:val="00907B44"/>
    <w:rsid w:val="00907C33"/>
    <w:rsid w:val="00907C8A"/>
    <w:rsid w:val="009108D2"/>
    <w:rsid w:val="00910C20"/>
    <w:rsid w:val="00910FE1"/>
    <w:rsid w:val="0091106A"/>
    <w:rsid w:val="00911C09"/>
    <w:rsid w:val="00911D1C"/>
    <w:rsid w:val="00912F38"/>
    <w:rsid w:val="0091340D"/>
    <w:rsid w:val="00913C58"/>
    <w:rsid w:val="009140B4"/>
    <w:rsid w:val="00914174"/>
    <w:rsid w:val="0091428A"/>
    <w:rsid w:val="009143AF"/>
    <w:rsid w:val="00914733"/>
    <w:rsid w:val="0091495E"/>
    <w:rsid w:val="00914AA5"/>
    <w:rsid w:val="00914EAF"/>
    <w:rsid w:val="00915428"/>
    <w:rsid w:val="00915E20"/>
    <w:rsid w:val="009162DD"/>
    <w:rsid w:val="009163E7"/>
    <w:rsid w:val="0091670A"/>
    <w:rsid w:val="0091671A"/>
    <w:rsid w:val="009169F6"/>
    <w:rsid w:val="0091719D"/>
    <w:rsid w:val="00917903"/>
    <w:rsid w:val="00917BEA"/>
    <w:rsid w:val="00920189"/>
    <w:rsid w:val="00920203"/>
    <w:rsid w:val="00920997"/>
    <w:rsid w:val="00920B1E"/>
    <w:rsid w:val="00920DD5"/>
    <w:rsid w:val="00921161"/>
    <w:rsid w:val="00921228"/>
    <w:rsid w:val="00922492"/>
    <w:rsid w:val="009224EB"/>
    <w:rsid w:val="0092272F"/>
    <w:rsid w:val="00922BE2"/>
    <w:rsid w:val="00922EDE"/>
    <w:rsid w:val="009237D9"/>
    <w:rsid w:val="0092406C"/>
    <w:rsid w:val="00924096"/>
    <w:rsid w:val="009242B9"/>
    <w:rsid w:val="009243BC"/>
    <w:rsid w:val="009244D5"/>
    <w:rsid w:val="00924503"/>
    <w:rsid w:val="00924FFC"/>
    <w:rsid w:val="0092523A"/>
    <w:rsid w:val="009252F1"/>
    <w:rsid w:val="00925588"/>
    <w:rsid w:val="00925733"/>
    <w:rsid w:val="00925AF5"/>
    <w:rsid w:val="00926268"/>
    <w:rsid w:val="009264A2"/>
    <w:rsid w:val="0092715D"/>
    <w:rsid w:val="00927299"/>
    <w:rsid w:val="0092755B"/>
    <w:rsid w:val="009302E9"/>
    <w:rsid w:val="00930632"/>
    <w:rsid w:val="00930850"/>
    <w:rsid w:val="00930AD7"/>
    <w:rsid w:val="009310BC"/>
    <w:rsid w:val="00931AB7"/>
    <w:rsid w:val="00931D3F"/>
    <w:rsid w:val="00931FEE"/>
    <w:rsid w:val="009324C4"/>
    <w:rsid w:val="00932671"/>
    <w:rsid w:val="00932A7A"/>
    <w:rsid w:val="00932BFC"/>
    <w:rsid w:val="00932D26"/>
    <w:rsid w:val="009330BF"/>
    <w:rsid w:val="009333ED"/>
    <w:rsid w:val="00933817"/>
    <w:rsid w:val="009340EB"/>
    <w:rsid w:val="00934510"/>
    <w:rsid w:val="0093476C"/>
    <w:rsid w:val="00935A1E"/>
    <w:rsid w:val="00935AA3"/>
    <w:rsid w:val="00935B7C"/>
    <w:rsid w:val="00935CBC"/>
    <w:rsid w:val="00935E3A"/>
    <w:rsid w:val="00936005"/>
    <w:rsid w:val="0093607C"/>
    <w:rsid w:val="00936164"/>
    <w:rsid w:val="009366EC"/>
    <w:rsid w:val="00940008"/>
    <w:rsid w:val="009401CC"/>
    <w:rsid w:val="00940FFA"/>
    <w:rsid w:val="00941010"/>
    <w:rsid w:val="00941503"/>
    <w:rsid w:val="0094187D"/>
    <w:rsid w:val="009423ED"/>
    <w:rsid w:val="009425E1"/>
    <w:rsid w:val="0094263C"/>
    <w:rsid w:val="00942C90"/>
    <w:rsid w:val="00942F29"/>
    <w:rsid w:val="00942FB6"/>
    <w:rsid w:val="009430E1"/>
    <w:rsid w:val="009434EB"/>
    <w:rsid w:val="00943EA6"/>
    <w:rsid w:val="009443F2"/>
    <w:rsid w:val="009448F2"/>
    <w:rsid w:val="009451E0"/>
    <w:rsid w:val="0094524B"/>
    <w:rsid w:val="009456E3"/>
    <w:rsid w:val="00945759"/>
    <w:rsid w:val="00945925"/>
    <w:rsid w:val="00945A90"/>
    <w:rsid w:val="009466E9"/>
    <w:rsid w:val="00946CB3"/>
    <w:rsid w:val="00946D20"/>
    <w:rsid w:val="00946E51"/>
    <w:rsid w:val="009473F4"/>
    <w:rsid w:val="0094767D"/>
    <w:rsid w:val="00950231"/>
    <w:rsid w:val="00950794"/>
    <w:rsid w:val="009507AA"/>
    <w:rsid w:val="009509EF"/>
    <w:rsid w:val="009511AE"/>
    <w:rsid w:val="009513F5"/>
    <w:rsid w:val="009515CA"/>
    <w:rsid w:val="00951691"/>
    <w:rsid w:val="00951ABF"/>
    <w:rsid w:val="00951FCE"/>
    <w:rsid w:val="009521CC"/>
    <w:rsid w:val="0095226C"/>
    <w:rsid w:val="00952373"/>
    <w:rsid w:val="0095269B"/>
    <w:rsid w:val="00952C05"/>
    <w:rsid w:val="00952D52"/>
    <w:rsid w:val="00954000"/>
    <w:rsid w:val="009540B7"/>
    <w:rsid w:val="009543D0"/>
    <w:rsid w:val="00954AF9"/>
    <w:rsid w:val="00954DAE"/>
    <w:rsid w:val="00955410"/>
    <w:rsid w:val="009558EE"/>
    <w:rsid w:val="009559D5"/>
    <w:rsid w:val="00955C17"/>
    <w:rsid w:val="00955FFA"/>
    <w:rsid w:val="00956170"/>
    <w:rsid w:val="009561F8"/>
    <w:rsid w:val="00956BA1"/>
    <w:rsid w:val="00956D42"/>
    <w:rsid w:val="00956F0F"/>
    <w:rsid w:val="0095727F"/>
    <w:rsid w:val="009572AF"/>
    <w:rsid w:val="00957E41"/>
    <w:rsid w:val="0096016E"/>
    <w:rsid w:val="0096023A"/>
    <w:rsid w:val="009607AB"/>
    <w:rsid w:val="00961154"/>
    <w:rsid w:val="009615DB"/>
    <w:rsid w:val="0096163F"/>
    <w:rsid w:val="00962683"/>
    <w:rsid w:val="00962ADC"/>
    <w:rsid w:val="00962E23"/>
    <w:rsid w:val="009644A8"/>
    <w:rsid w:val="0096487C"/>
    <w:rsid w:val="00964BC2"/>
    <w:rsid w:val="00964D4A"/>
    <w:rsid w:val="00964EAE"/>
    <w:rsid w:val="00965023"/>
    <w:rsid w:val="009650B7"/>
    <w:rsid w:val="0096515D"/>
    <w:rsid w:val="0096554B"/>
    <w:rsid w:val="00965841"/>
    <w:rsid w:val="00966623"/>
    <w:rsid w:val="00966E78"/>
    <w:rsid w:val="00967182"/>
    <w:rsid w:val="009671A1"/>
    <w:rsid w:val="009678DB"/>
    <w:rsid w:val="00967D5F"/>
    <w:rsid w:val="00970728"/>
    <w:rsid w:val="009707C9"/>
    <w:rsid w:val="00971303"/>
    <w:rsid w:val="00971E0B"/>
    <w:rsid w:val="00972101"/>
    <w:rsid w:val="00972285"/>
    <w:rsid w:val="00972FB5"/>
    <w:rsid w:val="00973607"/>
    <w:rsid w:val="009736FE"/>
    <w:rsid w:val="00973988"/>
    <w:rsid w:val="00973B96"/>
    <w:rsid w:val="00973E3C"/>
    <w:rsid w:val="0097401A"/>
    <w:rsid w:val="00974763"/>
    <w:rsid w:val="009757CA"/>
    <w:rsid w:val="00975EAA"/>
    <w:rsid w:val="00976E76"/>
    <w:rsid w:val="00977A14"/>
    <w:rsid w:val="00977E9B"/>
    <w:rsid w:val="009807BF"/>
    <w:rsid w:val="009809CE"/>
    <w:rsid w:val="0098131F"/>
    <w:rsid w:val="00981479"/>
    <w:rsid w:val="00981F74"/>
    <w:rsid w:val="009821E8"/>
    <w:rsid w:val="0098237C"/>
    <w:rsid w:val="009829B3"/>
    <w:rsid w:val="00982C31"/>
    <w:rsid w:val="00982D45"/>
    <w:rsid w:val="00983165"/>
    <w:rsid w:val="00983343"/>
    <w:rsid w:val="009833C4"/>
    <w:rsid w:val="009834E0"/>
    <w:rsid w:val="009838FF"/>
    <w:rsid w:val="00984149"/>
    <w:rsid w:val="00984788"/>
    <w:rsid w:val="00984909"/>
    <w:rsid w:val="00984FF3"/>
    <w:rsid w:val="00984FF9"/>
    <w:rsid w:val="009850C5"/>
    <w:rsid w:val="0098516C"/>
    <w:rsid w:val="00986326"/>
    <w:rsid w:val="00986849"/>
    <w:rsid w:val="00986BB7"/>
    <w:rsid w:val="00986D4B"/>
    <w:rsid w:val="00986ED2"/>
    <w:rsid w:val="00986F6D"/>
    <w:rsid w:val="0098727C"/>
    <w:rsid w:val="00987708"/>
    <w:rsid w:val="009877BF"/>
    <w:rsid w:val="00987DF0"/>
    <w:rsid w:val="00987E2E"/>
    <w:rsid w:val="0099008B"/>
    <w:rsid w:val="00990387"/>
    <w:rsid w:val="0099177B"/>
    <w:rsid w:val="00991B8C"/>
    <w:rsid w:val="0099367E"/>
    <w:rsid w:val="00993DDA"/>
    <w:rsid w:val="00993FE4"/>
    <w:rsid w:val="0099425E"/>
    <w:rsid w:val="00994CDC"/>
    <w:rsid w:val="00995A48"/>
    <w:rsid w:val="009969CD"/>
    <w:rsid w:val="0099770A"/>
    <w:rsid w:val="00997769"/>
    <w:rsid w:val="00997A15"/>
    <w:rsid w:val="00997A2E"/>
    <w:rsid w:val="00997B3C"/>
    <w:rsid w:val="009A048E"/>
    <w:rsid w:val="009A0736"/>
    <w:rsid w:val="009A119F"/>
    <w:rsid w:val="009A1609"/>
    <w:rsid w:val="009A16A3"/>
    <w:rsid w:val="009A18E7"/>
    <w:rsid w:val="009A1A7E"/>
    <w:rsid w:val="009A1EB5"/>
    <w:rsid w:val="009A3480"/>
    <w:rsid w:val="009A3DB8"/>
    <w:rsid w:val="009A3DCC"/>
    <w:rsid w:val="009A43B3"/>
    <w:rsid w:val="009A464D"/>
    <w:rsid w:val="009A496F"/>
    <w:rsid w:val="009A4AE9"/>
    <w:rsid w:val="009A4B78"/>
    <w:rsid w:val="009A4D28"/>
    <w:rsid w:val="009A4D73"/>
    <w:rsid w:val="009A4E41"/>
    <w:rsid w:val="009A5297"/>
    <w:rsid w:val="009A5851"/>
    <w:rsid w:val="009A5C0C"/>
    <w:rsid w:val="009A5D40"/>
    <w:rsid w:val="009A5E10"/>
    <w:rsid w:val="009A6665"/>
    <w:rsid w:val="009A66B3"/>
    <w:rsid w:val="009A743F"/>
    <w:rsid w:val="009A74F7"/>
    <w:rsid w:val="009B00F2"/>
    <w:rsid w:val="009B0E67"/>
    <w:rsid w:val="009B0FB2"/>
    <w:rsid w:val="009B1113"/>
    <w:rsid w:val="009B1761"/>
    <w:rsid w:val="009B1C34"/>
    <w:rsid w:val="009B1D22"/>
    <w:rsid w:val="009B1D4B"/>
    <w:rsid w:val="009B1E86"/>
    <w:rsid w:val="009B2222"/>
    <w:rsid w:val="009B2356"/>
    <w:rsid w:val="009B27C4"/>
    <w:rsid w:val="009B2BE6"/>
    <w:rsid w:val="009B2D92"/>
    <w:rsid w:val="009B31DE"/>
    <w:rsid w:val="009B3250"/>
    <w:rsid w:val="009B35A6"/>
    <w:rsid w:val="009B3A5F"/>
    <w:rsid w:val="009B42A4"/>
    <w:rsid w:val="009B42D2"/>
    <w:rsid w:val="009B44D0"/>
    <w:rsid w:val="009B4A06"/>
    <w:rsid w:val="009B60EA"/>
    <w:rsid w:val="009B63AE"/>
    <w:rsid w:val="009B70C8"/>
    <w:rsid w:val="009B737C"/>
    <w:rsid w:val="009B742E"/>
    <w:rsid w:val="009C0AC6"/>
    <w:rsid w:val="009C11B2"/>
    <w:rsid w:val="009C1456"/>
    <w:rsid w:val="009C1577"/>
    <w:rsid w:val="009C164F"/>
    <w:rsid w:val="009C1C30"/>
    <w:rsid w:val="009C22DD"/>
    <w:rsid w:val="009C29D5"/>
    <w:rsid w:val="009C30A0"/>
    <w:rsid w:val="009C3182"/>
    <w:rsid w:val="009C359E"/>
    <w:rsid w:val="009C37FE"/>
    <w:rsid w:val="009C4082"/>
    <w:rsid w:val="009C4A38"/>
    <w:rsid w:val="009C4A72"/>
    <w:rsid w:val="009C4AD8"/>
    <w:rsid w:val="009C4C29"/>
    <w:rsid w:val="009C4D3D"/>
    <w:rsid w:val="009C5111"/>
    <w:rsid w:val="009C55E2"/>
    <w:rsid w:val="009C5918"/>
    <w:rsid w:val="009C5A4E"/>
    <w:rsid w:val="009C5EE5"/>
    <w:rsid w:val="009C61E3"/>
    <w:rsid w:val="009C6B56"/>
    <w:rsid w:val="009C7DB8"/>
    <w:rsid w:val="009C7FF0"/>
    <w:rsid w:val="009D010D"/>
    <w:rsid w:val="009D0244"/>
    <w:rsid w:val="009D08F9"/>
    <w:rsid w:val="009D0F71"/>
    <w:rsid w:val="009D111C"/>
    <w:rsid w:val="009D137D"/>
    <w:rsid w:val="009D17A0"/>
    <w:rsid w:val="009D1F7A"/>
    <w:rsid w:val="009D2873"/>
    <w:rsid w:val="009D2942"/>
    <w:rsid w:val="009D2BB8"/>
    <w:rsid w:val="009D3562"/>
    <w:rsid w:val="009D3A1A"/>
    <w:rsid w:val="009D426A"/>
    <w:rsid w:val="009D5B2E"/>
    <w:rsid w:val="009D5BDB"/>
    <w:rsid w:val="009D6B03"/>
    <w:rsid w:val="009D6B3D"/>
    <w:rsid w:val="009D7422"/>
    <w:rsid w:val="009D78E7"/>
    <w:rsid w:val="009E022E"/>
    <w:rsid w:val="009E0742"/>
    <w:rsid w:val="009E0B29"/>
    <w:rsid w:val="009E1291"/>
    <w:rsid w:val="009E12BC"/>
    <w:rsid w:val="009E139D"/>
    <w:rsid w:val="009E1A9E"/>
    <w:rsid w:val="009E224D"/>
    <w:rsid w:val="009E26D5"/>
    <w:rsid w:val="009E2A07"/>
    <w:rsid w:val="009E3398"/>
    <w:rsid w:val="009E3577"/>
    <w:rsid w:val="009E37A5"/>
    <w:rsid w:val="009E395B"/>
    <w:rsid w:val="009E3D2B"/>
    <w:rsid w:val="009E3DC2"/>
    <w:rsid w:val="009E3E84"/>
    <w:rsid w:val="009E4053"/>
    <w:rsid w:val="009E4097"/>
    <w:rsid w:val="009E4664"/>
    <w:rsid w:val="009E4D8E"/>
    <w:rsid w:val="009E4E60"/>
    <w:rsid w:val="009E4E90"/>
    <w:rsid w:val="009E4EB7"/>
    <w:rsid w:val="009E57C1"/>
    <w:rsid w:val="009E624A"/>
    <w:rsid w:val="009E6B32"/>
    <w:rsid w:val="009E7039"/>
    <w:rsid w:val="009E70F3"/>
    <w:rsid w:val="009E7AC7"/>
    <w:rsid w:val="009E7E98"/>
    <w:rsid w:val="009F00EE"/>
    <w:rsid w:val="009F0827"/>
    <w:rsid w:val="009F0BED"/>
    <w:rsid w:val="009F1673"/>
    <w:rsid w:val="009F23E6"/>
    <w:rsid w:val="009F3255"/>
    <w:rsid w:val="009F341D"/>
    <w:rsid w:val="009F34AA"/>
    <w:rsid w:val="009F3942"/>
    <w:rsid w:val="009F3D86"/>
    <w:rsid w:val="009F3DCE"/>
    <w:rsid w:val="009F44FF"/>
    <w:rsid w:val="009F46E8"/>
    <w:rsid w:val="009F472D"/>
    <w:rsid w:val="009F4CF0"/>
    <w:rsid w:val="009F4E88"/>
    <w:rsid w:val="009F50D1"/>
    <w:rsid w:val="009F573B"/>
    <w:rsid w:val="009F5918"/>
    <w:rsid w:val="009F596D"/>
    <w:rsid w:val="009F6A91"/>
    <w:rsid w:val="009F71A6"/>
    <w:rsid w:val="009F71AA"/>
    <w:rsid w:val="009F754A"/>
    <w:rsid w:val="009F791F"/>
    <w:rsid w:val="009F7C19"/>
    <w:rsid w:val="009F7F86"/>
    <w:rsid w:val="00A0034D"/>
    <w:rsid w:val="00A00BFB"/>
    <w:rsid w:val="00A00DCF"/>
    <w:rsid w:val="00A01002"/>
    <w:rsid w:val="00A0126C"/>
    <w:rsid w:val="00A012DA"/>
    <w:rsid w:val="00A016E9"/>
    <w:rsid w:val="00A0187E"/>
    <w:rsid w:val="00A023AB"/>
    <w:rsid w:val="00A026F0"/>
    <w:rsid w:val="00A02F2D"/>
    <w:rsid w:val="00A02F61"/>
    <w:rsid w:val="00A03529"/>
    <w:rsid w:val="00A03E0E"/>
    <w:rsid w:val="00A040D1"/>
    <w:rsid w:val="00A044B7"/>
    <w:rsid w:val="00A04A0A"/>
    <w:rsid w:val="00A050A8"/>
    <w:rsid w:val="00A056A3"/>
    <w:rsid w:val="00A059AF"/>
    <w:rsid w:val="00A05B51"/>
    <w:rsid w:val="00A06286"/>
    <w:rsid w:val="00A06318"/>
    <w:rsid w:val="00A063BC"/>
    <w:rsid w:val="00A068E1"/>
    <w:rsid w:val="00A0699F"/>
    <w:rsid w:val="00A06A80"/>
    <w:rsid w:val="00A06D8A"/>
    <w:rsid w:val="00A0711F"/>
    <w:rsid w:val="00A07B0B"/>
    <w:rsid w:val="00A1015D"/>
    <w:rsid w:val="00A102A0"/>
    <w:rsid w:val="00A10860"/>
    <w:rsid w:val="00A114FA"/>
    <w:rsid w:val="00A11867"/>
    <w:rsid w:val="00A11AF3"/>
    <w:rsid w:val="00A12ACF"/>
    <w:rsid w:val="00A12B42"/>
    <w:rsid w:val="00A12B8A"/>
    <w:rsid w:val="00A12BD4"/>
    <w:rsid w:val="00A12C09"/>
    <w:rsid w:val="00A13084"/>
    <w:rsid w:val="00A1327F"/>
    <w:rsid w:val="00A136D0"/>
    <w:rsid w:val="00A13817"/>
    <w:rsid w:val="00A138D3"/>
    <w:rsid w:val="00A139F6"/>
    <w:rsid w:val="00A13E0F"/>
    <w:rsid w:val="00A144B7"/>
    <w:rsid w:val="00A149B4"/>
    <w:rsid w:val="00A152D3"/>
    <w:rsid w:val="00A15F4F"/>
    <w:rsid w:val="00A160AB"/>
    <w:rsid w:val="00A16745"/>
    <w:rsid w:val="00A16747"/>
    <w:rsid w:val="00A17E93"/>
    <w:rsid w:val="00A20013"/>
    <w:rsid w:val="00A2056F"/>
    <w:rsid w:val="00A20582"/>
    <w:rsid w:val="00A20C65"/>
    <w:rsid w:val="00A212A6"/>
    <w:rsid w:val="00A21767"/>
    <w:rsid w:val="00A21826"/>
    <w:rsid w:val="00A21C55"/>
    <w:rsid w:val="00A21FD5"/>
    <w:rsid w:val="00A22729"/>
    <w:rsid w:val="00A22751"/>
    <w:rsid w:val="00A22940"/>
    <w:rsid w:val="00A23102"/>
    <w:rsid w:val="00A233D8"/>
    <w:rsid w:val="00A2343F"/>
    <w:rsid w:val="00A23505"/>
    <w:rsid w:val="00A2389F"/>
    <w:rsid w:val="00A2428B"/>
    <w:rsid w:val="00A247E5"/>
    <w:rsid w:val="00A248BD"/>
    <w:rsid w:val="00A24D81"/>
    <w:rsid w:val="00A24EA5"/>
    <w:rsid w:val="00A25173"/>
    <w:rsid w:val="00A252F0"/>
    <w:rsid w:val="00A2530C"/>
    <w:rsid w:val="00A259F2"/>
    <w:rsid w:val="00A26463"/>
    <w:rsid w:val="00A2660E"/>
    <w:rsid w:val="00A26916"/>
    <w:rsid w:val="00A26B47"/>
    <w:rsid w:val="00A26B5D"/>
    <w:rsid w:val="00A26FF1"/>
    <w:rsid w:val="00A27547"/>
    <w:rsid w:val="00A2770B"/>
    <w:rsid w:val="00A27806"/>
    <w:rsid w:val="00A3068C"/>
    <w:rsid w:val="00A3127F"/>
    <w:rsid w:val="00A315BC"/>
    <w:rsid w:val="00A31922"/>
    <w:rsid w:val="00A31A86"/>
    <w:rsid w:val="00A31BCC"/>
    <w:rsid w:val="00A31C70"/>
    <w:rsid w:val="00A31C87"/>
    <w:rsid w:val="00A325BB"/>
    <w:rsid w:val="00A3297A"/>
    <w:rsid w:val="00A32A58"/>
    <w:rsid w:val="00A32EEC"/>
    <w:rsid w:val="00A336C5"/>
    <w:rsid w:val="00A339D9"/>
    <w:rsid w:val="00A33BD6"/>
    <w:rsid w:val="00A3510A"/>
    <w:rsid w:val="00A3515F"/>
    <w:rsid w:val="00A35751"/>
    <w:rsid w:val="00A3577F"/>
    <w:rsid w:val="00A35BBC"/>
    <w:rsid w:val="00A35DAB"/>
    <w:rsid w:val="00A36696"/>
    <w:rsid w:val="00A36724"/>
    <w:rsid w:val="00A367AF"/>
    <w:rsid w:val="00A36977"/>
    <w:rsid w:val="00A36C13"/>
    <w:rsid w:val="00A377C2"/>
    <w:rsid w:val="00A37A31"/>
    <w:rsid w:val="00A401F1"/>
    <w:rsid w:val="00A40B1F"/>
    <w:rsid w:val="00A40B4D"/>
    <w:rsid w:val="00A40BB0"/>
    <w:rsid w:val="00A411E2"/>
    <w:rsid w:val="00A41373"/>
    <w:rsid w:val="00A41638"/>
    <w:rsid w:val="00A41B15"/>
    <w:rsid w:val="00A41B25"/>
    <w:rsid w:val="00A41C78"/>
    <w:rsid w:val="00A4224E"/>
    <w:rsid w:val="00A4229F"/>
    <w:rsid w:val="00A428A9"/>
    <w:rsid w:val="00A42ACA"/>
    <w:rsid w:val="00A42D18"/>
    <w:rsid w:val="00A4327C"/>
    <w:rsid w:val="00A43496"/>
    <w:rsid w:val="00A43665"/>
    <w:rsid w:val="00A43AAB"/>
    <w:rsid w:val="00A43AFE"/>
    <w:rsid w:val="00A43F6A"/>
    <w:rsid w:val="00A441CC"/>
    <w:rsid w:val="00A447E3"/>
    <w:rsid w:val="00A44AAD"/>
    <w:rsid w:val="00A44D3B"/>
    <w:rsid w:val="00A45241"/>
    <w:rsid w:val="00A45280"/>
    <w:rsid w:val="00A452B8"/>
    <w:rsid w:val="00A45BF7"/>
    <w:rsid w:val="00A463B5"/>
    <w:rsid w:val="00A463BA"/>
    <w:rsid w:val="00A46675"/>
    <w:rsid w:val="00A46A5F"/>
    <w:rsid w:val="00A471A3"/>
    <w:rsid w:val="00A47597"/>
    <w:rsid w:val="00A479D7"/>
    <w:rsid w:val="00A47E44"/>
    <w:rsid w:val="00A47F91"/>
    <w:rsid w:val="00A507D7"/>
    <w:rsid w:val="00A50A5C"/>
    <w:rsid w:val="00A50B75"/>
    <w:rsid w:val="00A50BE2"/>
    <w:rsid w:val="00A50CC6"/>
    <w:rsid w:val="00A50CCD"/>
    <w:rsid w:val="00A50E40"/>
    <w:rsid w:val="00A51462"/>
    <w:rsid w:val="00A51946"/>
    <w:rsid w:val="00A51FF7"/>
    <w:rsid w:val="00A52079"/>
    <w:rsid w:val="00A52143"/>
    <w:rsid w:val="00A521E9"/>
    <w:rsid w:val="00A526E5"/>
    <w:rsid w:val="00A5298E"/>
    <w:rsid w:val="00A52B3E"/>
    <w:rsid w:val="00A5313B"/>
    <w:rsid w:val="00A5320E"/>
    <w:rsid w:val="00A53F7B"/>
    <w:rsid w:val="00A54090"/>
    <w:rsid w:val="00A541F3"/>
    <w:rsid w:val="00A54282"/>
    <w:rsid w:val="00A549D3"/>
    <w:rsid w:val="00A54C5D"/>
    <w:rsid w:val="00A54DF0"/>
    <w:rsid w:val="00A556BE"/>
    <w:rsid w:val="00A55785"/>
    <w:rsid w:val="00A55C36"/>
    <w:rsid w:val="00A55E02"/>
    <w:rsid w:val="00A57745"/>
    <w:rsid w:val="00A57E98"/>
    <w:rsid w:val="00A60017"/>
    <w:rsid w:val="00A60849"/>
    <w:rsid w:val="00A6105B"/>
    <w:rsid w:val="00A61355"/>
    <w:rsid w:val="00A61668"/>
    <w:rsid w:val="00A621D3"/>
    <w:rsid w:val="00A621F6"/>
    <w:rsid w:val="00A624B3"/>
    <w:rsid w:val="00A628F8"/>
    <w:rsid w:val="00A62B7A"/>
    <w:rsid w:val="00A62CC0"/>
    <w:rsid w:val="00A631A1"/>
    <w:rsid w:val="00A632EA"/>
    <w:rsid w:val="00A6339D"/>
    <w:rsid w:val="00A634BE"/>
    <w:rsid w:val="00A63AD7"/>
    <w:rsid w:val="00A63BFD"/>
    <w:rsid w:val="00A63E61"/>
    <w:rsid w:val="00A6491F"/>
    <w:rsid w:val="00A64A9E"/>
    <w:rsid w:val="00A64C72"/>
    <w:rsid w:val="00A64D1A"/>
    <w:rsid w:val="00A65320"/>
    <w:rsid w:val="00A65BA5"/>
    <w:rsid w:val="00A66354"/>
    <w:rsid w:val="00A66B8B"/>
    <w:rsid w:val="00A66E37"/>
    <w:rsid w:val="00A66ECF"/>
    <w:rsid w:val="00A67681"/>
    <w:rsid w:val="00A67E38"/>
    <w:rsid w:val="00A703E4"/>
    <w:rsid w:val="00A704C9"/>
    <w:rsid w:val="00A707AF"/>
    <w:rsid w:val="00A70DC6"/>
    <w:rsid w:val="00A71080"/>
    <w:rsid w:val="00A71986"/>
    <w:rsid w:val="00A71E3D"/>
    <w:rsid w:val="00A71E73"/>
    <w:rsid w:val="00A72740"/>
    <w:rsid w:val="00A73581"/>
    <w:rsid w:val="00A73A64"/>
    <w:rsid w:val="00A741AA"/>
    <w:rsid w:val="00A742AD"/>
    <w:rsid w:val="00A74425"/>
    <w:rsid w:val="00A746D7"/>
    <w:rsid w:val="00A74AB2"/>
    <w:rsid w:val="00A75A27"/>
    <w:rsid w:val="00A75A46"/>
    <w:rsid w:val="00A75B36"/>
    <w:rsid w:val="00A7623B"/>
    <w:rsid w:val="00A7660A"/>
    <w:rsid w:val="00A7663A"/>
    <w:rsid w:val="00A7696B"/>
    <w:rsid w:val="00A769D4"/>
    <w:rsid w:val="00A8008F"/>
    <w:rsid w:val="00A804C7"/>
    <w:rsid w:val="00A80857"/>
    <w:rsid w:val="00A80A39"/>
    <w:rsid w:val="00A80DF0"/>
    <w:rsid w:val="00A80E64"/>
    <w:rsid w:val="00A81A15"/>
    <w:rsid w:val="00A81A16"/>
    <w:rsid w:val="00A823A7"/>
    <w:rsid w:val="00A824D4"/>
    <w:rsid w:val="00A825C8"/>
    <w:rsid w:val="00A82742"/>
    <w:rsid w:val="00A82A29"/>
    <w:rsid w:val="00A83340"/>
    <w:rsid w:val="00A83984"/>
    <w:rsid w:val="00A83A1E"/>
    <w:rsid w:val="00A84198"/>
    <w:rsid w:val="00A841AB"/>
    <w:rsid w:val="00A84FFD"/>
    <w:rsid w:val="00A86104"/>
    <w:rsid w:val="00A8655A"/>
    <w:rsid w:val="00A87203"/>
    <w:rsid w:val="00A87744"/>
    <w:rsid w:val="00A87AE6"/>
    <w:rsid w:val="00A87B09"/>
    <w:rsid w:val="00A87C22"/>
    <w:rsid w:val="00A90590"/>
    <w:rsid w:val="00A90A97"/>
    <w:rsid w:val="00A90CB4"/>
    <w:rsid w:val="00A910DA"/>
    <w:rsid w:val="00A9162B"/>
    <w:rsid w:val="00A920E1"/>
    <w:rsid w:val="00A92998"/>
    <w:rsid w:val="00A933AE"/>
    <w:rsid w:val="00A93861"/>
    <w:rsid w:val="00A93863"/>
    <w:rsid w:val="00A93928"/>
    <w:rsid w:val="00A93A14"/>
    <w:rsid w:val="00A93F73"/>
    <w:rsid w:val="00A9415E"/>
    <w:rsid w:val="00A9423F"/>
    <w:rsid w:val="00A94EBD"/>
    <w:rsid w:val="00A9510D"/>
    <w:rsid w:val="00A95117"/>
    <w:rsid w:val="00A95580"/>
    <w:rsid w:val="00A956AC"/>
    <w:rsid w:val="00A95D2A"/>
    <w:rsid w:val="00A961D6"/>
    <w:rsid w:val="00A96214"/>
    <w:rsid w:val="00A967E8"/>
    <w:rsid w:val="00A97CAB"/>
    <w:rsid w:val="00A97F4B"/>
    <w:rsid w:val="00AA04C5"/>
    <w:rsid w:val="00AA1002"/>
    <w:rsid w:val="00AA10B1"/>
    <w:rsid w:val="00AA143B"/>
    <w:rsid w:val="00AA2803"/>
    <w:rsid w:val="00AA2BF2"/>
    <w:rsid w:val="00AA2D68"/>
    <w:rsid w:val="00AA2D6F"/>
    <w:rsid w:val="00AA2E92"/>
    <w:rsid w:val="00AA3987"/>
    <w:rsid w:val="00AA3B68"/>
    <w:rsid w:val="00AA3E79"/>
    <w:rsid w:val="00AA4FB4"/>
    <w:rsid w:val="00AA51C3"/>
    <w:rsid w:val="00AA56E5"/>
    <w:rsid w:val="00AA5C0B"/>
    <w:rsid w:val="00AA5E3B"/>
    <w:rsid w:val="00AA63AD"/>
    <w:rsid w:val="00AA64D1"/>
    <w:rsid w:val="00AA65B4"/>
    <w:rsid w:val="00AA6604"/>
    <w:rsid w:val="00AA6A75"/>
    <w:rsid w:val="00AA745E"/>
    <w:rsid w:val="00AB04AB"/>
    <w:rsid w:val="00AB05A3"/>
    <w:rsid w:val="00AB0636"/>
    <w:rsid w:val="00AB0733"/>
    <w:rsid w:val="00AB09D2"/>
    <w:rsid w:val="00AB0B64"/>
    <w:rsid w:val="00AB0C30"/>
    <w:rsid w:val="00AB176B"/>
    <w:rsid w:val="00AB2C5F"/>
    <w:rsid w:val="00AB37E6"/>
    <w:rsid w:val="00AB3DBA"/>
    <w:rsid w:val="00AB431C"/>
    <w:rsid w:val="00AB470E"/>
    <w:rsid w:val="00AB473C"/>
    <w:rsid w:val="00AB4C80"/>
    <w:rsid w:val="00AB506B"/>
    <w:rsid w:val="00AB5467"/>
    <w:rsid w:val="00AB5720"/>
    <w:rsid w:val="00AB5883"/>
    <w:rsid w:val="00AB5A7E"/>
    <w:rsid w:val="00AB7538"/>
    <w:rsid w:val="00AB77F3"/>
    <w:rsid w:val="00AC0256"/>
    <w:rsid w:val="00AC0AAD"/>
    <w:rsid w:val="00AC1231"/>
    <w:rsid w:val="00AC1992"/>
    <w:rsid w:val="00AC1E14"/>
    <w:rsid w:val="00AC2CFA"/>
    <w:rsid w:val="00AC3263"/>
    <w:rsid w:val="00AC337E"/>
    <w:rsid w:val="00AC3A13"/>
    <w:rsid w:val="00AC3E12"/>
    <w:rsid w:val="00AC406E"/>
    <w:rsid w:val="00AC417C"/>
    <w:rsid w:val="00AC430C"/>
    <w:rsid w:val="00AC43DF"/>
    <w:rsid w:val="00AC4951"/>
    <w:rsid w:val="00AC49C9"/>
    <w:rsid w:val="00AC4A6B"/>
    <w:rsid w:val="00AC5C19"/>
    <w:rsid w:val="00AC60F0"/>
    <w:rsid w:val="00AC63C7"/>
    <w:rsid w:val="00AC6657"/>
    <w:rsid w:val="00AC6B43"/>
    <w:rsid w:val="00AC6D7A"/>
    <w:rsid w:val="00AC7363"/>
    <w:rsid w:val="00AC7401"/>
    <w:rsid w:val="00AC7901"/>
    <w:rsid w:val="00AC79F3"/>
    <w:rsid w:val="00AC7FDD"/>
    <w:rsid w:val="00AC7FFA"/>
    <w:rsid w:val="00AD05BF"/>
    <w:rsid w:val="00AD0949"/>
    <w:rsid w:val="00AD0F1D"/>
    <w:rsid w:val="00AD1179"/>
    <w:rsid w:val="00AD1359"/>
    <w:rsid w:val="00AD19F0"/>
    <w:rsid w:val="00AD1FCE"/>
    <w:rsid w:val="00AD26E1"/>
    <w:rsid w:val="00AD29CC"/>
    <w:rsid w:val="00AD3268"/>
    <w:rsid w:val="00AD341B"/>
    <w:rsid w:val="00AD3652"/>
    <w:rsid w:val="00AD3DE2"/>
    <w:rsid w:val="00AD4261"/>
    <w:rsid w:val="00AD44B2"/>
    <w:rsid w:val="00AD46F5"/>
    <w:rsid w:val="00AD490A"/>
    <w:rsid w:val="00AD504C"/>
    <w:rsid w:val="00AD51A3"/>
    <w:rsid w:val="00AD5502"/>
    <w:rsid w:val="00AD598B"/>
    <w:rsid w:val="00AD5D76"/>
    <w:rsid w:val="00AD60B6"/>
    <w:rsid w:val="00AD66EC"/>
    <w:rsid w:val="00AD7154"/>
    <w:rsid w:val="00AD797D"/>
    <w:rsid w:val="00AD7E02"/>
    <w:rsid w:val="00AE0034"/>
    <w:rsid w:val="00AE0085"/>
    <w:rsid w:val="00AE0483"/>
    <w:rsid w:val="00AE08DD"/>
    <w:rsid w:val="00AE13BD"/>
    <w:rsid w:val="00AE158F"/>
    <w:rsid w:val="00AE1ABF"/>
    <w:rsid w:val="00AE1AF9"/>
    <w:rsid w:val="00AE1E60"/>
    <w:rsid w:val="00AE2068"/>
    <w:rsid w:val="00AE2258"/>
    <w:rsid w:val="00AE277E"/>
    <w:rsid w:val="00AE2A36"/>
    <w:rsid w:val="00AE2AC6"/>
    <w:rsid w:val="00AE2BC6"/>
    <w:rsid w:val="00AE3251"/>
    <w:rsid w:val="00AE33DA"/>
    <w:rsid w:val="00AE3FE0"/>
    <w:rsid w:val="00AE5058"/>
    <w:rsid w:val="00AE51CD"/>
    <w:rsid w:val="00AE5268"/>
    <w:rsid w:val="00AE5471"/>
    <w:rsid w:val="00AE54AA"/>
    <w:rsid w:val="00AE5C58"/>
    <w:rsid w:val="00AE5CA5"/>
    <w:rsid w:val="00AE60E4"/>
    <w:rsid w:val="00AE6872"/>
    <w:rsid w:val="00AE6C58"/>
    <w:rsid w:val="00AE72C4"/>
    <w:rsid w:val="00AE75AB"/>
    <w:rsid w:val="00AE7F05"/>
    <w:rsid w:val="00AE7F38"/>
    <w:rsid w:val="00AF054D"/>
    <w:rsid w:val="00AF0939"/>
    <w:rsid w:val="00AF0981"/>
    <w:rsid w:val="00AF0F9C"/>
    <w:rsid w:val="00AF10F0"/>
    <w:rsid w:val="00AF18E2"/>
    <w:rsid w:val="00AF24E7"/>
    <w:rsid w:val="00AF272B"/>
    <w:rsid w:val="00AF291B"/>
    <w:rsid w:val="00AF2DAA"/>
    <w:rsid w:val="00AF2EBD"/>
    <w:rsid w:val="00AF33AE"/>
    <w:rsid w:val="00AF3CDC"/>
    <w:rsid w:val="00AF44B1"/>
    <w:rsid w:val="00AF49C2"/>
    <w:rsid w:val="00AF5800"/>
    <w:rsid w:val="00AF6986"/>
    <w:rsid w:val="00AF69FE"/>
    <w:rsid w:val="00AF6A77"/>
    <w:rsid w:val="00AF6D1B"/>
    <w:rsid w:val="00AF73ED"/>
    <w:rsid w:val="00AF77E3"/>
    <w:rsid w:val="00AF7D69"/>
    <w:rsid w:val="00AF7ED2"/>
    <w:rsid w:val="00B004D8"/>
    <w:rsid w:val="00B00830"/>
    <w:rsid w:val="00B00CC5"/>
    <w:rsid w:val="00B016D2"/>
    <w:rsid w:val="00B02091"/>
    <w:rsid w:val="00B0250E"/>
    <w:rsid w:val="00B02B43"/>
    <w:rsid w:val="00B03697"/>
    <w:rsid w:val="00B03D36"/>
    <w:rsid w:val="00B04540"/>
    <w:rsid w:val="00B046F1"/>
    <w:rsid w:val="00B05116"/>
    <w:rsid w:val="00B051A7"/>
    <w:rsid w:val="00B05F1A"/>
    <w:rsid w:val="00B07662"/>
    <w:rsid w:val="00B07B33"/>
    <w:rsid w:val="00B07FA2"/>
    <w:rsid w:val="00B100CF"/>
    <w:rsid w:val="00B1074F"/>
    <w:rsid w:val="00B10999"/>
    <w:rsid w:val="00B10E82"/>
    <w:rsid w:val="00B11050"/>
    <w:rsid w:val="00B111A6"/>
    <w:rsid w:val="00B113A4"/>
    <w:rsid w:val="00B11512"/>
    <w:rsid w:val="00B115E5"/>
    <w:rsid w:val="00B118EE"/>
    <w:rsid w:val="00B11B03"/>
    <w:rsid w:val="00B11C5B"/>
    <w:rsid w:val="00B11F2B"/>
    <w:rsid w:val="00B121CD"/>
    <w:rsid w:val="00B12343"/>
    <w:rsid w:val="00B12529"/>
    <w:rsid w:val="00B128C5"/>
    <w:rsid w:val="00B129A4"/>
    <w:rsid w:val="00B12B11"/>
    <w:rsid w:val="00B12C94"/>
    <w:rsid w:val="00B135AB"/>
    <w:rsid w:val="00B13797"/>
    <w:rsid w:val="00B137BF"/>
    <w:rsid w:val="00B13A1B"/>
    <w:rsid w:val="00B13A76"/>
    <w:rsid w:val="00B142D9"/>
    <w:rsid w:val="00B145D5"/>
    <w:rsid w:val="00B14BC4"/>
    <w:rsid w:val="00B158A3"/>
    <w:rsid w:val="00B15B25"/>
    <w:rsid w:val="00B15C36"/>
    <w:rsid w:val="00B15EA0"/>
    <w:rsid w:val="00B16069"/>
    <w:rsid w:val="00B1628C"/>
    <w:rsid w:val="00B1745A"/>
    <w:rsid w:val="00B17785"/>
    <w:rsid w:val="00B17A4E"/>
    <w:rsid w:val="00B17B30"/>
    <w:rsid w:val="00B17C2F"/>
    <w:rsid w:val="00B20CA8"/>
    <w:rsid w:val="00B2153E"/>
    <w:rsid w:val="00B218CB"/>
    <w:rsid w:val="00B21FA7"/>
    <w:rsid w:val="00B22022"/>
    <w:rsid w:val="00B225E4"/>
    <w:rsid w:val="00B22C88"/>
    <w:rsid w:val="00B23223"/>
    <w:rsid w:val="00B2373E"/>
    <w:rsid w:val="00B23F7A"/>
    <w:rsid w:val="00B240B1"/>
    <w:rsid w:val="00B24208"/>
    <w:rsid w:val="00B24374"/>
    <w:rsid w:val="00B24699"/>
    <w:rsid w:val="00B24728"/>
    <w:rsid w:val="00B248A9"/>
    <w:rsid w:val="00B2490A"/>
    <w:rsid w:val="00B24BE3"/>
    <w:rsid w:val="00B24D28"/>
    <w:rsid w:val="00B24F1C"/>
    <w:rsid w:val="00B25B7A"/>
    <w:rsid w:val="00B25D76"/>
    <w:rsid w:val="00B27032"/>
    <w:rsid w:val="00B27085"/>
    <w:rsid w:val="00B27583"/>
    <w:rsid w:val="00B30003"/>
    <w:rsid w:val="00B3015C"/>
    <w:rsid w:val="00B30642"/>
    <w:rsid w:val="00B31201"/>
    <w:rsid w:val="00B31B4B"/>
    <w:rsid w:val="00B31E36"/>
    <w:rsid w:val="00B32132"/>
    <w:rsid w:val="00B32CD7"/>
    <w:rsid w:val="00B32DC3"/>
    <w:rsid w:val="00B32E26"/>
    <w:rsid w:val="00B338B7"/>
    <w:rsid w:val="00B34061"/>
    <w:rsid w:val="00B34376"/>
    <w:rsid w:val="00B3440A"/>
    <w:rsid w:val="00B34441"/>
    <w:rsid w:val="00B35533"/>
    <w:rsid w:val="00B35534"/>
    <w:rsid w:val="00B35A87"/>
    <w:rsid w:val="00B35AFD"/>
    <w:rsid w:val="00B35DAB"/>
    <w:rsid w:val="00B35F9A"/>
    <w:rsid w:val="00B3609C"/>
    <w:rsid w:val="00B36236"/>
    <w:rsid w:val="00B3662E"/>
    <w:rsid w:val="00B36645"/>
    <w:rsid w:val="00B366D2"/>
    <w:rsid w:val="00B366FA"/>
    <w:rsid w:val="00B36E86"/>
    <w:rsid w:val="00B379BA"/>
    <w:rsid w:val="00B37D00"/>
    <w:rsid w:val="00B40B30"/>
    <w:rsid w:val="00B40E47"/>
    <w:rsid w:val="00B412FD"/>
    <w:rsid w:val="00B41BA2"/>
    <w:rsid w:val="00B41E1C"/>
    <w:rsid w:val="00B422BE"/>
    <w:rsid w:val="00B4241D"/>
    <w:rsid w:val="00B426BB"/>
    <w:rsid w:val="00B42EB9"/>
    <w:rsid w:val="00B430B5"/>
    <w:rsid w:val="00B436F0"/>
    <w:rsid w:val="00B441FE"/>
    <w:rsid w:val="00B44821"/>
    <w:rsid w:val="00B44AD3"/>
    <w:rsid w:val="00B450EB"/>
    <w:rsid w:val="00B45152"/>
    <w:rsid w:val="00B454DD"/>
    <w:rsid w:val="00B45DDF"/>
    <w:rsid w:val="00B45E54"/>
    <w:rsid w:val="00B460B8"/>
    <w:rsid w:val="00B464E4"/>
    <w:rsid w:val="00B4689A"/>
    <w:rsid w:val="00B46D5F"/>
    <w:rsid w:val="00B46E7B"/>
    <w:rsid w:val="00B47DC5"/>
    <w:rsid w:val="00B50395"/>
    <w:rsid w:val="00B505B3"/>
    <w:rsid w:val="00B50882"/>
    <w:rsid w:val="00B50A74"/>
    <w:rsid w:val="00B510D2"/>
    <w:rsid w:val="00B5199C"/>
    <w:rsid w:val="00B520A0"/>
    <w:rsid w:val="00B5257E"/>
    <w:rsid w:val="00B525CE"/>
    <w:rsid w:val="00B52CFD"/>
    <w:rsid w:val="00B545A8"/>
    <w:rsid w:val="00B54F1F"/>
    <w:rsid w:val="00B56527"/>
    <w:rsid w:val="00B56706"/>
    <w:rsid w:val="00B57019"/>
    <w:rsid w:val="00B576DA"/>
    <w:rsid w:val="00B57710"/>
    <w:rsid w:val="00B601C9"/>
    <w:rsid w:val="00B60639"/>
    <w:rsid w:val="00B60D04"/>
    <w:rsid w:val="00B6158F"/>
    <w:rsid w:val="00B61EE8"/>
    <w:rsid w:val="00B633A3"/>
    <w:rsid w:val="00B634A6"/>
    <w:rsid w:val="00B63533"/>
    <w:rsid w:val="00B63BDB"/>
    <w:rsid w:val="00B64A0E"/>
    <w:rsid w:val="00B64DDF"/>
    <w:rsid w:val="00B65633"/>
    <w:rsid w:val="00B6601E"/>
    <w:rsid w:val="00B663AA"/>
    <w:rsid w:val="00B66DD5"/>
    <w:rsid w:val="00B67722"/>
    <w:rsid w:val="00B67A6C"/>
    <w:rsid w:val="00B67B97"/>
    <w:rsid w:val="00B67F01"/>
    <w:rsid w:val="00B70166"/>
    <w:rsid w:val="00B70329"/>
    <w:rsid w:val="00B70A02"/>
    <w:rsid w:val="00B710E9"/>
    <w:rsid w:val="00B711AB"/>
    <w:rsid w:val="00B714F0"/>
    <w:rsid w:val="00B71A40"/>
    <w:rsid w:val="00B71BCA"/>
    <w:rsid w:val="00B71C8C"/>
    <w:rsid w:val="00B71CB4"/>
    <w:rsid w:val="00B71FD7"/>
    <w:rsid w:val="00B725E7"/>
    <w:rsid w:val="00B7278D"/>
    <w:rsid w:val="00B72C07"/>
    <w:rsid w:val="00B72DF7"/>
    <w:rsid w:val="00B72F42"/>
    <w:rsid w:val="00B73E44"/>
    <w:rsid w:val="00B74290"/>
    <w:rsid w:val="00B74510"/>
    <w:rsid w:val="00B74BD4"/>
    <w:rsid w:val="00B74BF7"/>
    <w:rsid w:val="00B760FD"/>
    <w:rsid w:val="00B76185"/>
    <w:rsid w:val="00B76BCD"/>
    <w:rsid w:val="00B76D04"/>
    <w:rsid w:val="00B779E6"/>
    <w:rsid w:val="00B77D72"/>
    <w:rsid w:val="00B804E2"/>
    <w:rsid w:val="00B811B2"/>
    <w:rsid w:val="00B81213"/>
    <w:rsid w:val="00B81700"/>
    <w:rsid w:val="00B81BA3"/>
    <w:rsid w:val="00B82213"/>
    <w:rsid w:val="00B8276E"/>
    <w:rsid w:val="00B82912"/>
    <w:rsid w:val="00B82E33"/>
    <w:rsid w:val="00B82FF3"/>
    <w:rsid w:val="00B839A9"/>
    <w:rsid w:val="00B83A62"/>
    <w:rsid w:val="00B83B59"/>
    <w:rsid w:val="00B84252"/>
    <w:rsid w:val="00B8468F"/>
    <w:rsid w:val="00B849F1"/>
    <w:rsid w:val="00B84FC6"/>
    <w:rsid w:val="00B857F5"/>
    <w:rsid w:val="00B862EF"/>
    <w:rsid w:val="00B86D6C"/>
    <w:rsid w:val="00B86EB5"/>
    <w:rsid w:val="00B86F47"/>
    <w:rsid w:val="00B874B4"/>
    <w:rsid w:val="00B876E8"/>
    <w:rsid w:val="00B8787A"/>
    <w:rsid w:val="00B87887"/>
    <w:rsid w:val="00B90123"/>
    <w:rsid w:val="00B90196"/>
    <w:rsid w:val="00B90A0B"/>
    <w:rsid w:val="00B911C1"/>
    <w:rsid w:val="00B91374"/>
    <w:rsid w:val="00B9216A"/>
    <w:rsid w:val="00B922C3"/>
    <w:rsid w:val="00B926F4"/>
    <w:rsid w:val="00B9272E"/>
    <w:rsid w:val="00B927A7"/>
    <w:rsid w:val="00B92B9E"/>
    <w:rsid w:val="00B93315"/>
    <w:rsid w:val="00B93519"/>
    <w:rsid w:val="00B9372A"/>
    <w:rsid w:val="00B9425C"/>
    <w:rsid w:val="00B94AAF"/>
    <w:rsid w:val="00B953FF"/>
    <w:rsid w:val="00B956EA"/>
    <w:rsid w:val="00B958BD"/>
    <w:rsid w:val="00B9622D"/>
    <w:rsid w:val="00B96263"/>
    <w:rsid w:val="00B968A5"/>
    <w:rsid w:val="00B97188"/>
    <w:rsid w:val="00B972CD"/>
    <w:rsid w:val="00B97D02"/>
    <w:rsid w:val="00BA0296"/>
    <w:rsid w:val="00BA0304"/>
    <w:rsid w:val="00BA0557"/>
    <w:rsid w:val="00BA079E"/>
    <w:rsid w:val="00BA19C4"/>
    <w:rsid w:val="00BA3038"/>
    <w:rsid w:val="00BA3248"/>
    <w:rsid w:val="00BA3443"/>
    <w:rsid w:val="00BA370A"/>
    <w:rsid w:val="00BA48BC"/>
    <w:rsid w:val="00BA4A29"/>
    <w:rsid w:val="00BA4BE7"/>
    <w:rsid w:val="00BA5F20"/>
    <w:rsid w:val="00BA5F44"/>
    <w:rsid w:val="00BA679F"/>
    <w:rsid w:val="00BA68D9"/>
    <w:rsid w:val="00BA695F"/>
    <w:rsid w:val="00BA6FD8"/>
    <w:rsid w:val="00BA7172"/>
    <w:rsid w:val="00BA7B01"/>
    <w:rsid w:val="00BA7C18"/>
    <w:rsid w:val="00BB02D7"/>
    <w:rsid w:val="00BB0D9F"/>
    <w:rsid w:val="00BB0DEE"/>
    <w:rsid w:val="00BB0F93"/>
    <w:rsid w:val="00BB1031"/>
    <w:rsid w:val="00BB1B33"/>
    <w:rsid w:val="00BB2480"/>
    <w:rsid w:val="00BB27FD"/>
    <w:rsid w:val="00BB2C4E"/>
    <w:rsid w:val="00BB2E29"/>
    <w:rsid w:val="00BB2F74"/>
    <w:rsid w:val="00BB3206"/>
    <w:rsid w:val="00BB3277"/>
    <w:rsid w:val="00BB32C2"/>
    <w:rsid w:val="00BB39BF"/>
    <w:rsid w:val="00BB3B0D"/>
    <w:rsid w:val="00BB524C"/>
    <w:rsid w:val="00BB57D2"/>
    <w:rsid w:val="00BB5DAB"/>
    <w:rsid w:val="00BB6195"/>
    <w:rsid w:val="00BB61A3"/>
    <w:rsid w:val="00BB67EA"/>
    <w:rsid w:val="00BB707E"/>
    <w:rsid w:val="00BB7568"/>
    <w:rsid w:val="00BC007C"/>
    <w:rsid w:val="00BC0986"/>
    <w:rsid w:val="00BC0AB2"/>
    <w:rsid w:val="00BC0F8E"/>
    <w:rsid w:val="00BC1308"/>
    <w:rsid w:val="00BC1BF4"/>
    <w:rsid w:val="00BC2600"/>
    <w:rsid w:val="00BC2F24"/>
    <w:rsid w:val="00BC33BE"/>
    <w:rsid w:val="00BC3A47"/>
    <w:rsid w:val="00BC3EEB"/>
    <w:rsid w:val="00BC4780"/>
    <w:rsid w:val="00BC51FB"/>
    <w:rsid w:val="00BC52C8"/>
    <w:rsid w:val="00BC5485"/>
    <w:rsid w:val="00BC549C"/>
    <w:rsid w:val="00BC570E"/>
    <w:rsid w:val="00BC5A6C"/>
    <w:rsid w:val="00BC5AF6"/>
    <w:rsid w:val="00BC5B4B"/>
    <w:rsid w:val="00BC5E93"/>
    <w:rsid w:val="00BC5EDB"/>
    <w:rsid w:val="00BC69A2"/>
    <w:rsid w:val="00BC6A47"/>
    <w:rsid w:val="00BC6ED6"/>
    <w:rsid w:val="00BC6F03"/>
    <w:rsid w:val="00BC6FA1"/>
    <w:rsid w:val="00BC7487"/>
    <w:rsid w:val="00BD0570"/>
    <w:rsid w:val="00BD0853"/>
    <w:rsid w:val="00BD0EAD"/>
    <w:rsid w:val="00BD112D"/>
    <w:rsid w:val="00BD214E"/>
    <w:rsid w:val="00BD2395"/>
    <w:rsid w:val="00BD25B8"/>
    <w:rsid w:val="00BD2842"/>
    <w:rsid w:val="00BD28C3"/>
    <w:rsid w:val="00BD2DEB"/>
    <w:rsid w:val="00BD2E40"/>
    <w:rsid w:val="00BD3120"/>
    <w:rsid w:val="00BD3354"/>
    <w:rsid w:val="00BD384E"/>
    <w:rsid w:val="00BD3BC1"/>
    <w:rsid w:val="00BD3E76"/>
    <w:rsid w:val="00BD3EE2"/>
    <w:rsid w:val="00BD3FCF"/>
    <w:rsid w:val="00BD42D2"/>
    <w:rsid w:val="00BD47D7"/>
    <w:rsid w:val="00BD4EFB"/>
    <w:rsid w:val="00BD5076"/>
    <w:rsid w:val="00BD5551"/>
    <w:rsid w:val="00BD690D"/>
    <w:rsid w:val="00BD6D43"/>
    <w:rsid w:val="00BD7090"/>
    <w:rsid w:val="00BD7490"/>
    <w:rsid w:val="00BD767F"/>
    <w:rsid w:val="00BD7DA0"/>
    <w:rsid w:val="00BE096B"/>
    <w:rsid w:val="00BE09C3"/>
    <w:rsid w:val="00BE0C27"/>
    <w:rsid w:val="00BE0F9B"/>
    <w:rsid w:val="00BE1534"/>
    <w:rsid w:val="00BE15BB"/>
    <w:rsid w:val="00BE198F"/>
    <w:rsid w:val="00BE4875"/>
    <w:rsid w:val="00BE4CCF"/>
    <w:rsid w:val="00BE5913"/>
    <w:rsid w:val="00BE5964"/>
    <w:rsid w:val="00BE660B"/>
    <w:rsid w:val="00BE67F3"/>
    <w:rsid w:val="00BE6AFE"/>
    <w:rsid w:val="00BE6BBE"/>
    <w:rsid w:val="00BE7021"/>
    <w:rsid w:val="00BE7300"/>
    <w:rsid w:val="00BE76F7"/>
    <w:rsid w:val="00BE784F"/>
    <w:rsid w:val="00BE79C6"/>
    <w:rsid w:val="00BF0238"/>
    <w:rsid w:val="00BF0717"/>
    <w:rsid w:val="00BF1750"/>
    <w:rsid w:val="00BF178E"/>
    <w:rsid w:val="00BF189F"/>
    <w:rsid w:val="00BF1B44"/>
    <w:rsid w:val="00BF1D88"/>
    <w:rsid w:val="00BF1F01"/>
    <w:rsid w:val="00BF1FC2"/>
    <w:rsid w:val="00BF23CC"/>
    <w:rsid w:val="00BF243F"/>
    <w:rsid w:val="00BF2708"/>
    <w:rsid w:val="00BF3284"/>
    <w:rsid w:val="00BF4C2B"/>
    <w:rsid w:val="00BF507A"/>
    <w:rsid w:val="00BF52D8"/>
    <w:rsid w:val="00BF53F1"/>
    <w:rsid w:val="00BF5717"/>
    <w:rsid w:val="00BF5B9D"/>
    <w:rsid w:val="00BF5C45"/>
    <w:rsid w:val="00BF5FA3"/>
    <w:rsid w:val="00BF62F2"/>
    <w:rsid w:val="00BF63A5"/>
    <w:rsid w:val="00BF72A7"/>
    <w:rsid w:val="00BF7558"/>
    <w:rsid w:val="00BF7C6B"/>
    <w:rsid w:val="00BF7D51"/>
    <w:rsid w:val="00BF7DD2"/>
    <w:rsid w:val="00C0111E"/>
    <w:rsid w:val="00C01C34"/>
    <w:rsid w:val="00C02676"/>
    <w:rsid w:val="00C029AB"/>
    <w:rsid w:val="00C02D74"/>
    <w:rsid w:val="00C03BD5"/>
    <w:rsid w:val="00C03C8B"/>
    <w:rsid w:val="00C03F3C"/>
    <w:rsid w:val="00C0422C"/>
    <w:rsid w:val="00C0425C"/>
    <w:rsid w:val="00C049BE"/>
    <w:rsid w:val="00C04A71"/>
    <w:rsid w:val="00C04DF0"/>
    <w:rsid w:val="00C050CF"/>
    <w:rsid w:val="00C05A4C"/>
    <w:rsid w:val="00C05A67"/>
    <w:rsid w:val="00C0632D"/>
    <w:rsid w:val="00C0641F"/>
    <w:rsid w:val="00C06C9A"/>
    <w:rsid w:val="00C06E1B"/>
    <w:rsid w:val="00C06E6F"/>
    <w:rsid w:val="00C075DB"/>
    <w:rsid w:val="00C07EBA"/>
    <w:rsid w:val="00C07FBC"/>
    <w:rsid w:val="00C100E2"/>
    <w:rsid w:val="00C100E7"/>
    <w:rsid w:val="00C11113"/>
    <w:rsid w:val="00C114BF"/>
    <w:rsid w:val="00C11687"/>
    <w:rsid w:val="00C11D41"/>
    <w:rsid w:val="00C11E28"/>
    <w:rsid w:val="00C11F66"/>
    <w:rsid w:val="00C1225B"/>
    <w:rsid w:val="00C122F9"/>
    <w:rsid w:val="00C1253A"/>
    <w:rsid w:val="00C128C9"/>
    <w:rsid w:val="00C12CF3"/>
    <w:rsid w:val="00C12F88"/>
    <w:rsid w:val="00C131A8"/>
    <w:rsid w:val="00C1322D"/>
    <w:rsid w:val="00C135A3"/>
    <w:rsid w:val="00C13655"/>
    <w:rsid w:val="00C13806"/>
    <w:rsid w:val="00C14730"/>
    <w:rsid w:val="00C1477A"/>
    <w:rsid w:val="00C14A62"/>
    <w:rsid w:val="00C158EB"/>
    <w:rsid w:val="00C159B1"/>
    <w:rsid w:val="00C15B67"/>
    <w:rsid w:val="00C15C04"/>
    <w:rsid w:val="00C15D51"/>
    <w:rsid w:val="00C161F5"/>
    <w:rsid w:val="00C16C92"/>
    <w:rsid w:val="00C16ED6"/>
    <w:rsid w:val="00C1706B"/>
    <w:rsid w:val="00C17AE8"/>
    <w:rsid w:val="00C17DB0"/>
    <w:rsid w:val="00C17DB7"/>
    <w:rsid w:val="00C17E48"/>
    <w:rsid w:val="00C17E9C"/>
    <w:rsid w:val="00C17F0B"/>
    <w:rsid w:val="00C201E7"/>
    <w:rsid w:val="00C20506"/>
    <w:rsid w:val="00C20AA2"/>
    <w:rsid w:val="00C20B91"/>
    <w:rsid w:val="00C21155"/>
    <w:rsid w:val="00C2146C"/>
    <w:rsid w:val="00C214D7"/>
    <w:rsid w:val="00C21561"/>
    <w:rsid w:val="00C217EE"/>
    <w:rsid w:val="00C2220F"/>
    <w:rsid w:val="00C22784"/>
    <w:rsid w:val="00C22FAA"/>
    <w:rsid w:val="00C23A4C"/>
    <w:rsid w:val="00C24068"/>
    <w:rsid w:val="00C2419D"/>
    <w:rsid w:val="00C243A4"/>
    <w:rsid w:val="00C24416"/>
    <w:rsid w:val="00C24511"/>
    <w:rsid w:val="00C248DB"/>
    <w:rsid w:val="00C26170"/>
    <w:rsid w:val="00C26B5A"/>
    <w:rsid w:val="00C26BB1"/>
    <w:rsid w:val="00C26D52"/>
    <w:rsid w:val="00C303E4"/>
    <w:rsid w:val="00C30775"/>
    <w:rsid w:val="00C30B8D"/>
    <w:rsid w:val="00C30DBE"/>
    <w:rsid w:val="00C30E2F"/>
    <w:rsid w:val="00C3134E"/>
    <w:rsid w:val="00C315D8"/>
    <w:rsid w:val="00C31C4A"/>
    <w:rsid w:val="00C31D2D"/>
    <w:rsid w:val="00C3209A"/>
    <w:rsid w:val="00C32639"/>
    <w:rsid w:val="00C32808"/>
    <w:rsid w:val="00C32AD2"/>
    <w:rsid w:val="00C33114"/>
    <w:rsid w:val="00C33E5C"/>
    <w:rsid w:val="00C3415E"/>
    <w:rsid w:val="00C34193"/>
    <w:rsid w:val="00C34610"/>
    <w:rsid w:val="00C347FD"/>
    <w:rsid w:val="00C34DAD"/>
    <w:rsid w:val="00C34DAE"/>
    <w:rsid w:val="00C34E1E"/>
    <w:rsid w:val="00C34E5A"/>
    <w:rsid w:val="00C35553"/>
    <w:rsid w:val="00C35D9C"/>
    <w:rsid w:val="00C360E5"/>
    <w:rsid w:val="00C36219"/>
    <w:rsid w:val="00C36656"/>
    <w:rsid w:val="00C36965"/>
    <w:rsid w:val="00C3698E"/>
    <w:rsid w:val="00C36CCA"/>
    <w:rsid w:val="00C36E1C"/>
    <w:rsid w:val="00C36F42"/>
    <w:rsid w:val="00C3718A"/>
    <w:rsid w:val="00C379C5"/>
    <w:rsid w:val="00C37EEE"/>
    <w:rsid w:val="00C40453"/>
    <w:rsid w:val="00C404A7"/>
    <w:rsid w:val="00C40E71"/>
    <w:rsid w:val="00C41879"/>
    <w:rsid w:val="00C41A7C"/>
    <w:rsid w:val="00C42CEF"/>
    <w:rsid w:val="00C42D55"/>
    <w:rsid w:val="00C43080"/>
    <w:rsid w:val="00C4370E"/>
    <w:rsid w:val="00C43823"/>
    <w:rsid w:val="00C4384B"/>
    <w:rsid w:val="00C4393C"/>
    <w:rsid w:val="00C43F2D"/>
    <w:rsid w:val="00C44068"/>
    <w:rsid w:val="00C442AE"/>
    <w:rsid w:val="00C44C2B"/>
    <w:rsid w:val="00C4518B"/>
    <w:rsid w:val="00C4556C"/>
    <w:rsid w:val="00C45780"/>
    <w:rsid w:val="00C458D6"/>
    <w:rsid w:val="00C45919"/>
    <w:rsid w:val="00C4655A"/>
    <w:rsid w:val="00C466BF"/>
    <w:rsid w:val="00C47385"/>
    <w:rsid w:val="00C47555"/>
    <w:rsid w:val="00C476AC"/>
    <w:rsid w:val="00C47E67"/>
    <w:rsid w:val="00C47FD9"/>
    <w:rsid w:val="00C50C1A"/>
    <w:rsid w:val="00C50E1E"/>
    <w:rsid w:val="00C51132"/>
    <w:rsid w:val="00C51508"/>
    <w:rsid w:val="00C51BD1"/>
    <w:rsid w:val="00C51D73"/>
    <w:rsid w:val="00C52A05"/>
    <w:rsid w:val="00C52E97"/>
    <w:rsid w:val="00C52EAF"/>
    <w:rsid w:val="00C52FBA"/>
    <w:rsid w:val="00C53189"/>
    <w:rsid w:val="00C534E5"/>
    <w:rsid w:val="00C534F4"/>
    <w:rsid w:val="00C5375B"/>
    <w:rsid w:val="00C53AD3"/>
    <w:rsid w:val="00C53B15"/>
    <w:rsid w:val="00C53DA9"/>
    <w:rsid w:val="00C53EF7"/>
    <w:rsid w:val="00C54280"/>
    <w:rsid w:val="00C54929"/>
    <w:rsid w:val="00C550B6"/>
    <w:rsid w:val="00C556B1"/>
    <w:rsid w:val="00C55A05"/>
    <w:rsid w:val="00C55F8D"/>
    <w:rsid w:val="00C56101"/>
    <w:rsid w:val="00C565F2"/>
    <w:rsid w:val="00C567E3"/>
    <w:rsid w:val="00C56BD1"/>
    <w:rsid w:val="00C56C45"/>
    <w:rsid w:val="00C573CC"/>
    <w:rsid w:val="00C57B81"/>
    <w:rsid w:val="00C57FB9"/>
    <w:rsid w:val="00C6077B"/>
    <w:rsid w:val="00C60950"/>
    <w:rsid w:val="00C60DD1"/>
    <w:rsid w:val="00C61565"/>
    <w:rsid w:val="00C61574"/>
    <w:rsid w:val="00C615B4"/>
    <w:rsid w:val="00C6184A"/>
    <w:rsid w:val="00C61AC6"/>
    <w:rsid w:val="00C61ACF"/>
    <w:rsid w:val="00C6211D"/>
    <w:rsid w:val="00C62B32"/>
    <w:rsid w:val="00C63DED"/>
    <w:rsid w:val="00C63E88"/>
    <w:rsid w:val="00C6436D"/>
    <w:rsid w:val="00C64F97"/>
    <w:rsid w:val="00C65585"/>
    <w:rsid w:val="00C656EB"/>
    <w:rsid w:val="00C65DF4"/>
    <w:rsid w:val="00C667F0"/>
    <w:rsid w:val="00C66AC8"/>
    <w:rsid w:val="00C67B49"/>
    <w:rsid w:val="00C711F5"/>
    <w:rsid w:val="00C713A1"/>
    <w:rsid w:val="00C71828"/>
    <w:rsid w:val="00C72105"/>
    <w:rsid w:val="00C73A1F"/>
    <w:rsid w:val="00C74310"/>
    <w:rsid w:val="00C744E9"/>
    <w:rsid w:val="00C74520"/>
    <w:rsid w:val="00C74954"/>
    <w:rsid w:val="00C7516F"/>
    <w:rsid w:val="00C75765"/>
    <w:rsid w:val="00C75EEE"/>
    <w:rsid w:val="00C76028"/>
    <w:rsid w:val="00C76184"/>
    <w:rsid w:val="00C76462"/>
    <w:rsid w:val="00C7673D"/>
    <w:rsid w:val="00C76A80"/>
    <w:rsid w:val="00C76C27"/>
    <w:rsid w:val="00C76E09"/>
    <w:rsid w:val="00C76F07"/>
    <w:rsid w:val="00C77EF6"/>
    <w:rsid w:val="00C80B4B"/>
    <w:rsid w:val="00C80D63"/>
    <w:rsid w:val="00C80E85"/>
    <w:rsid w:val="00C811D6"/>
    <w:rsid w:val="00C8129D"/>
    <w:rsid w:val="00C812D5"/>
    <w:rsid w:val="00C81536"/>
    <w:rsid w:val="00C81565"/>
    <w:rsid w:val="00C81BEA"/>
    <w:rsid w:val="00C81DF5"/>
    <w:rsid w:val="00C82188"/>
    <w:rsid w:val="00C8242B"/>
    <w:rsid w:val="00C82A50"/>
    <w:rsid w:val="00C83240"/>
    <w:rsid w:val="00C83381"/>
    <w:rsid w:val="00C83607"/>
    <w:rsid w:val="00C83768"/>
    <w:rsid w:val="00C83A38"/>
    <w:rsid w:val="00C83B18"/>
    <w:rsid w:val="00C84032"/>
    <w:rsid w:val="00C840C3"/>
    <w:rsid w:val="00C841B4"/>
    <w:rsid w:val="00C84266"/>
    <w:rsid w:val="00C8466F"/>
    <w:rsid w:val="00C8489E"/>
    <w:rsid w:val="00C849E0"/>
    <w:rsid w:val="00C84B74"/>
    <w:rsid w:val="00C8512A"/>
    <w:rsid w:val="00C85378"/>
    <w:rsid w:val="00C85970"/>
    <w:rsid w:val="00C85E9B"/>
    <w:rsid w:val="00C86788"/>
    <w:rsid w:val="00C86BDC"/>
    <w:rsid w:val="00C874C8"/>
    <w:rsid w:val="00C90165"/>
    <w:rsid w:val="00C902DA"/>
    <w:rsid w:val="00C90733"/>
    <w:rsid w:val="00C921C4"/>
    <w:rsid w:val="00C9235F"/>
    <w:rsid w:val="00C9257F"/>
    <w:rsid w:val="00C9319C"/>
    <w:rsid w:val="00C9330C"/>
    <w:rsid w:val="00C934F6"/>
    <w:rsid w:val="00C936C8"/>
    <w:rsid w:val="00C93874"/>
    <w:rsid w:val="00C93A4C"/>
    <w:rsid w:val="00C944EB"/>
    <w:rsid w:val="00C94DE5"/>
    <w:rsid w:val="00C94FD2"/>
    <w:rsid w:val="00C95341"/>
    <w:rsid w:val="00C95B76"/>
    <w:rsid w:val="00C95F94"/>
    <w:rsid w:val="00C964C3"/>
    <w:rsid w:val="00C964D6"/>
    <w:rsid w:val="00C96635"/>
    <w:rsid w:val="00C966B7"/>
    <w:rsid w:val="00C969DB"/>
    <w:rsid w:val="00C96A6E"/>
    <w:rsid w:val="00C97A4A"/>
    <w:rsid w:val="00C97DC9"/>
    <w:rsid w:val="00C97EE3"/>
    <w:rsid w:val="00CA042A"/>
    <w:rsid w:val="00CA12BA"/>
    <w:rsid w:val="00CA165C"/>
    <w:rsid w:val="00CA1994"/>
    <w:rsid w:val="00CA1C0D"/>
    <w:rsid w:val="00CA1DAE"/>
    <w:rsid w:val="00CA1E62"/>
    <w:rsid w:val="00CA2267"/>
    <w:rsid w:val="00CA38AD"/>
    <w:rsid w:val="00CA39B5"/>
    <w:rsid w:val="00CA3EEE"/>
    <w:rsid w:val="00CA4223"/>
    <w:rsid w:val="00CA5098"/>
    <w:rsid w:val="00CA5503"/>
    <w:rsid w:val="00CA612D"/>
    <w:rsid w:val="00CA66C3"/>
    <w:rsid w:val="00CA6CAD"/>
    <w:rsid w:val="00CA70A8"/>
    <w:rsid w:val="00CA70D0"/>
    <w:rsid w:val="00CA74A4"/>
    <w:rsid w:val="00CA7683"/>
    <w:rsid w:val="00CA77AE"/>
    <w:rsid w:val="00CA7EA1"/>
    <w:rsid w:val="00CA7EEB"/>
    <w:rsid w:val="00CB009B"/>
    <w:rsid w:val="00CB0231"/>
    <w:rsid w:val="00CB0838"/>
    <w:rsid w:val="00CB092E"/>
    <w:rsid w:val="00CB1AFD"/>
    <w:rsid w:val="00CB1EB3"/>
    <w:rsid w:val="00CB2126"/>
    <w:rsid w:val="00CB2308"/>
    <w:rsid w:val="00CB24AD"/>
    <w:rsid w:val="00CB2C59"/>
    <w:rsid w:val="00CB2D9C"/>
    <w:rsid w:val="00CB34AB"/>
    <w:rsid w:val="00CB3529"/>
    <w:rsid w:val="00CB38A9"/>
    <w:rsid w:val="00CB4728"/>
    <w:rsid w:val="00CB5592"/>
    <w:rsid w:val="00CB59E7"/>
    <w:rsid w:val="00CB5D27"/>
    <w:rsid w:val="00CB5E4A"/>
    <w:rsid w:val="00CB6FCA"/>
    <w:rsid w:val="00CB724D"/>
    <w:rsid w:val="00CB7340"/>
    <w:rsid w:val="00CB73EA"/>
    <w:rsid w:val="00CB76E3"/>
    <w:rsid w:val="00CB7D4E"/>
    <w:rsid w:val="00CB7F1F"/>
    <w:rsid w:val="00CC002B"/>
    <w:rsid w:val="00CC07E5"/>
    <w:rsid w:val="00CC09F0"/>
    <w:rsid w:val="00CC0C11"/>
    <w:rsid w:val="00CC18EB"/>
    <w:rsid w:val="00CC1F52"/>
    <w:rsid w:val="00CC233F"/>
    <w:rsid w:val="00CC27FD"/>
    <w:rsid w:val="00CC29A4"/>
    <w:rsid w:val="00CC31E8"/>
    <w:rsid w:val="00CC3AB9"/>
    <w:rsid w:val="00CC3C9E"/>
    <w:rsid w:val="00CC3F1C"/>
    <w:rsid w:val="00CC45E0"/>
    <w:rsid w:val="00CC4BBE"/>
    <w:rsid w:val="00CC4BC3"/>
    <w:rsid w:val="00CC4D5D"/>
    <w:rsid w:val="00CC4F5A"/>
    <w:rsid w:val="00CC50C7"/>
    <w:rsid w:val="00CC55AC"/>
    <w:rsid w:val="00CC5859"/>
    <w:rsid w:val="00CC649E"/>
    <w:rsid w:val="00CC66CB"/>
    <w:rsid w:val="00CC6D1C"/>
    <w:rsid w:val="00CC71DD"/>
    <w:rsid w:val="00CC71F3"/>
    <w:rsid w:val="00CC72C0"/>
    <w:rsid w:val="00CC757D"/>
    <w:rsid w:val="00CC7C74"/>
    <w:rsid w:val="00CD00DB"/>
    <w:rsid w:val="00CD0119"/>
    <w:rsid w:val="00CD02C5"/>
    <w:rsid w:val="00CD07FD"/>
    <w:rsid w:val="00CD0866"/>
    <w:rsid w:val="00CD0B09"/>
    <w:rsid w:val="00CD1169"/>
    <w:rsid w:val="00CD15F1"/>
    <w:rsid w:val="00CD16C7"/>
    <w:rsid w:val="00CD1788"/>
    <w:rsid w:val="00CD1A40"/>
    <w:rsid w:val="00CD1AA8"/>
    <w:rsid w:val="00CD1B33"/>
    <w:rsid w:val="00CD24A8"/>
    <w:rsid w:val="00CD25F3"/>
    <w:rsid w:val="00CD2796"/>
    <w:rsid w:val="00CD27FF"/>
    <w:rsid w:val="00CD2875"/>
    <w:rsid w:val="00CD2C93"/>
    <w:rsid w:val="00CD2DF3"/>
    <w:rsid w:val="00CD2E7E"/>
    <w:rsid w:val="00CD305C"/>
    <w:rsid w:val="00CD3A6D"/>
    <w:rsid w:val="00CD3DB2"/>
    <w:rsid w:val="00CD3E5A"/>
    <w:rsid w:val="00CD3E63"/>
    <w:rsid w:val="00CD40A3"/>
    <w:rsid w:val="00CD457E"/>
    <w:rsid w:val="00CD461B"/>
    <w:rsid w:val="00CD4CD3"/>
    <w:rsid w:val="00CD5608"/>
    <w:rsid w:val="00CD589F"/>
    <w:rsid w:val="00CD60C9"/>
    <w:rsid w:val="00CD6345"/>
    <w:rsid w:val="00CD6835"/>
    <w:rsid w:val="00CD6BBB"/>
    <w:rsid w:val="00CD7482"/>
    <w:rsid w:val="00CD74BE"/>
    <w:rsid w:val="00CD75C1"/>
    <w:rsid w:val="00CD7D25"/>
    <w:rsid w:val="00CE05BD"/>
    <w:rsid w:val="00CE07C1"/>
    <w:rsid w:val="00CE0D7B"/>
    <w:rsid w:val="00CE1567"/>
    <w:rsid w:val="00CE1859"/>
    <w:rsid w:val="00CE186F"/>
    <w:rsid w:val="00CE20E3"/>
    <w:rsid w:val="00CE273A"/>
    <w:rsid w:val="00CE321C"/>
    <w:rsid w:val="00CE32E8"/>
    <w:rsid w:val="00CE353C"/>
    <w:rsid w:val="00CE3700"/>
    <w:rsid w:val="00CE3B69"/>
    <w:rsid w:val="00CE3D1A"/>
    <w:rsid w:val="00CE4559"/>
    <w:rsid w:val="00CE4B49"/>
    <w:rsid w:val="00CE5118"/>
    <w:rsid w:val="00CE5487"/>
    <w:rsid w:val="00CE59B5"/>
    <w:rsid w:val="00CE59DB"/>
    <w:rsid w:val="00CE5D3A"/>
    <w:rsid w:val="00CE67D8"/>
    <w:rsid w:val="00CE68EA"/>
    <w:rsid w:val="00CE7381"/>
    <w:rsid w:val="00CE7447"/>
    <w:rsid w:val="00CE74CE"/>
    <w:rsid w:val="00CE7510"/>
    <w:rsid w:val="00CF07CB"/>
    <w:rsid w:val="00CF0829"/>
    <w:rsid w:val="00CF0E74"/>
    <w:rsid w:val="00CF1833"/>
    <w:rsid w:val="00CF1AEA"/>
    <w:rsid w:val="00CF1E3B"/>
    <w:rsid w:val="00CF2091"/>
    <w:rsid w:val="00CF21F6"/>
    <w:rsid w:val="00CF2278"/>
    <w:rsid w:val="00CF267C"/>
    <w:rsid w:val="00CF2C62"/>
    <w:rsid w:val="00CF2F66"/>
    <w:rsid w:val="00CF337B"/>
    <w:rsid w:val="00CF36DE"/>
    <w:rsid w:val="00CF3FE7"/>
    <w:rsid w:val="00CF40BE"/>
    <w:rsid w:val="00CF4416"/>
    <w:rsid w:val="00CF4740"/>
    <w:rsid w:val="00CF4A57"/>
    <w:rsid w:val="00CF5221"/>
    <w:rsid w:val="00CF530E"/>
    <w:rsid w:val="00CF5762"/>
    <w:rsid w:val="00CF65B4"/>
    <w:rsid w:val="00CF6806"/>
    <w:rsid w:val="00CF69B0"/>
    <w:rsid w:val="00CF6C05"/>
    <w:rsid w:val="00CF709F"/>
    <w:rsid w:val="00CF7485"/>
    <w:rsid w:val="00CF7E56"/>
    <w:rsid w:val="00CF7E87"/>
    <w:rsid w:val="00D0080E"/>
    <w:rsid w:val="00D0115E"/>
    <w:rsid w:val="00D01744"/>
    <w:rsid w:val="00D01C03"/>
    <w:rsid w:val="00D01C43"/>
    <w:rsid w:val="00D020B5"/>
    <w:rsid w:val="00D025CE"/>
    <w:rsid w:val="00D026A3"/>
    <w:rsid w:val="00D02A0F"/>
    <w:rsid w:val="00D02CA6"/>
    <w:rsid w:val="00D02DF3"/>
    <w:rsid w:val="00D03181"/>
    <w:rsid w:val="00D037DC"/>
    <w:rsid w:val="00D0383B"/>
    <w:rsid w:val="00D03A8A"/>
    <w:rsid w:val="00D03DA5"/>
    <w:rsid w:val="00D03F27"/>
    <w:rsid w:val="00D043EE"/>
    <w:rsid w:val="00D0470D"/>
    <w:rsid w:val="00D05249"/>
    <w:rsid w:val="00D05332"/>
    <w:rsid w:val="00D055CA"/>
    <w:rsid w:val="00D059FC"/>
    <w:rsid w:val="00D05DEF"/>
    <w:rsid w:val="00D06861"/>
    <w:rsid w:val="00D0688A"/>
    <w:rsid w:val="00D06F22"/>
    <w:rsid w:val="00D07A9C"/>
    <w:rsid w:val="00D07B44"/>
    <w:rsid w:val="00D10076"/>
    <w:rsid w:val="00D1033B"/>
    <w:rsid w:val="00D10477"/>
    <w:rsid w:val="00D107E2"/>
    <w:rsid w:val="00D11D76"/>
    <w:rsid w:val="00D121F5"/>
    <w:rsid w:val="00D126E4"/>
    <w:rsid w:val="00D12C29"/>
    <w:rsid w:val="00D131BF"/>
    <w:rsid w:val="00D13A90"/>
    <w:rsid w:val="00D1404F"/>
    <w:rsid w:val="00D140E6"/>
    <w:rsid w:val="00D147E0"/>
    <w:rsid w:val="00D149C9"/>
    <w:rsid w:val="00D14C7E"/>
    <w:rsid w:val="00D1505E"/>
    <w:rsid w:val="00D1529E"/>
    <w:rsid w:val="00D158E6"/>
    <w:rsid w:val="00D158EF"/>
    <w:rsid w:val="00D15BA0"/>
    <w:rsid w:val="00D15C14"/>
    <w:rsid w:val="00D15E74"/>
    <w:rsid w:val="00D15FAA"/>
    <w:rsid w:val="00D16A14"/>
    <w:rsid w:val="00D16ECB"/>
    <w:rsid w:val="00D16EEE"/>
    <w:rsid w:val="00D17167"/>
    <w:rsid w:val="00D17BA5"/>
    <w:rsid w:val="00D2058D"/>
    <w:rsid w:val="00D2117E"/>
    <w:rsid w:val="00D2143A"/>
    <w:rsid w:val="00D2176E"/>
    <w:rsid w:val="00D2182A"/>
    <w:rsid w:val="00D218BC"/>
    <w:rsid w:val="00D2193D"/>
    <w:rsid w:val="00D21D28"/>
    <w:rsid w:val="00D21F25"/>
    <w:rsid w:val="00D22105"/>
    <w:rsid w:val="00D2211C"/>
    <w:rsid w:val="00D22564"/>
    <w:rsid w:val="00D22B55"/>
    <w:rsid w:val="00D22BDD"/>
    <w:rsid w:val="00D22C81"/>
    <w:rsid w:val="00D23055"/>
    <w:rsid w:val="00D230AD"/>
    <w:rsid w:val="00D2320E"/>
    <w:rsid w:val="00D2327A"/>
    <w:rsid w:val="00D23506"/>
    <w:rsid w:val="00D251AB"/>
    <w:rsid w:val="00D25240"/>
    <w:rsid w:val="00D25AC6"/>
    <w:rsid w:val="00D25BF1"/>
    <w:rsid w:val="00D261D3"/>
    <w:rsid w:val="00D2693B"/>
    <w:rsid w:val="00D27086"/>
    <w:rsid w:val="00D27D4F"/>
    <w:rsid w:val="00D305BE"/>
    <w:rsid w:val="00D319DF"/>
    <w:rsid w:val="00D31C02"/>
    <w:rsid w:val="00D3225E"/>
    <w:rsid w:val="00D324BC"/>
    <w:rsid w:val="00D32B9F"/>
    <w:rsid w:val="00D331A5"/>
    <w:rsid w:val="00D33565"/>
    <w:rsid w:val="00D33761"/>
    <w:rsid w:val="00D33762"/>
    <w:rsid w:val="00D34BD1"/>
    <w:rsid w:val="00D35177"/>
    <w:rsid w:val="00D356E1"/>
    <w:rsid w:val="00D40609"/>
    <w:rsid w:val="00D40983"/>
    <w:rsid w:val="00D40B3B"/>
    <w:rsid w:val="00D40DD8"/>
    <w:rsid w:val="00D41188"/>
    <w:rsid w:val="00D41576"/>
    <w:rsid w:val="00D417D3"/>
    <w:rsid w:val="00D418D5"/>
    <w:rsid w:val="00D41DB1"/>
    <w:rsid w:val="00D4276D"/>
    <w:rsid w:val="00D42798"/>
    <w:rsid w:val="00D42970"/>
    <w:rsid w:val="00D42A21"/>
    <w:rsid w:val="00D43047"/>
    <w:rsid w:val="00D43468"/>
    <w:rsid w:val="00D43AED"/>
    <w:rsid w:val="00D43F3E"/>
    <w:rsid w:val="00D44261"/>
    <w:rsid w:val="00D44916"/>
    <w:rsid w:val="00D458BD"/>
    <w:rsid w:val="00D45AE4"/>
    <w:rsid w:val="00D45CA4"/>
    <w:rsid w:val="00D45EA7"/>
    <w:rsid w:val="00D45F22"/>
    <w:rsid w:val="00D47178"/>
    <w:rsid w:val="00D4752E"/>
    <w:rsid w:val="00D47842"/>
    <w:rsid w:val="00D47BEF"/>
    <w:rsid w:val="00D47C0D"/>
    <w:rsid w:val="00D47E67"/>
    <w:rsid w:val="00D50826"/>
    <w:rsid w:val="00D51675"/>
    <w:rsid w:val="00D51F73"/>
    <w:rsid w:val="00D52181"/>
    <w:rsid w:val="00D52827"/>
    <w:rsid w:val="00D529BE"/>
    <w:rsid w:val="00D52CF6"/>
    <w:rsid w:val="00D53D3E"/>
    <w:rsid w:val="00D547E0"/>
    <w:rsid w:val="00D54992"/>
    <w:rsid w:val="00D55291"/>
    <w:rsid w:val="00D55C48"/>
    <w:rsid w:val="00D55E47"/>
    <w:rsid w:val="00D56180"/>
    <w:rsid w:val="00D56392"/>
    <w:rsid w:val="00D56997"/>
    <w:rsid w:val="00D569A3"/>
    <w:rsid w:val="00D56BF7"/>
    <w:rsid w:val="00D570E6"/>
    <w:rsid w:val="00D5730F"/>
    <w:rsid w:val="00D5774F"/>
    <w:rsid w:val="00D60809"/>
    <w:rsid w:val="00D60D7F"/>
    <w:rsid w:val="00D61066"/>
    <w:rsid w:val="00D61458"/>
    <w:rsid w:val="00D61C9C"/>
    <w:rsid w:val="00D61E7B"/>
    <w:rsid w:val="00D62111"/>
    <w:rsid w:val="00D62229"/>
    <w:rsid w:val="00D625B8"/>
    <w:rsid w:val="00D626F8"/>
    <w:rsid w:val="00D636C2"/>
    <w:rsid w:val="00D636DC"/>
    <w:rsid w:val="00D63CC7"/>
    <w:rsid w:val="00D63F4C"/>
    <w:rsid w:val="00D64613"/>
    <w:rsid w:val="00D64702"/>
    <w:rsid w:val="00D649DC"/>
    <w:rsid w:val="00D65A6A"/>
    <w:rsid w:val="00D65D66"/>
    <w:rsid w:val="00D65ED5"/>
    <w:rsid w:val="00D65EDA"/>
    <w:rsid w:val="00D66BFD"/>
    <w:rsid w:val="00D66C91"/>
    <w:rsid w:val="00D66D46"/>
    <w:rsid w:val="00D66D70"/>
    <w:rsid w:val="00D674EE"/>
    <w:rsid w:val="00D67535"/>
    <w:rsid w:val="00D67BC9"/>
    <w:rsid w:val="00D67DBC"/>
    <w:rsid w:val="00D704D9"/>
    <w:rsid w:val="00D70612"/>
    <w:rsid w:val="00D70934"/>
    <w:rsid w:val="00D70BD2"/>
    <w:rsid w:val="00D713F2"/>
    <w:rsid w:val="00D71DC6"/>
    <w:rsid w:val="00D721A0"/>
    <w:rsid w:val="00D721B1"/>
    <w:rsid w:val="00D72705"/>
    <w:rsid w:val="00D738BF"/>
    <w:rsid w:val="00D73B93"/>
    <w:rsid w:val="00D73C95"/>
    <w:rsid w:val="00D7400F"/>
    <w:rsid w:val="00D745C1"/>
    <w:rsid w:val="00D74784"/>
    <w:rsid w:val="00D74C0D"/>
    <w:rsid w:val="00D75053"/>
    <w:rsid w:val="00D756F6"/>
    <w:rsid w:val="00D75731"/>
    <w:rsid w:val="00D75B45"/>
    <w:rsid w:val="00D75B5C"/>
    <w:rsid w:val="00D75F8C"/>
    <w:rsid w:val="00D76050"/>
    <w:rsid w:val="00D76210"/>
    <w:rsid w:val="00D76309"/>
    <w:rsid w:val="00D76423"/>
    <w:rsid w:val="00D767BF"/>
    <w:rsid w:val="00D77278"/>
    <w:rsid w:val="00D775B5"/>
    <w:rsid w:val="00D7782E"/>
    <w:rsid w:val="00D77961"/>
    <w:rsid w:val="00D77A47"/>
    <w:rsid w:val="00D77B20"/>
    <w:rsid w:val="00D77B3B"/>
    <w:rsid w:val="00D8007C"/>
    <w:rsid w:val="00D8079F"/>
    <w:rsid w:val="00D8103B"/>
    <w:rsid w:val="00D8111B"/>
    <w:rsid w:val="00D81242"/>
    <w:rsid w:val="00D812D2"/>
    <w:rsid w:val="00D81A8E"/>
    <w:rsid w:val="00D822E5"/>
    <w:rsid w:val="00D828E6"/>
    <w:rsid w:val="00D82C80"/>
    <w:rsid w:val="00D82D02"/>
    <w:rsid w:val="00D82D0F"/>
    <w:rsid w:val="00D83250"/>
    <w:rsid w:val="00D8336C"/>
    <w:rsid w:val="00D83A5A"/>
    <w:rsid w:val="00D84157"/>
    <w:rsid w:val="00D84AB8"/>
    <w:rsid w:val="00D84BD7"/>
    <w:rsid w:val="00D84DCA"/>
    <w:rsid w:val="00D85114"/>
    <w:rsid w:val="00D857BC"/>
    <w:rsid w:val="00D85CC6"/>
    <w:rsid w:val="00D866CC"/>
    <w:rsid w:val="00D86A92"/>
    <w:rsid w:val="00D871B6"/>
    <w:rsid w:val="00D875E1"/>
    <w:rsid w:val="00D90052"/>
    <w:rsid w:val="00D90275"/>
    <w:rsid w:val="00D902F5"/>
    <w:rsid w:val="00D9075D"/>
    <w:rsid w:val="00D90959"/>
    <w:rsid w:val="00D91410"/>
    <w:rsid w:val="00D91438"/>
    <w:rsid w:val="00D91594"/>
    <w:rsid w:val="00D91ABE"/>
    <w:rsid w:val="00D91DFB"/>
    <w:rsid w:val="00D921DA"/>
    <w:rsid w:val="00D929A2"/>
    <w:rsid w:val="00D92A4A"/>
    <w:rsid w:val="00D92C2F"/>
    <w:rsid w:val="00D92DE4"/>
    <w:rsid w:val="00D92F7F"/>
    <w:rsid w:val="00D930AC"/>
    <w:rsid w:val="00D9459D"/>
    <w:rsid w:val="00D94730"/>
    <w:rsid w:val="00D94858"/>
    <w:rsid w:val="00D9487D"/>
    <w:rsid w:val="00D94972"/>
    <w:rsid w:val="00D9535B"/>
    <w:rsid w:val="00D954A1"/>
    <w:rsid w:val="00D95519"/>
    <w:rsid w:val="00D95744"/>
    <w:rsid w:val="00D958FC"/>
    <w:rsid w:val="00D959AE"/>
    <w:rsid w:val="00D95DC2"/>
    <w:rsid w:val="00D96678"/>
    <w:rsid w:val="00D9673A"/>
    <w:rsid w:val="00D96816"/>
    <w:rsid w:val="00D96A3F"/>
    <w:rsid w:val="00D96C73"/>
    <w:rsid w:val="00D96D46"/>
    <w:rsid w:val="00D97A3A"/>
    <w:rsid w:val="00D97C27"/>
    <w:rsid w:val="00DA032C"/>
    <w:rsid w:val="00DA0526"/>
    <w:rsid w:val="00DA0639"/>
    <w:rsid w:val="00DA0B8C"/>
    <w:rsid w:val="00DA0CF7"/>
    <w:rsid w:val="00DA0E96"/>
    <w:rsid w:val="00DA1203"/>
    <w:rsid w:val="00DA14A0"/>
    <w:rsid w:val="00DA15AC"/>
    <w:rsid w:val="00DA18DA"/>
    <w:rsid w:val="00DA1F0C"/>
    <w:rsid w:val="00DA24E9"/>
    <w:rsid w:val="00DA25E6"/>
    <w:rsid w:val="00DA2935"/>
    <w:rsid w:val="00DA2B06"/>
    <w:rsid w:val="00DA2B20"/>
    <w:rsid w:val="00DA2D97"/>
    <w:rsid w:val="00DA3565"/>
    <w:rsid w:val="00DA359C"/>
    <w:rsid w:val="00DA36A9"/>
    <w:rsid w:val="00DA3A5B"/>
    <w:rsid w:val="00DA3D0B"/>
    <w:rsid w:val="00DA3F51"/>
    <w:rsid w:val="00DA41AA"/>
    <w:rsid w:val="00DA45A0"/>
    <w:rsid w:val="00DA45DB"/>
    <w:rsid w:val="00DA48D9"/>
    <w:rsid w:val="00DA49F8"/>
    <w:rsid w:val="00DA4AAE"/>
    <w:rsid w:val="00DA5572"/>
    <w:rsid w:val="00DA5BFE"/>
    <w:rsid w:val="00DA5D5D"/>
    <w:rsid w:val="00DA6A15"/>
    <w:rsid w:val="00DA6B3A"/>
    <w:rsid w:val="00DA6CC2"/>
    <w:rsid w:val="00DA7029"/>
    <w:rsid w:val="00DA70B9"/>
    <w:rsid w:val="00DA77A0"/>
    <w:rsid w:val="00DB09A2"/>
    <w:rsid w:val="00DB103D"/>
    <w:rsid w:val="00DB1420"/>
    <w:rsid w:val="00DB1448"/>
    <w:rsid w:val="00DB1907"/>
    <w:rsid w:val="00DB1998"/>
    <w:rsid w:val="00DB1FC4"/>
    <w:rsid w:val="00DB21F0"/>
    <w:rsid w:val="00DB25DB"/>
    <w:rsid w:val="00DB2C5F"/>
    <w:rsid w:val="00DB3A58"/>
    <w:rsid w:val="00DB3BDF"/>
    <w:rsid w:val="00DB3C58"/>
    <w:rsid w:val="00DB3D46"/>
    <w:rsid w:val="00DB401C"/>
    <w:rsid w:val="00DB46C8"/>
    <w:rsid w:val="00DB52F0"/>
    <w:rsid w:val="00DB540E"/>
    <w:rsid w:val="00DB5A63"/>
    <w:rsid w:val="00DB6166"/>
    <w:rsid w:val="00DB6520"/>
    <w:rsid w:val="00DB656B"/>
    <w:rsid w:val="00DB6803"/>
    <w:rsid w:val="00DB691E"/>
    <w:rsid w:val="00DB6C99"/>
    <w:rsid w:val="00DB6EB1"/>
    <w:rsid w:val="00DB75A3"/>
    <w:rsid w:val="00DC02F5"/>
    <w:rsid w:val="00DC0574"/>
    <w:rsid w:val="00DC0C65"/>
    <w:rsid w:val="00DC10E5"/>
    <w:rsid w:val="00DC16BF"/>
    <w:rsid w:val="00DC16E1"/>
    <w:rsid w:val="00DC16FC"/>
    <w:rsid w:val="00DC1881"/>
    <w:rsid w:val="00DC19CB"/>
    <w:rsid w:val="00DC1ED7"/>
    <w:rsid w:val="00DC209D"/>
    <w:rsid w:val="00DC294E"/>
    <w:rsid w:val="00DC37B9"/>
    <w:rsid w:val="00DC3954"/>
    <w:rsid w:val="00DC3A6F"/>
    <w:rsid w:val="00DC3D1C"/>
    <w:rsid w:val="00DC43E1"/>
    <w:rsid w:val="00DC50E9"/>
    <w:rsid w:val="00DC5199"/>
    <w:rsid w:val="00DC5A32"/>
    <w:rsid w:val="00DC5E4E"/>
    <w:rsid w:val="00DC651B"/>
    <w:rsid w:val="00DC662F"/>
    <w:rsid w:val="00DC6961"/>
    <w:rsid w:val="00DC6E78"/>
    <w:rsid w:val="00DC707F"/>
    <w:rsid w:val="00DC729A"/>
    <w:rsid w:val="00DC73B1"/>
    <w:rsid w:val="00DC7519"/>
    <w:rsid w:val="00DC7630"/>
    <w:rsid w:val="00DC7EB5"/>
    <w:rsid w:val="00DD04AC"/>
    <w:rsid w:val="00DD04DD"/>
    <w:rsid w:val="00DD0891"/>
    <w:rsid w:val="00DD0AB4"/>
    <w:rsid w:val="00DD0B35"/>
    <w:rsid w:val="00DD0C4D"/>
    <w:rsid w:val="00DD0F9F"/>
    <w:rsid w:val="00DD11A7"/>
    <w:rsid w:val="00DD1298"/>
    <w:rsid w:val="00DD2300"/>
    <w:rsid w:val="00DD2309"/>
    <w:rsid w:val="00DD28B3"/>
    <w:rsid w:val="00DD2DE3"/>
    <w:rsid w:val="00DD2DE8"/>
    <w:rsid w:val="00DD316F"/>
    <w:rsid w:val="00DD357C"/>
    <w:rsid w:val="00DD370C"/>
    <w:rsid w:val="00DD37CA"/>
    <w:rsid w:val="00DD3D55"/>
    <w:rsid w:val="00DD3DF7"/>
    <w:rsid w:val="00DD3E58"/>
    <w:rsid w:val="00DD4AE2"/>
    <w:rsid w:val="00DD4BFA"/>
    <w:rsid w:val="00DD51F8"/>
    <w:rsid w:val="00DD6388"/>
    <w:rsid w:val="00DD6C53"/>
    <w:rsid w:val="00DD7198"/>
    <w:rsid w:val="00DD7752"/>
    <w:rsid w:val="00DD7CB6"/>
    <w:rsid w:val="00DE0077"/>
    <w:rsid w:val="00DE0137"/>
    <w:rsid w:val="00DE01BA"/>
    <w:rsid w:val="00DE061F"/>
    <w:rsid w:val="00DE0DCF"/>
    <w:rsid w:val="00DE137B"/>
    <w:rsid w:val="00DE19D9"/>
    <w:rsid w:val="00DE1DC6"/>
    <w:rsid w:val="00DE1F77"/>
    <w:rsid w:val="00DE21C6"/>
    <w:rsid w:val="00DE22AA"/>
    <w:rsid w:val="00DE288F"/>
    <w:rsid w:val="00DE2BDD"/>
    <w:rsid w:val="00DE2C45"/>
    <w:rsid w:val="00DE2D49"/>
    <w:rsid w:val="00DE2ED5"/>
    <w:rsid w:val="00DE2F4E"/>
    <w:rsid w:val="00DE3E66"/>
    <w:rsid w:val="00DE3F75"/>
    <w:rsid w:val="00DE41FC"/>
    <w:rsid w:val="00DE45F5"/>
    <w:rsid w:val="00DE4AAD"/>
    <w:rsid w:val="00DE4C0C"/>
    <w:rsid w:val="00DE4C85"/>
    <w:rsid w:val="00DE4D46"/>
    <w:rsid w:val="00DE4FC8"/>
    <w:rsid w:val="00DE53B5"/>
    <w:rsid w:val="00DE5A50"/>
    <w:rsid w:val="00DE5AFF"/>
    <w:rsid w:val="00DE60C5"/>
    <w:rsid w:val="00DE7323"/>
    <w:rsid w:val="00DE75F0"/>
    <w:rsid w:val="00DE77CB"/>
    <w:rsid w:val="00DE7EBA"/>
    <w:rsid w:val="00DE7EF8"/>
    <w:rsid w:val="00DF04BD"/>
    <w:rsid w:val="00DF050A"/>
    <w:rsid w:val="00DF068D"/>
    <w:rsid w:val="00DF0D3A"/>
    <w:rsid w:val="00DF140A"/>
    <w:rsid w:val="00DF1A9A"/>
    <w:rsid w:val="00DF1C2D"/>
    <w:rsid w:val="00DF1F8A"/>
    <w:rsid w:val="00DF2209"/>
    <w:rsid w:val="00DF248E"/>
    <w:rsid w:val="00DF2715"/>
    <w:rsid w:val="00DF3577"/>
    <w:rsid w:val="00DF4063"/>
    <w:rsid w:val="00DF58A3"/>
    <w:rsid w:val="00DF5965"/>
    <w:rsid w:val="00DF5F13"/>
    <w:rsid w:val="00DF63DD"/>
    <w:rsid w:val="00DF6B62"/>
    <w:rsid w:val="00DF7BD0"/>
    <w:rsid w:val="00DF7BDF"/>
    <w:rsid w:val="00E00303"/>
    <w:rsid w:val="00E00A62"/>
    <w:rsid w:val="00E010A0"/>
    <w:rsid w:val="00E0125E"/>
    <w:rsid w:val="00E01668"/>
    <w:rsid w:val="00E0173A"/>
    <w:rsid w:val="00E01849"/>
    <w:rsid w:val="00E020D1"/>
    <w:rsid w:val="00E02B64"/>
    <w:rsid w:val="00E02EAD"/>
    <w:rsid w:val="00E03453"/>
    <w:rsid w:val="00E039D9"/>
    <w:rsid w:val="00E03D3F"/>
    <w:rsid w:val="00E03DED"/>
    <w:rsid w:val="00E03F32"/>
    <w:rsid w:val="00E0437C"/>
    <w:rsid w:val="00E0452C"/>
    <w:rsid w:val="00E04D61"/>
    <w:rsid w:val="00E0504C"/>
    <w:rsid w:val="00E05074"/>
    <w:rsid w:val="00E052DA"/>
    <w:rsid w:val="00E05489"/>
    <w:rsid w:val="00E05741"/>
    <w:rsid w:val="00E05F7F"/>
    <w:rsid w:val="00E06549"/>
    <w:rsid w:val="00E06930"/>
    <w:rsid w:val="00E06971"/>
    <w:rsid w:val="00E075FA"/>
    <w:rsid w:val="00E07B27"/>
    <w:rsid w:val="00E07CAF"/>
    <w:rsid w:val="00E07D90"/>
    <w:rsid w:val="00E105B3"/>
    <w:rsid w:val="00E10846"/>
    <w:rsid w:val="00E10883"/>
    <w:rsid w:val="00E108F4"/>
    <w:rsid w:val="00E10D4E"/>
    <w:rsid w:val="00E1100C"/>
    <w:rsid w:val="00E11489"/>
    <w:rsid w:val="00E11711"/>
    <w:rsid w:val="00E11E63"/>
    <w:rsid w:val="00E11F94"/>
    <w:rsid w:val="00E12696"/>
    <w:rsid w:val="00E1310D"/>
    <w:rsid w:val="00E13359"/>
    <w:rsid w:val="00E138BF"/>
    <w:rsid w:val="00E14EFA"/>
    <w:rsid w:val="00E151B9"/>
    <w:rsid w:val="00E158C4"/>
    <w:rsid w:val="00E15CC4"/>
    <w:rsid w:val="00E161E6"/>
    <w:rsid w:val="00E167C9"/>
    <w:rsid w:val="00E1698C"/>
    <w:rsid w:val="00E16BDB"/>
    <w:rsid w:val="00E16CE4"/>
    <w:rsid w:val="00E172BE"/>
    <w:rsid w:val="00E17CF7"/>
    <w:rsid w:val="00E205D6"/>
    <w:rsid w:val="00E20829"/>
    <w:rsid w:val="00E209AB"/>
    <w:rsid w:val="00E216EC"/>
    <w:rsid w:val="00E2189A"/>
    <w:rsid w:val="00E21A60"/>
    <w:rsid w:val="00E224CE"/>
    <w:rsid w:val="00E22B5A"/>
    <w:rsid w:val="00E22B68"/>
    <w:rsid w:val="00E231C9"/>
    <w:rsid w:val="00E237CA"/>
    <w:rsid w:val="00E23EBF"/>
    <w:rsid w:val="00E23FA1"/>
    <w:rsid w:val="00E23FD5"/>
    <w:rsid w:val="00E24669"/>
    <w:rsid w:val="00E24A70"/>
    <w:rsid w:val="00E24C0D"/>
    <w:rsid w:val="00E24C48"/>
    <w:rsid w:val="00E24EE4"/>
    <w:rsid w:val="00E2586C"/>
    <w:rsid w:val="00E25981"/>
    <w:rsid w:val="00E26056"/>
    <w:rsid w:val="00E26141"/>
    <w:rsid w:val="00E266F5"/>
    <w:rsid w:val="00E2673E"/>
    <w:rsid w:val="00E270D3"/>
    <w:rsid w:val="00E27FC7"/>
    <w:rsid w:val="00E3050B"/>
    <w:rsid w:val="00E30700"/>
    <w:rsid w:val="00E31115"/>
    <w:rsid w:val="00E31360"/>
    <w:rsid w:val="00E31D28"/>
    <w:rsid w:val="00E32425"/>
    <w:rsid w:val="00E32443"/>
    <w:rsid w:val="00E3252C"/>
    <w:rsid w:val="00E325FF"/>
    <w:rsid w:val="00E32A93"/>
    <w:rsid w:val="00E32CB8"/>
    <w:rsid w:val="00E32F67"/>
    <w:rsid w:val="00E33B78"/>
    <w:rsid w:val="00E3440F"/>
    <w:rsid w:val="00E34F3A"/>
    <w:rsid w:val="00E356B3"/>
    <w:rsid w:val="00E35F99"/>
    <w:rsid w:val="00E35F9A"/>
    <w:rsid w:val="00E3637F"/>
    <w:rsid w:val="00E364B6"/>
    <w:rsid w:val="00E36723"/>
    <w:rsid w:val="00E36BC3"/>
    <w:rsid w:val="00E3713C"/>
    <w:rsid w:val="00E3767B"/>
    <w:rsid w:val="00E37E1C"/>
    <w:rsid w:val="00E40079"/>
    <w:rsid w:val="00E40126"/>
    <w:rsid w:val="00E4013B"/>
    <w:rsid w:val="00E40C85"/>
    <w:rsid w:val="00E40CBF"/>
    <w:rsid w:val="00E40E7D"/>
    <w:rsid w:val="00E40EE4"/>
    <w:rsid w:val="00E413C6"/>
    <w:rsid w:val="00E420D5"/>
    <w:rsid w:val="00E42517"/>
    <w:rsid w:val="00E42948"/>
    <w:rsid w:val="00E42B77"/>
    <w:rsid w:val="00E42D55"/>
    <w:rsid w:val="00E42FFE"/>
    <w:rsid w:val="00E4316E"/>
    <w:rsid w:val="00E435AB"/>
    <w:rsid w:val="00E44275"/>
    <w:rsid w:val="00E445B6"/>
    <w:rsid w:val="00E44705"/>
    <w:rsid w:val="00E44777"/>
    <w:rsid w:val="00E44B88"/>
    <w:rsid w:val="00E44F67"/>
    <w:rsid w:val="00E4535F"/>
    <w:rsid w:val="00E455E3"/>
    <w:rsid w:val="00E45F9D"/>
    <w:rsid w:val="00E466BC"/>
    <w:rsid w:val="00E4686A"/>
    <w:rsid w:val="00E46F02"/>
    <w:rsid w:val="00E4791C"/>
    <w:rsid w:val="00E479FD"/>
    <w:rsid w:val="00E47A76"/>
    <w:rsid w:val="00E504D6"/>
    <w:rsid w:val="00E50B6F"/>
    <w:rsid w:val="00E50EBE"/>
    <w:rsid w:val="00E50F69"/>
    <w:rsid w:val="00E50FC6"/>
    <w:rsid w:val="00E510AC"/>
    <w:rsid w:val="00E52372"/>
    <w:rsid w:val="00E5272D"/>
    <w:rsid w:val="00E52786"/>
    <w:rsid w:val="00E52F05"/>
    <w:rsid w:val="00E53844"/>
    <w:rsid w:val="00E53EF7"/>
    <w:rsid w:val="00E540CA"/>
    <w:rsid w:val="00E54C83"/>
    <w:rsid w:val="00E55460"/>
    <w:rsid w:val="00E55851"/>
    <w:rsid w:val="00E558BA"/>
    <w:rsid w:val="00E55B28"/>
    <w:rsid w:val="00E56D4A"/>
    <w:rsid w:val="00E57119"/>
    <w:rsid w:val="00E5719E"/>
    <w:rsid w:val="00E57D7B"/>
    <w:rsid w:val="00E57F4B"/>
    <w:rsid w:val="00E602E5"/>
    <w:rsid w:val="00E602F8"/>
    <w:rsid w:val="00E6085B"/>
    <w:rsid w:val="00E60FBA"/>
    <w:rsid w:val="00E60FBF"/>
    <w:rsid w:val="00E60FC9"/>
    <w:rsid w:val="00E611AE"/>
    <w:rsid w:val="00E616F9"/>
    <w:rsid w:val="00E61852"/>
    <w:rsid w:val="00E61A0C"/>
    <w:rsid w:val="00E61D22"/>
    <w:rsid w:val="00E61D96"/>
    <w:rsid w:val="00E61E4B"/>
    <w:rsid w:val="00E61E57"/>
    <w:rsid w:val="00E625B6"/>
    <w:rsid w:val="00E62F6E"/>
    <w:rsid w:val="00E630F3"/>
    <w:rsid w:val="00E63DA2"/>
    <w:rsid w:val="00E641E8"/>
    <w:rsid w:val="00E642AF"/>
    <w:rsid w:val="00E644C6"/>
    <w:rsid w:val="00E64555"/>
    <w:rsid w:val="00E64595"/>
    <w:rsid w:val="00E646BB"/>
    <w:rsid w:val="00E64B83"/>
    <w:rsid w:val="00E64D24"/>
    <w:rsid w:val="00E64FAF"/>
    <w:rsid w:val="00E6532C"/>
    <w:rsid w:val="00E653A6"/>
    <w:rsid w:val="00E6549C"/>
    <w:rsid w:val="00E654B9"/>
    <w:rsid w:val="00E6589D"/>
    <w:rsid w:val="00E65E8C"/>
    <w:rsid w:val="00E665E7"/>
    <w:rsid w:val="00E6661C"/>
    <w:rsid w:val="00E66795"/>
    <w:rsid w:val="00E66C96"/>
    <w:rsid w:val="00E67D37"/>
    <w:rsid w:val="00E70130"/>
    <w:rsid w:val="00E706DE"/>
    <w:rsid w:val="00E70875"/>
    <w:rsid w:val="00E71063"/>
    <w:rsid w:val="00E715FC"/>
    <w:rsid w:val="00E71A45"/>
    <w:rsid w:val="00E71C21"/>
    <w:rsid w:val="00E72F23"/>
    <w:rsid w:val="00E72F38"/>
    <w:rsid w:val="00E730FC"/>
    <w:rsid w:val="00E73481"/>
    <w:rsid w:val="00E7385A"/>
    <w:rsid w:val="00E7391F"/>
    <w:rsid w:val="00E73CE6"/>
    <w:rsid w:val="00E74780"/>
    <w:rsid w:val="00E74956"/>
    <w:rsid w:val="00E752F7"/>
    <w:rsid w:val="00E75848"/>
    <w:rsid w:val="00E759D4"/>
    <w:rsid w:val="00E75FF5"/>
    <w:rsid w:val="00E76A3C"/>
    <w:rsid w:val="00E76F9B"/>
    <w:rsid w:val="00E77031"/>
    <w:rsid w:val="00E771FC"/>
    <w:rsid w:val="00E773E5"/>
    <w:rsid w:val="00E77BDD"/>
    <w:rsid w:val="00E80112"/>
    <w:rsid w:val="00E806D3"/>
    <w:rsid w:val="00E80FD4"/>
    <w:rsid w:val="00E8104D"/>
    <w:rsid w:val="00E81C34"/>
    <w:rsid w:val="00E81D83"/>
    <w:rsid w:val="00E821BB"/>
    <w:rsid w:val="00E822E9"/>
    <w:rsid w:val="00E826FE"/>
    <w:rsid w:val="00E8275E"/>
    <w:rsid w:val="00E827AF"/>
    <w:rsid w:val="00E82CA0"/>
    <w:rsid w:val="00E82DE9"/>
    <w:rsid w:val="00E83253"/>
    <w:rsid w:val="00E83714"/>
    <w:rsid w:val="00E83831"/>
    <w:rsid w:val="00E83C91"/>
    <w:rsid w:val="00E83D91"/>
    <w:rsid w:val="00E844AB"/>
    <w:rsid w:val="00E84C97"/>
    <w:rsid w:val="00E84C98"/>
    <w:rsid w:val="00E85005"/>
    <w:rsid w:val="00E85296"/>
    <w:rsid w:val="00E8533B"/>
    <w:rsid w:val="00E85BD0"/>
    <w:rsid w:val="00E85E4E"/>
    <w:rsid w:val="00E86327"/>
    <w:rsid w:val="00E86DF0"/>
    <w:rsid w:val="00E87BD2"/>
    <w:rsid w:val="00E87CDC"/>
    <w:rsid w:val="00E90A2A"/>
    <w:rsid w:val="00E90B33"/>
    <w:rsid w:val="00E90D2E"/>
    <w:rsid w:val="00E910E4"/>
    <w:rsid w:val="00E911E0"/>
    <w:rsid w:val="00E92115"/>
    <w:rsid w:val="00E921F9"/>
    <w:rsid w:val="00E92938"/>
    <w:rsid w:val="00E931A3"/>
    <w:rsid w:val="00E93407"/>
    <w:rsid w:val="00E93572"/>
    <w:rsid w:val="00E940A8"/>
    <w:rsid w:val="00E94307"/>
    <w:rsid w:val="00E947E8"/>
    <w:rsid w:val="00E94B0F"/>
    <w:rsid w:val="00E94EF6"/>
    <w:rsid w:val="00E9503F"/>
    <w:rsid w:val="00E956F3"/>
    <w:rsid w:val="00E95AA7"/>
    <w:rsid w:val="00E96375"/>
    <w:rsid w:val="00E967C0"/>
    <w:rsid w:val="00E96E68"/>
    <w:rsid w:val="00E97013"/>
    <w:rsid w:val="00E97EA1"/>
    <w:rsid w:val="00EA0BBE"/>
    <w:rsid w:val="00EA18B9"/>
    <w:rsid w:val="00EA193E"/>
    <w:rsid w:val="00EA1D70"/>
    <w:rsid w:val="00EA1FBC"/>
    <w:rsid w:val="00EA20A1"/>
    <w:rsid w:val="00EA212B"/>
    <w:rsid w:val="00EA24B5"/>
    <w:rsid w:val="00EA2522"/>
    <w:rsid w:val="00EA2AAA"/>
    <w:rsid w:val="00EA2D41"/>
    <w:rsid w:val="00EA2D44"/>
    <w:rsid w:val="00EA3A1D"/>
    <w:rsid w:val="00EA3CD7"/>
    <w:rsid w:val="00EA3E2D"/>
    <w:rsid w:val="00EA4010"/>
    <w:rsid w:val="00EA429D"/>
    <w:rsid w:val="00EA43AF"/>
    <w:rsid w:val="00EA4676"/>
    <w:rsid w:val="00EA47FB"/>
    <w:rsid w:val="00EA4C7C"/>
    <w:rsid w:val="00EA4D4C"/>
    <w:rsid w:val="00EA554F"/>
    <w:rsid w:val="00EA6250"/>
    <w:rsid w:val="00EA66A4"/>
    <w:rsid w:val="00EA6819"/>
    <w:rsid w:val="00EA6A1E"/>
    <w:rsid w:val="00EA6CAC"/>
    <w:rsid w:val="00EA75BD"/>
    <w:rsid w:val="00EA7C47"/>
    <w:rsid w:val="00EB02F9"/>
    <w:rsid w:val="00EB0F0F"/>
    <w:rsid w:val="00EB12A5"/>
    <w:rsid w:val="00EB2143"/>
    <w:rsid w:val="00EB24D8"/>
    <w:rsid w:val="00EB277B"/>
    <w:rsid w:val="00EB2F20"/>
    <w:rsid w:val="00EB2F35"/>
    <w:rsid w:val="00EB31DB"/>
    <w:rsid w:val="00EB3422"/>
    <w:rsid w:val="00EB3A31"/>
    <w:rsid w:val="00EB4EAF"/>
    <w:rsid w:val="00EB5056"/>
    <w:rsid w:val="00EB548E"/>
    <w:rsid w:val="00EB584B"/>
    <w:rsid w:val="00EB5C41"/>
    <w:rsid w:val="00EB5F5A"/>
    <w:rsid w:val="00EB647F"/>
    <w:rsid w:val="00EB656C"/>
    <w:rsid w:val="00EB657E"/>
    <w:rsid w:val="00EB695E"/>
    <w:rsid w:val="00EB69D1"/>
    <w:rsid w:val="00EB69D4"/>
    <w:rsid w:val="00EB6FE9"/>
    <w:rsid w:val="00EB72FF"/>
    <w:rsid w:val="00EB756F"/>
    <w:rsid w:val="00EB79C8"/>
    <w:rsid w:val="00EB7E3F"/>
    <w:rsid w:val="00EB7E78"/>
    <w:rsid w:val="00EC013A"/>
    <w:rsid w:val="00EC0301"/>
    <w:rsid w:val="00EC08B5"/>
    <w:rsid w:val="00EC09C6"/>
    <w:rsid w:val="00EC0EA5"/>
    <w:rsid w:val="00EC1056"/>
    <w:rsid w:val="00EC1470"/>
    <w:rsid w:val="00EC164F"/>
    <w:rsid w:val="00EC222E"/>
    <w:rsid w:val="00EC2716"/>
    <w:rsid w:val="00EC2DBB"/>
    <w:rsid w:val="00EC343A"/>
    <w:rsid w:val="00EC3517"/>
    <w:rsid w:val="00EC358E"/>
    <w:rsid w:val="00EC3FD2"/>
    <w:rsid w:val="00EC4095"/>
    <w:rsid w:val="00EC43B5"/>
    <w:rsid w:val="00EC4537"/>
    <w:rsid w:val="00EC4960"/>
    <w:rsid w:val="00EC4AE3"/>
    <w:rsid w:val="00EC5414"/>
    <w:rsid w:val="00EC54EE"/>
    <w:rsid w:val="00EC59B2"/>
    <w:rsid w:val="00EC5A3B"/>
    <w:rsid w:val="00EC6424"/>
    <w:rsid w:val="00EC786C"/>
    <w:rsid w:val="00EC7ADD"/>
    <w:rsid w:val="00EC7C26"/>
    <w:rsid w:val="00ED04FE"/>
    <w:rsid w:val="00ED0DD0"/>
    <w:rsid w:val="00ED1122"/>
    <w:rsid w:val="00ED1989"/>
    <w:rsid w:val="00ED28F2"/>
    <w:rsid w:val="00ED2F3E"/>
    <w:rsid w:val="00ED3145"/>
    <w:rsid w:val="00ED3309"/>
    <w:rsid w:val="00ED356E"/>
    <w:rsid w:val="00ED3792"/>
    <w:rsid w:val="00ED3B83"/>
    <w:rsid w:val="00ED3BDA"/>
    <w:rsid w:val="00ED56F9"/>
    <w:rsid w:val="00ED5A3B"/>
    <w:rsid w:val="00ED5C30"/>
    <w:rsid w:val="00ED5E02"/>
    <w:rsid w:val="00ED5EED"/>
    <w:rsid w:val="00ED612A"/>
    <w:rsid w:val="00ED6B1C"/>
    <w:rsid w:val="00ED6CF7"/>
    <w:rsid w:val="00ED6F33"/>
    <w:rsid w:val="00ED70A5"/>
    <w:rsid w:val="00ED7716"/>
    <w:rsid w:val="00ED7737"/>
    <w:rsid w:val="00ED7747"/>
    <w:rsid w:val="00ED7CF4"/>
    <w:rsid w:val="00ED7FA2"/>
    <w:rsid w:val="00EE01E6"/>
    <w:rsid w:val="00EE0786"/>
    <w:rsid w:val="00EE1B0E"/>
    <w:rsid w:val="00EE22FB"/>
    <w:rsid w:val="00EE2407"/>
    <w:rsid w:val="00EE26AE"/>
    <w:rsid w:val="00EE29C8"/>
    <w:rsid w:val="00EE2A54"/>
    <w:rsid w:val="00EE2FC2"/>
    <w:rsid w:val="00EE310D"/>
    <w:rsid w:val="00EE3AAF"/>
    <w:rsid w:val="00EE3B6B"/>
    <w:rsid w:val="00EE3B88"/>
    <w:rsid w:val="00EE4550"/>
    <w:rsid w:val="00EE4635"/>
    <w:rsid w:val="00EE4B75"/>
    <w:rsid w:val="00EE4D34"/>
    <w:rsid w:val="00EE4DBD"/>
    <w:rsid w:val="00EE649F"/>
    <w:rsid w:val="00EE6AC6"/>
    <w:rsid w:val="00EE6E26"/>
    <w:rsid w:val="00EE784F"/>
    <w:rsid w:val="00EE7A1D"/>
    <w:rsid w:val="00EE7DBD"/>
    <w:rsid w:val="00EF0500"/>
    <w:rsid w:val="00EF0808"/>
    <w:rsid w:val="00EF0A68"/>
    <w:rsid w:val="00EF1002"/>
    <w:rsid w:val="00EF143F"/>
    <w:rsid w:val="00EF1710"/>
    <w:rsid w:val="00EF1D3B"/>
    <w:rsid w:val="00EF23D8"/>
    <w:rsid w:val="00EF2A5A"/>
    <w:rsid w:val="00EF2A87"/>
    <w:rsid w:val="00EF3A74"/>
    <w:rsid w:val="00EF3AE9"/>
    <w:rsid w:val="00EF3EA5"/>
    <w:rsid w:val="00EF49FB"/>
    <w:rsid w:val="00EF55D6"/>
    <w:rsid w:val="00EF5788"/>
    <w:rsid w:val="00EF644D"/>
    <w:rsid w:val="00EF64D4"/>
    <w:rsid w:val="00EF6BAD"/>
    <w:rsid w:val="00EF6D29"/>
    <w:rsid w:val="00EF6E79"/>
    <w:rsid w:val="00EF7138"/>
    <w:rsid w:val="00EF7E0B"/>
    <w:rsid w:val="00F00881"/>
    <w:rsid w:val="00F00917"/>
    <w:rsid w:val="00F00B65"/>
    <w:rsid w:val="00F010BB"/>
    <w:rsid w:val="00F012C1"/>
    <w:rsid w:val="00F0175F"/>
    <w:rsid w:val="00F01A41"/>
    <w:rsid w:val="00F02CB5"/>
    <w:rsid w:val="00F03280"/>
    <w:rsid w:val="00F0362A"/>
    <w:rsid w:val="00F0385C"/>
    <w:rsid w:val="00F03ABE"/>
    <w:rsid w:val="00F03B69"/>
    <w:rsid w:val="00F04345"/>
    <w:rsid w:val="00F047A4"/>
    <w:rsid w:val="00F04DDA"/>
    <w:rsid w:val="00F04F52"/>
    <w:rsid w:val="00F0510F"/>
    <w:rsid w:val="00F0563F"/>
    <w:rsid w:val="00F05973"/>
    <w:rsid w:val="00F064EF"/>
    <w:rsid w:val="00F06558"/>
    <w:rsid w:val="00F06817"/>
    <w:rsid w:val="00F06F42"/>
    <w:rsid w:val="00F07122"/>
    <w:rsid w:val="00F074C9"/>
    <w:rsid w:val="00F07588"/>
    <w:rsid w:val="00F07C82"/>
    <w:rsid w:val="00F07F5E"/>
    <w:rsid w:val="00F1001E"/>
    <w:rsid w:val="00F1055F"/>
    <w:rsid w:val="00F106BB"/>
    <w:rsid w:val="00F10BA6"/>
    <w:rsid w:val="00F11027"/>
    <w:rsid w:val="00F111BA"/>
    <w:rsid w:val="00F1155D"/>
    <w:rsid w:val="00F116DD"/>
    <w:rsid w:val="00F1191B"/>
    <w:rsid w:val="00F11D9F"/>
    <w:rsid w:val="00F11E31"/>
    <w:rsid w:val="00F12C53"/>
    <w:rsid w:val="00F1360C"/>
    <w:rsid w:val="00F13AA1"/>
    <w:rsid w:val="00F13F2A"/>
    <w:rsid w:val="00F148E4"/>
    <w:rsid w:val="00F14D9E"/>
    <w:rsid w:val="00F15097"/>
    <w:rsid w:val="00F153F8"/>
    <w:rsid w:val="00F15671"/>
    <w:rsid w:val="00F157AE"/>
    <w:rsid w:val="00F161E6"/>
    <w:rsid w:val="00F1643E"/>
    <w:rsid w:val="00F16695"/>
    <w:rsid w:val="00F16CDE"/>
    <w:rsid w:val="00F17159"/>
    <w:rsid w:val="00F1733F"/>
    <w:rsid w:val="00F202E3"/>
    <w:rsid w:val="00F20C6E"/>
    <w:rsid w:val="00F20D6C"/>
    <w:rsid w:val="00F20F03"/>
    <w:rsid w:val="00F2255F"/>
    <w:rsid w:val="00F225CF"/>
    <w:rsid w:val="00F22882"/>
    <w:rsid w:val="00F22985"/>
    <w:rsid w:val="00F22AEF"/>
    <w:rsid w:val="00F22F7A"/>
    <w:rsid w:val="00F2343C"/>
    <w:rsid w:val="00F234DC"/>
    <w:rsid w:val="00F23A0A"/>
    <w:rsid w:val="00F23CFC"/>
    <w:rsid w:val="00F24076"/>
    <w:rsid w:val="00F240CB"/>
    <w:rsid w:val="00F2492F"/>
    <w:rsid w:val="00F24AC0"/>
    <w:rsid w:val="00F24B29"/>
    <w:rsid w:val="00F2500D"/>
    <w:rsid w:val="00F251B2"/>
    <w:rsid w:val="00F2596D"/>
    <w:rsid w:val="00F25A3E"/>
    <w:rsid w:val="00F25CAA"/>
    <w:rsid w:val="00F26148"/>
    <w:rsid w:val="00F26AD6"/>
    <w:rsid w:val="00F26DD8"/>
    <w:rsid w:val="00F2711C"/>
    <w:rsid w:val="00F2720E"/>
    <w:rsid w:val="00F27253"/>
    <w:rsid w:val="00F277E8"/>
    <w:rsid w:val="00F27B04"/>
    <w:rsid w:val="00F27E3D"/>
    <w:rsid w:val="00F27EB2"/>
    <w:rsid w:val="00F301D0"/>
    <w:rsid w:val="00F3069F"/>
    <w:rsid w:val="00F30A02"/>
    <w:rsid w:val="00F30C3F"/>
    <w:rsid w:val="00F30C60"/>
    <w:rsid w:val="00F30F38"/>
    <w:rsid w:val="00F31082"/>
    <w:rsid w:val="00F311D1"/>
    <w:rsid w:val="00F3158A"/>
    <w:rsid w:val="00F318DB"/>
    <w:rsid w:val="00F3199C"/>
    <w:rsid w:val="00F31F7D"/>
    <w:rsid w:val="00F31FB9"/>
    <w:rsid w:val="00F326F6"/>
    <w:rsid w:val="00F32AFF"/>
    <w:rsid w:val="00F33825"/>
    <w:rsid w:val="00F33A5E"/>
    <w:rsid w:val="00F33A8B"/>
    <w:rsid w:val="00F33D3B"/>
    <w:rsid w:val="00F34A96"/>
    <w:rsid w:val="00F34EBF"/>
    <w:rsid w:val="00F34F05"/>
    <w:rsid w:val="00F34F94"/>
    <w:rsid w:val="00F356D5"/>
    <w:rsid w:val="00F35734"/>
    <w:rsid w:val="00F359A5"/>
    <w:rsid w:val="00F35DD2"/>
    <w:rsid w:val="00F361AE"/>
    <w:rsid w:val="00F36240"/>
    <w:rsid w:val="00F363EB"/>
    <w:rsid w:val="00F365DE"/>
    <w:rsid w:val="00F366DA"/>
    <w:rsid w:val="00F367CF"/>
    <w:rsid w:val="00F36CCC"/>
    <w:rsid w:val="00F36D37"/>
    <w:rsid w:val="00F3719A"/>
    <w:rsid w:val="00F3791E"/>
    <w:rsid w:val="00F379BF"/>
    <w:rsid w:val="00F37EA7"/>
    <w:rsid w:val="00F37ECC"/>
    <w:rsid w:val="00F40805"/>
    <w:rsid w:val="00F40908"/>
    <w:rsid w:val="00F40B93"/>
    <w:rsid w:val="00F40C5E"/>
    <w:rsid w:val="00F40E3E"/>
    <w:rsid w:val="00F4163A"/>
    <w:rsid w:val="00F41873"/>
    <w:rsid w:val="00F419C3"/>
    <w:rsid w:val="00F41D91"/>
    <w:rsid w:val="00F41E2B"/>
    <w:rsid w:val="00F423BE"/>
    <w:rsid w:val="00F424A5"/>
    <w:rsid w:val="00F4253F"/>
    <w:rsid w:val="00F425EF"/>
    <w:rsid w:val="00F428AC"/>
    <w:rsid w:val="00F42AAD"/>
    <w:rsid w:val="00F42EE3"/>
    <w:rsid w:val="00F43149"/>
    <w:rsid w:val="00F43660"/>
    <w:rsid w:val="00F43B91"/>
    <w:rsid w:val="00F44542"/>
    <w:rsid w:val="00F448DD"/>
    <w:rsid w:val="00F44D6A"/>
    <w:rsid w:val="00F44DB8"/>
    <w:rsid w:val="00F45760"/>
    <w:rsid w:val="00F45847"/>
    <w:rsid w:val="00F45925"/>
    <w:rsid w:val="00F46BA6"/>
    <w:rsid w:val="00F46C97"/>
    <w:rsid w:val="00F4703E"/>
    <w:rsid w:val="00F4775F"/>
    <w:rsid w:val="00F478E7"/>
    <w:rsid w:val="00F4797D"/>
    <w:rsid w:val="00F47E6C"/>
    <w:rsid w:val="00F50781"/>
    <w:rsid w:val="00F50CA3"/>
    <w:rsid w:val="00F517ED"/>
    <w:rsid w:val="00F51F3F"/>
    <w:rsid w:val="00F528B5"/>
    <w:rsid w:val="00F528E7"/>
    <w:rsid w:val="00F52C8A"/>
    <w:rsid w:val="00F5352D"/>
    <w:rsid w:val="00F53615"/>
    <w:rsid w:val="00F53696"/>
    <w:rsid w:val="00F53A91"/>
    <w:rsid w:val="00F53D6E"/>
    <w:rsid w:val="00F54466"/>
    <w:rsid w:val="00F54783"/>
    <w:rsid w:val="00F547E9"/>
    <w:rsid w:val="00F5494E"/>
    <w:rsid w:val="00F54ABE"/>
    <w:rsid w:val="00F54DF3"/>
    <w:rsid w:val="00F55804"/>
    <w:rsid w:val="00F55F1A"/>
    <w:rsid w:val="00F56310"/>
    <w:rsid w:val="00F5684C"/>
    <w:rsid w:val="00F57210"/>
    <w:rsid w:val="00F572EB"/>
    <w:rsid w:val="00F577FC"/>
    <w:rsid w:val="00F602F0"/>
    <w:rsid w:val="00F60AF2"/>
    <w:rsid w:val="00F60C90"/>
    <w:rsid w:val="00F619EE"/>
    <w:rsid w:val="00F61CF5"/>
    <w:rsid w:val="00F61FF9"/>
    <w:rsid w:val="00F62069"/>
    <w:rsid w:val="00F62159"/>
    <w:rsid w:val="00F62A7C"/>
    <w:rsid w:val="00F62B93"/>
    <w:rsid w:val="00F633E5"/>
    <w:rsid w:val="00F63C89"/>
    <w:rsid w:val="00F647EC"/>
    <w:rsid w:val="00F64FAB"/>
    <w:rsid w:val="00F654F8"/>
    <w:rsid w:val="00F6583B"/>
    <w:rsid w:val="00F65AC8"/>
    <w:rsid w:val="00F65CEA"/>
    <w:rsid w:val="00F65F15"/>
    <w:rsid w:val="00F66443"/>
    <w:rsid w:val="00F675EA"/>
    <w:rsid w:val="00F678E0"/>
    <w:rsid w:val="00F7073B"/>
    <w:rsid w:val="00F7074A"/>
    <w:rsid w:val="00F70AD6"/>
    <w:rsid w:val="00F71687"/>
    <w:rsid w:val="00F71708"/>
    <w:rsid w:val="00F717C1"/>
    <w:rsid w:val="00F71AAE"/>
    <w:rsid w:val="00F71CDB"/>
    <w:rsid w:val="00F725D3"/>
    <w:rsid w:val="00F7281E"/>
    <w:rsid w:val="00F72C1A"/>
    <w:rsid w:val="00F72C3D"/>
    <w:rsid w:val="00F72CEE"/>
    <w:rsid w:val="00F737AB"/>
    <w:rsid w:val="00F74216"/>
    <w:rsid w:val="00F74F0F"/>
    <w:rsid w:val="00F75731"/>
    <w:rsid w:val="00F75841"/>
    <w:rsid w:val="00F7587E"/>
    <w:rsid w:val="00F75D7D"/>
    <w:rsid w:val="00F76333"/>
    <w:rsid w:val="00F770C6"/>
    <w:rsid w:val="00F77100"/>
    <w:rsid w:val="00F8090F"/>
    <w:rsid w:val="00F80A8A"/>
    <w:rsid w:val="00F80CF4"/>
    <w:rsid w:val="00F8139A"/>
    <w:rsid w:val="00F82AAE"/>
    <w:rsid w:val="00F834BE"/>
    <w:rsid w:val="00F838A9"/>
    <w:rsid w:val="00F849E3"/>
    <w:rsid w:val="00F84AD6"/>
    <w:rsid w:val="00F84B4E"/>
    <w:rsid w:val="00F84C44"/>
    <w:rsid w:val="00F84F30"/>
    <w:rsid w:val="00F851B7"/>
    <w:rsid w:val="00F8566C"/>
    <w:rsid w:val="00F858D4"/>
    <w:rsid w:val="00F85C65"/>
    <w:rsid w:val="00F860EB"/>
    <w:rsid w:val="00F8615F"/>
    <w:rsid w:val="00F868B6"/>
    <w:rsid w:val="00F86968"/>
    <w:rsid w:val="00F86E42"/>
    <w:rsid w:val="00F876E2"/>
    <w:rsid w:val="00F876E6"/>
    <w:rsid w:val="00F87825"/>
    <w:rsid w:val="00F87838"/>
    <w:rsid w:val="00F879E8"/>
    <w:rsid w:val="00F87B16"/>
    <w:rsid w:val="00F87FCE"/>
    <w:rsid w:val="00F9008B"/>
    <w:rsid w:val="00F909C7"/>
    <w:rsid w:val="00F90BA5"/>
    <w:rsid w:val="00F911B1"/>
    <w:rsid w:val="00F91669"/>
    <w:rsid w:val="00F916DE"/>
    <w:rsid w:val="00F9184F"/>
    <w:rsid w:val="00F91943"/>
    <w:rsid w:val="00F9219B"/>
    <w:rsid w:val="00F9231D"/>
    <w:rsid w:val="00F92A66"/>
    <w:rsid w:val="00F92C3E"/>
    <w:rsid w:val="00F931CF"/>
    <w:rsid w:val="00F936C4"/>
    <w:rsid w:val="00F93A31"/>
    <w:rsid w:val="00F93D6E"/>
    <w:rsid w:val="00F94046"/>
    <w:rsid w:val="00F9423D"/>
    <w:rsid w:val="00F942C2"/>
    <w:rsid w:val="00F94609"/>
    <w:rsid w:val="00F94F16"/>
    <w:rsid w:val="00F95182"/>
    <w:rsid w:val="00F956E1"/>
    <w:rsid w:val="00F957D2"/>
    <w:rsid w:val="00F95D94"/>
    <w:rsid w:val="00F96F86"/>
    <w:rsid w:val="00F976DD"/>
    <w:rsid w:val="00FA0210"/>
    <w:rsid w:val="00FA02B8"/>
    <w:rsid w:val="00FA0980"/>
    <w:rsid w:val="00FA1028"/>
    <w:rsid w:val="00FA157E"/>
    <w:rsid w:val="00FA181F"/>
    <w:rsid w:val="00FA1C1F"/>
    <w:rsid w:val="00FA1DB0"/>
    <w:rsid w:val="00FA1E82"/>
    <w:rsid w:val="00FA2137"/>
    <w:rsid w:val="00FA272D"/>
    <w:rsid w:val="00FA338D"/>
    <w:rsid w:val="00FA34A2"/>
    <w:rsid w:val="00FA3742"/>
    <w:rsid w:val="00FA3837"/>
    <w:rsid w:val="00FA39FC"/>
    <w:rsid w:val="00FA44B4"/>
    <w:rsid w:val="00FA4538"/>
    <w:rsid w:val="00FA4998"/>
    <w:rsid w:val="00FA4DC2"/>
    <w:rsid w:val="00FA57D1"/>
    <w:rsid w:val="00FA67E3"/>
    <w:rsid w:val="00FA7157"/>
    <w:rsid w:val="00FA73A6"/>
    <w:rsid w:val="00FA7698"/>
    <w:rsid w:val="00FA78C2"/>
    <w:rsid w:val="00FA7A2D"/>
    <w:rsid w:val="00FA7B4F"/>
    <w:rsid w:val="00FA7DA6"/>
    <w:rsid w:val="00FB02F8"/>
    <w:rsid w:val="00FB030F"/>
    <w:rsid w:val="00FB06E7"/>
    <w:rsid w:val="00FB0822"/>
    <w:rsid w:val="00FB0AC3"/>
    <w:rsid w:val="00FB1050"/>
    <w:rsid w:val="00FB1093"/>
    <w:rsid w:val="00FB13A0"/>
    <w:rsid w:val="00FB2142"/>
    <w:rsid w:val="00FB227E"/>
    <w:rsid w:val="00FB25DA"/>
    <w:rsid w:val="00FB267D"/>
    <w:rsid w:val="00FB2A18"/>
    <w:rsid w:val="00FB2BF4"/>
    <w:rsid w:val="00FB2C8D"/>
    <w:rsid w:val="00FB2DC6"/>
    <w:rsid w:val="00FB3868"/>
    <w:rsid w:val="00FB4267"/>
    <w:rsid w:val="00FB45CC"/>
    <w:rsid w:val="00FB4C40"/>
    <w:rsid w:val="00FB59D4"/>
    <w:rsid w:val="00FB5E81"/>
    <w:rsid w:val="00FB6E6C"/>
    <w:rsid w:val="00FB71B0"/>
    <w:rsid w:val="00FB773D"/>
    <w:rsid w:val="00FB7ABA"/>
    <w:rsid w:val="00FB7C21"/>
    <w:rsid w:val="00FB7C46"/>
    <w:rsid w:val="00FC04E0"/>
    <w:rsid w:val="00FC06CE"/>
    <w:rsid w:val="00FC0D98"/>
    <w:rsid w:val="00FC0E2F"/>
    <w:rsid w:val="00FC1042"/>
    <w:rsid w:val="00FC11C6"/>
    <w:rsid w:val="00FC17D8"/>
    <w:rsid w:val="00FC279A"/>
    <w:rsid w:val="00FC324D"/>
    <w:rsid w:val="00FC39A1"/>
    <w:rsid w:val="00FC3BC3"/>
    <w:rsid w:val="00FC3E47"/>
    <w:rsid w:val="00FC41A0"/>
    <w:rsid w:val="00FC4B53"/>
    <w:rsid w:val="00FC4BAE"/>
    <w:rsid w:val="00FC4F75"/>
    <w:rsid w:val="00FC5160"/>
    <w:rsid w:val="00FC5A36"/>
    <w:rsid w:val="00FC6353"/>
    <w:rsid w:val="00FC69CF"/>
    <w:rsid w:val="00FC6B0B"/>
    <w:rsid w:val="00FC713B"/>
    <w:rsid w:val="00FC7862"/>
    <w:rsid w:val="00FC790D"/>
    <w:rsid w:val="00FC79D5"/>
    <w:rsid w:val="00FC7B35"/>
    <w:rsid w:val="00FC7B53"/>
    <w:rsid w:val="00FC7BD8"/>
    <w:rsid w:val="00FC7D9B"/>
    <w:rsid w:val="00FD0177"/>
    <w:rsid w:val="00FD031B"/>
    <w:rsid w:val="00FD0AE7"/>
    <w:rsid w:val="00FD0B44"/>
    <w:rsid w:val="00FD0F70"/>
    <w:rsid w:val="00FD2315"/>
    <w:rsid w:val="00FD29A7"/>
    <w:rsid w:val="00FD2B15"/>
    <w:rsid w:val="00FD2B37"/>
    <w:rsid w:val="00FD3092"/>
    <w:rsid w:val="00FD3D48"/>
    <w:rsid w:val="00FD412E"/>
    <w:rsid w:val="00FD420F"/>
    <w:rsid w:val="00FD4339"/>
    <w:rsid w:val="00FD4B0C"/>
    <w:rsid w:val="00FD4F2F"/>
    <w:rsid w:val="00FD51F7"/>
    <w:rsid w:val="00FD5258"/>
    <w:rsid w:val="00FD52D7"/>
    <w:rsid w:val="00FD5602"/>
    <w:rsid w:val="00FD5661"/>
    <w:rsid w:val="00FD5A2A"/>
    <w:rsid w:val="00FD5AE2"/>
    <w:rsid w:val="00FD62B4"/>
    <w:rsid w:val="00FD7142"/>
    <w:rsid w:val="00FD750F"/>
    <w:rsid w:val="00FD7548"/>
    <w:rsid w:val="00FD7BA8"/>
    <w:rsid w:val="00FD7DCA"/>
    <w:rsid w:val="00FE011C"/>
    <w:rsid w:val="00FE0458"/>
    <w:rsid w:val="00FE07DC"/>
    <w:rsid w:val="00FE08FB"/>
    <w:rsid w:val="00FE1116"/>
    <w:rsid w:val="00FE2075"/>
    <w:rsid w:val="00FE2080"/>
    <w:rsid w:val="00FE27B9"/>
    <w:rsid w:val="00FE2E37"/>
    <w:rsid w:val="00FE30EF"/>
    <w:rsid w:val="00FE3640"/>
    <w:rsid w:val="00FE36B6"/>
    <w:rsid w:val="00FE3780"/>
    <w:rsid w:val="00FE3954"/>
    <w:rsid w:val="00FE3AE5"/>
    <w:rsid w:val="00FE3CF7"/>
    <w:rsid w:val="00FE4071"/>
    <w:rsid w:val="00FE42E3"/>
    <w:rsid w:val="00FE46DB"/>
    <w:rsid w:val="00FE48FF"/>
    <w:rsid w:val="00FE4ECD"/>
    <w:rsid w:val="00FE52B7"/>
    <w:rsid w:val="00FE53C5"/>
    <w:rsid w:val="00FE56A8"/>
    <w:rsid w:val="00FE57B8"/>
    <w:rsid w:val="00FE5807"/>
    <w:rsid w:val="00FE5C39"/>
    <w:rsid w:val="00FE5C57"/>
    <w:rsid w:val="00FE624E"/>
    <w:rsid w:val="00FE6415"/>
    <w:rsid w:val="00FE69E7"/>
    <w:rsid w:val="00FE6BB8"/>
    <w:rsid w:val="00FE6E76"/>
    <w:rsid w:val="00FF027B"/>
    <w:rsid w:val="00FF0A67"/>
    <w:rsid w:val="00FF1174"/>
    <w:rsid w:val="00FF165A"/>
    <w:rsid w:val="00FF1B72"/>
    <w:rsid w:val="00FF1CF1"/>
    <w:rsid w:val="00FF1F4C"/>
    <w:rsid w:val="00FF1F90"/>
    <w:rsid w:val="00FF228F"/>
    <w:rsid w:val="00FF23EE"/>
    <w:rsid w:val="00FF35DC"/>
    <w:rsid w:val="00FF390D"/>
    <w:rsid w:val="00FF3A6A"/>
    <w:rsid w:val="00FF3C7A"/>
    <w:rsid w:val="00FF3E09"/>
    <w:rsid w:val="00FF411C"/>
    <w:rsid w:val="00FF44C6"/>
    <w:rsid w:val="00FF4B2E"/>
    <w:rsid w:val="00FF4E4B"/>
    <w:rsid w:val="00FF4E4E"/>
    <w:rsid w:val="00FF5049"/>
    <w:rsid w:val="00FF5114"/>
    <w:rsid w:val="00FF519C"/>
    <w:rsid w:val="00FF59A6"/>
    <w:rsid w:val="00FF5D1F"/>
    <w:rsid w:val="00FF5F95"/>
    <w:rsid w:val="00FF6126"/>
    <w:rsid w:val="00FF61F5"/>
    <w:rsid w:val="00FF62AA"/>
    <w:rsid w:val="00FF64D7"/>
    <w:rsid w:val="00FF6B6C"/>
    <w:rsid w:val="00FF6DD4"/>
    <w:rsid w:val="011078C7"/>
    <w:rsid w:val="011E3D92"/>
    <w:rsid w:val="012A067A"/>
    <w:rsid w:val="013413A9"/>
    <w:rsid w:val="01510592"/>
    <w:rsid w:val="015E2FC2"/>
    <w:rsid w:val="015E6884"/>
    <w:rsid w:val="016C48A1"/>
    <w:rsid w:val="01787946"/>
    <w:rsid w:val="01853E11"/>
    <w:rsid w:val="019E4F83"/>
    <w:rsid w:val="01AA2C10"/>
    <w:rsid w:val="01B446F6"/>
    <w:rsid w:val="01CF7782"/>
    <w:rsid w:val="02182ED7"/>
    <w:rsid w:val="02223D56"/>
    <w:rsid w:val="022C5744"/>
    <w:rsid w:val="022F0983"/>
    <w:rsid w:val="02467A44"/>
    <w:rsid w:val="0247556A"/>
    <w:rsid w:val="02571C51"/>
    <w:rsid w:val="0270686F"/>
    <w:rsid w:val="02714974"/>
    <w:rsid w:val="02775E4F"/>
    <w:rsid w:val="0288005D"/>
    <w:rsid w:val="028E13EB"/>
    <w:rsid w:val="02994018"/>
    <w:rsid w:val="02A76009"/>
    <w:rsid w:val="02AB5AF9"/>
    <w:rsid w:val="02BC7D06"/>
    <w:rsid w:val="02BE582C"/>
    <w:rsid w:val="02DF39F5"/>
    <w:rsid w:val="02F41DB4"/>
    <w:rsid w:val="02FB6B16"/>
    <w:rsid w:val="02FE031F"/>
    <w:rsid w:val="030B2604"/>
    <w:rsid w:val="03144708"/>
    <w:rsid w:val="031D766C"/>
    <w:rsid w:val="03253AFD"/>
    <w:rsid w:val="033F6241"/>
    <w:rsid w:val="034D095E"/>
    <w:rsid w:val="037738D8"/>
    <w:rsid w:val="039F1D79"/>
    <w:rsid w:val="03F54123"/>
    <w:rsid w:val="041651F4"/>
    <w:rsid w:val="04272850"/>
    <w:rsid w:val="04510922"/>
    <w:rsid w:val="048B7990"/>
    <w:rsid w:val="05031C1C"/>
    <w:rsid w:val="051536FE"/>
    <w:rsid w:val="05687CD1"/>
    <w:rsid w:val="05746676"/>
    <w:rsid w:val="05A84572"/>
    <w:rsid w:val="05B9677F"/>
    <w:rsid w:val="05C96278"/>
    <w:rsid w:val="05F15805"/>
    <w:rsid w:val="0600615C"/>
    <w:rsid w:val="060C4B01"/>
    <w:rsid w:val="062A31D9"/>
    <w:rsid w:val="063D2F0C"/>
    <w:rsid w:val="065B7836"/>
    <w:rsid w:val="066B5CCB"/>
    <w:rsid w:val="06734B80"/>
    <w:rsid w:val="06862B05"/>
    <w:rsid w:val="068955F4"/>
    <w:rsid w:val="06991648"/>
    <w:rsid w:val="06BF1B73"/>
    <w:rsid w:val="06E521B8"/>
    <w:rsid w:val="07091040"/>
    <w:rsid w:val="07391925"/>
    <w:rsid w:val="075F0692"/>
    <w:rsid w:val="07726BE5"/>
    <w:rsid w:val="078828AD"/>
    <w:rsid w:val="07CD7F98"/>
    <w:rsid w:val="07D93108"/>
    <w:rsid w:val="07DB054A"/>
    <w:rsid w:val="08053C42"/>
    <w:rsid w:val="08145EEF"/>
    <w:rsid w:val="08377606"/>
    <w:rsid w:val="083D2AF4"/>
    <w:rsid w:val="08485B98"/>
    <w:rsid w:val="08493DEA"/>
    <w:rsid w:val="08602EE2"/>
    <w:rsid w:val="08670714"/>
    <w:rsid w:val="087D1CE6"/>
    <w:rsid w:val="08874912"/>
    <w:rsid w:val="089C3D38"/>
    <w:rsid w:val="08AC25CB"/>
    <w:rsid w:val="08B31D4F"/>
    <w:rsid w:val="08E51639"/>
    <w:rsid w:val="08F53B23"/>
    <w:rsid w:val="08F875BE"/>
    <w:rsid w:val="09095C15"/>
    <w:rsid w:val="091B60CD"/>
    <w:rsid w:val="091D0DD3"/>
    <w:rsid w:val="091E5277"/>
    <w:rsid w:val="09AF4121"/>
    <w:rsid w:val="09B434E5"/>
    <w:rsid w:val="09C0632E"/>
    <w:rsid w:val="09C3197A"/>
    <w:rsid w:val="09C474A0"/>
    <w:rsid w:val="09E304D1"/>
    <w:rsid w:val="09E55D95"/>
    <w:rsid w:val="0A0124A3"/>
    <w:rsid w:val="0A053C89"/>
    <w:rsid w:val="0A070656"/>
    <w:rsid w:val="0A206DCD"/>
    <w:rsid w:val="0A2166A1"/>
    <w:rsid w:val="0A27015B"/>
    <w:rsid w:val="0A283ED3"/>
    <w:rsid w:val="0A2D4C39"/>
    <w:rsid w:val="0A3463D4"/>
    <w:rsid w:val="0A424F95"/>
    <w:rsid w:val="0A4B7B0B"/>
    <w:rsid w:val="0A592595"/>
    <w:rsid w:val="0A670558"/>
    <w:rsid w:val="0A8235E3"/>
    <w:rsid w:val="0A913ED8"/>
    <w:rsid w:val="0AB120A5"/>
    <w:rsid w:val="0AEB55DC"/>
    <w:rsid w:val="0B0A5387"/>
    <w:rsid w:val="0B0E30C9"/>
    <w:rsid w:val="0B13248D"/>
    <w:rsid w:val="0B1D330C"/>
    <w:rsid w:val="0B24171E"/>
    <w:rsid w:val="0B347187"/>
    <w:rsid w:val="0B3F7726"/>
    <w:rsid w:val="0B41349E"/>
    <w:rsid w:val="0B416FFB"/>
    <w:rsid w:val="0B512FB6"/>
    <w:rsid w:val="0B574F31"/>
    <w:rsid w:val="0B5C3243"/>
    <w:rsid w:val="0B5E59FA"/>
    <w:rsid w:val="0BAD59A4"/>
    <w:rsid w:val="0BBE4019"/>
    <w:rsid w:val="0C006EB6"/>
    <w:rsid w:val="0C2801BA"/>
    <w:rsid w:val="0C357211"/>
    <w:rsid w:val="0C3C0FE2"/>
    <w:rsid w:val="0C466B45"/>
    <w:rsid w:val="0C6D3E1F"/>
    <w:rsid w:val="0C727688"/>
    <w:rsid w:val="0C924779"/>
    <w:rsid w:val="0C985340"/>
    <w:rsid w:val="0CAD246E"/>
    <w:rsid w:val="0CC41D6A"/>
    <w:rsid w:val="0CC779D3"/>
    <w:rsid w:val="0CD56444"/>
    <w:rsid w:val="0CDE6ACB"/>
    <w:rsid w:val="0CE41365"/>
    <w:rsid w:val="0CE47624"/>
    <w:rsid w:val="0CEC568C"/>
    <w:rsid w:val="0D122CD5"/>
    <w:rsid w:val="0D1644B7"/>
    <w:rsid w:val="0D1B1ACD"/>
    <w:rsid w:val="0D523741"/>
    <w:rsid w:val="0D573276"/>
    <w:rsid w:val="0D576FA9"/>
    <w:rsid w:val="0D584403"/>
    <w:rsid w:val="0D6D5D30"/>
    <w:rsid w:val="0D815DD4"/>
    <w:rsid w:val="0DA74E51"/>
    <w:rsid w:val="0DAD4E1B"/>
    <w:rsid w:val="0DB00467"/>
    <w:rsid w:val="0DB5782C"/>
    <w:rsid w:val="0DD759F4"/>
    <w:rsid w:val="0DED5218"/>
    <w:rsid w:val="0DEE7765"/>
    <w:rsid w:val="0E296B84"/>
    <w:rsid w:val="0E4868F2"/>
    <w:rsid w:val="0E6179B4"/>
    <w:rsid w:val="0E924011"/>
    <w:rsid w:val="0E9733D5"/>
    <w:rsid w:val="0EB118A2"/>
    <w:rsid w:val="0EB2020F"/>
    <w:rsid w:val="0EBD2E3C"/>
    <w:rsid w:val="0EC71E62"/>
    <w:rsid w:val="0F113188"/>
    <w:rsid w:val="0F204221"/>
    <w:rsid w:val="0F2B5D1F"/>
    <w:rsid w:val="0F3E3C48"/>
    <w:rsid w:val="0F5A4B2F"/>
    <w:rsid w:val="0F6C4862"/>
    <w:rsid w:val="0F7200CA"/>
    <w:rsid w:val="0F946F1E"/>
    <w:rsid w:val="0F9F2542"/>
    <w:rsid w:val="0FD0094D"/>
    <w:rsid w:val="0FD77F2D"/>
    <w:rsid w:val="0FFF1232"/>
    <w:rsid w:val="100827DD"/>
    <w:rsid w:val="101C0A97"/>
    <w:rsid w:val="10321608"/>
    <w:rsid w:val="108E223A"/>
    <w:rsid w:val="10A122E9"/>
    <w:rsid w:val="10AA3894"/>
    <w:rsid w:val="10B71B0D"/>
    <w:rsid w:val="10B95885"/>
    <w:rsid w:val="10C5247C"/>
    <w:rsid w:val="10CC380A"/>
    <w:rsid w:val="10E24DDC"/>
    <w:rsid w:val="10F67974"/>
    <w:rsid w:val="1109680C"/>
    <w:rsid w:val="11532670"/>
    <w:rsid w:val="11836198"/>
    <w:rsid w:val="11851C0B"/>
    <w:rsid w:val="118C6B2A"/>
    <w:rsid w:val="11A93139"/>
    <w:rsid w:val="11AD363C"/>
    <w:rsid w:val="11BA18B5"/>
    <w:rsid w:val="11C664AC"/>
    <w:rsid w:val="11E9219A"/>
    <w:rsid w:val="11FB4122"/>
    <w:rsid w:val="12096398"/>
    <w:rsid w:val="1211524D"/>
    <w:rsid w:val="121D0BF1"/>
    <w:rsid w:val="125A6BF4"/>
    <w:rsid w:val="12685FCD"/>
    <w:rsid w:val="12816876"/>
    <w:rsid w:val="12A460C1"/>
    <w:rsid w:val="12B74672"/>
    <w:rsid w:val="12D30948"/>
    <w:rsid w:val="12E0145C"/>
    <w:rsid w:val="12EC3EED"/>
    <w:rsid w:val="12F232D0"/>
    <w:rsid w:val="13135EB3"/>
    <w:rsid w:val="13182014"/>
    <w:rsid w:val="136A10B9"/>
    <w:rsid w:val="138137F3"/>
    <w:rsid w:val="138E06DF"/>
    <w:rsid w:val="13C46448"/>
    <w:rsid w:val="13C82EA6"/>
    <w:rsid w:val="13EF0479"/>
    <w:rsid w:val="13FF7A53"/>
    <w:rsid w:val="140822FE"/>
    <w:rsid w:val="14095D3A"/>
    <w:rsid w:val="142D5F04"/>
    <w:rsid w:val="143363D6"/>
    <w:rsid w:val="143D4D2B"/>
    <w:rsid w:val="143E404F"/>
    <w:rsid w:val="1461426A"/>
    <w:rsid w:val="146F2C7A"/>
    <w:rsid w:val="14762D3D"/>
    <w:rsid w:val="148D505F"/>
    <w:rsid w:val="14977C8B"/>
    <w:rsid w:val="149D101A"/>
    <w:rsid w:val="149E4992"/>
    <w:rsid w:val="14AB1989"/>
    <w:rsid w:val="14B7032D"/>
    <w:rsid w:val="14B82F17"/>
    <w:rsid w:val="15063063"/>
    <w:rsid w:val="155F468B"/>
    <w:rsid w:val="157306F8"/>
    <w:rsid w:val="158226E9"/>
    <w:rsid w:val="159D4B97"/>
    <w:rsid w:val="15A563D8"/>
    <w:rsid w:val="15B14D7D"/>
    <w:rsid w:val="15BE749A"/>
    <w:rsid w:val="15BF393E"/>
    <w:rsid w:val="15EA64E1"/>
    <w:rsid w:val="160E6673"/>
    <w:rsid w:val="16196349"/>
    <w:rsid w:val="16273291"/>
    <w:rsid w:val="162E461F"/>
    <w:rsid w:val="16482AEA"/>
    <w:rsid w:val="165A18B8"/>
    <w:rsid w:val="16730284"/>
    <w:rsid w:val="167C538B"/>
    <w:rsid w:val="16B34B25"/>
    <w:rsid w:val="16D927DD"/>
    <w:rsid w:val="16DC22CD"/>
    <w:rsid w:val="170E5D26"/>
    <w:rsid w:val="17285513"/>
    <w:rsid w:val="17451DB0"/>
    <w:rsid w:val="17514A69"/>
    <w:rsid w:val="17562080"/>
    <w:rsid w:val="17650515"/>
    <w:rsid w:val="17694B12"/>
    <w:rsid w:val="1791130A"/>
    <w:rsid w:val="179670F4"/>
    <w:rsid w:val="179B1650"/>
    <w:rsid w:val="179B7A92"/>
    <w:rsid w:val="179E3336"/>
    <w:rsid w:val="17B15508"/>
    <w:rsid w:val="17BB6387"/>
    <w:rsid w:val="17BE59A2"/>
    <w:rsid w:val="17C77185"/>
    <w:rsid w:val="17D912A0"/>
    <w:rsid w:val="17DE3E23"/>
    <w:rsid w:val="17FB6783"/>
    <w:rsid w:val="18137F71"/>
    <w:rsid w:val="18185849"/>
    <w:rsid w:val="18245CDA"/>
    <w:rsid w:val="18E92A80"/>
    <w:rsid w:val="19267830"/>
    <w:rsid w:val="19526877"/>
    <w:rsid w:val="195E521C"/>
    <w:rsid w:val="19940C3D"/>
    <w:rsid w:val="19C332D1"/>
    <w:rsid w:val="19C534ED"/>
    <w:rsid w:val="19CA28B1"/>
    <w:rsid w:val="19CF6119"/>
    <w:rsid w:val="1A365439"/>
    <w:rsid w:val="1A442DE9"/>
    <w:rsid w:val="1A6007B8"/>
    <w:rsid w:val="1AB0025A"/>
    <w:rsid w:val="1AB35163"/>
    <w:rsid w:val="1AB62E35"/>
    <w:rsid w:val="1ABC4611"/>
    <w:rsid w:val="1ABF1CEA"/>
    <w:rsid w:val="1AD12A8C"/>
    <w:rsid w:val="1AF75334"/>
    <w:rsid w:val="1AF75928"/>
    <w:rsid w:val="1AFB2E83"/>
    <w:rsid w:val="1B23671D"/>
    <w:rsid w:val="1B4560C7"/>
    <w:rsid w:val="1B5B5A5C"/>
    <w:rsid w:val="1B5F527B"/>
    <w:rsid w:val="1B7E1BA5"/>
    <w:rsid w:val="1B9C4411"/>
    <w:rsid w:val="1BC021BE"/>
    <w:rsid w:val="1BC305D3"/>
    <w:rsid w:val="1BEF65FF"/>
    <w:rsid w:val="1C42303D"/>
    <w:rsid w:val="1C645E03"/>
    <w:rsid w:val="1C6F7740"/>
    <w:rsid w:val="1C7F5BD5"/>
    <w:rsid w:val="1C8031AA"/>
    <w:rsid w:val="1C8925AF"/>
    <w:rsid w:val="1C901B90"/>
    <w:rsid w:val="1CC92887"/>
    <w:rsid w:val="1CD55680"/>
    <w:rsid w:val="1CDA105D"/>
    <w:rsid w:val="1CF10155"/>
    <w:rsid w:val="1D321E13"/>
    <w:rsid w:val="1D350989"/>
    <w:rsid w:val="1D5737D9"/>
    <w:rsid w:val="1D666D95"/>
    <w:rsid w:val="1D880AB9"/>
    <w:rsid w:val="1D882867"/>
    <w:rsid w:val="1D8A5B33"/>
    <w:rsid w:val="1D9531D6"/>
    <w:rsid w:val="1DA11B7B"/>
    <w:rsid w:val="1DBC044E"/>
    <w:rsid w:val="1DE5415D"/>
    <w:rsid w:val="1DE55F0B"/>
    <w:rsid w:val="1E032835"/>
    <w:rsid w:val="1E0D5462"/>
    <w:rsid w:val="1E1265D5"/>
    <w:rsid w:val="1E164317"/>
    <w:rsid w:val="1E2A7DC2"/>
    <w:rsid w:val="1E2B4B2D"/>
    <w:rsid w:val="1E650DFA"/>
    <w:rsid w:val="1E7C6117"/>
    <w:rsid w:val="1E831280"/>
    <w:rsid w:val="1E9B0CC0"/>
    <w:rsid w:val="1EEA12FF"/>
    <w:rsid w:val="1F111A8D"/>
    <w:rsid w:val="1F120F82"/>
    <w:rsid w:val="1F15637C"/>
    <w:rsid w:val="1F264A2D"/>
    <w:rsid w:val="1F2C422B"/>
    <w:rsid w:val="1F4849CA"/>
    <w:rsid w:val="1F691F02"/>
    <w:rsid w:val="1F873477"/>
    <w:rsid w:val="1F896D6A"/>
    <w:rsid w:val="1F974FE3"/>
    <w:rsid w:val="1FBE4C66"/>
    <w:rsid w:val="200308CB"/>
    <w:rsid w:val="201900EE"/>
    <w:rsid w:val="20364395"/>
    <w:rsid w:val="203D202F"/>
    <w:rsid w:val="2040730C"/>
    <w:rsid w:val="209B370E"/>
    <w:rsid w:val="209E05F3"/>
    <w:rsid w:val="20B00655"/>
    <w:rsid w:val="20B61DE1"/>
    <w:rsid w:val="20D63E58"/>
    <w:rsid w:val="20F63F8C"/>
    <w:rsid w:val="20F85F56"/>
    <w:rsid w:val="21072C86"/>
    <w:rsid w:val="21455F84"/>
    <w:rsid w:val="219D08AB"/>
    <w:rsid w:val="21B55BF5"/>
    <w:rsid w:val="21DC1B00"/>
    <w:rsid w:val="21E12E8E"/>
    <w:rsid w:val="22162B37"/>
    <w:rsid w:val="223F57F7"/>
    <w:rsid w:val="22EC1AEA"/>
    <w:rsid w:val="22EE7610"/>
    <w:rsid w:val="23076924"/>
    <w:rsid w:val="232653E3"/>
    <w:rsid w:val="233314C7"/>
    <w:rsid w:val="23377209"/>
    <w:rsid w:val="234B4A63"/>
    <w:rsid w:val="23585FFE"/>
    <w:rsid w:val="235A6A54"/>
    <w:rsid w:val="23665133"/>
    <w:rsid w:val="238166D6"/>
    <w:rsid w:val="23846E58"/>
    <w:rsid w:val="238F638A"/>
    <w:rsid w:val="23CE7442"/>
    <w:rsid w:val="23EB7FF4"/>
    <w:rsid w:val="23F76998"/>
    <w:rsid w:val="2437529F"/>
    <w:rsid w:val="244250D8"/>
    <w:rsid w:val="244C2000"/>
    <w:rsid w:val="244C515E"/>
    <w:rsid w:val="246102B6"/>
    <w:rsid w:val="246444F3"/>
    <w:rsid w:val="248875F1"/>
    <w:rsid w:val="248B0E8F"/>
    <w:rsid w:val="24977600"/>
    <w:rsid w:val="24B14D99"/>
    <w:rsid w:val="24B831E2"/>
    <w:rsid w:val="24BB3B05"/>
    <w:rsid w:val="24CF3471"/>
    <w:rsid w:val="24FB7DC2"/>
    <w:rsid w:val="250B120F"/>
    <w:rsid w:val="25162E4E"/>
    <w:rsid w:val="251A293E"/>
    <w:rsid w:val="252C7220"/>
    <w:rsid w:val="25337C48"/>
    <w:rsid w:val="255E3530"/>
    <w:rsid w:val="256C2A6E"/>
    <w:rsid w:val="25805BA9"/>
    <w:rsid w:val="258B7398"/>
    <w:rsid w:val="258C4EBE"/>
    <w:rsid w:val="25951FC5"/>
    <w:rsid w:val="259D70CC"/>
    <w:rsid w:val="25A57AD2"/>
    <w:rsid w:val="25B05051"/>
    <w:rsid w:val="25B34B41"/>
    <w:rsid w:val="25C74149"/>
    <w:rsid w:val="25CC175F"/>
    <w:rsid w:val="25D328A4"/>
    <w:rsid w:val="2604714B"/>
    <w:rsid w:val="26070462"/>
    <w:rsid w:val="26137B37"/>
    <w:rsid w:val="261750D0"/>
    <w:rsid w:val="263E440B"/>
    <w:rsid w:val="26720558"/>
    <w:rsid w:val="267772F8"/>
    <w:rsid w:val="26A50560"/>
    <w:rsid w:val="26A526DC"/>
    <w:rsid w:val="26B270EC"/>
    <w:rsid w:val="26BF2049"/>
    <w:rsid w:val="26E12386"/>
    <w:rsid w:val="26FE3B9A"/>
    <w:rsid w:val="270F55EE"/>
    <w:rsid w:val="272F1A96"/>
    <w:rsid w:val="273B3040"/>
    <w:rsid w:val="274C0DA9"/>
    <w:rsid w:val="276A7D1D"/>
    <w:rsid w:val="27702CEA"/>
    <w:rsid w:val="2781161A"/>
    <w:rsid w:val="278B0993"/>
    <w:rsid w:val="278C2DE6"/>
    <w:rsid w:val="27A2676A"/>
    <w:rsid w:val="27A72484"/>
    <w:rsid w:val="27C070A1"/>
    <w:rsid w:val="27C26A1C"/>
    <w:rsid w:val="27C9064C"/>
    <w:rsid w:val="27EB2370"/>
    <w:rsid w:val="27F52753"/>
    <w:rsid w:val="28060F58"/>
    <w:rsid w:val="281401A9"/>
    <w:rsid w:val="28481571"/>
    <w:rsid w:val="286B525F"/>
    <w:rsid w:val="286E4D4F"/>
    <w:rsid w:val="289A78F2"/>
    <w:rsid w:val="28A54C15"/>
    <w:rsid w:val="28AD1D1C"/>
    <w:rsid w:val="28CA642A"/>
    <w:rsid w:val="28CF3A40"/>
    <w:rsid w:val="28DC08CB"/>
    <w:rsid w:val="28DE0127"/>
    <w:rsid w:val="28E62B38"/>
    <w:rsid w:val="29192E1E"/>
    <w:rsid w:val="292A6196"/>
    <w:rsid w:val="29377EB3"/>
    <w:rsid w:val="294F4B81"/>
    <w:rsid w:val="296B1DBE"/>
    <w:rsid w:val="297367C9"/>
    <w:rsid w:val="297B0CF7"/>
    <w:rsid w:val="2984482A"/>
    <w:rsid w:val="29862181"/>
    <w:rsid w:val="29A273A6"/>
    <w:rsid w:val="29AC6EB1"/>
    <w:rsid w:val="29BA78FC"/>
    <w:rsid w:val="29C769E3"/>
    <w:rsid w:val="29D638CD"/>
    <w:rsid w:val="29E057D9"/>
    <w:rsid w:val="2A0C65CE"/>
    <w:rsid w:val="2A303607"/>
    <w:rsid w:val="2A44045E"/>
    <w:rsid w:val="2A5E151F"/>
    <w:rsid w:val="2A5F2DBB"/>
    <w:rsid w:val="2A720B27"/>
    <w:rsid w:val="2A835621"/>
    <w:rsid w:val="2AA27121"/>
    <w:rsid w:val="2AA902C1"/>
    <w:rsid w:val="2ACD0453"/>
    <w:rsid w:val="2ADB7F2F"/>
    <w:rsid w:val="2B0C0F7B"/>
    <w:rsid w:val="2B1B2F6C"/>
    <w:rsid w:val="2B3B53BD"/>
    <w:rsid w:val="2B3C7946"/>
    <w:rsid w:val="2B520958"/>
    <w:rsid w:val="2B5E72FD"/>
    <w:rsid w:val="2B6C7C6C"/>
    <w:rsid w:val="2B82123D"/>
    <w:rsid w:val="2B822DA1"/>
    <w:rsid w:val="2B886128"/>
    <w:rsid w:val="2B9D6077"/>
    <w:rsid w:val="2BD902A0"/>
    <w:rsid w:val="2BD91045"/>
    <w:rsid w:val="2BEA0B91"/>
    <w:rsid w:val="2BF5720F"/>
    <w:rsid w:val="2C1300E8"/>
    <w:rsid w:val="2C335742"/>
    <w:rsid w:val="2C362090"/>
    <w:rsid w:val="2C3B13EC"/>
    <w:rsid w:val="2C4B162F"/>
    <w:rsid w:val="2C532973"/>
    <w:rsid w:val="2C7A3CC3"/>
    <w:rsid w:val="2C815051"/>
    <w:rsid w:val="2C9C00DD"/>
    <w:rsid w:val="2CAE64AB"/>
    <w:rsid w:val="2CE675AA"/>
    <w:rsid w:val="2CF2792E"/>
    <w:rsid w:val="2D3619B4"/>
    <w:rsid w:val="2D377E06"/>
    <w:rsid w:val="2D76092E"/>
    <w:rsid w:val="2D7B4196"/>
    <w:rsid w:val="2D7D7F0E"/>
    <w:rsid w:val="2DEC5D5C"/>
    <w:rsid w:val="2DEE3725"/>
    <w:rsid w:val="2DF61A6F"/>
    <w:rsid w:val="2DFF6B75"/>
    <w:rsid w:val="2E1B7727"/>
    <w:rsid w:val="2E1F2D74"/>
    <w:rsid w:val="2E2C686E"/>
    <w:rsid w:val="2E36630F"/>
    <w:rsid w:val="2E374561"/>
    <w:rsid w:val="2E497DF1"/>
    <w:rsid w:val="2E5C5D76"/>
    <w:rsid w:val="2E7B1F74"/>
    <w:rsid w:val="2E7E3412"/>
    <w:rsid w:val="2E813A2E"/>
    <w:rsid w:val="2E960B5C"/>
    <w:rsid w:val="2EA133AF"/>
    <w:rsid w:val="2EA339A5"/>
    <w:rsid w:val="2EA36628"/>
    <w:rsid w:val="2EDC0415"/>
    <w:rsid w:val="2EDD2DD9"/>
    <w:rsid w:val="2F087CAC"/>
    <w:rsid w:val="2F0D52C2"/>
    <w:rsid w:val="2F2D7712"/>
    <w:rsid w:val="2F300FB0"/>
    <w:rsid w:val="2F4800A8"/>
    <w:rsid w:val="2F723467"/>
    <w:rsid w:val="2F815419"/>
    <w:rsid w:val="2F922149"/>
    <w:rsid w:val="2FA72ADC"/>
    <w:rsid w:val="2FC8743B"/>
    <w:rsid w:val="300852DE"/>
    <w:rsid w:val="30134377"/>
    <w:rsid w:val="30590E83"/>
    <w:rsid w:val="30640C78"/>
    <w:rsid w:val="306835D0"/>
    <w:rsid w:val="306E3B3E"/>
    <w:rsid w:val="30782BAF"/>
    <w:rsid w:val="3082583C"/>
    <w:rsid w:val="309C4B4F"/>
    <w:rsid w:val="30A657B3"/>
    <w:rsid w:val="30BA09FB"/>
    <w:rsid w:val="30DF2746"/>
    <w:rsid w:val="311F308B"/>
    <w:rsid w:val="31244E01"/>
    <w:rsid w:val="31755829"/>
    <w:rsid w:val="317D7B05"/>
    <w:rsid w:val="31880C30"/>
    <w:rsid w:val="318C4BC4"/>
    <w:rsid w:val="318D6246"/>
    <w:rsid w:val="319C2593"/>
    <w:rsid w:val="31B9528D"/>
    <w:rsid w:val="31DC0F7C"/>
    <w:rsid w:val="31E83DC4"/>
    <w:rsid w:val="31F369F1"/>
    <w:rsid w:val="32153FA4"/>
    <w:rsid w:val="32297E49"/>
    <w:rsid w:val="324575EB"/>
    <w:rsid w:val="32494863"/>
    <w:rsid w:val="325A081E"/>
    <w:rsid w:val="325B4596"/>
    <w:rsid w:val="3268280F"/>
    <w:rsid w:val="326E7E26"/>
    <w:rsid w:val="32700042"/>
    <w:rsid w:val="328F5FEE"/>
    <w:rsid w:val="32A0292F"/>
    <w:rsid w:val="32A02B99"/>
    <w:rsid w:val="32BC6D05"/>
    <w:rsid w:val="32C569CF"/>
    <w:rsid w:val="32CE6B16"/>
    <w:rsid w:val="32ED1692"/>
    <w:rsid w:val="32F01183"/>
    <w:rsid w:val="32FB4A31"/>
    <w:rsid w:val="330F2BAA"/>
    <w:rsid w:val="33154745"/>
    <w:rsid w:val="331F7372"/>
    <w:rsid w:val="333252F7"/>
    <w:rsid w:val="333F0BDD"/>
    <w:rsid w:val="33437504"/>
    <w:rsid w:val="33513ACD"/>
    <w:rsid w:val="335A65FC"/>
    <w:rsid w:val="336631F3"/>
    <w:rsid w:val="337D5F7B"/>
    <w:rsid w:val="3381627F"/>
    <w:rsid w:val="33833DA5"/>
    <w:rsid w:val="33941B0E"/>
    <w:rsid w:val="33D414D0"/>
    <w:rsid w:val="33F04662"/>
    <w:rsid w:val="33F94067"/>
    <w:rsid w:val="3411197D"/>
    <w:rsid w:val="34324DB1"/>
    <w:rsid w:val="344F1ED9"/>
    <w:rsid w:val="345C31CC"/>
    <w:rsid w:val="34603E67"/>
    <w:rsid w:val="34692F9B"/>
    <w:rsid w:val="34737FC2"/>
    <w:rsid w:val="3491429F"/>
    <w:rsid w:val="34981816"/>
    <w:rsid w:val="349873DC"/>
    <w:rsid w:val="34AE30A3"/>
    <w:rsid w:val="34C04B85"/>
    <w:rsid w:val="34E15227"/>
    <w:rsid w:val="34EE16F2"/>
    <w:rsid w:val="34FB796B"/>
    <w:rsid w:val="35260E8C"/>
    <w:rsid w:val="353C06AF"/>
    <w:rsid w:val="354B444E"/>
    <w:rsid w:val="358142E1"/>
    <w:rsid w:val="35944047"/>
    <w:rsid w:val="35CD358A"/>
    <w:rsid w:val="360A6B9A"/>
    <w:rsid w:val="36232DB0"/>
    <w:rsid w:val="362C0724"/>
    <w:rsid w:val="362C24D2"/>
    <w:rsid w:val="366559E4"/>
    <w:rsid w:val="368340BC"/>
    <w:rsid w:val="36856574"/>
    <w:rsid w:val="368B560A"/>
    <w:rsid w:val="36C94F33"/>
    <w:rsid w:val="36E96615"/>
    <w:rsid w:val="370C2303"/>
    <w:rsid w:val="37192419"/>
    <w:rsid w:val="372633C5"/>
    <w:rsid w:val="372E4027"/>
    <w:rsid w:val="374C0952"/>
    <w:rsid w:val="374E0226"/>
    <w:rsid w:val="375B2943"/>
    <w:rsid w:val="37702892"/>
    <w:rsid w:val="3793032E"/>
    <w:rsid w:val="37B409D1"/>
    <w:rsid w:val="37B7226F"/>
    <w:rsid w:val="37BE14E1"/>
    <w:rsid w:val="37EA2644"/>
    <w:rsid w:val="37F007A1"/>
    <w:rsid w:val="37F34BF4"/>
    <w:rsid w:val="37FC5ED4"/>
    <w:rsid w:val="380A05F1"/>
    <w:rsid w:val="380A6843"/>
    <w:rsid w:val="380D6333"/>
    <w:rsid w:val="38163439"/>
    <w:rsid w:val="38367638"/>
    <w:rsid w:val="383C09C6"/>
    <w:rsid w:val="38451629"/>
    <w:rsid w:val="385F359C"/>
    <w:rsid w:val="38637D01"/>
    <w:rsid w:val="386F2B4A"/>
    <w:rsid w:val="387B329C"/>
    <w:rsid w:val="3885411B"/>
    <w:rsid w:val="389820A0"/>
    <w:rsid w:val="38B7004D"/>
    <w:rsid w:val="38C34C43"/>
    <w:rsid w:val="390C65EA"/>
    <w:rsid w:val="39137979"/>
    <w:rsid w:val="39203E44"/>
    <w:rsid w:val="397D31FC"/>
    <w:rsid w:val="397F0B6A"/>
    <w:rsid w:val="399565E0"/>
    <w:rsid w:val="39967186"/>
    <w:rsid w:val="39A22AAB"/>
    <w:rsid w:val="39B065A9"/>
    <w:rsid w:val="39C542C3"/>
    <w:rsid w:val="39D4535A"/>
    <w:rsid w:val="39EB26A4"/>
    <w:rsid w:val="39F33306"/>
    <w:rsid w:val="39F72DF7"/>
    <w:rsid w:val="39FC21BB"/>
    <w:rsid w:val="3A064DE8"/>
    <w:rsid w:val="3A1F234D"/>
    <w:rsid w:val="3A371445"/>
    <w:rsid w:val="3A411C9C"/>
    <w:rsid w:val="3A7461F5"/>
    <w:rsid w:val="3A894EF6"/>
    <w:rsid w:val="3A8B353F"/>
    <w:rsid w:val="3AA12D62"/>
    <w:rsid w:val="3AAF0DDB"/>
    <w:rsid w:val="3AB5065F"/>
    <w:rsid w:val="3ACD1DA9"/>
    <w:rsid w:val="3ACF63CB"/>
    <w:rsid w:val="3AEC0481"/>
    <w:rsid w:val="3B0A6B5A"/>
    <w:rsid w:val="3B281408"/>
    <w:rsid w:val="3B556027"/>
    <w:rsid w:val="3BA66882"/>
    <w:rsid w:val="3BA80B19"/>
    <w:rsid w:val="3BEC16E5"/>
    <w:rsid w:val="3C306D0A"/>
    <w:rsid w:val="3C4240EC"/>
    <w:rsid w:val="3C44609B"/>
    <w:rsid w:val="3C506CDE"/>
    <w:rsid w:val="3C544530"/>
    <w:rsid w:val="3C83505F"/>
    <w:rsid w:val="3CB856B8"/>
    <w:rsid w:val="3CC176EC"/>
    <w:rsid w:val="3CE51F80"/>
    <w:rsid w:val="3CF950D8"/>
    <w:rsid w:val="3D167E35"/>
    <w:rsid w:val="3D332398"/>
    <w:rsid w:val="3D3F0480"/>
    <w:rsid w:val="3D412692"/>
    <w:rsid w:val="3D5F396D"/>
    <w:rsid w:val="3D711B40"/>
    <w:rsid w:val="3D7B3D3F"/>
    <w:rsid w:val="3D9D3CB5"/>
    <w:rsid w:val="3DA35311"/>
    <w:rsid w:val="3DB64D77"/>
    <w:rsid w:val="3DBB413B"/>
    <w:rsid w:val="3DBF1E7D"/>
    <w:rsid w:val="3DD33817"/>
    <w:rsid w:val="3E1321C9"/>
    <w:rsid w:val="3E246184"/>
    <w:rsid w:val="3E524A9F"/>
    <w:rsid w:val="3E800AA6"/>
    <w:rsid w:val="3E970704"/>
    <w:rsid w:val="3EA3354D"/>
    <w:rsid w:val="3ECA0ADA"/>
    <w:rsid w:val="3ED96F6F"/>
    <w:rsid w:val="3EDE4585"/>
    <w:rsid w:val="3EE651E8"/>
    <w:rsid w:val="3F041198"/>
    <w:rsid w:val="3F165ACD"/>
    <w:rsid w:val="3F190A5E"/>
    <w:rsid w:val="3F3A1FEB"/>
    <w:rsid w:val="3F5749D4"/>
    <w:rsid w:val="3FA330D9"/>
    <w:rsid w:val="3FB13A48"/>
    <w:rsid w:val="3FC1012F"/>
    <w:rsid w:val="3FCF5524"/>
    <w:rsid w:val="3FE47979"/>
    <w:rsid w:val="404C03EA"/>
    <w:rsid w:val="40621663"/>
    <w:rsid w:val="407A02DD"/>
    <w:rsid w:val="407F76A2"/>
    <w:rsid w:val="40860A30"/>
    <w:rsid w:val="408E7C49"/>
    <w:rsid w:val="40A67243"/>
    <w:rsid w:val="40C779CD"/>
    <w:rsid w:val="40D479EE"/>
    <w:rsid w:val="40D55514"/>
    <w:rsid w:val="40D66E70"/>
    <w:rsid w:val="40D95004"/>
    <w:rsid w:val="40E340D5"/>
    <w:rsid w:val="40EB2F55"/>
    <w:rsid w:val="40F736DC"/>
    <w:rsid w:val="40FE050B"/>
    <w:rsid w:val="41456B3D"/>
    <w:rsid w:val="4151103E"/>
    <w:rsid w:val="418331C2"/>
    <w:rsid w:val="41AE46E3"/>
    <w:rsid w:val="41B24CC0"/>
    <w:rsid w:val="41D34BA9"/>
    <w:rsid w:val="41F52C3A"/>
    <w:rsid w:val="41F8770C"/>
    <w:rsid w:val="42240501"/>
    <w:rsid w:val="42253D73"/>
    <w:rsid w:val="422C7D41"/>
    <w:rsid w:val="4235270E"/>
    <w:rsid w:val="4263645E"/>
    <w:rsid w:val="42755200"/>
    <w:rsid w:val="42982C9D"/>
    <w:rsid w:val="42A56252"/>
    <w:rsid w:val="42DD10F2"/>
    <w:rsid w:val="42E67EAC"/>
    <w:rsid w:val="42E9773B"/>
    <w:rsid w:val="43087E22"/>
    <w:rsid w:val="43116751"/>
    <w:rsid w:val="4359242C"/>
    <w:rsid w:val="435E3EE6"/>
    <w:rsid w:val="43A062AD"/>
    <w:rsid w:val="43A86F10"/>
    <w:rsid w:val="43B104BA"/>
    <w:rsid w:val="43C27FD1"/>
    <w:rsid w:val="43DD305D"/>
    <w:rsid w:val="43E202FE"/>
    <w:rsid w:val="43E53CC0"/>
    <w:rsid w:val="43EE7018"/>
    <w:rsid w:val="440B5E1C"/>
    <w:rsid w:val="4427252A"/>
    <w:rsid w:val="4441183E"/>
    <w:rsid w:val="445552E9"/>
    <w:rsid w:val="445D7CFA"/>
    <w:rsid w:val="44654E01"/>
    <w:rsid w:val="44A45CB0"/>
    <w:rsid w:val="44A82426"/>
    <w:rsid w:val="44E4602A"/>
    <w:rsid w:val="44EF1C01"/>
    <w:rsid w:val="450978B4"/>
    <w:rsid w:val="452F5B3A"/>
    <w:rsid w:val="454315E6"/>
    <w:rsid w:val="454A1453"/>
    <w:rsid w:val="45505AB1"/>
    <w:rsid w:val="4597723C"/>
    <w:rsid w:val="45A831F7"/>
    <w:rsid w:val="45B47DEE"/>
    <w:rsid w:val="45B54088"/>
    <w:rsid w:val="45B80788"/>
    <w:rsid w:val="46162856"/>
    <w:rsid w:val="464A2500"/>
    <w:rsid w:val="46545D00"/>
    <w:rsid w:val="469043B7"/>
    <w:rsid w:val="46956D93"/>
    <w:rsid w:val="46A2058E"/>
    <w:rsid w:val="46B75DE7"/>
    <w:rsid w:val="46BD2CD2"/>
    <w:rsid w:val="46C329DE"/>
    <w:rsid w:val="46C56CD4"/>
    <w:rsid w:val="46DC2BC3"/>
    <w:rsid w:val="46DE3DA2"/>
    <w:rsid w:val="47022DDB"/>
    <w:rsid w:val="47143CE0"/>
    <w:rsid w:val="47152B0E"/>
    <w:rsid w:val="47373CCA"/>
    <w:rsid w:val="473C009B"/>
    <w:rsid w:val="475A49C5"/>
    <w:rsid w:val="47631ACB"/>
    <w:rsid w:val="47863A0C"/>
    <w:rsid w:val="479152E5"/>
    <w:rsid w:val="479C6D8B"/>
    <w:rsid w:val="47B916EB"/>
    <w:rsid w:val="47BD3387"/>
    <w:rsid w:val="47E9061B"/>
    <w:rsid w:val="47EF335F"/>
    <w:rsid w:val="47EF3A41"/>
    <w:rsid w:val="47F70466"/>
    <w:rsid w:val="47F93301"/>
    <w:rsid w:val="48010AA9"/>
    <w:rsid w:val="48052B82"/>
    <w:rsid w:val="483C0B1B"/>
    <w:rsid w:val="48401E0D"/>
    <w:rsid w:val="484245C7"/>
    <w:rsid w:val="484C6A03"/>
    <w:rsid w:val="48580F04"/>
    <w:rsid w:val="486A0C38"/>
    <w:rsid w:val="487321E2"/>
    <w:rsid w:val="487D096B"/>
    <w:rsid w:val="488D7CFE"/>
    <w:rsid w:val="48A57EC2"/>
    <w:rsid w:val="48B60321"/>
    <w:rsid w:val="48D82045"/>
    <w:rsid w:val="48E00EFA"/>
    <w:rsid w:val="48F21359"/>
    <w:rsid w:val="49184B37"/>
    <w:rsid w:val="491B12EC"/>
    <w:rsid w:val="49323FD7"/>
    <w:rsid w:val="493C25D4"/>
    <w:rsid w:val="496658A3"/>
    <w:rsid w:val="49667651"/>
    <w:rsid w:val="498875C7"/>
    <w:rsid w:val="49C5081B"/>
    <w:rsid w:val="49D40A5E"/>
    <w:rsid w:val="49D6108D"/>
    <w:rsid w:val="49D92519"/>
    <w:rsid w:val="49E031D3"/>
    <w:rsid w:val="49F11610"/>
    <w:rsid w:val="4A1470AD"/>
    <w:rsid w:val="4A1A306E"/>
    <w:rsid w:val="4A282B58"/>
    <w:rsid w:val="4A510301"/>
    <w:rsid w:val="4A5F3DBA"/>
    <w:rsid w:val="4A7D314E"/>
    <w:rsid w:val="4A8835F7"/>
    <w:rsid w:val="4AA743C5"/>
    <w:rsid w:val="4ABF5254"/>
    <w:rsid w:val="4ACA3C0F"/>
    <w:rsid w:val="4ACD6DF4"/>
    <w:rsid w:val="4AD51C77"/>
    <w:rsid w:val="4B272E10"/>
    <w:rsid w:val="4B3A2B43"/>
    <w:rsid w:val="4B69167A"/>
    <w:rsid w:val="4B6E6C91"/>
    <w:rsid w:val="4B865D88"/>
    <w:rsid w:val="4B904E59"/>
    <w:rsid w:val="4B9C1A50"/>
    <w:rsid w:val="4B9C55AC"/>
    <w:rsid w:val="4BB24DCF"/>
    <w:rsid w:val="4BBA0128"/>
    <w:rsid w:val="4BBC4FD7"/>
    <w:rsid w:val="4BBC79FC"/>
    <w:rsid w:val="4BCB5E91"/>
    <w:rsid w:val="4BD016F9"/>
    <w:rsid w:val="4BDF36EB"/>
    <w:rsid w:val="4C03387D"/>
    <w:rsid w:val="4C12409B"/>
    <w:rsid w:val="4C2A705C"/>
    <w:rsid w:val="4C38427F"/>
    <w:rsid w:val="4C545E87"/>
    <w:rsid w:val="4C6065D9"/>
    <w:rsid w:val="4C65665F"/>
    <w:rsid w:val="4C7622A1"/>
    <w:rsid w:val="4C76404F"/>
    <w:rsid w:val="4C811ECE"/>
    <w:rsid w:val="4CBD494A"/>
    <w:rsid w:val="4CC34DBA"/>
    <w:rsid w:val="4CE552E6"/>
    <w:rsid w:val="4CEE0089"/>
    <w:rsid w:val="4D0478AD"/>
    <w:rsid w:val="4D07739D"/>
    <w:rsid w:val="4D341814"/>
    <w:rsid w:val="4D3A507C"/>
    <w:rsid w:val="4D5601C7"/>
    <w:rsid w:val="4D7560B4"/>
    <w:rsid w:val="4DD76D6F"/>
    <w:rsid w:val="4DDA685F"/>
    <w:rsid w:val="4DE33966"/>
    <w:rsid w:val="4DFC0584"/>
    <w:rsid w:val="4E191136"/>
    <w:rsid w:val="4E28581D"/>
    <w:rsid w:val="4E3221F7"/>
    <w:rsid w:val="4E8C5DAC"/>
    <w:rsid w:val="4EAC5711"/>
    <w:rsid w:val="4EB26BFC"/>
    <w:rsid w:val="4ED164C7"/>
    <w:rsid w:val="4ED1689E"/>
    <w:rsid w:val="4EE259CC"/>
    <w:rsid w:val="4F0A0A7E"/>
    <w:rsid w:val="4F1B1237"/>
    <w:rsid w:val="4F275AD4"/>
    <w:rsid w:val="4F2F5141"/>
    <w:rsid w:val="4F4915A7"/>
    <w:rsid w:val="4F6C1739"/>
    <w:rsid w:val="4F806F93"/>
    <w:rsid w:val="4F895E47"/>
    <w:rsid w:val="4FC926E8"/>
    <w:rsid w:val="500876B4"/>
    <w:rsid w:val="5019366F"/>
    <w:rsid w:val="501D6327"/>
    <w:rsid w:val="503C110B"/>
    <w:rsid w:val="50564637"/>
    <w:rsid w:val="506D7517"/>
    <w:rsid w:val="50972065"/>
    <w:rsid w:val="50AC1958"/>
    <w:rsid w:val="50E61077"/>
    <w:rsid w:val="50F11EF6"/>
    <w:rsid w:val="51071719"/>
    <w:rsid w:val="510E2892"/>
    <w:rsid w:val="511A58F1"/>
    <w:rsid w:val="51271DBC"/>
    <w:rsid w:val="512A18AC"/>
    <w:rsid w:val="512F0C70"/>
    <w:rsid w:val="51316796"/>
    <w:rsid w:val="51401706"/>
    <w:rsid w:val="514C51DC"/>
    <w:rsid w:val="51517903"/>
    <w:rsid w:val="51820DD5"/>
    <w:rsid w:val="51887260"/>
    <w:rsid w:val="518F170F"/>
    <w:rsid w:val="51A21442"/>
    <w:rsid w:val="51AC0513"/>
    <w:rsid w:val="51AF374E"/>
    <w:rsid w:val="51B2004B"/>
    <w:rsid w:val="51D35A9F"/>
    <w:rsid w:val="52350508"/>
    <w:rsid w:val="52741030"/>
    <w:rsid w:val="527F1FE1"/>
    <w:rsid w:val="529E1C09"/>
    <w:rsid w:val="52D25D57"/>
    <w:rsid w:val="52DC0984"/>
    <w:rsid w:val="52E16D3B"/>
    <w:rsid w:val="53057EDB"/>
    <w:rsid w:val="53102A0A"/>
    <w:rsid w:val="53230361"/>
    <w:rsid w:val="532A16EF"/>
    <w:rsid w:val="532D11DF"/>
    <w:rsid w:val="53476745"/>
    <w:rsid w:val="53672943"/>
    <w:rsid w:val="536E5A80"/>
    <w:rsid w:val="537868FE"/>
    <w:rsid w:val="53803A05"/>
    <w:rsid w:val="5386726D"/>
    <w:rsid w:val="538E1C7E"/>
    <w:rsid w:val="539453CB"/>
    <w:rsid w:val="539B083F"/>
    <w:rsid w:val="53A32941"/>
    <w:rsid w:val="53C102A5"/>
    <w:rsid w:val="53D64FC0"/>
    <w:rsid w:val="54237C60"/>
    <w:rsid w:val="54556AEA"/>
    <w:rsid w:val="546B3C3F"/>
    <w:rsid w:val="546B6463"/>
    <w:rsid w:val="546E7D01"/>
    <w:rsid w:val="54AA610A"/>
    <w:rsid w:val="54BA4CF5"/>
    <w:rsid w:val="54BE6593"/>
    <w:rsid w:val="54C16083"/>
    <w:rsid w:val="54D1276A"/>
    <w:rsid w:val="54D20290"/>
    <w:rsid w:val="54D47B64"/>
    <w:rsid w:val="54D538DD"/>
    <w:rsid w:val="54E67898"/>
    <w:rsid w:val="54F55D2D"/>
    <w:rsid w:val="54F621D1"/>
    <w:rsid w:val="550545A1"/>
    <w:rsid w:val="55131A57"/>
    <w:rsid w:val="55191A1B"/>
    <w:rsid w:val="551A6815"/>
    <w:rsid w:val="55622629"/>
    <w:rsid w:val="557B0928"/>
    <w:rsid w:val="5587107B"/>
    <w:rsid w:val="5596490A"/>
    <w:rsid w:val="55AC5016"/>
    <w:rsid w:val="55B31E70"/>
    <w:rsid w:val="55B87486"/>
    <w:rsid w:val="55CA71B9"/>
    <w:rsid w:val="560E354A"/>
    <w:rsid w:val="56242D6E"/>
    <w:rsid w:val="56424FA2"/>
    <w:rsid w:val="564927D4"/>
    <w:rsid w:val="564A367B"/>
    <w:rsid w:val="568A7075"/>
    <w:rsid w:val="56C94C51"/>
    <w:rsid w:val="56E524FD"/>
    <w:rsid w:val="56FB3ACE"/>
    <w:rsid w:val="57182F86"/>
    <w:rsid w:val="5738327B"/>
    <w:rsid w:val="57421747"/>
    <w:rsid w:val="574B719F"/>
    <w:rsid w:val="577D71D5"/>
    <w:rsid w:val="578810DA"/>
    <w:rsid w:val="57947A7F"/>
    <w:rsid w:val="57AC301B"/>
    <w:rsid w:val="57AF48B9"/>
    <w:rsid w:val="57BB500C"/>
    <w:rsid w:val="57CA34A1"/>
    <w:rsid w:val="57CE2F91"/>
    <w:rsid w:val="57D7204A"/>
    <w:rsid w:val="57D85BBE"/>
    <w:rsid w:val="57E91B79"/>
    <w:rsid w:val="57F84A4C"/>
    <w:rsid w:val="57FD3876"/>
    <w:rsid w:val="580469B3"/>
    <w:rsid w:val="581A4428"/>
    <w:rsid w:val="583E3D03"/>
    <w:rsid w:val="584C2108"/>
    <w:rsid w:val="58550FBC"/>
    <w:rsid w:val="58555460"/>
    <w:rsid w:val="585D2567"/>
    <w:rsid w:val="586236D9"/>
    <w:rsid w:val="58A9755A"/>
    <w:rsid w:val="58B21E57"/>
    <w:rsid w:val="58E65A10"/>
    <w:rsid w:val="58F9403E"/>
    <w:rsid w:val="59103135"/>
    <w:rsid w:val="59162E41"/>
    <w:rsid w:val="591E3AA4"/>
    <w:rsid w:val="59276BDD"/>
    <w:rsid w:val="592D018B"/>
    <w:rsid w:val="5960230F"/>
    <w:rsid w:val="59623982"/>
    <w:rsid w:val="5967369D"/>
    <w:rsid w:val="59927FEE"/>
    <w:rsid w:val="59A9072D"/>
    <w:rsid w:val="59B166C6"/>
    <w:rsid w:val="59B63CDD"/>
    <w:rsid w:val="59BE0892"/>
    <w:rsid w:val="5A235F34"/>
    <w:rsid w:val="5A2A0227"/>
    <w:rsid w:val="5A2E5F69"/>
    <w:rsid w:val="5A3A2DDD"/>
    <w:rsid w:val="5A5F4374"/>
    <w:rsid w:val="5A623E64"/>
    <w:rsid w:val="5A762E3E"/>
    <w:rsid w:val="5A8B6F17"/>
    <w:rsid w:val="5AB02E22"/>
    <w:rsid w:val="5AB171A7"/>
    <w:rsid w:val="5AD92379"/>
    <w:rsid w:val="5AF11F13"/>
    <w:rsid w:val="5AF90502"/>
    <w:rsid w:val="5AFE3B8D"/>
    <w:rsid w:val="5B025E57"/>
    <w:rsid w:val="5B152C85"/>
    <w:rsid w:val="5B417F1E"/>
    <w:rsid w:val="5B514F34"/>
    <w:rsid w:val="5B667984"/>
    <w:rsid w:val="5B6A2FD1"/>
    <w:rsid w:val="5B6B4996"/>
    <w:rsid w:val="5B70610D"/>
    <w:rsid w:val="5B914A01"/>
    <w:rsid w:val="5BAD55B3"/>
    <w:rsid w:val="5BB57FC4"/>
    <w:rsid w:val="5BC052E6"/>
    <w:rsid w:val="5BC50F5A"/>
    <w:rsid w:val="5BE2700B"/>
    <w:rsid w:val="5BF918A2"/>
    <w:rsid w:val="5C0974B1"/>
    <w:rsid w:val="5C2238AB"/>
    <w:rsid w:val="5C390BF5"/>
    <w:rsid w:val="5C742217"/>
    <w:rsid w:val="5C761E49"/>
    <w:rsid w:val="5C965957"/>
    <w:rsid w:val="5C9D1184"/>
    <w:rsid w:val="5CA93FCD"/>
    <w:rsid w:val="5CBC3D00"/>
    <w:rsid w:val="5CFB5EAA"/>
    <w:rsid w:val="5D0631CD"/>
    <w:rsid w:val="5D096819"/>
    <w:rsid w:val="5D2618E7"/>
    <w:rsid w:val="5D2E002E"/>
    <w:rsid w:val="5D336228"/>
    <w:rsid w:val="5D3A2E77"/>
    <w:rsid w:val="5D3A7D6A"/>
    <w:rsid w:val="5D5A52C7"/>
    <w:rsid w:val="5D5E50B6"/>
    <w:rsid w:val="5D5F468B"/>
    <w:rsid w:val="5D7F339F"/>
    <w:rsid w:val="5D90057C"/>
    <w:rsid w:val="5DA36C6E"/>
    <w:rsid w:val="5DC664B8"/>
    <w:rsid w:val="5DD9443E"/>
    <w:rsid w:val="5DE11544"/>
    <w:rsid w:val="5E033269"/>
    <w:rsid w:val="5E0C1DC3"/>
    <w:rsid w:val="5E1D07CE"/>
    <w:rsid w:val="5E421FE3"/>
    <w:rsid w:val="5E9D546B"/>
    <w:rsid w:val="5EB408CA"/>
    <w:rsid w:val="5EB84053"/>
    <w:rsid w:val="5EC21376"/>
    <w:rsid w:val="5ED913D9"/>
    <w:rsid w:val="5EE36F43"/>
    <w:rsid w:val="5EFF1C82"/>
    <w:rsid w:val="5F36141C"/>
    <w:rsid w:val="5F385194"/>
    <w:rsid w:val="5F4B03E2"/>
    <w:rsid w:val="5F555D46"/>
    <w:rsid w:val="5F622211"/>
    <w:rsid w:val="5F681F1D"/>
    <w:rsid w:val="5F685A79"/>
    <w:rsid w:val="5F802EF2"/>
    <w:rsid w:val="5F825F08"/>
    <w:rsid w:val="5F8A1E93"/>
    <w:rsid w:val="5FA97E40"/>
    <w:rsid w:val="5FCF5AF8"/>
    <w:rsid w:val="5FEC48FC"/>
    <w:rsid w:val="5FFC4413"/>
    <w:rsid w:val="6008100A"/>
    <w:rsid w:val="602E780A"/>
    <w:rsid w:val="602F47E9"/>
    <w:rsid w:val="606A5821"/>
    <w:rsid w:val="609805E0"/>
    <w:rsid w:val="60F82E2D"/>
    <w:rsid w:val="60FF6129"/>
    <w:rsid w:val="61251748"/>
    <w:rsid w:val="61273712"/>
    <w:rsid w:val="613B06D7"/>
    <w:rsid w:val="61447E20"/>
    <w:rsid w:val="617B1EE0"/>
    <w:rsid w:val="618B1EF3"/>
    <w:rsid w:val="61932B55"/>
    <w:rsid w:val="61A46B11"/>
    <w:rsid w:val="61AC2A92"/>
    <w:rsid w:val="61B31169"/>
    <w:rsid w:val="61C45941"/>
    <w:rsid w:val="61E24795"/>
    <w:rsid w:val="61F01D56"/>
    <w:rsid w:val="61FC694D"/>
    <w:rsid w:val="62093465"/>
    <w:rsid w:val="62141EE8"/>
    <w:rsid w:val="62315204"/>
    <w:rsid w:val="624C34E5"/>
    <w:rsid w:val="62A52B40"/>
    <w:rsid w:val="62B8336A"/>
    <w:rsid w:val="62BC609E"/>
    <w:rsid w:val="62E573E1"/>
    <w:rsid w:val="635A12B4"/>
    <w:rsid w:val="63696264"/>
    <w:rsid w:val="63AB4186"/>
    <w:rsid w:val="63AF06CE"/>
    <w:rsid w:val="63D95197"/>
    <w:rsid w:val="63DC6A36"/>
    <w:rsid w:val="64056E8A"/>
    <w:rsid w:val="64337579"/>
    <w:rsid w:val="64441196"/>
    <w:rsid w:val="64540922"/>
    <w:rsid w:val="646F3406"/>
    <w:rsid w:val="64750536"/>
    <w:rsid w:val="64852BFC"/>
    <w:rsid w:val="648A46E4"/>
    <w:rsid w:val="649015CE"/>
    <w:rsid w:val="64947310"/>
    <w:rsid w:val="64A86918"/>
    <w:rsid w:val="64AA2690"/>
    <w:rsid w:val="64AF7CA6"/>
    <w:rsid w:val="64CF0348"/>
    <w:rsid w:val="64D67929"/>
    <w:rsid w:val="64E02555"/>
    <w:rsid w:val="65030E60"/>
    <w:rsid w:val="65041B65"/>
    <w:rsid w:val="65091B75"/>
    <w:rsid w:val="651D10B4"/>
    <w:rsid w:val="655A5E64"/>
    <w:rsid w:val="65735178"/>
    <w:rsid w:val="658E5B0E"/>
    <w:rsid w:val="65902654"/>
    <w:rsid w:val="65AE59DE"/>
    <w:rsid w:val="65BC6440"/>
    <w:rsid w:val="65C36E7F"/>
    <w:rsid w:val="65C9165A"/>
    <w:rsid w:val="65D21A26"/>
    <w:rsid w:val="65D4319C"/>
    <w:rsid w:val="65DA6FA5"/>
    <w:rsid w:val="65E107A1"/>
    <w:rsid w:val="65EB4424"/>
    <w:rsid w:val="65F04A1A"/>
    <w:rsid w:val="662B5726"/>
    <w:rsid w:val="663568D1"/>
    <w:rsid w:val="663B7430"/>
    <w:rsid w:val="66415276"/>
    <w:rsid w:val="666351EC"/>
    <w:rsid w:val="66706FE1"/>
    <w:rsid w:val="66756922"/>
    <w:rsid w:val="668A5502"/>
    <w:rsid w:val="66D41C46"/>
    <w:rsid w:val="66E87063"/>
    <w:rsid w:val="66EB65F8"/>
    <w:rsid w:val="670C5884"/>
    <w:rsid w:val="67193AFD"/>
    <w:rsid w:val="671E7365"/>
    <w:rsid w:val="67242BCD"/>
    <w:rsid w:val="672A0BC3"/>
    <w:rsid w:val="672E75A8"/>
    <w:rsid w:val="675118BA"/>
    <w:rsid w:val="67580AC9"/>
    <w:rsid w:val="676A25AA"/>
    <w:rsid w:val="67990800"/>
    <w:rsid w:val="67A61834"/>
    <w:rsid w:val="67FE2A02"/>
    <w:rsid w:val="681D0278"/>
    <w:rsid w:val="682B1D3A"/>
    <w:rsid w:val="682B3AE8"/>
    <w:rsid w:val="68324E76"/>
    <w:rsid w:val="685335CE"/>
    <w:rsid w:val="685C6397"/>
    <w:rsid w:val="687775B2"/>
    <w:rsid w:val="687C4343"/>
    <w:rsid w:val="6897475F"/>
    <w:rsid w:val="68A1024E"/>
    <w:rsid w:val="68BC6E36"/>
    <w:rsid w:val="68C83A2C"/>
    <w:rsid w:val="68CF0917"/>
    <w:rsid w:val="68D761A0"/>
    <w:rsid w:val="68FE634A"/>
    <w:rsid w:val="69036813"/>
    <w:rsid w:val="6908207B"/>
    <w:rsid w:val="691602F4"/>
    <w:rsid w:val="69161412"/>
    <w:rsid w:val="69164798"/>
    <w:rsid w:val="69777577"/>
    <w:rsid w:val="698711F2"/>
    <w:rsid w:val="699456BD"/>
    <w:rsid w:val="69A200AE"/>
    <w:rsid w:val="69A41DA4"/>
    <w:rsid w:val="69D411E9"/>
    <w:rsid w:val="69D8084E"/>
    <w:rsid w:val="69FD7706"/>
    <w:rsid w:val="69FF347E"/>
    <w:rsid w:val="6A1B14A7"/>
    <w:rsid w:val="6A3C022E"/>
    <w:rsid w:val="6A4E1D0F"/>
    <w:rsid w:val="6AA50336"/>
    <w:rsid w:val="6AAC73D4"/>
    <w:rsid w:val="6AB03093"/>
    <w:rsid w:val="6ABC136F"/>
    <w:rsid w:val="6ADF0BB9"/>
    <w:rsid w:val="6AE5012B"/>
    <w:rsid w:val="6B064398"/>
    <w:rsid w:val="6B080110"/>
    <w:rsid w:val="6B241A17"/>
    <w:rsid w:val="6B3E66B1"/>
    <w:rsid w:val="6B715CB5"/>
    <w:rsid w:val="6B721A2E"/>
    <w:rsid w:val="6B7636D8"/>
    <w:rsid w:val="6B797260"/>
    <w:rsid w:val="6BA31452"/>
    <w:rsid w:val="6BA37E39"/>
    <w:rsid w:val="6BC56001"/>
    <w:rsid w:val="6BD91AAD"/>
    <w:rsid w:val="6BDB5825"/>
    <w:rsid w:val="6BE02E3B"/>
    <w:rsid w:val="6BEC17E0"/>
    <w:rsid w:val="6C0E025D"/>
    <w:rsid w:val="6C225202"/>
    <w:rsid w:val="6C256AA0"/>
    <w:rsid w:val="6C381FEE"/>
    <w:rsid w:val="6C3C2767"/>
    <w:rsid w:val="6C4F04B2"/>
    <w:rsid w:val="6C5818C7"/>
    <w:rsid w:val="6C643A6C"/>
    <w:rsid w:val="6C7C2B64"/>
    <w:rsid w:val="6C8D4D71"/>
    <w:rsid w:val="6CCE28A2"/>
    <w:rsid w:val="6CDD06CC"/>
    <w:rsid w:val="6CEF1CA7"/>
    <w:rsid w:val="6D1014FE"/>
    <w:rsid w:val="6D1A4FAB"/>
    <w:rsid w:val="6D4E36AD"/>
    <w:rsid w:val="6D6F26C8"/>
    <w:rsid w:val="6D7B72BF"/>
    <w:rsid w:val="6D7D1E3C"/>
    <w:rsid w:val="6D9673F7"/>
    <w:rsid w:val="6D99255B"/>
    <w:rsid w:val="6D9B34BE"/>
    <w:rsid w:val="6DF8446C"/>
    <w:rsid w:val="6E1148C4"/>
    <w:rsid w:val="6E3B07FD"/>
    <w:rsid w:val="6E437584"/>
    <w:rsid w:val="6E733BEC"/>
    <w:rsid w:val="6E761835"/>
    <w:rsid w:val="6E914282"/>
    <w:rsid w:val="6E9C0F6F"/>
    <w:rsid w:val="6EB15EC5"/>
    <w:rsid w:val="6EC16F54"/>
    <w:rsid w:val="6EDA0016"/>
    <w:rsid w:val="6F0E4EC3"/>
    <w:rsid w:val="6F125A01"/>
    <w:rsid w:val="6F481423"/>
    <w:rsid w:val="6FE86762"/>
    <w:rsid w:val="6FEA237E"/>
    <w:rsid w:val="6FFE6EBD"/>
    <w:rsid w:val="70076BE8"/>
    <w:rsid w:val="70366B8A"/>
    <w:rsid w:val="703B0F88"/>
    <w:rsid w:val="70545BA6"/>
    <w:rsid w:val="70557737"/>
    <w:rsid w:val="705F4C76"/>
    <w:rsid w:val="70967F6C"/>
    <w:rsid w:val="70981F36"/>
    <w:rsid w:val="70AA672B"/>
    <w:rsid w:val="70B12FF8"/>
    <w:rsid w:val="70BB4803"/>
    <w:rsid w:val="70BC5C25"/>
    <w:rsid w:val="70DE203F"/>
    <w:rsid w:val="70E60EF4"/>
    <w:rsid w:val="70F03B20"/>
    <w:rsid w:val="70F058CE"/>
    <w:rsid w:val="711A6DEF"/>
    <w:rsid w:val="71235F0D"/>
    <w:rsid w:val="71496FE8"/>
    <w:rsid w:val="71597917"/>
    <w:rsid w:val="7164006A"/>
    <w:rsid w:val="716A38D3"/>
    <w:rsid w:val="716A5681"/>
    <w:rsid w:val="71752277"/>
    <w:rsid w:val="71997D14"/>
    <w:rsid w:val="71AD7318"/>
    <w:rsid w:val="71C37A53"/>
    <w:rsid w:val="71C774DC"/>
    <w:rsid w:val="71C823A7"/>
    <w:rsid w:val="71CC1CC1"/>
    <w:rsid w:val="71E5444A"/>
    <w:rsid w:val="71E625CD"/>
    <w:rsid w:val="71E82A49"/>
    <w:rsid w:val="71F4319C"/>
    <w:rsid w:val="72021D5D"/>
    <w:rsid w:val="72127AC6"/>
    <w:rsid w:val="72296563"/>
    <w:rsid w:val="72442376"/>
    <w:rsid w:val="72553376"/>
    <w:rsid w:val="725956F5"/>
    <w:rsid w:val="725974A3"/>
    <w:rsid w:val="726D70E7"/>
    <w:rsid w:val="728B1D53"/>
    <w:rsid w:val="729055BB"/>
    <w:rsid w:val="729A3D44"/>
    <w:rsid w:val="72A63D8F"/>
    <w:rsid w:val="72AD68BE"/>
    <w:rsid w:val="72B03567"/>
    <w:rsid w:val="72B62B48"/>
    <w:rsid w:val="72BC63B0"/>
    <w:rsid w:val="72C963D7"/>
    <w:rsid w:val="72D57472"/>
    <w:rsid w:val="72E256EB"/>
    <w:rsid w:val="72E476B5"/>
    <w:rsid w:val="72EB0A43"/>
    <w:rsid w:val="72EB459F"/>
    <w:rsid w:val="72FF004B"/>
    <w:rsid w:val="73030DDC"/>
    <w:rsid w:val="73051CF2"/>
    <w:rsid w:val="731D4975"/>
    <w:rsid w:val="737C169B"/>
    <w:rsid w:val="73806F2C"/>
    <w:rsid w:val="739832BA"/>
    <w:rsid w:val="73B13A3B"/>
    <w:rsid w:val="73DC038C"/>
    <w:rsid w:val="73F76F74"/>
    <w:rsid w:val="73FC458A"/>
    <w:rsid w:val="74000587"/>
    <w:rsid w:val="7423420D"/>
    <w:rsid w:val="74237D69"/>
    <w:rsid w:val="744D4DE6"/>
    <w:rsid w:val="745A0D15"/>
    <w:rsid w:val="745B12FC"/>
    <w:rsid w:val="747D74F0"/>
    <w:rsid w:val="748A06F1"/>
    <w:rsid w:val="74C31ECB"/>
    <w:rsid w:val="74CE4179"/>
    <w:rsid w:val="74EE0377"/>
    <w:rsid w:val="74EE481B"/>
    <w:rsid w:val="74FFC3F2"/>
    <w:rsid w:val="751853F4"/>
    <w:rsid w:val="75265D63"/>
    <w:rsid w:val="75377F70"/>
    <w:rsid w:val="753C37D8"/>
    <w:rsid w:val="754B495E"/>
    <w:rsid w:val="755A5A0C"/>
    <w:rsid w:val="75610B49"/>
    <w:rsid w:val="756920F3"/>
    <w:rsid w:val="75936E3D"/>
    <w:rsid w:val="75942919"/>
    <w:rsid w:val="75B275F6"/>
    <w:rsid w:val="75D94B83"/>
    <w:rsid w:val="75E43528"/>
    <w:rsid w:val="75ED6706"/>
    <w:rsid w:val="75F96FD3"/>
    <w:rsid w:val="760F4A49"/>
    <w:rsid w:val="763017A6"/>
    <w:rsid w:val="766D79C1"/>
    <w:rsid w:val="76760624"/>
    <w:rsid w:val="767C19B2"/>
    <w:rsid w:val="768A2321"/>
    <w:rsid w:val="76B136C6"/>
    <w:rsid w:val="76BC2F72"/>
    <w:rsid w:val="76CC293A"/>
    <w:rsid w:val="76D17F50"/>
    <w:rsid w:val="76F679B7"/>
    <w:rsid w:val="77016E10"/>
    <w:rsid w:val="77106CCA"/>
    <w:rsid w:val="77112A42"/>
    <w:rsid w:val="77132317"/>
    <w:rsid w:val="77163BB5"/>
    <w:rsid w:val="7729243B"/>
    <w:rsid w:val="77440722"/>
    <w:rsid w:val="777C610E"/>
    <w:rsid w:val="77807964"/>
    <w:rsid w:val="77925931"/>
    <w:rsid w:val="77AA57AB"/>
    <w:rsid w:val="77E02514"/>
    <w:rsid w:val="77E141C3"/>
    <w:rsid w:val="780103C1"/>
    <w:rsid w:val="780659D7"/>
    <w:rsid w:val="781C169F"/>
    <w:rsid w:val="784D1858"/>
    <w:rsid w:val="78685D92"/>
    <w:rsid w:val="788259A6"/>
    <w:rsid w:val="78992CEF"/>
    <w:rsid w:val="78C30BD1"/>
    <w:rsid w:val="78C92CD0"/>
    <w:rsid w:val="7908577F"/>
    <w:rsid w:val="791B3704"/>
    <w:rsid w:val="7929565A"/>
    <w:rsid w:val="798553D8"/>
    <w:rsid w:val="799A6103"/>
    <w:rsid w:val="79B3393D"/>
    <w:rsid w:val="79D05643"/>
    <w:rsid w:val="79E24E87"/>
    <w:rsid w:val="79FA156C"/>
    <w:rsid w:val="7A150154"/>
    <w:rsid w:val="7A230AC3"/>
    <w:rsid w:val="7A480529"/>
    <w:rsid w:val="7A4B0019"/>
    <w:rsid w:val="7A4D1FE3"/>
    <w:rsid w:val="7A4F18B8"/>
    <w:rsid w:val="7A682979"/>
    <w:rsid w:val="7A756E44"/>
    <w:rsid w:val="7A807CC3"/>
    <w:rsid w:val="7A8377B3"/>
    <w:rsid w:val="7A9B4AFD"/>
    <w:rsid w:val="7A9E45ED"/>
    <w:rsid w:val="7AA02113"/>
    <w:rsid w:val="7AA8721A"/>
    <w:rsid w:val="7AAA36FF"/>
    <w:rsid w:val="7AFBE766"/>
    <w:rsid w:val="7B1F572E"/>
    <w:rsid w:val="7B276391"/>
    <w:rsid w:val="7B4E68F8"/>
    <w:rsid w:val="7B690757"/>
    <w:rsid w:val="7BB87930"/>
    <w:rsid w:val="7BBF481B"/>
    <w:rsid w:val="7BCC0CE6"/>
    <w:rsid w:val="7BE20509"/>
    <w:rsid w:val="7C06244A"/>
    <w:rsid w:val="7C1903CF"/>
    <w:rsid w:val="7C23124E"/>
    <w:rsid w:val="7C4800B3"/>
    <w:rsid w:val="7C4D40ED"/>
    <w:rsid w:val="7C5533D1"/>
    <w:rsid w:val="7C920181"/>
    <w:rsid w:val="7C985CAF"/>
    <w:rsid w:val="7C9C4E59"/>
    <w:rsid w:val="7CE107C1"/>
    <w:rsid w:val="7CE93667"/>
    <w:rsid w:val="7CEF1130"/>
    <w:rsid w:val="7CF229CE"/>
    <w:rsid w:val="7D0A7D18"/>
    <w:rsid w:val="7D124E1E"/>
    <w:rsid w:val="7D1E37C3"/>
    <w:rsid w:val="7D384885"/>
    <w:rsid w:val="7D690EE2"/>
    <w:rsid w:val="7D8950E1"/>
    <w:rsid w:val="7DAE0FEB"/>
    <w:rsid w:val="7DB3215D"/>
    <w:rsid w:val="7DC0487A"/>
    <w:rsid w:val="7DC720AD"/>
    <w:rsid w:val="7DCB56F9"/>
    <w:rsid w:val="7DD50326"/>
    <w:rsid w:val="7DE70059"/>
    <w:rsid w:val="7DF804B8"/>
    <w:rsid w:val="7DFA4230"/>
    <w:rsid w:val="7DFC3B04"/>
    <w:rsid w:val="7E2F1D63"/>
    <w:rsid w:val="7E3C2153"/>
    <w:rsid w:val="7E423B38"/>
    <w:rsid w:val="7E431733"/>
    <w:rsid w:val="7E4D576F"/>
    <w:rsid w:val="7E6B6EDC"/>
    <w:rsid w:val="7E7C69F3"/>
    <w:rsid w:val="7E941FD6"/>
    <w:rsid w:val="7E9445AA"/>
    <w:rsid w:val="7E9C7095"/>
    <w:rsid w:val="7EAA7A04"/>
    <w:rsid w:val="7EDA163C"/>
    <w:rsid w:val="7EFC18E2"/>
    <w:rsid w:val="7F030EC3"/>
    <w:rsid w:val="7F076C05"/>
    <w:rsid w:val="7F183EFE"/>
    <w:rsid w:val="7F2111AE"/>
    <w:rsid w:val="7F2F3A66"/>
    <w:rsid w:val="7F314308"/>
    <w:rsid w:val="7F637BB3"/>
    <w:rsid w:val="7F651B7D"/>
    <w:rsid w:val="7F6A7194"/>
    <w:rsid w:val="7F945FBF"/>
    <w:rsid w:val="7F9E7628"/>
    <w:rsid w:val="7FC05006"/>
    <w:rsid w:val="7FC95C6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9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qFormat="1"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99" w:semiHidden="0" w:name="envelope return"/>
    <w:lsdException w:qFormat="1" w:uiPriority="99" w:semiHidden="0" w:name="footnote reference"/>
    <w:lsdException w:qFormat="1" w:uiPriority="99"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99"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4"/>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65"/>
    <w:qFormat/>
    <w:uiPriority w:val="0"/>
    <w:pPr>
      <w:keepNext/>
      <w:keepLines/>
      <w:spacing w:before="260" w:after="260" w:line="416" w:lineRule="auto"/>
      <w:outlineLvl w:val="1"/>
    </w:pPr>
    <w:rPr>
      <w:rFonts w:ascii="Arial" w:hAnsi="Arial" w:eastAsia="黑体"/>
      <w:b/>
      <w:bCs/>
      <w:kern w:val="0"/>
      <w:sz w:val="32"/>
      <w:szCs w:val="32"/>
    </w:rPr>
  </w:style>
  <w:style w:type="paragraph" w:styleId="5">
    <w:name w:val="heading 3"/>
    <w:basedOn w:val="1"/>
    <w:next w:val="1"/>
    <w:link w:val="66"/>
    <w:qFormat/>
    <w:uiPriority w:val="99"/>
    <w:pPr>
      <w:keepNext/>
      <w:keepLines/>
      <w:spacing w:before="260" w:after="260" w:line="416" w:lineRule="auto"/>
      <w:outlineLvl w:val="2"/>
    </w:pPr>
    <w:rPr>
      <w:b/>
      <w:bCs/>
      <w:kern w:val="0"/>
      <w:sz w:val="32"/>
      <w:szCs w:val="32"/>
    </w:rPr>
  </w:style>
  <w:style w:type="paragraph" w:styleId="6">
    <w:name w:val="heading 4"/>
    <w:basedOn w:val="1"/>
    <w:next w:val="1"/>
    <w:qFormat/>
    <w:uiPriority w:val="99"/>
    <w:pPr>
      <w:keepNext/>
      <w:keepLines/>
      <w:numPr>
        <w:ilvl w:val="3"/>
        <w:numId w:val="1"/>
      </w:numPr>
      <w:tabs>
        <w:tab w:val="left" w:pos="360"/>
        <w:tab w:val="clear" w:pos="864"/>
      </w:tabs>
      <w:spacing w:before="280" w:after="290" w:line="376" w:lineRule="auto"/>
      <w:ind w:left="0" w:firstLine="0"/>
      <w:outlineLvl w:val="3"/>
    </w:pPr>
    <w:rPr>
      <w:rFonts w:eastAsia="黑体"/>
      <w:b/>
      <w:bCs/>
      <w:sz w:val="28"/>
      <w:szCs w:val="28"/>
    </w:rPr>
  </w:style>
  <w:style w:type="paragraph" w:styleId="7">
    <w:name w:val="heading 5"/>
    <w:basedOn w:val="1"/>
    <w:next w:val="1"/>
    <w:link w:val="67"/>
    <w:qFormat/>
    <w:uiPriority w:val="0"/>
    <w:pPr>
      <w:keepNext/>
      <w:keepLines/>
      <w:numPr>
        <w:ilvl w:val="4"/>
        <w:numId w:val="2"/>
      </w:numPr>
      <w:spacing w:before="280" w:after="290" w:line="376" w:lineRule="auto"/>
      <w:outlineLvl w:val="4"/>
    </w:pPr>
    <w:rPr>
      <w:b/>
      <w:sz w:val="28"/>
    </w:rPr>
  </w:style>
  <w:style w:type="paragraph" w:styleId="8">
    <w:name w:val="heading 6"/>
    <w:basedOn w:val="1"/>
    <w:next w:val="9"/>
    <w:link w:val="68"/>
    <w:qFormat/>
    <w:uiPriority w:val="0"/>
    <w:pPr>
      <w:keepNext/>
      <w:keepLines/>
      <w:numPr>
        <w:ilvl w:val="5"/>
        <w:numId w:val="2"/>
      </w:numPr>
      <w:spacing w:before="240" w:after="64" w:line="320" w:lineRule="auto"/>
      <w:outlineLvl w:val="5"/>
    </w:pPr>
    <w:rPr>
      <w:rFonts w:ascii="Arial" w:hAnsi="Arial" w:eastAsia="黑体"/>
      <w:b/>
      <w:sz w:val="24"/>
    </w:rPr>
  </w:style>
  <w:style w:type="paragraph" w:styleId="10">
    <w:name w:val="heading 7"/>
    <w:basedOn w:val="1"/>
    <w:next w:val="9"/>
    <w:link w:val="69"/>
    <w:qFormat/>
    <w:uiPriority w:val="0"/>
    <w:pPr>
      <w:keepNext/>
      <w:keepLines/>
      <w:numPr>
        <w:ilvl w:val="6"/>
        <w:numId w:val="2"/>
      </w:numPr>
      <w:spacing w:before="240" w:after="64" w:line="320" w:lineRule="auto"/>
      <w:outlineLvl w:val="6"/>
    </w:pPr>
    <w:rPr>
      <w:b/>
      <w:sz w:val="24"/>
    </w:rPr>
  </w:style>
  <w:style w:type="paragraph" w:styleId="11">
    <w:name w:val="heading 8"/>
    <w:basedOn w:val="1"/>
    <w:next w:val="9"/>
    <w:link w:val="70"/>
    <w:qFormat/>
    <w:uiPriority w:val="0"/>
    <w:pPr>
      <w:keepNext/>
      <w:keepLines/>
      <w:numPr>
        <w:ilvl w:val="7"/>
        <w:numId w:val="2"/>
      </w:numPr>
      <w:spacing w:before="240" w:after="64" w:line="320" w:lineRule="auto"/>
      <w:outlineLvl w:val="7"/>
    </w:pPr>
    <w:rPr>
      <w:rFonts w:ascii="Arial" w:hAnsi="Arial" w:eastAsia="黑体"/>
      <w:sz w:val="24"/>
    </w:rPr>
  </w:style>
  <w:style w:type="paragraph" w:styleId="12">
    <w:name w:val="heading 9"/>
    <w:basedOn w:val="1"/>
    <w:next w:val="9"/>
    <w:link w:val="71"/>
    <w:qFormat/>
    <w:uiPriority w:val="0"/>
    <w:pPr>
      <w:keepNext/>
      <w:keepLines/>
      <w:numPr>
        <w:ilvl w:val="8"/>
        <w:numId w:val="2"/>
      </w:numPr>
      <w:spacing w:before="240" w:after="64" w:line="320" w:lineRule="auto"/>
      <w:outlineLvl w:val="8"/>
    </w:pPr>
    <w:rPr>
      <w:rFonts w:ascii="Arial" w:hAnsi="Arial" w:eastAsia="黑体"/>
    </w:rPr>
  </w:style>
  <w:style w:type="character" w:default="1" w:styleId="52">
    <w:name w:val="Default Paragraph Font"/>
    <w:semiHidden/>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63"/>
    <w:qFormat/>
    <w:uiPriority w:val="99"/>
    <w:pPr>
      <w:spacing w:line="380" w:lineRule="exact"/>
    </w:pPr>
    <w:rPr>
      <w:kern w:val="0"/>
      <w:sz w:val="24"/>
    </w:rPr>
  </w:style>
  <w:style w:type="paragraph" w:styleId="9">
    <w:name w:val="Normal Indent"/>
    <w:basedOn w:val="1"/>
    <w:qFormat/>
    <w:uiPriority w:val="99"/>
    <w:pPr>
      <w:ind w:firstLine="420"/>
    </w:pPr>
    <w:rPr>
      <w:szCs w:val="20"/>
    </w:rPr>
  </w:style>
  <w:style w:type="paragraph" w:styleId="13">
    <w:name w:val="toc 7"/>
    <w:basedOn w:val="1"/>
    <w:next w:val="1"/>
    <w:unhideWhenUsed/>
    <w:qFormat/>
    <w:uiPriority w:val="39"/>
    <w:pPr>
      <w:ind w:left="2520" w:leftChars="1200"/>
    </w:pPr>
    <w:rPr>
      <w:rFonts w:ascii="Calibri" w:hAnsi="Calibri"/>
      <w:szCs w:val="22"/>
    </w:rPr>
  </w:style>
  <w:style w:type="paragraph" w:styleId="14">
    <w:name w:val="index 8"/>
    <w:basedOn w:val="1"/>
    <w:next w:val="1"/>
    <w:semiHidden/>
    <w:unhideWhenUsed/>
    <w:qFormat/>
    <w:uiPriority w:val="99"/>
    <w:pPr>
      <w:ind w:left="1400" w:leftChars="1400"/>
    </w:pPr>
  </w:style>
  <w:style w:type="paragraph" w:styleId="15">
    <w:name w:val="List Number"/>
    <w:basedOn w:val="1"/>
    <w:qFormat/>
    <w:uiPriority w:val="0"/>
    <w:pPr>
      <w:widowControl/>
      <w:tabs>
        <w:tab w:val="left" w:pos="454"/>
        <w:tab w:val="left" w:pos="720"/>
        <w:tab w:val="left" w:pos="840"/>
      </w:tabs>
      <w:spacing w:afterLines="50"/>
      <w:ind w:left="454" w:hanging="284"/>
      <w:jc w:val="left"/>
    </w:pPr>
    <w:rPr>
      <w:kern w:val="0"/>
      <w:sz w:val="24"/>
      <w:szCs w:val="20"/>
    </w:rPr>
  </w:style>
  <w:style w:type="paragraph" w:styleId="16">
    <w:name w:val="caption"/>
    <w:basedOn w:val="1"/>
    <w:next w:val="1"/>
    <w:qFormat/>
    <w:uiPriority w:val="0"/>
    <w:pPr>
      <w:spacing w:before="152"/>
    </w:pPr>
    <w:rPr>
      <w:rFonts w:ascii="Arial" w:hAnsi="Arial" w:eastAsia="黑体" w:cs="Arial"/>
      <w:sz w:val="20"/>
      <w:szCs w:val="20"/>
    </w:rPr>
  </w:style>
  <w:style w:type="paragraph" w:styleId="17">
    <w:name w:val="Document Map"/>
    <w:basedOn w:val="1"/>
    <w:link w:val="72"/>
    <w:unhideWhenUsed/>
    <w:qFormat/>
    <w:uiPriority w:val="0"/>
    <w:pPr>
      <w:shd w:val="clear" w:color="auto" w:fill="000080"/>
    </w:pPr>
    <w:rPr>
      <w:rFonts w:hint="eastAsia" w:ascii="宋体" w:hAnsi="宋体"/>
      <w:kern w:val="0"/>
      <w:sz w:val="20"/>
      <w:szCs w:val="20"/>
    </w:rPr>
  </w:style>
  <w:style w:type="paragraph" w:styleId="18">
    <w:name w:val="annotation text"/>
    <w:basedOn w:val="1"/>
    <w:link w:val="73"/>
    <w:unhideWhenUsed/>
    <w:qFormat/>
    <w:uiPriority w:val="99"/>
    <w:pPr>
      <w:jc w:val="left"/>
    </w:pPr>
  </w:style>
  <w:style w:type="paragraph" w:styleId="19">
    <w:name w:val="Body Text 3"/>
    <w:basedOn w:val="1"/>
    <w:next w:val="9"/>
    <w:link w:val="74"/>
    <w:qFormat/>
    <w:uiPriority w:val="0"/>
    <w:pPr>
      <w:spacing w:line="500" w:lineRule="exact"/>
    </w:pPr>
    <w:rPr>
      <w:b/>
      <w:bCs/>
      <w:kern w:val="0"/>
      <w:sz w:val="24"/>
    </w:rPr>
  </w:style>
  <w:style w:type="paragraph" w:styleId="20">
    <w:name w:val="Body Text Indent"/>
    <w:basedOn w:val="1"/>
    <w:next w:val="21"/>
    <w:link w:val="75"/>
    <w:qFormat/>
    <w:uiPriority w:val="0"/>
    <w:pPr>
      <w:ind w:firstLine="830" w:firstLineChars="352"/>
    </w:pPr>
    <w:rPr>
      <w:rFonts w:ascii="仿宋_GB2312" w:eastAsia="仿宋_GB2312"/>
      <w:kern w:val="0"/>
      <w:sz w:val="32"/>
      <w:szCs w:val="20"/>
    </w:rPr>
  </w:style>
  <w:style w:type="paragraph" w:styleId="21">
    <w:name w:val="envelope return"/>
    <w:basedOn w:val="1"/>
    <w:qFormat/>
    <w:uiPriority w:val="99"/>
    <w:pPr>
      <w:snapToGrid w:val="0"/>
    </w:pPr>
    <w:rPr>
      <w:rFonts w:ascii="Arial" w:hAnsi="Arial"/>
    </w:rPr>
  </w:style>
  <w:style w:type="paragraph" w:styleId="22">
    <w:name w:val="List Number 3"/>
    <w:basedOn w:val="1"/>
    <w:qFormat/>
    <w:uiPriority w:val="0"/>
    <w:pPr>
      <w:numPr>
        <w:ilvl w:val="0"/>
        <w:numId w:val="3"/>
      </w:numPr>
    </w:pPr>
  </w:style>
  <w:style w:type="paragraph" w:styleId="23">
    <w:name w:val="List 2"/>
    <w:basedOn w:val="1"/>
    <w:qFormat/>
    <w:uiPriority w:val="0"/>
    <w:pPr>
      <w:ind w:left="100" w:leftChars="200" w:hanging="200" w:hangingChars="200"/>
    </w:pPr>
    <w:rPr>
      <w:sz w:val="28"/>
    </w:rPr>
  </w:style>
  <w:style w:type="paragraph" w:styleId="24">
    <w:name w:val="index 4"/>
    <w:basedOn w:val="1"/>
    <w:next w:val="1"/>
    <w:qFormat/>
    <w:uiPriority w:val="0"/>
    <w:pPr>
      <w:ind w:left="600" w:leftChars="600"/>
    </w:pPr>
    <w:rPr>
      <w:rFonts w:ascii="Times New Roman" w:hAnsi="Times New Roman" w:eastAsia="宋体" w:cs="Times New Roman"/>
    </w:rPr>
  </w:style>
  <w:style w:type="paragraph" w:styleId="25">
    <w:name w:val="toc 5"/>
    <w:basedOn w:val="1"/>
    <w:next w:val="1"/>
    <w:unhideWhenUsed/>
    <w:qFormat/>
    <w:uiPriority w:val="39"/>
    <w:pPr>
      <w:ind w:left="1680" w:leftChars="800"/>
    </w:pPr>
    <w:rPr>
      <w:rFonts w:ascii="Calibri" w:hAnsi="Calibri"/>
      <w:szCs w:val="22"/>
    </w:rPr>
  </w:style>
  <w:style w:type="paragraph" w:styleId="26">
    <w:name w:val="toc 3"/>
    <w:basedOn w:val="1"/>
    <w:next w:val="1"/>
    <w:unhideWhenUsed/>
    <w:qFormat/>
    <w:uiPriority w:val="39"/>
    <w:pPr>
      <w:ind w:left="840" w:leftChars="400"/>
    </w:pPr>
    <w:rPr>
      <w:rFonts w:ascii="Calibri" w:hAnsi="Calibri"/>
      <w:szCs w:val="22"/>
    </w:rPr>
  </w:style>
  <w:style w:type="paragraph" w:styleId="27">
    <w:name w:val="Plain Text"/>
    <w:basedOn w:val="1"/>
    <w:next w:val="14"/>
    <w:link w:val="76"/>
    <w:qFormat/>
    <w:uiPriority w:val="0"/>
    <w:rPr>
      <w:rFonts w:ascii="宋体" w:hAnsi="Courier New"/>
      <w:kern w:val="0"/>
      <w:sz w:val="20"/>
      <w:szCs w:val="21"/>
    </w:rPr>
  </w:style>
  <w:style w:type="paragraph" w:styleId="28">
    <w:name w:val="toc 8"/>
    <w:basedOn w:val="1"/>
    <w:next w:val="1"/>
    <w:unhideWhenUsed/>
    <w:qFormat/>
    <w:uiPriority w:val="39"/>
    <w:pPr>
      <w:ind w:left="2940" w:leftChars="1400"/>
    </w:pPr>
    <w:rPr>
      <w:rFonts w:ascii="Calibri" w:hAnsi="Calibri"/>
      <w:szCs w:val="22"/>
    </w:rPr>
  </w:style>
  <w:style w:type="paragraph" w:styleId="29">
    <w:name w:val="Date"/>
    <w:basedOn w:val="1"/>
    <w:next w:val="1"/>
    <w:link w:val="77"/>
    <w:qFormat/>
    <w:uiPriority w:val="0"/>
    <w:pPr>
      <w:ind w:left="100" w:leftChars="2500"/>
    </w:pPr>
    <w:rPr>
      <w:rFonts w:ascii="宋体" w:hAnsi="Courier New"/>
      <w:kern w:val="0"/>
      <w:sz w:val="20"/>
      <w:szCs w:val="21"/>
    </w:rPr>
  </w:style>
  <w:style w:type="paragraph" w:styleId="30">
    <w:name w:val="Body Text Indent 2"/>
    <w:basedOn w:val="1"/>
    <w:link w:val="78"/>
    <w:qFormat/>
    <w:uiPriority w:val="0"/>
    <w:pPr>
      <w:ind w:firstLine="630"/>
    </w:pPr>
    <w:rPr>
      <w:kern w:val="0"/>
      <w:sz w:val="32"/>
      <w:szCs w:val="20"/>
    </w:rPr>
  </w:style>
  <w:style w:type="paragraph" w:styleId="31">
    <w:name w:val="endnote text"/>
    <w:basedOn w:val="1"/>
    <w:link w:val="79"/>
    <w:unhideWhenUsed/>
    <w:qFormat/>
    <w:uiPriority w:val="99"/>
    <w:pPr>
      <w:snapToGrid w:val="0"/>
      <w:jc w:val="left"/>
    </w:pPr>
  </w:style>
  <w:style w:type="paragraph" w:styleId="32">
    <w:name w:val="Balloon Text"/>
    <w:basedOn w:val="1"/>
    <w:link w:val="80"/>
    <w:semiHidden/>
    <w:qFormat/>
    <w:uiPriority w:val="0"/>
    <w:rPr>
      <w:kern w:val="0"/>
      <w:sz w:val="18"/>
      <w:szCs w:val="18"/>
    </w:rPr>
  </w:style>
  <w:style w:type="paragraph" w:styleId="33">
    <w:name w:val="footer"/>
    <w:basedOn w:val="1"/>
    <w:link w:val="81"/>
    <w:unhideWhenUsed/>
    <w:qFormat/>
    <w:uiPriority w:val="99"/>
    <w:pPr>
      <w:tabs>
        <w:tab w:val="center" w:pos="4153"/>
        <w:tab w:val="right" w:pos="8306"/>
      </w:tabs>
      <w:snapToGrid w:val="0"/>
      <w:jc w:val="left"/>
    </w:pPr>
    <w:rPr>
      <w:kern w:val="0"/>
      <w:sz w:val="18"/>
      <w:szCs w:val="18"/>
    </w:rPr>
  </w:style>
  <w:style w:type="paragraph" w:styleId="34">
    <w:name w:val="header"/>
    <w:basedOn w:val="1"/>
    <w:link w:val="82"/>
    <w:unhideWhenUsed/>
    <w:qFormat/>
    <w:uiPriority w:val="99"/>
    <w:pPr>
      <w:pBdr>
        <w:bottom w:val="single" w:color="auto" w:sz="6" w:space="1"/>
      </w:pBdr>
      <w:tabs>
        <w:tab w:val="center" w:pos="0"/>
        <w:tab w:val="left" w:pos="8306"/>
      </w:tabs>
      <w:snapToGrid w:val="0"/>
      <w:jc w:val="center"/>
    </w:pPr>
    <w:rPr>
      <w:sz w:val="18"/>
      <w:szCs w:val="18"/>
    </w:rPr>
  </w:style>
  <w:style w:type="paragraph" w:styleId="35">
    <w:name w:val="toc 1"/>
    <w:basedOn w:val="1"/>
    <w:next w:val="1"/>
    <w:qFormat/>
    <w:uiPriority w:val="39"/>
    <w:pPr>
      <w:tabs>
        <w:tab w:val="right" w:leader="dot" w:pos="8398"/>
      </w:tabs>
      <w:spacing w:before="120" w:after="120"/>
      <w:ind w:firstLine="240" w:firstLineChars="100"/>
      <w:jc w:val="left"/>
    </w:pPr>
    <w:rPr>
      <w:rFonts w:ascii="宋体" w:hAnsi="宋体"/>
      <w:b/>
      <w:bCs/>
      <w:caps/>
      <w:sz w:val="24"/>
    </w:rPr>
  </w:style>
  <w:style w:type="paragraph" w:styleId="36">
    <w:name w:val="toc 4"/>
    <w:basedOn w:val="1"/>
    <w:next w:val="1"/>
    <w:unhideWhenUsed/>
    <w:qFormat/>
    <w:uiPriority w:val="39"/>
    <w:pPr>
      <w:ind w:left="1260" w:leftChars="600"/>
    </w:pPr>
    <w:rPr>
      <w:rFonts w:ascii="Calibri" w:hAnsi="Calibri"/>
      <w:szCs w:val="22"/>
    </w:rPr>
  </w:style>
  <w:style w:type="paragraph" w:styleId="37">
    <w:name w:val="List"/>
    <w:basedOn w:val="1"/>
    <w:qFormat/>
    <w:uiPriority w:val="0"/>
    <w:pPr>
      <w:ind w:left="200" w:hanging="200" w:hangingChars="200"/>
    </w:pPr>
    <w:rPr>
      <w:sz w:val="28"/>
    </w:rPr>
  </w:style>
  <w:style w:type="paragraph" w:styleId="38">
    <w:name w:val="footnote text"/>
    <w:basedOn w:val="1"/>
    <w:link w:val="83"/>
    <w:unhideWhenUsed/>
    <w:qFormat/>
    <w:uiPriority w:val="99"/>
    <w:pPr>
      <w:snapToGrid w:val="0"/>
      <w:jc w:val="left"/>
    </w:pPr>
    <w:rPr>
      <w:sz w:val="18"/>
      <w:szCs w:val="18"/>
    </w:rPr>
  </w:style>
  <w:style w:type="paragraph" w:styleId="39">
    <w:name w:val="toc 6"/>
    <w:basedOn w:val="1"/>
    <w:next w:val="1"/>
    <w:unhideWhenUsed/>
    <w:qFormat/>
    <w:uiPriority w:val="39"/>
    <w:pPr>
      <w:ind w:left="2100" w:leftChars="1000"/>
    </w:pPr>
    <w:rPr>
      <w:rFonts w:ascii="Calibri" w:hAnsi="Calibri"/>
      <w:szCs w:val="22"/>
    </w:rPr>
  </w:style>
  <w:style w:type="paragraph" w:styleId="40">
    <w:name w:val="Body Text Indent 3"/>
    <w:basedOn w:val="1"/>
    <w:link w:val="84"/>
    <w:qFormat/>
    <w:uiPriority w:val="0"/>
    <w:pPr>
      <w:spacing w:after="120"/>
      <w:ind w:left="420" w:leftChars="200"/>
    </w:pPr>
    <w:rPr>
      <w:kern w:val="0"/>
      <w:sz w:val="16"/>
      <w:szCs w:val="16"/>
    </w:rPr>
  </w:style>
  <w:style w:type="paragraph" w:styleId="41">
    <w:name w:val="toc 2"/>
    <w:basedOn w:val="1"/>
    <w:next w:val="1"/>
    <w:unhideWhenUsed/>
    <w:qFormat/>
    <w:uiPriority w:val="39"/>
    <w:pPr>
      <w:ind w:left="420" w:leftChars="200"/>
    </w:pPr>
  </w:style>
  <w:style w:type="paragraph" w:styleId="42">
    <w:name w:val="toc 9"/>
    <w:basedOn w:val="1"/>
    <w:next w:val="1"/>
    <w:unhideWhenUsed/>
    <w:qFormat/>
    <w:uiPriority w:val="39"/>
    <w:pPr>
      <w:ind w:left="3360" w:leftChars="1600"/>
    </w:pPr>
    <w:rPr>
      <w:rFonts w:ascii="Calibri" w:hAnsi="Calibri"/>
      <w:szCs w:val="22"/>
    </w:rPr>
  </w:style>
  <w:style w:type="paragraph" w:styleId="43">
    <w:name w:val="Body Text 2"/>
    <w:basedOn w:val="1"/>
    <w:link w:val="85"/>
    <w:qFormat/>
    <w:uiPriority w:val="0"/>
    <w:pPr>
      <w:spacing w:after="120" w:line="480" w:lineRule="auto"/>
    </w:pPr>
    <w:rPr>
      <w:kern w:val="0"/>
      <w:sz w:val="20"/>
    </w:rPr>
  </w:style>
  <w:style w:type="paragraph" w:styleId="44">
    <w:name w:val="Normal (Web)"/>
    <w:basedOn w:val="1"/>
    <w:qFormat/>
    <w:uiPriority w:val="0"/>
    <w:pPr>
      <w:widowControl/>
      <w:spacing w:before="100" w:beforeAutospacing="1" w:after="100" w:afterAutospacing="1"/>
      <w:jc w:val="left"/>
    </w:pPr>
    <w:rPr>
      <w:rFonts w:ascii="宋体" w:hAnsi="宋体"/>
      <w:kern w:val="0"/>
      <w:sz w:val="24"/>
    </w:rPr>
  </w:style>
  <w:style w:type="paragraph" w:styleId="45">
    <w:name w:val="index 1"/>
    <w:basedOn w:val="1"/>
    <w:next w:val="1"/>
    <w:semiHidden/>
    <w:qFormat/>
    <w:uiPriority w:val="0"/>
    <w:pPr>
      <w:spacing w:line="400" w:lineRule="exact"/>
      <w:ind w:firstLine="420" w:firstLineChars="200"/>
    </w:pPr>
    <w:rPr>
      <w:rFonts w:ascii="宋体" w:hAnsi="Courier New"/>
      <w:b/>
      <w:szCs w:val="20"/>
    </w:rPr>
  </w:style>
  <w:style w:type="paragraph" w:styleId="46">
    <w:name w:val="Title"/>
    <w:basedOn w:val="1"/>
    <w:next w:val="1"/>
    <w:link w:val="86"/>
    <w:qFormat/>
    <w:uiPriority w:val="10"/>
    <w:pPr>
      <w:spacing w:before="240" w:after="60"/>
      <w:jc w:val="center"/>
      <w:outlineLvl w:val="0"/>
    </w:pPr>
    <w:rPr>
      <w:rFonts w:ascii="Cambria" w:hAnsi="Cambria"/>
      <w:b/>
      <w:bCs/>
      <w:sz w:val="32"/>
      <w:szCs w:val="32"/>
    </w:rPr>
  </w:style>
  <w:style w:type="paragraph" w:styleId="47">
    <w:name w:val="annotation subject"/>
    <w:basedOn w:val="18"/>
    <w:next w:val="18"/>
    <w:link w:val="87"/>
    <w:unhideWhenUsed/>
    <w:qFormat/>
    <w:uiPriority w:val="99"/>
    <w:rPr>
      <w:b/>
      <w:bCs/>
    </w:rPr>
  </w:style>
  <w:style w:type="paragraph" w:styleId="48">
    <w:name w:val="Body Text First Indent"/>
    <w:basedOn w:val="2"/>
    <w:next w:val="49"/>
    <w:qFormat/>
    <w:uiPriority w:val="99"/>
    <w:pPr>
      <w:spacing w:beforeLines="50" w:afterLines="50" w:line="360" w:lineRule="auto"/>
      <w:ind w:firstLine="420" w:firstLineChars="100"/>
    </w:pPr>
  </w:style>
  <w:style w:type="paragraph" w:styleId="49">
    <w:name w:val="Body Text First Indent 2"/>
    <w:basedOn w:val="20"/>
    <w:unhideWhenUsed/>
    <w:qFormat/>
    <w:uiPriority w:val="99"/>
    <w:pPr>
      <w:ind w:firstLine="420" w:firstLineChars="200"/>
    </w:pPr>
  </w:style>
  <w:style w:type="table" w:styleId="51">
    <w:name w:val="Table Grid"/>
    <w:basedOn w:val="5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3">
    <w:name w:val="Strong"/>
    <w:basedOn w:val="52"/>
    <w:qFormat/>
    <w:uiPriority w:val="22"/>
    <w:rPr>
      <w:b/>
      <w:bCs/>
    </w:rPr>
  </w:style>
  <w:style w:type="character" w:styleId="54">
    <w:name w:val="endnote reference"/>
    <w:unhideWhenUsed/>
    <w:qFormat/>
    <w:uiPriority w:val="99"/>
    <w:rPr>
      <w:vertAlign w:val="superscript"/>
    </w:rPr>
  </w:style>
  <w:style w:type="character" w:styleId="55">
    <w:name w:val="page number"/>
    <w:qFormat/>
    <w:uiPriority w:val="0"/>
  </w:style>
  <w:style w:type="character" w:styleId="56">
    <w:name w:val="FollowedHyperlink"/>
    <w:qFormat/>
    <w:uiPriority w:val="0"/>
    <w:rPr>
      <w:color w:val="000000"/>
      <w:u w:val="none"/>
    </w:rPr>
  </w:style>
  <w:style w:type="character" w:styleId="57">
    <w:name w:val="Emphasis"/>
    <w:qFormat/>
    <w:uiPriority w:val="20"/>
    <w:rPr>
      <w:i/>
      <w:iCs/>
    </w:rPr>
  </w:style>
  <w:style w:type="character" w:styleId="58">
    <w:name w:val="Hyperlink"/>
    <w:qFormat/>
    <w:uiPriority w:val="99"/>
    <w:rPr>
      <w:color w:val="000000"/>
      <w:u w:val="none"/>
    </w:rPr>
  </w:style>
  <w:style w:type="character" w:styleId="59">
    <w:name w:val="annotation reference"/>
    <w:unhideWhenUsed/>
    <w:qFormat/>
    <w:uiPriority w:val="99"/>
    <w:rPr>
      <w:sz w:val="21"/>
      <w:szCs w:val="21"/>
    </w:rPr>
  </w:style>
  <w:style w:type="character" w:styleId="60">
    <w:name w:val="footnote reference"/>
    <w:unhideWhenUsed/>
    <w:qFormat/>
    <w:uiPriority w:val="99"/>
    <w:rPr>
      <w:vertAlign w:val="superscript"/>
    </w:rPr>
  </w:style>
  <w:style w:type="paragraph" w:customStyle="1" w:styleId="6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2">
    <w:name w:val="NormalIndent"/>
    <w:basedOn w:val="1"/>
    <w:qFormat/>
    <w:uiPriority w:val="0"/>
    <w:pPr>
      <w:ind w:firstLine="420"/>
    </w:pPr>
    <w:rPr>
      <w:szCs w:val="21"/>
    </w:rPr>
  </w:style>
  <w:style w:type="character" w:customStyle="1" w:styleId="63">
    <w:name w:val="正文文本 Char"/>
    <w:link w:val="2"/>
    <w:qFormat/>
    <w:uiPriority w:val="99"/>
    <w:rPr>
      <w:rFonts w:ascii="Times New Roman" w:hAnsi="Times New Roman" w:eastAsia="宋体" w:cs="Times New Roman"/>
      <w:sz w:val="24"/>
      <w:szCs w:val="24"/>
    </w:rPr>
  </w:style>
  <w:style w:type="character" w:customStyle="1" w:styleId="64">
    <w:name w:val="标题 1 Char"/>
    <w:link w:val="3"/>
    <w:qFormat/>
    <w:uiPriority w:val="0"/>
    <w:rPr>
      <w:rFonts w:ascii="Times New Roman" w:hAnsi="Times New Roman" w:eastAsia="宋体" w:cs="Times New Roman"/>
      <w:b/>
      <w:bCs/>
      <w:kern w:val="44"/>
      <w:sz w:val="44"/>
      <w:szCs w:val="44"/>
    </w:rPr>
  </w:style>
  <w:style w:type="character" w:customStyle="1" w:styleId="65">
    <w:name w:val="标题 2 Char"/>
    <w:link w:val="4"/>
    <w:qFormat/>
    <w:uiPriority w:val="0"/>
    <w:rPr>
      <w:rFonts w:ascii="Arial" w:hAnsi="Arial" w:eastAsia="黑体" w:cs="Times New Roman"/>
      <w:b/>
      <w:bCs/>
      <w:sz w:val="32"/>
      <w:szCs w:val="32"/>
    </w:rPr>
  </w:style>
  <w:style w:type="character" w:customStyle="1" w:styleId="66">
    <w:name w:val="标题 3 Char"/>
    <w:link w:val="5"/>
    <w:qFormat/>
    <w:uiPriority w:val="0"/>
    <w:rPr>
      <w:rFonts w:ascii="Times New Roman" w:hAnsi="Times New Roman" w:eastAsia="宋体" w:cs="Times New Roman"/>
      <w:b/>
      <w:bCs/>
      <w:sz w:val="32"/>
      <w:szCs w:val="32"/>
    </w:rPr>
  </w:style>
  <w:style w:type="character" w:customStyle="1" w:styleId="67">
    <w:name w:val="标题 5 Char1"/>
    <w:link w:val="7"/>
    <w:qFormat/>
    <w:uiPriority w:val="0"/>
    <w:rPr>
      <w:b/>
      <w:kern w:val="2"/>
      <w:sz w:val="28"/>
      <w:szCs w:val="24"/>
    </w:rPr>
  </w:style>
  <w:style w:type="character" w:customStyle="1" w:styleId="68">
    <w:name w:val="标题 6 Char"/>
    <w:link w:val="8"/>
    <w:qFormat/>
    <w:uiPriority w:val="0"/>
    <w:rPr>
      <w:rFonts w:ascii="Arial" w:hAnsi="Arial" w:eastAsia="黑体"/>
      <w:b/>
      <w:kern w:val="2"/>
      <w:sz w:val="24"/>
      <w:szCs w:val="24"/>
    </w:rPr>
  </w:style>
  <w:style w:type="character" w:customStyle="1" w:styleId="69">
    <w:name w:val="标题 7 Char"/>
    <w:link w:val="10"/>
    <w:qFormat/>
    <w:uiPriority w:val="0"/>
    <w:rPr>
      <w:rFonts w:ascii="Times New Roman" w:hAnsi="Times New Roman"/>
      <w:b/>
      <w:kern w:val="2"/>
      <w:sz w:val="24"/>
      <w:szCs w:val="24"/>
    </w:rPr>
  </w:style>
  <w:style w:type="character" w:customStyle="1" w:styleId="70">
    <w:name w:val="标题 8 Char"/>
    <w:link w:val="11"/>
    <w:qFormat/>
    <w:uiPriority w:val="0"/>
    <w:rPr>
      <w:rFonts w:ascii="Arial" w:hAnsi="Arial" w:eastAsia="黑体"/>
      <w:kern w:val="2"/>
      <w:sz w:val="24"/>
      <w:szCs w:val="24"/>
    </w:rPr>
  </w:style>
  <w:style w:type="character" w:customStyle="1" w:styleId="71">
    <w:name w:val="标题 9 Char"/>
    <w:link w:val="12"/>
    <w:qFormat/>
    <w:uiPriority w:val="0"/>
    <w:rPr>
      <w:rFonts w:ascii="Arial" w:hAnsi="Arial" w:eastAsia="黑体"/>
      <w:kern w:val="2"/>
      <w:sz w:val="21"/>
      <w:szCs w:val="24"/>
    </w:rPr>
  </w:style>
  <w:style w:type="character" w:customStyle="1" w:styleId="72">
    <w:name w:val="文档结构图 Char"/>
    <w:link w:val="17"/>
    <w:qFormat/>
    <w:uiPriority w:val="0"/>
    <w:rPr>
      <w:rFonts w:hint="eastAsia" w:ascii="宋体" w:hAnsi="宋体" w:eastAsia="宋体" w:cs="宋体"/>
    </w:rPr>
  </w:style>
  <w:style w:type="character" w:customStyle="1" w:styleId="73">
    <w:name w:val="批注文字 Char2"/>
    <w:link w:val="18"/>
    <w:qFormat/>
    <w:uiPriority w:val="0"/>
    <w:rPr>
      <w:rFonts w:ascii="Times New Roman" w:hAnsi="Times New Roman"/>
      <w:kern w:val="2"/>
      <w:sz w:val="21"/>
      <w:szCs w:val="24"/>
    </w:rPr>
  </w:style>
  <w:style w:type="character" w:customStyle="1" w:styleId="74">
    <w:name w:val="正文文本 3 Char"/>
    <w:link w:val="19"/>
    <w:qFormat/>
    <w:uiPriority w:val="0"/>
    <w:rPr>
      <w:rFonts w:ascii="Times New Roman" w:hAnsi="Times New Roman" w:eastAsia="宋体" w:cs="Times New Roman"/>
      <w:b/>
      <w:bCs/>
      <w:sz w:val="24"/>
      <w:szCs w:val="24"/>
    </w:rPr>
  </w:style>
  <w:style w:type="character" w:customStyle="1" w:styleId="75">
    <w:name w:val="正文文本缩进 Char"/>
    <w:link w:val="20"/>
    <w:qFormat/>
    <w:uiPriority w:val="0"/>
    <w:rPr>
      <w:rFonts w:ascii="仿宋_GB2312" w:hAnsi="Times New Roman" w:eastAsia="仿宋_GB2312" w:cs="Times New Roman"/>
      <w:sz w:val="32"/>
      <w:szCs w:val="20"/>
    </w:rPr>
  </w:style>
  <w:style w:type="character" w:customStyle="1" w:styleId="76">
    <w:name w:val="纯文本 Char2"/>
    <w:link w:val="27"/>
    <w:qFormat/>
    <w:uiPriority w:val="0"/>
    <w:rPr>
      <w:rFonts w:ascii="宋体" w:hAnsi="Courier New" w:eastAsia="宋体" w:cs="Courier New"/>
      <w:szCs w:val="21"/>
    </w:rPr>
  </w:style>
  <w:style w:type="character" w:customStyle="1" w:styleId="77">
    <w:name w:val="日期 Char"/>
    <w:link w:val="29"/>
    <w:qFormat/>
    <w:uiPriority w:val="0"/>
    <w:rPr>
      <w:rFonts w:ascii="宋体" w:hAnsi="Courier New" w:eastAsia="宋体" w:cs="Courier New"/>
      <w:szCs w:val="21"/>
    </w:rPr>
  </w:style>
  <w:style w:type="character" w:customStyle="1" w:styleId="78">
    <w:name w:val="正文文本缩进 2 Char"/>
    <w:link w:val="30"/>
    <w:qFormat/>
    <w:uiPriority w:val="0"/>
    <w:rPr>
      <w:rFonts w:ascii="Times New Roman" w:hAnsi="Times New Roman" w:eastAsia="宋体" w:cs="Times New Roman"/>
      <w:sz w:val="32"/>
      <w:szCs w:val="20"/>
    </w:rPr>
  </w:style>
  <w:style w:type="character" w:customStyle="1" w:styleId="79">
    <w:name w:val="尾注文本 Char"/>
    <w:link w:val="31"/>
    <w:semiHidden/>
    <w:qFormat/>
    <w:uiPriority w:val="99"/>
    <w:rPr>
      <w:rFonts w:ascii="Times New Roman" w:hAnsi="Times New Roman"/>
      <w:kern w:val="2"/>
      <w:sz w:val="21"/>
      <w:szCs w:val="24"/>
    </w:rPr>
  </w:style>
  <w:style w:type="character" w:customStyle="1" w:styleId="80">
    <w:name w:val="批注框文本 Char"/>
    <w:link w:val="32"/>
    <w:semiHidden/>
    <w:qFormat/>
    <w:uiPriority w:val="0"/>
    <w:rPr>
      <w:rFonts w:ascii="Times New Roman" w:hAnsi="Times New Roman" w:eastAsia="宋体" w:cs="Times New Roman"/>
      <w:sz w:val="18"/>
      <w:szCs w:val="18"/>
    </w:rPr>
  </w:style>
  <w:style w:type="character" w:customStyle="1" w:styleId="81">
    <w:name w:val="页脚 Char"/>
    <w:link w:val="33"/>
    <w:qFormat/>
    <w:uiPriority w:val="99"/>
    <w:rPr>
      <w:sz w:val="18"/>
      <w:szCs w:val="18"/>
    </w:rPr>
  </w:style>
  <w:style w:type="character" w:customStyle="1" w:styleId="82">
    <w:name w:val="页眉 Char"/>
    <w:link w:val="34"/>
    <w:qFormat/>
    <w:uiPriority w:val="99"/>
    <w:rPr>
      <w:rFonts w:ascii="Times New Roman" w:hAnsi="Times New Roman"/>
      <w:kern w:val="2"/>
      <w:sz w:val="18"/>
      <w:szCs w:val="18"/>
    </w:rPr>
  </w:style>
  <w:style w:type="character" w:customStyle="1" w:styleId="83">
    <w:name w:val="脚注文本 Char"/>
    <w:link w:val="38"/>
    <w:semiHidden/>
    <w:qFormat/>
    <w:uiPriority w:val="99"/>
    <w:rPr>
      <w:rFonts w:ascii="Times New Roman" w:hAnsi="Times New Roman"/>
      <w:kern w:val="2"/>
      <w:sz w:val="18"/>
      <w:szCs w:val="18"/>
    </w:rPr>
  </w:style>
  <w:style w:type="character" w:customStyle="1" w:styleId="84">
    <w:name w:val="正文文本缩进 3 Char"/>
    <w:link w:val="40"/>
    <w:qFormat/>
    <w:uiPriority w:val="0"/>
    <w:rPr>
      <w:rFonts w:ascii="Times New Roman" w:hAnsi="Times New Roman" w:eastAsia="宋体" w:cs="Times New Roman"/>
      <w:sz w:val="16"/>
      <w:szCs w:val="16"/>
    </w:rPr>
  </w:style>
  <w:style w:type="character" w:customStyle="1" w:styleId="85">
    <w:name w:val="正文文本 2 Char"/>
    <w:link w:val="43"/>
    <w:qFormat/>
    <w:uiPriority w:val="0"/>
    <w:rPr>
      <w:rFonts w:ascii="Times New Roman" w:hAnsi="Times New Roman" w:eastAsia="宋体" w:cs="Times New Roman"/>
      <w:szCs w:val="24"/>
    </w:rPr>
  </w:style>
  <w:style w:type="character" w:customStyle="1" w:styleId="86">
    <w:name w:val="标题 Char"/>
    <w:link w:val="46"/>
    <w:qFormat/>
    <w:uiPriority w:val="10"/>
    <w:rPr>
      <w:rFonts w:ascii="Cambria" w:hAnsi="Cambria" w:cs="Times New Roman"/>
      <w:b/>
      <w:bCs/>
      <w:kern w:val="2"/>
      <w:sz w:val="32"/>
      <w:szCs w:val="32"/>
    </w:rPr>
  </w:style>
  <w:style w:type="character" w:customStyle="1" w:styleId="87">
    <w:name w:val="批注主题 Char"/>
    <w:link w:val="47"/>
    <w:semiHidden/>
    <w:qFormat/>
    <w:uiPriority w:val="99"/>
    <w:rPr>
      <w:rFonts w:ascii="Times New Roman" w:hAnsi="Times New Roman"/>
      <w:b/>
      <w:bCs/>
      <w:kern w:val="2"/>
      <w:sz w:val="21"/>
      <w:szCs w:val="24"/>
    </w:rPr>
  </w:style>
  <w:style w:type="character" w:customStyle="1" w:styleId="88">
    <w:name w:val="批注文字 Char1"/>
    <w:qFormat/>
    <w:locked/>
    <w:uiPriority w:val="0"/>
    <w:rPr>
      <w:rFonts w:ascii="Times New Roman" w:hAnsi="Times New Roman"/>
      <w:kern w:val="2"/>
      <w:sz w:val="21"/>
      <w:szCs w:val="24"/>
    </w:rPr>
  </w:style>
  <w:style w:type="character" w:customStyle="1" w:styleId="89">
    <w:name w:val="case31"/>
    <w:qFormat/>
    <w:uiPriority w:val="0"/>
    <w:rPr>
      <w:rFonts w:hint="default"/>
      <w:sz w:val="21"/>
      <w:szCs w:val="21"/>
    </w:rPr>
  </w:style>
  <w:style w:type="character" w:customStyle="1" w:styleId="90">
    <w:name w:val="批注文字 Char"/>
    <w:qFormat/>
    <w:uiPriority w:val="0"/>
    <w:rPr>
      <w:rFonts w:ascii="Times New Roman" w:hAnsi="Times New Roman"/>
      <w:kern w:val="2"/>
      <w:sz w:val="21"/>
      <w:szCs w:val="24"/>
    </w:rPr>
  </w:style>
  <w:style w:type="character" w:customStyle="1" w:styleId="91">
    <w:name w:val="纯文本 Char"/>
    <w:qFormat/>
    <w:uiPriority w:val="99"/>
    <w:rPr>
      <w:rFonts w:ascii="宋体" w:hAnsi="Courier New" w:eastAsia="宋体"/>
      <w:kern w:val="2"/>
      <w:sz w:val="21"/>
      <w:lang w:val="en-US" w:eastAsia="zh-CN" w:bidi="ar-SA"/>
    </w:rPr>
  </w:style>
  <w:style w:type="character" w:customStyle="1" w:styleId="92">
    <w:name w:val="纯文本 字符1"/>
    <w:qFormat/>
    <w:uiPriority w:val="0"/>
    <w:rPr>
      <w:rFonts w:ascii="宋体" w:hAnsi="Courier New"/>
    </w:rPr>
  </w:style>
  <w:style w:type="character" w:customStyle="1" w:styleId="93">
    <w:name w:val="批注文字 字符1"/>
    <w:qFormat/>
    <w:uiPriority w:val="0"/>
    <w:rPr>
      <w:rFonts w:ascii="Times New Roman" w:hAnsi="Times New Roman"/>
      <w:kern w:val="2"/>
      <w:sz w:val="21"/>
      <w:szCs w:val="24"/>
    </w:rPr>
  </w:style>
  <w:style w:type="character" w:customStyle="1" w:styleId="94">
    <w:name w:val="正文文本 Char1"/>
    <w:semiHidden/>
    <w:qFormat/>
    <w:locked/>
    <w:uiPriority w:val="99"/>
    <w:rPr>
      <w:sz w:val="24"/>
      <w:szCs w:val="24"/>
    </w:rPr>
  </w:style>
  <w:style w:type="character" w:customStyle="1" w:styleId="95">
    <w:name w:val="apple-style-span"/>
    <w:qFormat/>
    <w:uiPriority w:val="0"/>
  </w:style>
  <w:style w:type="character" w:customStyle="1" w:styleId="96">
    <w:name w:val="textcontents"/>
    <w:qFormat/>
    <w:uiPriority w:val="0"/>
  </w:style>
  <w:style w:type="character" w:customStyle="1" w:styleId="97">
    <w:name w:val="普通文字 Char Char2"/>
    <w:qFormat/>
    <w:uiPriority w:val="0"/>
    <w:rPr>
      <w:rFonts w:ascii="宋体" w:hAnsi="Courier New" w:eastAsia="宋体"/>
      <w:kern w:val="2"/>
      <w:sz w:val="21"/>
      <w:lang w:val="en-US" w:eastAsia="zh-CN" w:bidi="ar-SA"/>
    </w:rPr>
  </w:style>
  <w:style w:type="character" w:customStyle="1" w:styleId="98">
    <w:name w:val="标题 5 Char"/>
    <w:qFormat/>
    <w:uiPriority w:val="9"/>
    <w:rPr>
      <w:b/>
      <w:kern w:val="2"/>
      <w:sz w:val="28"/>
      <w:szCs w:val="24"/>
    </w:rPr>
  </w:style>
  <w:style w:type="character" w:customStyle="1" w:styleId="99">
    <w:name w:val="批注文字 字符"/>
    <w:qFormat/>
    <w:uiPriority w:val="99"/>
    <w:rPr>
      <w:rFonts w:ascii="Times New Roman" w:hAnsi="Times New Roman"/>
      <w:kern w:val="2"/>
      <w:sz w:val="21"/>
      <w:szCs w:val="24"/>
    </w:rPr>
  </w:style>
  <w:style w:type="character" w:customStyle="1" w:styleId="100">
    <w:name w:val="标题 1 字符"/>
    <w:qFormat/>
    <w:uiPriority w:val="9"/>
    <w:rPr>
      <w:rFonts w:ascii="Times New Roman" w:hAnsi="Times New Roman" w:eastAsia="宋体" w:cs="Times New Roman"/>
      <w:b/>
      <w:bCs/>
      <w:kern w:val="44"/>
      <w:sz w:val="44"/>
      <w:szCs w:val="44"/>
    </w:rPr>
  </w:style>
  <w:style w:type="character" w:customStyle="1" w:styleId="101">
    <w:name w:val="纯文本 字符"/>
    <w:qFormat/>
    <w:uiPriority w:val="0"/>
    <w:rPr>
      <w:rFonts w:ascii="宋体" w:hAnsi="Courier New" w:eastAsia="宋体" w:cs="Courier New"/>
      <w:szCs w:val="21"/>
    </w:rPr>
  </w:style>
  <w:style w:type="character" w:customStyle="1" w:styleId="102">
    <w:name w:val="headline-content4"/>
    <w:qFormat/>
    <w:uiPriority w:val="0"/>
  </w:style>
  <w:style w:type="character" w:customStyle="1" w:styleId="103">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104">
    <w:name w:val="正文文本缩进 字符"/>
    <w:qFormat/>
    <w:uiPriority w:val="0"/>
    <w:rPr>
      <w:rFonts w:ascii="仿宋_GB2312" w:hAnsi="Times New Roman" w:eastAsia="仿宋_GB2312" w:cs="Times New Roman"/>
      <w:sz w:val="32"/>
      <w:szCs w:val="20"/>
    </w:rPr>
  </w:style>
  <w:style w:type="character" w:customStyle="1" w:styleId="105">
    <w:name w:val="页脚 字符"/>
    <w:qFormat/>
    <w:uiPriority w:val="99"/>
  </w:style>
  <w:style w:type="character" w:customStyle="1" w:styleId="106">
    <w:name w:val="标题 1 Char1"/>
    <w:qFormat/>
    <w:uiPriority w:val="0"/>
    <w:rPr>
      <w:rFonts w:eastAsia="宋体"/>
      <w:b/>
      <w:bCs/>
      <w:kern w:val="44"/>
      <w:sz w:val="44"/>
      <w:szCs w:val="44"/>
      <w:lang w:val="en-US" w:eastAsia="zh-CN" w:bidi="ar-SA"/>
    </w:rPr>
  </w:style>
  <w:style w:type="character" w:customStyle="1" w:styleId="107">
    <w:name w:val="font11"/>
    <w:qFormat/>
    <w:uiPriority w:val="0"/>
    <w:rPr>
      <w:rFonts w:hint="eastAsia" w:ascii="宋体" w:hAnsi="宋体" w:eastAsia="宋体" w:cs="宋体"/>
      <w:color w:val="000000"/>
      <w:sz w:val="18"/>
      <w:szCs w:val="18"/>
      <w:u w:val="none"/>
    </w:rPr>
  </w:style>
  <w:style w:type="paragraph" w:customStyle="1" w:styleId="108">
    <w:name w:val="默认段落字体 Para Char Char Char Char Char Char Char Char Char1 Char Char Char Char"/>
    <w:basedOn w:val="1"/>
    <w:qFormat/>
    <w:uiPriority w:val="0"/>
    <w:rPr>
      <w:rFonts w:ascii="Tahoma" w:hAnsi="Tahoma"/>
      <w:sz w:val="24"/>
      <w:szCs w:val="20"/>
    </w:rPr>
  </w:style>
  <w:style w:type="paragraph" w:customStyle="1" w:styleId="109">
    <w:name w:val="Char1"/>
    <w:basedOn w:val="1"/>
    <w:qFormat/>
    <w:uiPriority w:val="0"/>
    <w:rPr>
      <w:szCs w:val="21"/>
    </w:rPr>
  </w:style>
  <w:style w:type="paragraph" w:styleId="110">
    <w:name w:val="List Paragraph"/>
    <w:basedOn w:val="1"/>
    <w:qFormat/>
    <w:uiPriority w:val="34"/>
    <w:pPr>
      <w:ind w:firstLine="420" w:firstLineChars="200"/>
    </w:pPr>
  </w:style>
  <w:style w:type="paragraph" w:customStyle="1" w:styleId="111">
    <w:name w:val="纯文本1"/>
    <w:basedOn w:val="1"/>
    <w:qFormat/>
    <w:uiPriority w:val="0"/>
    <w:rPr>
      <w:rFonts w:ascii="宋体" w:hAnsi="Courier New" w:cs="Century"/>
      <w:szCs w:val="21"/>
    </w:rPr>
  </w:style>
  <w:style w:type="paragraph" w:customStyle="1" w:styleId="112">
    <w:name w:val="样式"/>
    <w:qFormat/>
    <w:uiPriority w:val="0"/>
    <w:pPr>
      <w:widowControl w:val="0"/>
      <w:autoSpaceDE w:val="0"/>
      <w:autoSpaceDN w:val="0"/>
      <w:adjustRightInd w:val="0"/>
      <w:spacing w:after="160" w:line="278" w:lineRule="auto"/>
      <w:jc w:val="center"/>
    </w:pPr>
    <w:rPr>
      <w:rFonts w:ascii="宋体" w:hAnsi="宋体" w:eastAsia="宋体" w:cs="宋体"/>
      <w:sz w:val="24"/>
      <w:szCs w:val="24"/>
      <w:lang w:val="en-US" w:eastAsia="zh-CN" w:bidi="ar-SA"/>
    </w:rPr>
  </w:style>
  <w:style w:type="paragraph" w:customStyle="1" w:styleId="113">
    <w:name w:val="样式 标题 2 + Times New Roman 四号 非加粗 段前: 5 磅 段后: 0 磅 行距: 固定值 20..."/>
    <w:basedOn w:val="4"/>
    <w:qFormat/>
    <w:uiPriority w:val="0"/>
    <w:pPr>
      <w:spacing w:before="100" w:after="0" w:line="400" w:lineRule="exact"/>
    </w:pPr>
    <w:rPr>
      <w:rFonts w:ascii="Times New Roman" w:hAnsi="Times New Roman" w:cs="宋体"/>
      <w:b w:val="0"/>
      <w:bCs w:val="0"/>
      <w:sz w:val="28"/>
      <w:szCs w:val="20"/>
    </w:rPr>
  </w:style>
  <w:style w:type="paragraph" w:customStyle="1" w:styleId="114">
    <w:name w:val="Table Paragraph"/>
    <w:basedOn w:val="1"/>
    <w:qFormat/>
    <w:uiPriority w:val="1"/>
    <w:pPr>
      <w:jc w:val="left"/>
    </w:pPr>
    <w:rPr>
      <w:rFonts w:ascii="Calibri" w:hAnsi="Calibri"/>
      <w:kern w:val="0"/>
      <w:sz w:val="22"/>
      <w:szCs w:val="22"/>
      <w:lang w:eastAsia="en-US"/>
    </w:rPr>
  </w:style>
  <w:style w:type="paragraph" w:customStyle="1" w:styleId="115">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16">
    <w:name w:val="表格"/>
    <w:basedOn w:val="1"/>
    <w:qFormat/>
    <w:uiPriority w:val="0"/>
    <w:pPr>
      <w:spacing w:line="400" w:lineRule="exact"/>
    </w:pPr>
    <w:rPr>
      <w:sz w:val="24"/>
    </w:rPr>
  </w:style>
  <w:style w:type="paragraph" w:customStyle="1" w:styleId="117">
    <w:name w:val="样式 标题 3 + (中文) 黑体 小四 非加粗 段前: 7.8 磅 段后: 0 磅 行距: 固定值 20 磅"/>
    <w:basedOn w:val="5"/>
    <w:qFormat/>
    <w:uiPriority w:val="0"/>
    <w:pPr>
      <w:spacing w:before="0" w:after="0" w:line="400" w:lineRule="exact"/>
    </w:pPr>
    <w:rPr>
      <w:rFonts w:eastAsia="黑体" w:cs="宋体"/>
      <w:b w:val="0"/>
      <w:bCs w:val="0"/>
      <w:sz w:val="24"/>
      <w:szCs w:val="20"/>
    </w:rPr>
  </w:style>
  <w:style w:type="paragraph" w:customStyle="1" w:styleId="118">
    <w:name w:val="xl22"/>
    <w:basedOn w:val="1"/>
    <w:qFormat/>
    <w:uiPriority w:val="0"/>
    <w:pPr>
      <w:widowControl/>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119">
    <w:name w:val="样式 首行缩进:  2 字符"/>
    <w:basedOn w:val="1"/>
    <w:qFormat/>
    <w:uiPriority w:val="0"/>
    <w:pPr>
      <w:spacing w:line="400" w:lineRule="exact"/>
      <w:ind w:firstLine="200" w:firstLineChars="200"/>
    </w:pPr>
    <w:rPr>
      <w:rFonts w:cs="宋体"/>
      <w:sz w:val="24"/>
    </w:rPr>
  </w:style>
  <w:style w:type="paragraph" w:customStyle="1" w:styleId="120">
    <w:name w:val="正文首行缩进两字符"/>
    <w:basedOn w:val="1"/>
    <w:qFormat/>
    <w:uiPriority w:val="0"/>
    <w:pPr>
      <w:spacing w:line="360" w:lineRule="auto"/>
      <w:ind w:firstLine="200" w:firstLineChars="200"/>
    </w:pPr>
  </w:style>
  <w:style w:type="paragraph" w:customStyle="1" w:styleId="121">
    <w:name w:val="正文段"/>
    <w:basedOn w:val="1"/>
    <w:qFormat/>
    <w:uiPriority w:val="0"/>
    <w:pPr>
      <w:widowControl/>
      <w:snapToGrid w:val="0"/>
      <w:spacing w:afterLines="50"/>
      <w:ind w:firstLine="200" w:firstLineChars="200"/>
    </w:pPr>
    <w:rPr>
      <w:kern w:val="0"/>
      <w:sz w:val="24"/>
      <w:szCs w:val="20"/>
    </w:rPr>
  </w:style>
  <w:style w:type="paragraph" w:customStyle="1" w:styleId="122">
    <w:name w:val="修订1"/>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table" w:customStyle="1" w:styleId="123">
    <w:name w:val="Table Normal"/>
    <w:semiHidden/>
    <w:qFormat/>
    <w:uiPriority w:val="2"/>
    <w:pPr>
      <w:widowControl w:val="0"/>
    </w:pPr>
    <w:rPr>
      <w:rFonts w:ascii="Calibri" w:hAnsi="Calibri" w:eastAsia="Times New Roman"/>
      <w:sz w:val="22"/>
      <w:szCs w:val="22"/>
      <w:lang w:eastAsia="en-US"/>
    </w:rPr>
    <w:tblPr>
      <w:tblCellMar>
        <w:top w:w="0" w:type="dxa"/>
        <w:left w:w="0" w:type="dxa"/>
        <w:bottom w:w="0" w:type="dxa"/>
        <w:right w:w="0" w:type="dxa"/>
      </w:tblCellMar>
    </w:tblPr>
  </w:style>
  <w:style w:type="character" w:customStyle="1" w:styleId="124">
    <w:name w:val="未处理的提及1"/>
    <w:unhideWhenUsed/>
    <w:qFormat/>
    <w:uiPriority w:val="99"/>
    <w:rPr>
      <w:color w:val="605E5C"/>
      <w:shd w:val="clear" w:color="auto" w:fill="E1DFDD"/>
    </w:rPr>
  </w:style>
  <w:style w:type="character" w:customStyle="1" w:styleId="125">
    <w:name w:val="批注文字 字符2"/>
    <w:qFormat/>
    <w:uiPriority w:val="0"/>
    <w:rPr>
      <w:rFonts w:ascii="Times New Roman" w:hAnsi="Times New Roman"/>
      <w:kern w:val="2"/>
      <w:sz w:val="21"/>
      <w:szCs w:val="24"/>
    </w:rPr>
  </w:style>
  <w:style w:type="character" w:customStyle="1" w:styleId="126">
    <w:name w:val="页眉 字符"/>
    <w:qFormat/>
    <w:uiPriority w:val="99"/>
    <w:rPr>
      <w:rFonts w:ascii="Times New Roman" w:hAnsi="Times New Roman"/>
      <w:kern w:val="2"/>
      <w:sz w:val="18"/>
      <w:szCs w:val="18"/>
    </w:rPr>
  </w:style>
  <w:style w:type="character" w:customStyle="1" w:styleId="127">
    <w:name w:val="正文文本 字符"/>
    <w:qFormat/>
    <w:uiPriority w:val="99"/>
    <w:rPr>
      <w:sz w:val="24"/>
      <w:szCs w:val="24"/>
    </w:rPr>
  </w:style>
  <w:style w:type="character" w:customStyle="1" w:styleId="128">
    <w:name w:val="纯文本 字符2"/>
    <w:qFormat/>
    <w:uiPriority w:val="0"/>
    <w:rPr>
      <w:rFonts w:ascii="宋体" w:hAnsi="Courier New"/>
      <w:szCs w:val="21"/>
    </w:rPr>
  </w:style>
  <w:style w:type="paragraph" w:customStyle="1" w:styleId="129">
    <w:name w:val="reader-word-layer reader-word-s1-6"/>
    <w:basedOn w:val="1"/>
    <w:qFormat/>
    <w:uiPriority w:val="0"/>
    <w:pPr>
      <w:widowControl/>
      <w:spacing w:before="100" w:beforeAutospacing="1" w:after="100" w:afterAutospacing="1"/>
      <w:jc w:val="left"/>
    </w:pPr>
    <w:rPr>
      <w:rFonts w:ascii="宋体" w:hAnsi="宋体" w:cs="宋体"/>
      <w:kern w:val="0"/>
      <w:sz w:val="24"/>
    </w:rPr>
  </w:style>
  <w:style w:type="paragraph" w:customStyle="1" w:styleId="130">
    <w:name w:val="reader-word-layer reader-word-s1-0 reader-word-s1-1 reader-word-s1-5"/>
    <w:basedOn w:val="1"/>
    <w:qFormat/>
    <w:uiPriority w:val="0"/>
    <w:pPr>
      <w:widowControl/>
      <w:spacing w:before="100" w:beforeAutospacing="1" w:after="100" w:afterAutospacing="1"/>
      <w:jc w:val="left"/>
    </w:pPr>
    <w:rPr>
      <w:rFonts w:ascii="宋体" w:hAnsi="宋体" w:cs="宋体"/>
      <w:kern w:val="0"/>
      <w:sz w:val="24"/>
    </w:rPr>
  </w:style>
  <w:style w:type="paragraph" w:customStyle="1" w:styleId="131">
    <w:name w:val="reader-word-layer reader-word-s1-9"/>
    <w:basedOn w:val="1"/>
    <w:qFormat/>
    <w:uiPriority w:val="0"/>
    <w:pPr>
      <w:widowControl/>
      <w:spacing w:before="100" w:beforeAutospacing="1" w:after="100" w:afterAutospacing="1"/>
      <w:jc w:val="left"/>
    </w:pPr>
    <w:rPr>
      <w:rFonts w:ascii="宋体" w:hAnsi="宋体" w:cs="宋体"/>
      <w:kern w:val="0"/>
      <w:sz w:val="24"/>
    </w:rPr>
  </w:style>
  <w:style w:type="paragraph" w:customStyle="1" w:styleId="132">
    <w:name w:val="列表段落2"/>
    <w:basedOn w:val="1"/>
    <w:qFormat/>
    <w:uiPriority w:val="99"/>
    <w:pPr>
      <w:ind w:firstLine="420" w:firstLineChars="200"/>
    </w:pPr>
    <w:rPr>
      <w:rFonts w:ascii="等线" w:hAnsi="等线" w:eastAsia="等线" w:cs="宋体"/>
      <w:szCs w:val="21"/>
    </w:rPr>
  </w:style>
  <w:style w:type="character" w:customStyle="1" w:styleId="133">
    <w:name w:val="标题 3 字符"/>
    <w:semiHidden/>
    <w:qFormat/>
    <w:locked/>
    <w:uiPriority w:val="99"/>
    <w:rPr>
      <w:rFonts w:ascii="等线" w:hAnsi="等线" w:eastAsia="等线" w:cs="Times New Roman"/>
      <w:b/>
      <w:sz w:val="32"/>
    </w:rPr>
  </w:style>
  <w:style w:type="character" w:customStyle="1" w:styleId="134">
    <w:name w:val="纯文本 字符3"/>
    <w:qFormat/>
    <w:uiPriority w:val="0"/>
    <w:rPr>
      <w:rFonts w:ascii="宋体" w:hAnsi="Courier New" w:eastAsia="宋体" w:cs="Courier New"/>
      <w:szCs w:val="21"/>
    </w:rPr>
  </w:style>
  <w:style w:type="character" w:customStyle="1" w:styleId="135">
    <w:name w:val="标题 3 字符1"/>
    <w:qFormat/>
    <w:uiPriority w:val="0"/>
    <w:rPr>
      <w:rFonts w:ascii="Times New Roman" w:hAnsi="Times New Roman" w:eastAsia="宋体" w:cs="Times New Roman"/>
      <w:b/>
      <w:bCs/>
      <w:sz w:val="32"/>
      <w:szCs w:val="32"/>
    </w:rPr>
  </w:style>
  <w:style w:type="character" w:customStyle="1" w:styleId="136">
    <w:name w:val="font61"/>
    <w:qFormat/>
    <w:uiPriority w:val="0"/>
    <w:rPr>
      <w:rFonts w:hint="eastAsia" w:ascii="宋体" w:hAnsi="宋体" w:eastAsia="宋体" w:cs="宋体"/>
      <w:color w:val="000000"/>
      <w:sz w:val="36"/>
      <w:szCs w:val="36"/>
      <w:u w:val="none"/>
    </w:rPr>
  </w:style>
  <w:style w:type="paragraph" w:customStyle="1" w:styleId="137">
    <w:name w:val="修订2"/>
    <w:hidden/>
    <w:semiHidden/>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138">
    <w:name w:val="修订3"/>
    <w:hidden/>
    <w:semiHidden/>
    <w:qFormat/>
    <w:uiPriority w:val="99"/>
    <w:pPr>
      <w:spacing w:after="160" w:line="278" w:lineRule="auto"/>
    </w:pPr>
    <w:rPr>
      <w:rFonts w:ascii="Times New Roman" w:hAnsi="Times New Roman" w:eastAsia="宋体" w:cs="Times New Roman"/>
      <w:kern w:val="2"/>
      <w:sz w:val="21"/>
      <w:szCs w:val="24"/>
      <w:lang w:val="en-US" w:eastAsia="zh-CN" w:bidi="ar-SA"/>
    </w:rPr>
  </w:style>
  <w:style w:type="character" w:customStyle="1" w:styleId="139">
    <w:name w:val="纯文本 Char1"/>
    <w:qFormat/>
    <w:uiPriority w:val="0"/>
    <w:rPr>
      <w:rFonts w:ascii="宋体" w:hAnsi="Courier New" w:eastAsia="宋体" w:cs="Courier New"/>
      <w:szCs w:val="21"/>
    </w:rPr>
  </w:style>
  <w:style w:type="paragraph" w:customStyle="1" w:styleId="140">
    <w:name w:val="修订4"/>
    <w:hidden/>
    <w:semiHidden/>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141">
    <w:name w:val="修订5"/>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142">
    <w:name w:val="Body text|1"/>
    <w:basedOn w:val="1"/>
    <w:qFormat/>
    <w:uiPriority w:val="0"/>
    <w:pPr>
      <w:spacing w:line="350" w:lineRule="auto"/>
      <w:ind w:firstLine="400"/>
      <w:jc w:val="left"/>
    </w:pPr>
    <w:rPr>
      <w:rFonts w:ascii="宋体" w:hAnsi="宋体" w:cs="宋体"/>
      <w:kern w:val="0"/>
      <w:sz w:val="30"/>
      <w:szCs w:val="30"/>
    </w:rPr>
  </w:style>
  <w:style w:type="paragraph" w:customStyle="1" w:styleId="143">
    <w:name w:val="正文-2字符首行缩进"/>
    <w:basedOn w:val="1"/>
    <w:qFormat/>
    <w:uiPriority w:val="0"/>
    <w:pPr>
      <w:widowControl/>
      <w:spacing w:line="360" w:lineRule="auto"/>
      <w:ind w:firstLine="200" w:firstLineChars="200"/>
    </w:pPr>
    <w:rPr>
      <w:rFonts w:ascii="仿宋_GB2312" w:hAnsi="Calibri" w:eastAsia="仿宋_GB2312"/>
      <w:kern w:val="0"/>
      <w:sz w:val="28"/>
      <w:szCs w:val="22"/>
    </w:rPr>
  </w:style>
  <w:style w:type="paragraph" w:customStyle="1" w:styleId="144">
    <w:name w:val="列出段落1"/>
    <w:basedOn w:val="1"/>
    <w:qFormat/>
    <w:uiPriority w:val="99"/>
    <w:pPr>
      <w:adjustRightInd w:val="0"/>
      <w:spacing w:line="360" w:lineRule="atLeast"/>
      <w:ind w:firstLine="420" w:firstLineChars="200"/>
      <w:jc w:val="left"/>
      <w:textAlignment w:val="baseline"/>
    </w:pPr>
    <w:rPr>
      <w:rFonts w:ascii="Calibri" w:hAnsi="Calibri"/>
      <w:kern w:val="0"/>
      <w:sz w:val="24"/>
      <w:szCs w:val="22"/>
    </w:rPr>
  </w:style>
  <w:style w:type="paragraph" w:customStyle="1" w:styleId="145">
    <w:name w:val="Table Text"/>
    <w:basedOn w:val="1"/>
    <w:semiHidden/>
    <w:qFormat/>
    <w:uiPriority w:val="0"/>
    <w:rPr>
      <w:rFonts w:ascii="宋体" w:hAnsi="宋体" w:eastAsia="宋体" w:cs="宋体"/>
      <w:sz w:val="24"/>
      <w:szCs w:val="24"/>
      <w:lang w:val="en-US" w:eastAsia="en-US" w:bidi="ar-SA"/>
    </w:rPr>
  </w:style>
  <w:style w:type="character" w:customStyle="1" w:styleId="146">
    <w:name w:val="NormalCharacter"/>
    <w:qFormat/>
    <w:uiPriority w:val="0"/>
    <w:rPr>
      <w:rFonts w:ascii="Times New Roman" w:hAnsi="Times New Roman" w:eastAsia="宋体" w:cs="Times New Roman"/>
      <w:kern w:val="2"/>
      <w:sz w:val="21"/>
      <w:szCs w:val="24"/>
      <w:lang w:val="en-US" w:eastAsia="zh-CN" w:bidi="ar-SA"/>
    </w:rPr>
  </w:style>
  <w:style w:type="paragraph" w:customStyle="1" w:styleId="147">
    <w:name w:val="样式 正文 + 首行缩进:  2 字符"/>
    <w:basedOn w:val="1"/>
    <w:qFormat/>
    <w:uiPriority w:val="0"/>
    <w:pPr>
      <w:keepNext/>
      <w:keepLines/>
      <w:spacing w:line="360" w:lineRule="auto"/>
      <w:ind w:firstLine="880" w:firstLineChars="200"/>
      <w:jc w:val="left"/>
    </w:pPr>
    <w:rPr>
      <w:rFonts w:ascii="宋体" w:hAnsi="宋体" w:cs="宋体"/>
      <w:kern w:val="0"/>
    </w:rPr>
  </w:style>
  <w:style w:type="paragraph" w:customStyle="1" w:styleId="148">
    <w:name w:val="首行缩进"/>
    <w:basedOn w:val="1"/>
    <w:qFormat/>
    <w:uiPriority w:val="99"/>
    <w:pPr>
      <w:spacing w:line="400" w:lineRule="exact"/>
      <w:ind w:firstLine="480" w:firstLineChars="200"/>
      <w:jc w:val="left"/>
    </w:pPr>
    <w:rPr>
      <w:lang w:val="zh-CN"/>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112</Pages>
  <Words>7110</Words>
  <Characters>7932</Characters>
  <Lines>515</Lines>
  <Paragraphs>145</Paragraphs>
  <TotalTime>1</TotalTime>
  <ScaleCrop>false</ScaleCrop>
  <LinksUpToDate>false</LinksUpToDate>
  <CharactersWithSpaces>8036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2023-12-22T15:16:00Z</dcterms:created>
  <dc:creator>KWZB</dc:creator>
  <cp:lastModifiedBy>Administrator</cp:lastModifiedBy>
  <cp:lastPrinted>2025-02-05T12:10:00Z</cp:lastPrinted>
  <dcterms:modified xsi:type="dcterms:W3CDTF">2026-07-08T07:25:03Z</dcterms:modified>
  <dc:title>公开招标采购文件范本</dc:title>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33E45E12E739FFA5A1412D69703BF1C1_43</vt:lpwstr>
  </property>
  <property fmtid="{D5CDD505-2E9C-101B-9397-08002B2CF9AE}" pid="4" name="KSOTemplateDocerSaveRecord">
    <vt:lpwstr>eyJoZGlkIjoiMjg3MDkwMDBmOWYxNWM2MGFhZDFiZWE0NzI1Y2Q2MDciLCJ1c2VySWQiOiIxMTg0MzM2NDk5In0=</vt:lpwstr>
  </property>
</Properties>
</file>