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6762D">
      <w:pPr>
        <w:spacing w:line="592"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中共广西区委党校  广西行政学院</w:t>
      </w:r>
    </w:p>
    <w:p w14:paraId="23178ED4">
      <w:pPr>
        <w:spacing w:line="592"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2026年度政府采购意向公开表</w:t>
      </w:r>
    </w:p>
    <w:p w14:paraId="34A2EFBE">
      <w:pPr>
        <w:tabs>
          <w:tab w:val="left" w:pos="993"/>
          <w:tab w:val="left" w:pos="1134"/>
          <w:tab w:val="left" w:pos="1418"/>
        </w:tabs>
        <w:spacing w:line="520" w:lineRule="exact"/>
        <w:jc w:val="center"/>
        <w:rPr>
          <w:rFonts w:hint="default" w:ascii="Times New Roman" w:hAnsi="Times New Roman" w:eastAsia="方正小标宋简体" w:cs="Times New Roman"/>
          <w:sz w:val="44"/>
          <w:szCs w:val="44"/>
        </w:rPr>
      </w:pPr>
    </w:p>
    <w:p w14:paraId="70389C51">
      <w:pPr>
        <w:widowControl/>
        <w:tabs>
          <w:tab w:val="left" w:pos="993"/>
          <w:tab w:val="left" w:pos="1134"/>
          <w:tab w:val="left" w:pos="1418"/>
        </w:tabs>
        <w:spacing w:line="520" w:lineRule="exact"/>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 w:cs="Times New Roman"/>
          <w:sz w:val="32"/>
          <w:szCs w:val="32"/>
        </w:rPr>
        <w:t>为便于供应商及时了解政府采购信息，根据《财政部关于开展政府采购意向公开工作的通知》（</w:t>
      </w:r>
      <w:bookmarkStart w:id="0" w:name="_GoBack"/>
      <w:bookmarkEnd w:id="0"/>
      <w:r>
        <w:rPr>
          <w:rFonts w:hint="default" w:ascii="Times New Roman" w:hAnsi="Times New Roman" w:eastAsia="仿宋" w:cs="Times New Roman"/>
          <w:sz w:val="32"/>
          <w:szCs w:val="32"/>
        </w:rPr>
        <w:t>财库〔2020〕10号）和《广西壮族自治区财政厅关于进一步规范政府采购意向公开工作的通知》</w:t>
      </w:r>
      <w:r>
        <w:rPr>
          <w:rFonts w:hint="default" w:ascii="Times New Roman" w:hAnsi="Times New Roman" w:eastAsia="仿宋" w:cs="Times New Roman"/>
          <w:spacing w:val="-6"/>
          <w:sz w:val="32"/>
          <w:szCs w:val="32"/>
        </w:rPr>
        <w:t>（桂财采〔2022〕84号）等有关规定，现将政府采购意向公开如下：</w:t>
      </w:r>
    </w:p>
    <w:tbl>
      <w:tblPr>
        <w:tblStyle w:val="13"/>
        <w:tblW w:w="9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368"/>
        <w:gridCol w:w="2592"/>
        <w:gridCol w:w="1169"/>
        <w:gridCol w:w="1550"/>
        <w:gridCol w:w="931"/>
        <w:gridCol w:w="950"/>
      </w:tblGrid>
      <w:tr w14:paraId="7039C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775" w:type="dxa"/>
            <w:tcBorders>
              <w:top w:val="single" w:color="auto" w:sz="4" w:space="0"/>
              <w:left w:val="single" w:color="auto" w:sz="4" w:space="0"/>
              <w:bottom w:val="single" w:color="auto" w:sz="4" w:space="0"/>
              <w:right w:val="single" w:color="auto" w:sz="4" w:space="0"/>
            </w:tcBorders>
            <w:vAlign w:val="center"/>
          </w:tcPr>
          <w:p w14:paraId="40DA2A96">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序号</w:t>
            </w:r>
          </w:p>
        </w:tc>
        <w:tc>
          <w:tcPr>
            <w:tcW w:w="1368" w:type="dxa"/>
            <w:tcBorders>
              <w:top w:val="single" w:color="auto" w:sz="4" w:space="0"/>
              <w:left w:val="single" w:color="auto" w:sz="4" w:space="0"/>
              <w:bottom w:val="single" w:color="auto" w:sz="4" w:space="0"/>
              <w:right w:val="single" w:color="auto" w:sz="4" w:space="0"/>
            </w:tcBorders>
            <w:vAlign w:val="center"/>
          </w:tcPr>
          <w:p w14:paraId="03472745">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采购项目</w:t>
            </w:r>
          </w:p>
          <w:p w14:paraId="42B7348A">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名称</w:t>
            </w:r>
          </w:p>
        </w:tc>
        <w:tc>
          <w:tcPr>
            <w:tcW w:w="2592" w:type="dxa"/>
            <w:tcBorders>
              <w:top w:val="single" w:color="auto" w:sz="4" w:space="0"/>
              <w:left w:val="single" w:color="auto" w:sz="4" w:space="0"/>
              <w:bottom w:val="single" w:color="auto" w:sz="4" w:space="0"/>
              <w:right w:val="single" w:color="auto" w:sz="4" w:space="0"/>
            </w:tcBorders>
            <w:vAlign w:val="center"/>
          </w:tcPr>
          <w:p w14:paraId="7400D8CA">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采购需求概况</w:t>
            </w:r>
          </w:p>
        </w:tc>
        <w:tc>
          <w:tcPr>
            <w:tcW w:w="1169" w:type="dxa"/>
            <w:tcBorders>
              <w:top w:val="single" w:color="auto" w:sz="4" w:space="0"/>
              <w:left w:val="single" w:color="auto" w:sz="4" w:space="0"/>
              <w:bottom w:val="single" w:color="auto" w:sz="4" w:space="0"/>
              <w:right w:val="single" w:color="auto" w:sz="4" w:space="0"/>
            </w:tcBorders>
            <w:vAlign w:val="center"/>
          </w:tcPr>
          <w:p w14:paraId="6C2A5271">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预算金额</w:t>
            </w:r>
          </w:p>
          <w:p w14:paraId="3551030B">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（万元）</w:t>
            </w:r>
          </w:p>
        </w:tc>
        <w:tc>
          <w:tcPr>
            <w:tcW w:w="1550" w:type="dxa"/>
            <w:tcBorders>
              <w:top w:val="single" w:color="auto" w:sz="4" w:space="0"/>
              <w:left w:val="single" w:color="auto" w:sz="4" w:space="0"/>
              <w:bottom w:val="single" w:color="auto" w:sz="4" w:space="0"/>
              <w:right w:val="single" w:color="auto" w:sz="4" w:space="0"/>
            </w:tcBorders>
            <w:vAlign w:val="center"/>
          </w:tcPr>
          <w:p w14:paraId="4C997F94">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预计采购时间（填写到月）</w:t>
            </w:r>
          </w:p>
        </w:tc>
        <w:tc>
          <w:tcPr>
            <w:tcW w:w="931" w:type="dxa"/>
            <w:tcBorders>
              <w:top w:val="single" w:color="auto" w:sz="4" w:space="0"/>
              <w:left w:val="single" w:color="auto" w:sz="4" w:space="0"/>
              <w:bottom w:val="single" w:color="auto" w:sz="4" w:space="0"/>
              <w:right w:val="single" w:color="auto" w:sz="4" w:space="0"/>
            </w:tcBorders>
            <w:vAlign w:val="center"/>
          </w:tcPr>
          <w:p w14:paraId="171D2C08">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szCs w:val="21"/>
              </w:rPr>
              <w:t>落实政府采购政策功能情况</w:t>
            </w:r>
          </w:p>
        </w:tc>
        <w:tc>
          <w:tcPr>
            <w:tcW w:w="950" w:type="dxa"/>
            <w:tcBorders>
              <w:top w:val="single" w:color="auto" w:sz="4" w:space="0"/>
              <w:left w:val="single" w:color="auto" w:sz="4" w:space="0"/>
              <w:bottom w:val="single" w:color="auto" w:sz="4" w:space="0"/>
              <w:right w:val="single" w:color="auto" w:sz="4" w:space="0"/>
            </w:tcBorders>
            <w:vAlign w:val="center"/>
          </w:tcPr>
          <w:p w14:paraId="7A3BA5AD">
            <w:pPr>
              <w:tabs>
                <w:tab w:val="left" w:pos="993"/>
                <w:tab w:val="left" w:pos="1134"/>
                <w:tab w:val="left" w:pos="1418"/>
              </w:tabs>
              <w:spacing w:line="360" w:lineRule="exact"/>
              <w:jc w:val="center"/>
              <w:rPr>
                <w:rFonts w:hint="default" w:ascii="Times New Roman" w:hAnsi="Times New Roman" w:eastAsia="黑体" w:cs="Times New Roman"/>
                <w:bCs/>
                <w:kern w:val="0"/>
              </w:rPr>
            </w:pPr>
            <w:r>
              <w:rPr>
                <w:rFonts w:hint="default" w:ascii="Times New Roman" w:hAnsi="Times New Roman" w:eastAsia="黑体" w:cs="Times New Roman"/>
                <w:bCs/>
                <w:kern w:val="0"/>
              </w:rPr>
              <w:t>备注</w:t>
            </w:r>
          </w:p>
        </w:tc>
      </w:tr>
      <w:tr w14:paraId="2EF0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775" w:type="dxa"/>
            <w:tcBorders>
              <w:top w:val="single" w:color="auto" w:sz="4" w:space="0"/>
              <w:left w:val="single" w:color="auto" w:sz="4" w:space="0"/>
              <w:bottom w:val="single" w:color="auto" w:sz="4" w:space="0"/>
              <w:right w:val="single" w:color="auto" w:sz="4" w:space="0"/>
            </w:tcBorders>
            <w:vAlign w:val="center"/>
          </w:tcPr>
          <w:p w14:paraId="38218D86">
            <w:pPr>
              <w:tabs>
                <w:tab w:val="left" w:pos="993"/>
                <w:tab w:val="left" w:pos="1134"/>
                <w:tab w:val="left" w:pos="1418"/>
              </w:tabs>
              <w:spacing w:line="360" w:lineRule="exact"/>
              <w:jc w:val="center"/>
              <w:rPr>
                <w:rFonts w:hint="default" w:ascii="Times New Roman" w:hAnsi="Times New Roman" w:eastAsia="仿宋" w:cs="Times New Roman"/>
                <w:color w:val="000000" w:themeColor="text1"/>
                <w:kern w:val="0"/>
                <w14:textFill>
                  <w14:solidFill>
                    <w14:schemeClr w14:val="tx1"/>
                  </w14:solidFill>
                </w14:textFill>
              </w:rPr>
            </w:pPr>
            <w:r>
              <w:rPr>
                <w:rFonts w:hint="default" w:ascii="Times New Roman" w:hAnsi="Times New Roman" w:eastAsia="仿宋" w:cs="Times New Roman"/>
                <w:color w:val="000000" w:themeColor="text1"/>
                <w:kern w:val="0"/>
                <w14:textFill>
                  <w14:solidFill>
                    <w14:schemeClr w14:val="tx1"/>
                  </w14:solidFill>
                </w14:textFill>
              </w:rPr>
              <w:t>1</w:t>
            </w:r>
          </w:p>
        </w:tc>
        <w:tc>
          <w:tcPr>
            <w:tcW w:w="1368" w:type="dxa"/>
            <w:tcBorders>
              <w:top w:val="single" w:color="auto" w:sz="4" w:space="0"/>
              <w:left w:val="single" w:color="auto" w:sz="4" w:space="0"/>
              <w:bottom w:val="single" w:color="auto" w:sz="4" w:space="0"/>
              <w:right w:val="single" w:color="auto" w:sz="4" w:space="0"/>
            </w:tcBorders>
            <w:vAlign w:val="center"/>
          </w:tcPr>
          <w:p w14:paraId="1FC18B4A">
            <w:pPr>
              <w:tabs>
                <w:tab w:val="left" w:pos="993"/>
                <w:tab w:val="left" w:pos="1134"/>
                <w:tab w:val="left" w:pos="1418"/>
              </w:tabs>
              <w:spacing w:line="260" w:lineRule="exact"/>
              <w:jc w:val="center"/>
              <w:rPr>
                <w:rFonts w:hint="eastAsia" w:ascii="Times New Roman" w:hAnsi="Times New Roman" w:eastAsia="仿宋" w:cs="Times New Roman"/>
                <w:color w:val="000000" w:themeColor="text1"/>
                <w:sz w:val="24"/>
                <w:lang w:eastAsia="zh-CN"/>
                <w14:textFill>
                  <w14:solidFill>
                    <w14:schemeClr w14:val="tx1"/>
                  </w14:solidFill>
                </w14:textFill>
              </w:rPr>
            </w:pPr>
            <w:r>
              <w:rPr>
                <w:rFonts w:hint="eastAsia" w:ascii="Times New Roman" w:hAnsi="Times New Roman" w:eastAsia="仿宋" w:cs="Times New Roman"/>
                <w:color w:val="000000" w:themeColor="text1"/>
                <w:sz w:val="24"/>
                <w:lang w:eastAsia="zh-CN"/>
                <w14:textFill>
                  <w14:solidFill>
                    <w14:schemeClr w14:val="tx1"/>
                  </w14:solidFill>
                </w14:textFill>
              </w:rPr>
              <w:t>中共广西区委党校（广西行政学院）</w:t>
            </w:r>
          </w:p>
          <w:p w14:paraId="767B3777">
            <w:pPr>
              <w:tabs>
                <w:tab w:val="left" w:pos="993"/>
                <w:tab w:val="left" w:pos="1134"/>
                <w:tab w:val="left" w:pos="1418"/>
              </w:tabs>
              <w:spacing w:line="260" w:lineRule="exact"/>
              <w:jc w:val="center"/>
              <w:rPr>
                <w:rFonts w:hint="eastAsia" w:ascii="Times New Roman" w:hAnsi="Times New Roman" w:eastAsia="仿宋" w:cs="Times New Roman"/>
                <w:color w:val="000000" w:themeColor="text1"/>
                <w:sz w:val="24"/>
                <w:lang w:eastAsia="zh-CN"/>
                <w14:textFill>
                  <w14:solidFill>
                    <w14:schemeClr w14:val="tx1"/>
                  </w14:solidFill>
                </w14:textFill>
              </w:rPr>
            </w:pPr>
            <w:r>
              <w:rPr>
                <w:rFonts w:hint="eastAsia" w:ascii="Times New Roman" w:hAnsi="Times New Roman" w:eastAsia="仿宋" w:cs="Times New Roman"/>
                <w:color w:val="000000" w:themeColor="text1"/>
                <w:sz w:val="24"/>
                <w:lang w:eastAsia="zh-CN"/>
                <w14:textFill>
                  <w14:solidFill>
                    <w14:schemeClr w14:val="tx1"/>
                  </w14:solidFill>
                </w14:textFill>
              </w:rPr>
              <w:t>2027—2029年度安保服务项目</w:t>
            </w:r>
          </w:p>
        </w:tc>
        <w:tc>
          <w:tcPr>
            <w:tcW w:w="2592" w:type="dxa"/>
            <w:tcBorders>
              <w:top w:val="single" w:color="auto" w:sz="4" w:space="0"/>
              <w:left w:val="single" w:color="auto" w:sz="4" w:space="0"/>
              <w:bottom w:val="single" w:color="auto" w:sz="4" w:space="0"/>
              <w:right w:val="single" w:color="auto" w:sz="4" w:space="0"/>
            </w:tcBorders>
            <w:vAlign w:val="center"/>
          </w:tcPr>
          <w:p w14:paraId="3D5E8531">
            <w:pPr>
              <w:tabs>
                <w:tab w:val="left" w:pos="993"/>
                <w:tab w:val="left" w:pos="1134"/>
                <w:tab w:val="left" w:pos="1418"/>
              </w:tabs>
              <w:spacing w:line="260" w:lineRule="exact"/>
              <w:rPr>
                <w:rFonts w:hint="eastAsia" w:ascii="Times New Roman" w:hAnsi="Times New Roman" w:eastAsia="仿宋" w:cs="Times New Roman"/>
                <w:color w:val="000000" w:themeColor="text1"/>
                <w:sz w:val="24"/>
                <w:lang w:eastAsia="zh-CN"/>
                <w14:textFill>
                  <w14:solidFill>
                    <w14:schemeClr w14:val="tx1"/>
                  </w14:solidFill>
                </w14:textFill>
              </w:rPr>
            </w:pPr>
            <w:r>
              <w:rPr>
                <w:rFonts w:hint="eastAsia" w:ascii="Times New Roman" w:hAnsi="Times New Roman" w:eastAsia="仿宋" w:cs="Times New Roman"/>
                <w:color w:val="000000" w:themeColor="text1"/>
                <w:sz w:val="24"/>
                <w:lang w:eastAsia="zh-CN"/>
                <w14:textFill>
                  <w14:solidFill>
                    <w14:schemeClr w14:val="tx1"/>
                  </w14:solidFill>
                </w14:textFill>
              </w:rPr>
              <w:t>用于保障校园安全，主要服务内容包括但不仅限于门禁管理、交通秩序管理、重点场所值守、治安巡逻、消防巡查、安防监控、消防监控、应急处置等。</w:t>
            </w:r>
          </w:p>
        </w:tc>
        <w:tc>
          <w:tcPr>
            <w:tcW w:w="1169" w:type="dxa"/>
            <w:tcBorders>
              <w:top w:val="single" w:color="auto" w:sz="4" w:space="0"/>
              <w:left w:val="single" w:color="auto" w:sz="4" w:space="0"/>
              <w:bottom w:val="single" w:color="auto" w:sz="4" w:space="0"/>
              <w:right w:val="single" w:color="auto" w:sz="4" w:space="0"/>
            </w:tcBorders>
            <w:vAlign w:val="center"/>
          </w:tcPr>
          <w:p w14:paraId="50E654F9">
            <w:pPr>
              <w:tabs>
                <w:tab w:val="left" w:pos="993"/>
                <w:tab w:val="left" w:pos="1134"/>
                <w:tab w:val="left" w:pos="1418"/>
              </w:tabs>
              <w:spacing w:line="260" w:lineRule="exact"/>
              <w:jc w:val="center"/>
              <w:rPr>
                <w:rFonts w:hint="default" w:ascii="Times New Roman" w:hAnsi="Times New Roman" w:eastAsia="仿宋" w:cs="Times New Roman"/>
                <w:color w:val="000000" w:themeColor="text1"/>
                <w:sz w:val="24"/>
                <w:lang w:val="en-US" w:eastAsia="zh-CN"/>
                <w14:textFill>
                  <w14:solidFill>
                    <w14:schemeClr w14:val="tx1"/>
                  </w14:solidFill>
                </w14:textFill>
              </w:rPr>
            </w:pPr>
            <w:r>
              <w:rPr>
                <w:rFonts w:hint="eastAsia" w:ascii="Times New Roman" w:hAnsi="Times New Roman" w:eastAsia="仿宋" w:cs="Times New Roman"/>
                <w:color w:val="000000" w:themeColor="text1"/>
                <w:sz w:val="24"/>
                <w:lang w:val="en-US" w:eastAsia="zh-CN"/>
                <w14:textFill>
                  <w14:solidFill>
                    <w14:schemeClr w14:val="tx1"/>
                  </w14:solidFill>
                </w14:textFill>
              </w:rPr>
              <w:t>529.2</w:t>
            </w:r>
          </w:p>
        </w:tc>
        <w:tc>
          <w:tcPr>
            <w:tcW w:w="1550" w:type="dxa"/>
            <w:tcBorders>
              <w:top w:val="single" w:color="auto" w:sz="4" w:space="0"/>
              <w:left w:val="single" w:color="auto" w:sz="4" w:space="0"/>
              <w:bottom w:val="single" w:color="auto" w:sz="4" w:space="0"/>
              <w:right w:val="single" w:color="auto" w:sz="4" w:space="0"/>
            </w:tcBorders>
            <w:vAlign w:val="center"/>
          </w:tcPr>
          <w:p w14:paraId="5058DD56">
            <w:pPr>
              <w:tabs>
                <w:tab w:val="left" w:pos="993"/>
                <w:tab w:val="left" w:pos="1134"/>
                <w:tab w:val="left" w:pos="1418"/>
              </w:tabs>
              <w:spacing w:line="260" w:lineRule="exact"/>
              <w:jc w:val="center"/>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2026年</w:t>
            </w:r>
            <w:r>
              <w:rPr>
                <w:rFonts w:hint="eastAsia" w:ascii="Times New Roman" w:hAnsi="Times New Roman" w:eastAsia="仿宋" w:cs="Times New Roman"/>
                <w:color w:val="000000" w:themeColor="text1"/>
                <w:sz w:val="24"/>
                <w:lang w:val="en-US" w:eastAsia="zh-CN"/>
                <w14:textFill>
                  <w14:solidFill>
                    <w14:schemeClr w14:val="tx1"/>
                  </w14:solidFill>
                </w14:textFill>
              </w:rPr>
              <w:t>10-11</w:t>
            </w:r>
            <w:r>
              <w:rPr>
                <w:rFonts w:hint="default" w:ascii="Times New Roman" w:hAnsi="Times New Roman" w:eastAsia="仿宋" w:cs="Times New Roman"/>
                <w:color w:val="000000" w:themeColor="text1"/>
                <w:sz w:val="24"/>
                <w14:textFill>
                  <w14:solidFill>
                    <w14:schemeClr w14:val="tx1"/>
                  </w14:solidFill>
                </w14:textFill>
              </w:rPr>
              <w:t>月</w:t>
            </w:r>
          </w:p>
        </w:tc>
        <w:tc>
          <w:tcPr>
            <w:tcW w:w="931" w:type="dxa"/>
            <w:tcBorders>
              <w:top w:val="single" w:color="auto" w:sz="4" w:space="0"/>
              <w:left w:val="single" w:color="auto" w:sz="4" w:space="0"/>
              <w:bottom w:val="single" w:color="auto" w:sz="4" w:space="0"/>
              <w:right w:val="single" w:color="auto" w:sz="4" w:space="0"/>
            </w:tcBorders>
            <w:vAlign w:val="center"/>
          </w:tcPr>
          <w:p w14:paraId="17CFB77D">
            <w:pPr>
              <w:tabs>
                <w:tab w:val="left" w:pos="993"/>
                <w:tab w:val="left" w:pos="1134"/>
                <w:tab w:val="left" w:pos="1418"/>
              </w:tabs>
              <w:spacing w:line="360" w:lineRule="exact"/>
              <w:jc w:val="center"/>
              <w:rPr>
                <w:rFonts w:hint="default" w:ascii="Times New Roman" w:hAnsi="Times New Roman" w:eastAsia="仿宋" w:cs="Times New Roman"/>
                <w:color w:val="000000" w:themeColor="text1"/>
                <w:kern w:val="0"/>
                <w14:textFill>
                  <w14:solidFill>
                    <w14:schemeClr w14:val="tx1"/>
                  </w14:solidFill>
                </w14:textFill>
              </w:rPr>
            </w:pPr>
            <w:r>
              <w:rPr>
                <w:rFonts w:hint="default" w:ascii="Times New Roman" w:hAnsi="Times New Roman" w:eastAsia="仿宋" w:cs="Times New Roman"/>
                <w:color w:val="000000" w:themeColor="text1"/>
                <w:kern w:val="0"/>
                <w14:textFill>
                  <w14:solidFill>
                    <w14:schemeClr w14:val="tx1"/>
                  </w14:solidFill>
                </w14:textFill>
              </w:rPr>
              <w:t>按政策执行</w:t>
            </w:r>
          </w:p>
        </w:tc>
        <w:tc>
          <w:tcPr>
            <w:tcW w:w="950" w:type="dxa"/>
            <w:tcBorders>
              <w:top w:val="single" w:color="auto" w:sz="4" w:space="0"/>
              <w:left w:val="single" w:color="auto" w:sz="4" w:space="0"/>
              <w:bottom w:val="single" w:color="auto" w:sz="4" w:space="0"/>
              <w:right w:val="single" w:color="auto" w:sz="4" w:space="0"/>
            </w:tcBorders>
            <w:vAlign w:val="center"/>
          </w:tcPr>
          <w:p w14:paraId="3DBFCD52">
            <w:pPr>
              <w:tabs>
                <w:tab w:val="left" w:pos="993"/>
                <w:tab w:val="left" w:pos="1134"/>
                <w:tab w:val="left" w:pos="1418"/>
              </w:tabs>
              <w:spacing w:line="360" w:lineRule="exact"/>
              <w:jc w:val="center"/>
              <w:rPr>
                <w:rFonts w:hint="default" w:ascii="Times New Roman" w:hAnsi="Times New Roman" w:eastAsia="仿宋" w:cs="Times New Roman"/>
                <w:color w:val="000000" w:themeColor="text1"/>
                <w:kern w:val="0"/>
                <w14:textFill>
                  <w14:solidFill>
                    <w14:schemeClr w14:val="tx1"/>
                  </w14:solidFill>
                </w14:textFill>
              </w:rPr>
            </w:pPr>
            <w:r>
              <w:rPr>
                <w:rFonts w:hint="default" w:ascii="Times New Roman" w:hAnsi="Times New Roman" w:eastAsia="仿宋" w:cs="Times New Roman"/>
                <w:color w:val="000000" w:themeColor="text1"/>
                <w:kern w:val="0"/>
                <w14:textFill>
                  <w14:solidFill>
                    <w14:schemeClr w14:val="tx1"/>
                  </w14:solidFill>
                </w14:textFill>
              </w:rPr>
              <w:t>0771-5577190</w:t>
            </w:r>
          </w:p>
        </w:tc>
      </w:tr>
    </w:tbl>
    <w:p w14:paraId="135E92BE">
      <w:pPr>
        <w:tabs>
          <w:tab w:val="left" w:pos="993"/>
          <w:tab w:val="left" w:pos="1134"/>
          <w:tab w:val="left" w:pos="1418"/>
        </w:tabs>
        <w:spacing w:line="52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本次公开的政府采购意向是本单位政府采购工作的初步安排，具体采购项目情况以相关采购公告和采购文件为准。</w:t>
      </w:r>
    </w:p>
    <w:p w14:paraId="181B6CCD">
      <w:pPr>
        <w:spacing w:line="580" w:lineRule="exact"/>
        <w:ind w:left="4160" w:hanging="4160" w:hangingChars="13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中共广西壮族自治区委员会党校 </w:t>
      </w:r>
    </w:p>
    <w:p w14:paraId="6BEF8033">
      <w:pPr>
        <w:spacing w:line="580" w:lineRule="exact"/>
        <w:ind w:left="4160" w:hanging="4160" w:hangingChars="13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2026年</w:t>
      </w: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月</w:t>
      </w:r>
      <w:r>
        <w:rPr>
          <w:rFonts w:hint="default" w:ascii="Times New Roman" w:hAnsi="Times New Roman" w:eastAsia="仿宋" w:cs="Times New Roman"/>
          <w:sz w:val="32"/>
          <w:szCs w:val="32"/>
          <w:lang w:val="en-US" w:eastAsia="zh-CN"/>
        </w:rPr>
        <w:t>13</w:t>
      </w:r>
      <w:r>
        <w:rPr>
          <w:rFonts w:hint="default" w:ascii="Times New Roman" w:hAnsi="Times New Roman" w:eastAsia="仿宋" w:cs="Times New Roman"/>
          <w:sz w:val="32"/>
          <w:szCs w:val="32"/>
        </w:rPr>
        <w:t>日</w:t>
      </w:r>
    </w:p>
    <w:sectPr>
      <w:pgSz w:w="11906" w:h="16838"/>
      <w:pgMar w:top="1984" w:right="1417" w:bottom="1417" w:left="1417" w:header="851" w:footer="992" w:gutter="0"/>
      <w:pgNumType w:fmt="numberInDash"/>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dit="readOnly" w:enforcement="0"/>
  <w:defaultTabStop w:val="420"/>
  <w:drawingGridHorizontalSpacing w:val="105"/>
  <w:drawingGridVerticalSpacing w:val="315"/>
  <w:displayHorizontalDrawingGridEvery w:val="0"/>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NjYTEzNDc2ZTAxMWFmYTc4Njk2OTIwMDYwNWU3MzAifQ=="/>
  </w:docVars>
  <w:rsids>
    <w:rsidRoot w:val="00EA6B9D"/>
    <w:rsid w:val="00006E83"/>
    <w:rsid w:val="00091BE2"/>
    <w:rsid w:val="000961F9"/>
    <w:rsid w:val="000E3700"/>
    <w:rsid w:val="000F1787"/>
    <w:rsid w:val="00120B51"/>
    <w:rsid w:val="00187961"/>
    <w:rsid w:val="001F78AE"/>
    <w:rsid w:val="00213260"/>
    <w:rsid w:val="00250FC0"/>
    <w:rsid w:val="00296401"/>
    <w:rsid w:val="002F46FB"/>
    <w:rsid w:val="00302E3C"/>
    <w:rsid w:val="0031050D"/>
    <w:rsid w:val="00445F80"/>
    <w:rsid w:val="00514833"/>
    <w:rsid w:val="00556559"/>
    <w:rsid w:val="00591063"/>
    <w:rsid w:val="005B72B7"/>
    <w:rsid w:val="0062030C"/>
    <w:rsid w:val="00643917"/>
    <w:rsid w:val="00667B0C"/>
    <w:rsid w:val="0067651C"/>
    <w:rsid w:val="00691086"/>
    <w:rsid w:val="006B1561"/>
    <w:rsid w:val="006D6364"/>
    <w:rsid w:val="00734320"/>
    <w:rsid w:val="00750E57"/>
    <w:rsid w:val="00785A08"/>
    <w:rsid w:val="00786BFC"/>
    <w:rsid w:val="00790912"/>
    <w:rsid w:val="007D08F8"/>
    <w:rsid w:val="007D0BD4"/>
    <w:rsid w:val="007E07D4"/>
    <w:rsid w:val="0083445A"/>
    <w:rsid w:val="00834F0B"/>
    <w:rsid w:val="008446DA"/>
    <w:rsid w:val="00851DD2"/>
    <w:rsid w:val="008E078A"/>
    <w:rsid w:val="00936856"/>
    <w:rsid w:val="00987709"/>
    <w:rsid w:val="009A4F95"/>
    <w:rsid w:val="009B274C"/>
    <w:rsid w:val="00A26CB8"/>
    <w:rsid w:val="00A46F7B"/>
    <w:rsid w:val="00A52146"/>
    <w:rsid w:val="00A81CBF"/>
    <w:rsid w:val="00A962AF"/>
    <w:rsid w:val="00B05CB8"/>
    <w:rsid w:val="00B60E90"/>
    <w:rsid w:val="00B94DC3"/>
    <w:rsid w:val="00BC52D6"/>
    <w:rsid w:val="00C4023A"/>
    <w:rsid w:val="00C4499F"/>
    <w:rsid w:val="00C853EA"/>
    <w:rsid w:val="00CB16CA"/>
    <w:rsid w:val="00DC6061"/>
    <w:rsid w:val="00E55195"/>
    <w:rsid w:val="00E73C71"/>
    <w:rsid w:val="00E83525"/>
    <w:rsid w:val="00EA6B9D"/>
    <w:rsid w:val="00EA7F30"/>
    <w:rsid w:val="00EB6B74"/>
    <w:rsid w:val="00F84012"/>
    <w:rsid w:val="00F904A0"/>
    <w:rsid w:val="00F94A89"/>
    <w:rsid w:val="00FA24A3"/>
    <w:rsid w:val="00FA6E03"/>
    <w:rsid w:val="13195272"/>
    <w:rsid w:val="1FE26A8A"/>
    <w:rsid w:val="2083646A"/>
    <w:rsid w:val="29F42E40"/>
    <w:rsid w:val="30D94841"/>
    <w:rsid w:val="35B7540A"/>
    <w:rsid w:val="42620970"/>
    <w:rsid w:val="489C0968"/>
    <w:rsid w:val="4D2C2DBA"/>
    <w:rsid w:val="4FEF82D7"/>
    <w:rsid w:val="52C86B0F"/>
    <w:rsid w:val="55FF082A"/>
    <w:rsid w:val="5BCDCCC6"/>
    <w:rsid w:val="5F730E48"/>
    <w:rsid w:val="5FAF006F"/>
    <w:rsid w:val="6DB30E68"/>
    <w:rsid w:val="6DFB45EE"/>
    <w:rsid w:val="74FF47CA"/>
    <w:rsid w:val="7799DD07"/>
    <w:rsid w:val="77D72ACB"/>
    <w:rsid w:val="7A6F7397"/>
    <w:rsid w:val="7B4F42A7"/>
    <w:rsid w:val="7CFFB323"/>
    <w:rsid w:val="7D5C7536"/>
    <w:rsid w:val="7DDB3183"/>
    <w:rsid w:val="7EDF2DE9"/>
    <w:rsid w:val="7FB1F490"/>
    <w:rsid w:val="7FEF299E"/>
    <w:rsid w:val="7FEFBEA2"/>
    <w:rsid w:val="AEAB15EF"/>
    <w:rsid w:val="BB7E018E"/>
    <w:rsid w:val="BFB55D88"/>
    <w:rsid w:val="D71BFCD1"/>
    <w:rsid w:val="D8F6295C"/>
    <w:rsid w:val="DFFE3B53"/>
    <w:rsid w:val="E7EF0D69"/>
    <w:rsid w:val="EB5F2BF9"/>
    <w:rsid w:val="EF346170"/>
    <w:rsid w:val="F39F72FC"/>
    <w:rsid w:val="F3FF3C4B"/>
    <w:rsid w:val="F7FFBB52"/>
    <w:rsid w:val="FAEFDAD0"/>
    <w:rsid w:val="FEDF2377"/>
    <w:rsid w:val="FF67CAB6"/>
    <w:rsid w:val="FFDF863A"/>
    <w:rsid w:val="FFF604AC"/>
    <w:rsid w:val="FFFEA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line="380" w:lineRule="exact"/>
    </w:pPr>
    <w:rPr>
      <w:kern w:val="0"/>
      <w:sz w:val="24"/>
      <w:szCs w:val="22"/>
    </w:rPr>
  </w:style>
  <w:style w:type="paragraph" w:styleId="6">
    <w:name w:val="toc 5"/>
    <w:basedOn w:val="1"/>
    <w:next w:val="1"/>
    <w:qFormat/>
    <w:uiPriority w:val="0"/>
    <w:pPr>
      <w:ind w:left="1680"/>
    </w:pPr>
  </w:style>
  <w:style w:type="paragraph" w:styleId="7">
    <w:name w:val="toc 3"/>
    <w:basedOn w:val="1"/>
    <w:next w:val="1"/>
    <w:qFormat/>
    <w:uiPriority w:val="0"/>
    <w:pPr>
      <w:ind w:left="840"/>
    </w:pPr>
  </w:style>
  <w:style w:type="paragraph" w:styleId="8">
    <w:name w:val="footer"/>
    <w:basedOn w:val="1"/>
    <w:qFormat/>
    <w:uiPriority w:val="0"/>
    <w:pPr>
      <w:tabs>
        <w:tab w:val="center" w:pos="4153"/>
        <w:tab w:val="right" w:pos="8306"/>
      </w:tabs>
      <w:snapToGrid w:val="0"/>
      <w:jc w:val="left"/>
    </w:pPr>
    <w:rPr>
      <w:rFonts w:ascii="等线" w:eastAsia="等线" w:cs="Arial"/>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ascii="等线" w:eastAsia="等线" w:cs="Arial"/>
      <w:sz w:val="18"/>
      <w:szCs w:val="18"/>
    </w:rPr>
  </w:style>
  <w:style w:type="paragraph" w:styleId="10">
    <w:name w:val="toc 1"/>
    <w:basedOn w:val="1"/>
    <w:next w:val="1"/>
    <w:qFormat/>
    <w:uiPriority w:val="0"/>
  </w:style>
  <w:style w:type="paragraph" w:styleId="11">
    <w:name w:val="toc 4"/>
    <w:basedOn w:val="1"/>
    <w:next w:val="1"/>
    <w:qFormat/>
    <w:uiPriority w:val="0"/>
    <w:pPr>
      <w:ind w:left="1260"/>
    </w:pPr>
  </w:style>
  <w:style w:type="paragraph" w:styleId="12">
    <w:name w:val="toc 2"/>
    <w:basedOn w:val="1"/>
    <w:next w:val="1"/>
    <w:qFormat/>
    <w:uiPriority w:val="0"/>
    <w:pPr>
      <w:ind w:left="420"/>
    </w:pPr>
  </w:style>
  <w:style w:type="character" w:customStyle="1" w:styleId="15">
    <w:name w:val="font91"/>
    <w:basedOn w:val="14"/>
    <w:qFormat/>
    <w:uiPriority w:val="0"/>
    <w:rPr>
      <w:rFonts w:ascii="方正小标宋简体" w:eastAsia="方正小标宋简体" w:cs="方正小标宋简体"/>
      <w:color w:val="000000"/>
      <w:sz w:val="28"/>
      <w:szCs w:val="28"/>
      <w:u w:val="none"/>
    </w:rPr>
  </w:style>
  <w:style w:type="character" w:customStyle="1" w:styleId="16">
    <w:name w:val="font12"/>
    <w:basedOn w:val="14"/>
    <w:qFormat/>
    <w:uiPriority w:val="0"/>
    <w:rPr>
      <w:rFonts w:ascii="方正小标宋简体" w:eastAsia="方正小标宋简体" w:cs="方正小标宋简体"/>
      <w:color w:val="FF0000"/>
      <w:sz w:val="28"/>
      <w:szCs w:val="28"/>
      <w:u w:val="none"/>
    </w:rPr>
  </w:style>
  <w:style w:type="character" w:customStyle="1" w:styleId="17">
    <w:name w:val="font101"/>
    <w:basedOn w:val="14"/>
    <w:qFormat/>
    <w:uiPriority w:val="0"/>
    <w:rPr>
      <w:rFonts w:ascii="宋体" w:eastAsia="宋体" w:cs="宋体"/>
      <w:b/>
      <w:bCs/>
      <w:color w:val="FF0000"/>
      <w:sz w:val="24"/>
      <w:szCs w:val="24"/>
      <w:u w:val="none"/>
    </w:rPr>
  </w:style>
  <w:style w:type="character" w:customStyle="1" w:styleId="18">
    <w:name w:val="font41"/>
    <w:basedOn w:val="14"/>
    <w:qFormat/>
    <w:uiPriority w:val="0"/>
    <w:rPr>
      <w:rFonts w:ascii="宋体" w:eastAsia="宋体" w:cs="宋体"/>
      <w:b/>
      <w:bCs/>
      <w:color w:val="000000"/>
      <w:sz w:val="24"/>
      <w:szCs w:val="24"/>
      <w:u w:val="none"/>
    </w:rPr>
  </w:style>
  <w:style w:type="character" w:customStyle="1" w:styleId="19">
    <w:name w:val="font111"/>
    <w:basedOn w:val="14"/>
    <w:qFormat/>
    <w:uiPriority w:val="0"/>
    <w:rPr>
      <w:rFonts w:ascii="宋体" w:eastAsia="宋体" w:cs="宋体"/>
      <w:b/>
      <w:bCs/>
      <w:color w:val="FF0000"/>
      <w:sz w:val="28"/>
      <w:szCs w:val="28"/>
      <w:u w:val="none"/>
    </w:rPr>
  </w:style>
  <w:style w:type="character" w:customStyle="1" w:styleId="20">
    <w:name w:val="font51"/>
    <w:basedOn w:val="14"/>
    <w:qFormat/>
    <w:uiPriority w:val="0"/>
    <w:rPr>
      <w:rFonts w:ascii="宋体" w:eastAsia="宋体" w:cs="宋体"/>
      <w:b/>
      <w:bCs/>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99</Words>
  <Characters>568</Characters>
  <Lines>4</Lines>
  <Paragraphs>1</Paragraphs>
  <TotalTime>3</TotalTime>
  <ScaleCrop>false</ScaleCrop>
  <LinksUpToDate>false</LinksUpToDate>
  <CharactersWithSpaces>666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2022-03-06T17:17:00Z</dcterms:created>
  <dc:creator>guest</dc:creator>
  <cp:lastModifiedBy>gxdx</cp:lastModifiedBy>
  <dcterms:modified xsi:type="dcterms:W3CDTF">2026-07-13T10:17:23Z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A1059D665074459C833D3C766AB7BBC7</vt:lpwstr>
  </property>
</Properties>
</file>