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3360" behindDoc="0" locked="0" layoutInCell="1" allowOverlap="1">
            <wp:simplePos x="0" y="0"/>
            <wp:positionH relativeFrom="column">
              <wp:posOffset>-681990</wp:posOffset>
            </wp:positionH>
            <wp:positionV relativeFrom="paragraph">
              <wp:posOffset>-925195</wp:posOffset>
            </wp:positionV>
            <wp:extent cx="7558405" cy="10689590"/>
            <wp:effectExtent l="0" t="0" r="4445" b="16510"/>
            <wp:wrapNone/>
            <wp:docPr id="2" name="图片 2" descr="竞争性磋商文件--2026年第九届中国·南宁海（境）外人才创新创业大赛上海站预赛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竞争性磋商文件--2026年第九届中国·南宁海（境）外人才创新创业大赛上海站预赛组织工作项目_01"/>
                    <pic:cNvPicPr>
                      <a:picLocks noChangeAspect="1"/>
                    </pic:cNvPicPr>
                  </pic:nvPicPr>
                  <pic:blipFill>
                    <a:blip r:embed="rId11"/>
                    <a:stretch>
                      <a:fillRect/>
                    </a:stretch>
                  </pic:blipFill>
                  <pic:spPr>
                    <a:xfrm>
                      <a:off x="0" y="0"/>
                      <a:ext cx="7558405" cy="10689590"/>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10"/>
        <w:pageBreakBefore w:val="0"/>
        <w:kinsoku/>
        <w:overflowPunct/>
        <w:topLinePunct w:val="0"/>
        <w:bidi w:val="0"/>
        <w:spacing w:line="360" w:lineRule="auto"/>
        <w:rPr>
          <w:color w:val="auto"/>
          <w:highlight w:val="none"/>
        </w:rPr>
      </w:pPr>
    </w:p>
    <w:p w14:paraId="79013809">
      <w:pPr>
        <w:pStyle w:val="13"/>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3"/>
        <w:pageBreakBefore w:val="0"/>
        <w:kinsoku/>
        <w:overflowPunct/>
        <w:topLinePunct w:val="0"/>
        <w:bidi w:val="0"/>
        <w:snapToGrid w:val="0"/>
        <w:spacing w:before="50" w:after="120" w:line="360" w:lineRule="auto"/>
        <w:ind w:firstLine="602" w:firstLineChars="200"/>
        <w:rPr>
          <w:rFonts w:hint="default" w:hAnsi="宋体" w:cs="宋体"/>
          <w:b/>
          <w:bCs/>
          <w:color w:val="auto"/>
          <w:sz w:val="30"/>
          <w:szCs w:val="30"/>
          <w:highlight w:val="none"/>
          <w:lang w:val="en-US"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2026年第九届中国·南宁海（境）外人才创新创业大赛上海站预赛组织工作项目</w:t>
      </w:r>
      <w:r>
        <w:rPr>
          <w:rFonts w:hint="eastAsia" w:hAnsi="宋体" w:cs="宋体"/>
          <w:b/>
          <w:bCs/>
          <w:color w:val="auto"/>
          <w:sz w:val="30"/>
          <w:szCs w:val="30"/>
          <w:highlight w:val="none"/>
          <w:lang w:val="en-US" w:eastAsia="zh-CN"/>
        </w:rPr>
        <w:t xml:space="preserve"> </w:t>
      </w:r>
    </w:p>
    <w:p w14:paraId="1EF4AC47">
      <w:pPr>
        <w:rPr>
          <w:rFonts w:hint="eastAsia"/>
          <w:color w:val="auto"/>
          <w:highlight w:val="none"/>
          <w:lang w:eastAsia="zh-CN"/>
        </w:rPr>
      </w:pPr>
    </w:p>
    <w:p w14:paraId="54887C8B">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NNZC2026-C3-990146-GXYZ</w:t>
      </w:r>
    </w:p>
    <w:p w14:paraId="453CBC83">
      <w:pPr>
        <w:pStyle w:val="13"/>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项目所属区划：南宁市市本级</w:t>
      </w:r>
    </w:p>
    <w:p w14:paraId="5CB48B84">
      <w:pPr>
        <w:pStyle w:val="13"/>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3"/>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10"/>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20"/>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44229878"/>
      <w:bookmarkStart w:id="2" w:name="_Toc35393798"/>
      <w:bookmarkStart w:id="3" w:name="_Toc35393629"/>
      <w:bookmarkStart w:id="4" w:name="_Toc28359012"/>
      <w:bookmarkStart w:id="5" w:name="_Toc28359089"/>
      <w:bookmarkStart w:id="6" w:name="_Toc35393792"/>
      <w:bookmarkStart w:id="7" w:name="_Toc35393623"/>
      <w:bookmarkStart w:id="8" w:name="_Toc28359081"/>
      <w:bookmarkStart w:id="9" w:name="_Toc28359004"/>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2026年第九届中国·南宁海（境）外人才创新创业大赛上海站预赛组织工作项目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NNZC2026-C3-990146-GXYZ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2026年第九届中国·南宁海（境）外人才创新创业大赛上海站预赛组织工作项目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采购计划文号：NNZC[2026]1056号-004</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人民币贰拾伍万柒仟元整（¥257000.00）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人民币贰拾伍万柒仟元整（¥257000.00）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1"/>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序</w:t>
            </w:r>
            <w:r>
              <w:rPr>
                <w:rFonts w:hint="eastAsia" w:ascii="宋体" w:hAnsi="宋体" w:eastAsia="宋体" w:cs="宋体"/>
                <w:color w:val="auto"/>
                <w:sz w:val="24"/>
                <w:highlight w:val="none"/>
              </w:rPr>
              <w:t>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2026年第九届中国·南宁海（境）外人才创新创业大赛上海站预赛组织工作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445DF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年第九届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预赛活动详细的实施方案和细则并组织实施。具体要求如下：</w:t>
            </w:r>
          </w:p>
          <w:p w14:paraId="1412E92F">
            <w:pPr>
              <w:pStyle w:val="14"/>
              <w:pageBreakBefore w:val="0"/>
              <w:shd w:val="clear"/>
              <w:kinsoku/>
              <w:overflowPunct/>
              <w:topLinePunct w:val="0"/>
              <w:bidi w:val="0"/>
              <w:spacing w:line="360"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35393630"/>
      <w:bookmarkStart w:id="11" w:name="_Toc28359090"/>
      <w:bookmarkStart w:id="12" w:name="_Toc28359013"/>
      <w:bookmarkStart w:id="13" w:name="_Toc35393799"/>
      <w:bookmarkStart w:id="14" w:name="_Toc44229879"/>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35393793"/>
      <w:bookmarkStart w:id="16" w:name="_Toc35393624"/>
      <w:bookmarkStart w:id="17" w:name="_Toc28359005"/>
      <w:bookmarkStart w:id="18" w:name="_Toc28359082"/>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2026年5月11日9时30分00秒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2026年5月11日9时30分00秒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35393794"/>
      <w:bookmarkStart w:id="20" w:name="_Toc35393625"/>
      <w:bookmarkStart w:id="21" w:name="_Toc28359084"/>
      <w:bookmarkStart w:id="22" w:name="_Toc28359007"/>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95"/>
      <w:bookmarkStart w:id="26" w:name="_Hlk3742958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联系人及联系电话：罗工  </w:t>
      </w:r>
      <w:r>
        <w:rPr>
          <w:rFonts w:hint="eastAsia" w:ascii="宋体" w:hAnsi="宋体" w:eastAsia="宋体" w:cs="宋体"/>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丰薇、廖武刊</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丰薇、廖武刊</w:t>
      </w:r>
      <w:r>
        <w:rPr>
          <w:rFonts w:hint="eastAsia" w:ascii="宋体" w:hAnsi="宋体" w:eastAsia="宋体" w:cs="宋体"/>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4"/>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4"/>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10"/>
              <w:pageBreakBefore w:val="0"/>
              <w:shd w:val="clear"/>
              <w:kinsoku/>
              <w:overflowPunct/>
              <w:topLinePunct w:val="0"/>
              <w:bidi w:val="0"/>
              <w:spacing w:after="0" w:line="360" w:lineRule="auto"/>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eastAsia="zh-CN"/>
              </w:rPr>
              <w:t>2026年第九届中国·南宁海（境）外人才创新创业大赛上海站预赛组织工作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04A24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年第九届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预赛活动详细的实施方案和细则并组织实施。具体要求如下：</w:t>
            </w:r>
          </w:p>
          <w:p w14:paraId="18EFF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开展赛事宣传，通过微信、网页、公共场所、协会、学会、行业组织、同乡组织等多渠道，广泛宣传大赛政策，积极吸引海（境）外人才报名参赛。合作媒体数不低于5家，定向向不低于10个高校、协会组织等组织机构宣传推荐大赛。</w:t>
            </w:r>
            <w:r>
              <w:rPr>
                <w:rFonts w:hint="eastAsia" w:ascii="宋体" w:hAnsi="宋体" w:cs="宋体"/>
                <w:color w:val="auto"/>
                <w:kern w:val="2"/>
                <w:sz w:val="24"/>
                <w:szCs w:val="24"/>
                <w:highlight w:val="none"/>
                <w:lang w:eastAsia="zh-CN"/>
              </w:rPr>
              <w:t>发布上海</w:t>
            </w:r>
            <w:r>
              <w:rPr>
                <w:rFonts w:hint="eastAsia" w:ascii="宋体" w:hAnsi="宋体" w:eastAsia="宋体" w:cs="宋体"/>
                <w:color w:val="auto"/>
                <w:kern w:val="2"/>
                <w:sz w:val="24"/>
                <w:szCs w:val="24"/>
                <w:highlight w:val="none"/>
              </w:rPr>
              <w:t>站预赛</w:t>
            </w:r>
            <w:r>
              <w:rPr>
                <w:rFonts w:hint="eastAsia" w:ascii="宋体" w:hAnsi="宋体" w:cs="宋体"/>
                <w:color w:val="auto"/>
                <w:kern w:val="2"/>
                <w:sz w:val="24"/>
                <w:szCs w:val="24"/>
                <w:highlight w:val="none"/>
                <w:lang w:eastAsia="zh-CN"/>
              </w:rPr>
              <w:t>宣传稿件不少于</w:t>
            </w:r>
            <w:r>
              <w:rPr>
                <w:rFonts w:hint="eastAsia" w:ascii="宋体" w:hAnsi="宋体" w:cs="宋体"/>
                <w:color w:val="auto"/>
                <w:kern w:val="2"/>
                <w:sz w:val="24"/>
                <w:szCs w:val="24"/>
                <w:highlight w:val="none"/>
                <w:lang w:val="en-US" w:eastAsia="zh-CN"/>
              </w:rPr>
              <w:t>2篇。制作1分钟以内赛后视频1个。</w:t>
            </w:r>
          </w:p>
          <w:p w14:paraId="6208E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推荐报名参赛并通过资格审查的项目数不低于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33261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预赛组织，</w:t>
            </w:r>
            <w:r>
              <w:rPr>
                <w:rFonts w:hint="eastAsia" w:ascii="宋体" w:hAnsi="宋体" w:cs="宋体"/>
                <w:color w:val="auto"/>
                <w:kern w:val="2"/>
                <w:sz w:val="24"/>
                <w:szCs w:val="24"/>
                <w:highlight w:val="none"/>
                <w:lang w:eastAsia="zh-CN"/>
              </w:rPr>
              <w:t>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项目数量40项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。制定工作方案，准备预赛所需的电子和纸质材料，负责场地布置、评委和参赛选手邀请及接待、预赛启动环节和路演评审环节的组织工作等，承担</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预赛晋级决赛项目落地南宁的对接服务（约定数量为17项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7DB8B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预赛选手和评委的食宿费用以及会务组织工作费（含场地租赁和布置费、物料费、资料费、评审费、住宿费、工作餐费、交通费、直播费、翻译费）等各项工作费用。负责拨付</w:t>
            </w:r>
            <w:r>
              <w:rPr>
                <w:rFonts w:hint="eastAsia" w:ascii="宋体" w:hAnsi="宋体" w:cs="宋体"/>
                <w:color w:val="auto"/>
                <w:kern w:val="2"/>
                <w:sz w:val="24"/>
                <w:szCs w:val="24"/>
                <w:highlight w:val="none"/>
                <w:lang w:eastAsia="zh-CN"/>
              </w:rPr>
              <w:t>上海站</w:t>
            </w:r>
            <w:r>
              <w:rPr>
                <w:rFonts w:hint="eastAsia" w:ascii="宋体" w:hAnsi="宋体" w:eastAsia="宋体" w:cs="宋体"/>
                <w:color w:val="auto"/>
                <w:kern w:val="2"/>
                <w:sz w:val="24"/>
                <w:szCs w:val="24"/>
                <w:highlight w:val="none"/>
              </w:rPr>
              <w:t>预赛</w:t>
            </w:r>
            <w:r>
              <w:rPr>
                <w:rFonts w:hint="eastAsia" w:ascii="宋体" w:hAnsi="宋体" w:eastAsia="宋体" w:cs="宋体"/>
                <w:color w:val="auto"/>
                <w:kern w:val="2"/>
                <w:sz w:val="24"/>
                <w:szCs w:val="24"/>
                <w:highlight w:val="none"/>
                <w:lang w:eastAsia="zh-CN"/>
              </w:rPr>
              <w:t>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rPr>
              <w:t>项目奖金（标准：2000元/项（税后），约定数量为</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项</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w:t>
            </w:r>
          </w:p>
          <w:p w14:paraId="1D28B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五、承诺邀请天使投资基金、风险投资基金及有关私募基金、证券机构，作为大赛的合作金融机构，不少于5家；银行、保险、小贷等其他金融机构不少于3家。邀请相关科技、金融专家担任预赛合作创业导师或评委，不低于20人。 </w:t>
            </w:r>
          </w:p>
          <w:p w14:paraId="6B0FFD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六、落实主办方安排的其他相关工作，包括大赛嘉宾及参赛人员接待服务。 </w:t>
            </w:r>
          </w:p>
          <w:p w14:paraId="2CD47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七、供应商必须按照南宁市科学技术局提供活动方案的时间节点和指标筹备和实施大赛，如因供应商原因未按照时间节点开展工作的，南宁市科学技术局可以视造成后果轻重，从供应商中标服务费中扣除2-5%的费用。</w:t>
            </w:r>
          </w:p>
        </w:tc>
        <w:tc>
          <w:tcPr>
            <w:tcW w:w="1426" w:type="dxa"/>
            <w:tcBorders>
              <w:left w:val="single" w:color="auto" w:sz="4" w:space="0"/>
              <w:right w:val="single" w:color="auto" w:sz="4" w:space="0"/>
            </w:tcBorders>
            <w:vAlign w:val="center"/>
          </w:tcPr>
          <w:p w14:paraId="5DBD1F70">
            <w:pPr>
              <w:pageBreakBefore w:val="0"/>
              <w:shd w:val="clear"/>
              <w:tabs>
                <w:tab w:val="left" w:pos="1440"/>
              </w:tabs>
              <w:kinsoku/>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257000.00</w:t>
            </w:r>
          </w:p>
        </w:tc>
        <w:tc>
          <w:tcPr>
            <w:tcW w:w="1045" w:type="dxa"/>
            <w:tcBorders>
              <w:left w:val="single" w:color="auto" w:sz="4" w:space="0"/>
              <w:right w:val="single" w:color="auto" w:sz="4" w:space="0"/>
            </w:tcBorders>
            <w:vAlign w:val="center"/>
          </w:tcPr>
          <w:p w14:paraId="66EFC2CE">
            <w:pPr>
              <w:pStyle w:val="14"/>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▲二、服务期：自合同签订之日起至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（3）必要的材料费、培训</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、宣传费、会务费、场地租金、评委、导师酬劳、差旅费、住宿费及部分不可预见开支等费用。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6D14F5E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付款方式：自签订合同后，采购人拨付合同金额的30%至成交供应商；项目进度完成至50%时，再拨付合同金额的50%；成交供应商交付完毕并经采购人验收合格后，采购人一次性支付剩余合同款。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1E81DC73">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1"/>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10"/>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3"/>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1"/>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45</w:t>
            </w:r>
            <w:r>
              <w:rPr>
                <w:rFonts w:hint="eastAsia" w:ascii="宋体" w:hAnsi="宋体" w:eastAsia="宋体" w:cs="宋体"/>
                <w:color w:val="auto"/>
                <w:sz w:val="24"/>
                <w:highlight w:val="none"/>
                <w:u w:val="single"/>
                <w:lang w:val="en-US" w:eastAsia="zh-CN" w:bidi="ar"/>
              </w:rPr>
              <w:t>00.00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3"/>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673"/>
      <w:bookmarkStart w:id="38" w:name="_Toc254970532"/>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534"/>
      <w:bookmarkStart w:id="42" w:name="_Toc254970675"/>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5"/>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ermStart w:id="0" w:edGrp="everyone"/>
      <w:permEnd w:id="0"/>
      <w:bookmarkStart w:id="241" w:name="_GoBack"/>
      <w:bookmarkEnd w:id="241"/>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（1）服务实施方案分（满分40分）</w:t>
            </w:r>
          </w:p>
        </w:tc>
        <w:tc>
          <w:tcPr>
            <w:tcW w:w="6667" w:type="dxa"/>
            <w:shd w:val="clear" w:color="auto" w:fill="auto"/>
            <w:vAlign w:val="center"/>
          </w:tcPr>
          <w:p w14:paraId="61DA13D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培训辅导、金融合作机构、赛事组织、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0B9365AC">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一档（</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分）：围绕服务目标和内容制定了非常简单的方案，内容不够完整。供应商针对本项目未配备专门团队，人员数量、层次、经验、组织结构等较难保障本次大赛的顺利实施；</w:t>
            </w:r>
          </w:p>
          <w:p w14:paraId="49170DC5">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分）：围绕服务目标和内容制定了比较简单的方案，内容基本完整。供应商针对本项目配备专门团队，但人员数量、层次、经验、组织结构等较难保障本次大赛的顺利实施；</w:t>
            </w:r>
          </w:p>
          <w:p w14:paraId="7657E202">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07AF73F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5064B888">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666E5497">
            <w:pPr>
              <w:pageBreakBefore w:val="0"/>
              <w:widowControl/>
              <w:kinsoku/>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6FBBF120">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082155B9">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5A497DD0">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14D2A1E2">
            <w:pPr>
              <w:shd w:val="clea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供应商承接过相关部门组织的科技类或人才类活动的，每个活动计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bCs/>
                <w:color w:val="auto"/>
                <w:sz w:val="24"/>
                <w:highlight w:val="none"/>
                <w:lang w:val="en-US" w:eastAsia="zh-CN"/>
              </w:rPr>
              <w:t>本项</w:t>
            </w:r>
            <w:r>
              <w:rPr>
                <w:rFonts w:hint="eastAsia" w:ascii="宋体" w:hAnsi="宋体" w:eastAsia="宋体" w:cs="宋体"/>
                <w:color w:val="auto"/>
                <w:sz w:val="24"/>
                <w:szCs w:val="24"/>
                <w:highlight w:val="none"/>
                <w:lang w:val="en-US" w:eastAsia="zh-CN"/>
              </w:rPr>
              <w:t>满分24分。</w:t>
            </w:r>
          </w:p>
          <w:p w14:paraId="6CA378BC">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（注：需提供项目合同或协议书或政府公文通知或相关活动新闻、证明材料等复印件作为证明材料</w:t>
            </w:r>
            <w:r>
              <w:rPr>
                <w:rFonts w:hint="eastAsia" w:ascii="宋体" w:hAnsi="宋体" w:cs="宋体"/>
                <w:bCs/>
                <w:color w:val="auto"/>
                <w:sz w:val="24"/>
                <w:highlight w:val="none"/>
              </w:rPr>
              <w:t>并加盖供应商公章（或电子签章）</w:t>
            </w:r>
            <w:r>
              <w:rPr>
                <w:rFonts w:hint="eastAsia" w:ascii="宋体" w:hAnsi="宋体" w:eastAsia="宋体" w:cs="宋体"/>
                <w:color w:val="auto"/>
                <w:sz w:val="24"/>
                <w:szCs w:val="24"/>
                <w:highlight w:val="none"/>
                <w:lang w:val="en-US" w:eastAsia="zh-CN"/>
              </w:rPr>
              <w:t>，不提供不得分，同一事项提供多份证明材料的不能重复计分。）</w:t>
            </w:r>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（2）合作组织资源（满分5分）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经济等机构合作，每提供一个合作协议得1分，满分5分。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51993DCD">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80205936"/>
      <w:bookmarkStart w:id="53" w:name="_Toc24079"/>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80205938"/>
      <w:bookmarkStart w:id="56" w:name="_Toc6506"/>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80205939"/>
      <w:bookmarkStart w:id="58" w:name="_Toc23115"/>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3"/>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10"/>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10"/>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10"/>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4044"/>
      <w:bookmarkStart w:id="61"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7"/>
      <w:bookmarkStart w:id="63" w:name="OLE_LINK6"/>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1"/>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8"/>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1"/>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8"/>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3"/>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1"/>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3"/>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1"/>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9227"/>
      <w:bookmarkStart w:id="68" w:name="_Toc80205941"/>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4"/>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3"/>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4"/>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3"/>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4"/>
        <w:rPr>
          <w:rFonts w:hint="eastAsia" w:ascii="宋体" w:hAnsi="宋体" w:eastAsia="宋体" w:cs="宋体"/>
          <w:color w:val="auto"/>
          <w:sz w:val="24"/>
          <w:highlight w:val="none"/>
          <w:lang w:val="zh-CN"/>
        </w:rPr>
      </w:pPr>
    </w:p>
    <w:p w14:paraId="5665E9F0">
      <w:pPr>
        <w:pStyle w:val="14"/>
        <w:rPr>
          <w:rFonts w:hint="eastAsia" w:ascii="宋体" w:hAnsi="宋体" w:eastAsia="宋体" w:cs="宋体"/>
          <w:color w:val="auto"/>
          <w:sz w:val="24"/>
          <w:highlight w:val="none"/>
          <w:lang w:val="zh-CN"/>
        </w:rPr>
      </w:pPr>
    </w:p>
    <w:p w14:paraId="72D4D4DD">
      <w:pPr>
        <w:pStyle w:val="14"/>
        <w:rPr>
          <w:rFonts w:hint="eastAsia" w:ascii="宋体" w:hAnsi="宋体" w:eastAsia="宋体" w:cs="宋体"/>
          <w:color w:val="auto"/>
          <w:sz w:val="24"/>
          <w:highlight w:val="none"/>
          <w:lang w:val="zh-CN"/>
        </w:rPr>
      </w:pPr>
    </w:p>
    <w:p w14:paraId="72831DE2">
      <w:pPr>
        <w:pStyle w:val="14"/>
        <w:rPr>
          <w:rFonts w:hint="eastAsia" w:ascii="宋体" w:hAnsi="宋体" w:eastAsia="宋体" w:cs="宋体"/>
          <w:color w:val="auto"/>
          <w:sz w:val="24"/>
          <w:highlight w:val="none"/>
          <w:lang w:val="zh-CN"/>
        </w:rPr>
      </w:pPr>
    </w:p>
    <w:p w14:paraId="6AB193AC">
      <w:pPr>
        <w:pStyle w:val="14"/>
        <w:rPr>
          <w:rFonts w:hint="eastAsia" w:ascii="宋体" w:hAnsi="宋体" w:eastAsia="宋体" w:cs="宋体"/>
          <w:color w:val="auto"/>
          <w:sz w:val="24"/>
          <w:highlight w:val="none"/>
          <w:lang w:val="zh-CN"/>
        </w:rPr>
      </w:pPr>
    </w:p>
    <w:p w14:paraId="6C6F9D50">
      <w:pPr>
        <w:pStyle w:val="14"/>
        <w:rPr>
          <w:rFonts w:hint="eastAsia" w:ascii="宋体" w:hAnsi="宋体" w:eastAsia="宋体" w:cs="宋体"/>
          <w:color w:val="auto"/>
          <w:sz w:val="24"/>
          <w:highlight w:val="none"/>
          <w:lang w:val="zh-CN"/>
        </w:rPr>
      </w:pPr>
    </w:p>
    <w:p w14:paraId="7B2155FD">
      <w:pPr>
        <w:pStyle w:val="14"/>
        <w:rPr>
          <w:rFonts w:hint="eastAsia" w:ascii="宋体" w:hAnsi="宋体" w:eastAsia="宋体" w:cs="宋体"/>
          <w:color w:val="auto"/>
          <w:sz w:val="24"/>
          <w:highlight w:val="none"/>
          <w:lang w:val="zh-CN"/>
        </w:rPr>
      </w:pPr>
    </w:p>
    <w:p w14:paraId="17B4569C">
      <w:pPr>
        <w:pStyle w:val="14"/>
        <w:rPr>
          <w:rFonts w:hint="eastAsia" w:ascii="宋体" w:hAnsi="宋体" w:eastAsia="宋体" w:cs="宋体"/>
          <w:color w:val="auto"/>
          <w:sz w:val="24"/>
          <w:highlight w:val="none"/>
          <w:lang w:val="zh-CN"/>
        </w:rPr>
      </w:pPr>
    </w:p>
    <w:p w14:paraId="7B7D234A">
      <w:pPr>
        <w:pStyle w:val="14"/>
        <w:rPr>
          <w:rFonts w:hint="eastAsia" w:ascii="宋体" w:hAnsi="宋体" w:eastAsia="宋体" w:cs="宋体"/>
          <w:color w:val="auto"/>
          <w:sz w:val="24"/>
          <w:highlight w:val="none"/>
          <w:lang w:val="zh-CN"/>
        </w:rPr>
      </w:pPr>
    </w:p>
    <w:p w14:paraId="10F7EDFE">
      <w:pPr>
        <w:pStyle w:val="14"/>
        <w:rPr>
          <w:rFonts w:hint="eastAsia" w:ascii="宋体" w:hAnsi="宋体" w:eastAsia="宋体" w:cs="宋体"/>
          <w:color w:val="auto"/>
          <w:sz w:val="24"/>
          <w:highlight w:val="none"/>
          <w:lang w:val="zh-CN"/>
        </w:rPr>
      </w:pPr>
    </w:p>
    <w:p w14:paraId="2697D760">
      <w:pPr>
        <w:pStyle w:val="14"/>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2026年第九届中国·南宁海（境）外人才创新创业大赛上海站预赛组织工作项目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2026年第九届中国·南宁海（境）外人才创新创业大赛上海站预赛组织工作项目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1"/>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7"/>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26022"/>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2232"/>
      <w:bookmarkStart w:id="75" w:name="_Toc24059"/>
      <w:bookmarkStart w:id="76" w:name="_Toc3029"/>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7126"/>
      <w:bookmarkStart w:id="78" w:name="_Toc24300"/>
      <w:bookmarkStart w:id="79" w:name="_Toc21295"/>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1631"/>
      <w:bookmarkStart w:id="81" w:name="_Toc23292"/>
      <w:bookmarkStart w:id="82" w:name="_Toc2155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22618"/>
      <w:bookmarkStart w:id="84" w:name="_Toc10340"/>
      <w:bookmarkStart w:id="85" w:name="_Toc1814"/>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19304"/>
      <w:bookmarkStart w:id="87" w:name="_Toc32071"/>
      <w:bookmarkStart w:id="88" w:name="_Toc2846"/>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19554"/>
      <w:bookmarkStart w:id="90" w:name="_Toc21423"/>
      <w:bookmarkStart w:id="91" w:name="_Toc27250"/>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6021"/>
      <w:bookmarkStart w:id="93" w:name="_Toc15583"/>
      <w:bookmarkStart w:id="94" w:name="_Toc28375"/>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5322"/>
      <w:bookmarkStart w:id="96" w:name="_Toc11173"/>
      <w:bookmarkStart w:id="97" w:name="_Toc7245"/>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7"/>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27060"/>
      <w:bookmarkStart w:id="100" w:name="_Toc7510"/>
      <w:bookmarkStart w:id="101" w:name="_Toc80205945"/>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Ref467378404"/>
      <w:bookmarkStart w:id="103" w:name="_Ref467379225"/>
      <w:bookmarkStart w:id="104" w:name="_Ref467378463"/>
      <w:bookmarkStart w:id="105" w:name="_Ref467379195"/>
      <w:bookmarkStart w:id="106" w:name="_Ref467379205"/>
      <w:bookmarkStart w:id="107" w:name="_Ref467379214"/>
      <w:bookmarkStart w:id="108" w:name="_Toc19614"/>
      <w:bookmarkStart w:id="109" w:name="_Toc487900349"/>
      <w:bookmarkStart w:id="110" w:name="_Ref467378499"/>
      <w:bookmarkStart w:id="111" w:name="_Toc279701240"/>
      <w:bookmarkStart w:id="112" w:name="_Ref467379101"/>
      <w:bookmarkStart w:id="113" w:name="_Toc259093669"/>
      <w:bookmarkStart w:id="114" w:name="_Ref467379109"/>
      <w:bookmarkStart w:id="115" w:name="_Ref467379094"/>
      <w:bookmarkStart w:id="116" w:name="_Toc28763"/>
      <w:bookmarkStart w:id="117" w:name="_Toc16917"/>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279701241"/>
      <w:bookmarkStart w:id="122" w:name="_Toc259093670"/>
      <w:bookmarkStart w:id="123" w:name="_Toc32504"/>
      <w:bookmarkStart w:id="124" w:name="_Toc27635"/>
      <w:bookmarkStart w:id="125" w:name="_Toc13336"/>
      <w:bookmarkStart w:id="126" w:name="_Toc487900350"/>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279701242"/>
      <w:bookmarkStart w:id="128" w:name="_Toc31634"/>
      <w:bookmarkStart w:id="129" w:name="_Toc259093671"/>
      <w:bookmarkStart w:id="130" w:name="_Toc27853"/>
      <w:bookmarkStart w:id="131" w:name="_Toc487900351"/>
      <w:bookmarkStart w:id="132" w:name="_Toc9829"/>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11932"/>
      <w:bookmarkStart w:id="134" w:name="_Toc4194"/>
      <w:bookmarkStart w:id="135" w:name="_Toc29149"/>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Toc279701245"/>
      <w:bookmarkStart w:id="137" w:name="_Ref467379542"/>
      <w:bookmarkStart w:id="138" w:name="_Ref467379536"/>
      <w:bookmarkStart w:id="139" w:name="_Toc487900354"/>
      <w:bookmarkStart w:id="140" w:name="_Ref467378591"/>
      <w:bookmarkStart w:id="141" w:name="_Ref467378541"/>
      <w:bookmarkStart w:id="142" w:name="_Ref467379527"/>
      <w:bookmarkStart w:id="143" w:name="_Toc259093674"/>
      <w:bookmarkStart w:id="144" w:name="_Toc26182"/>
      <w:bookmarkStart w:id="145" w:name="_Toc19074"/>
      <w:bookmarkStart w:id="146" w:name="_Toc3027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Toc279701247"/>
      <w:bookmarkStart w:id="150" w:name="_Toc259093676"/>
      <w:bookmarkStart w:id="151" w:name="_Toc487900357"/>
      <w:bookmarkStart w:id="152" w:name="_Ref467379807"/>
      <w:bookmarkStart w:id="153"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28451"/>
      <w:bookmarkStart w:id="156" w:name="_Toc19219"/>
      <w:bookmarkStart w:id="157" w:name="_Toc7836"/>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Toc259093677"/>
      <w:bookmarkStart w:id="159" w:name="_Toc279701248"/>
      <w:bookmarkStart w:id="160" w:name="_Ref467379923"/>
      <w:bookmarkStart w:id="161" w:name="_Toc487900358"/>
      <w:bookmarkStart w:id="162" w:name="_Ref467379863"/>
      <w:bookmarkStart w:id="163" w:name="_Ref467379852"/>
      <w:bookmarkStart w:id="164" w:name="_Toc3225"/>
      <w:bookmarkStart w:id="165" w:name="_Toc774"/>
      <w:bookmarkStart w:id="166" w:name="_Toc16110"/>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487900362"/>
      <w:bookmarkStart w:id="170" w:name="_Toc279701252"/>
      <w:bookmarkStart w:id="171" w:name="_Toc259093681"/>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Toc279701254"/>
      <w:bookmarkStart w:id="175" w:name="_Ref467378121"/>
      <w:bookmarkStart w:id="176" w:name="_Toc259093683"/>
      <w:bookmarkStart w:id="177" w:name="_Toc487900364"/>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79701259"/>
      <w:bookmarkStart w:id="179" w:name="_Toc487900369"/>
      <w:bookmarkStart w:id="180" w:name="_Toc259093688"/>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15237"/>
      <w:bookmarkStart w:id="182" w:name="_Toc22955"/>
      <w:bookmarkStart w:id="183" w:name="_Toc10366"/>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6508"/>
      <w:bookmarkStart w:id="185" w:name="_Toc13566"/>
      <w:bookmarkStart w:id="186" w:name="_Toc14066"/>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30676"/>
      <w:bookmarkStart w:id="188" w:name="_Toc259093684"/>
      <w:bookmarkStart w:id="189" w:name="_Toc689"/>
      <w:bookmarkStart w:id="190" w:name="_Toc279701255"/>
      <w:bookmarkStart w:id="191" w:name="_Toc487900365"/>
      <w:bookmarkStart w:id="192" w:name="_Toc6969"/>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279701258"/>
      <w:bookmarkStart w:id="194" w:name="_Toc16959"/>
      <w:bookmarkStart w:id="195" w:name="_Toc7102"/>
      <w:bookmarkStart w:id="196" w:name="_Toc8298"/>
      <w:bookmarkStart w:id="197" w:name="_Toc487900368"/>
      <w:bookmarkStart w:id="198" w:name="_Toc259093687"/>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6134"/>
      <w:bookmarkStart w:id="200" w:name="_Toc15387"/>
      <w:bookmarkStart w:id="201" w:name="_Toc29333"/>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6596"/>
      <w:bookmarkStart w:id="203" w:name="_Toc14563"/>
      <w:bookmarkStart w:id="204" w:name="_Toc1125"/>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487900371"/>
      <w:bookmarkStart w:id="207" w:name="_Toc279701261"/>
      <w:bookmarkStart w:id="208" w:name="_Toc19604"/>
      <w:bookmarkStart w:id="209" w:name="_Toc25182"/>
      <w:bookmarkStart w:id="210" w:name="_Toc1128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3135"/>
      <w:bookmarkStart w:id="212" w:name="_Toc6698"/>
      <w:bookmarkStart w:id="213" w:name="_Toc279701262"/>
      <w:bookmarkStart w:id="214" w:name="_Toc259093691"/>
      <w:bookmarkStart w:id="215"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18540"/>
      <w:bookmarkStart w:id="219" w:name="_Toc30599"/>
      <w:bookmarkStart w:id="220" w:name="_Toc4355"/>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279701263"/>
      <w:bookmarkStart w:id="222" w:name="_Toc259093692"/>
      <w:bookmarkStart w:id="223" w:name="_Toc12773"/>
      <w:bookmarkStart w:id="224" w:name="_Toc18567"/>
      <w:bookmarkStart w:id="225" w:name="_Toc487900373"/>
      <w:bookmarkStart w:id="226" w:name="_Toc10330"/>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259093693"/>
      <w:bookmarkStart w:id="228" w:name="_Toc12004"/>
      <w:bookmarkStart w:id="229" w:name="_Toc279701264"/>
      <w:bookmarkStart w:id="230" w:name="_Toc16673"/>
      <w:bookmarkStart w:id="231" w:name="_Toc3148"/>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6885"/>
      <w:bookmarkStart w:id="234" w:name="_Toc14001"/>
      <w:bookmarkStart w:id="235" w:name="_Toc19890"/>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7"/>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1304"/>
      <w:bookmarkStart w:id="237" w:name="_Toc80205946"/>
      <w:bookmarkStart w:id="238" w:name="_Toc10052"/>
      <w:bookmarkStart w:id="239" w:name="_Toc33168578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10"/>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3"/>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4"/>
      <w:tabs>
        <w:tab w:val="center" w:pos="4439"/>
        <w:tab w:val="clear" w:pos="4153"/>
      </w:tabs>
      <w:jc w:val="both"/>
    </w:pPr>
  </w:p>
  <w:p w14:paraId="2F03BF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4"/>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dit="readOnly" w:enforcement="1" w:cryptProviderType="rsaFull" w:cryptAlgorithmClass="hash" w:cryptAlgorithmType="typeAny" w:cryptAlgorithmSid="4" w:cryptSpinCount="0" w:hash="opor6jAExCtoslJIB/5/xiY6SGM=" w:salt="s8hYiDaDNt6N9w/krcP/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5A0746B"/>
    <w:rsid w:val="09546F85"/>
    <w:rsid w:val="0B512430"/>
    <w:rsid w:val="0C3E3292"/>
    <w:rsid w:val="11EC2C8D"/>
    <w:rsid w:val="11F32B71"/>
    <w:rsid w:val="18526C3F"/>
    <w:rsid w:val="18D80681"/>
    <w:rsid w:val="1AC674DB"/>
    <w:rsid w:val="1C5C76DD"/>
    <w:rsid w:val="1C810694"/>
    <w:rsid w:val="1CF34882"/>
    <w:rsid w:val="243472A5"/>
    <w:rsid w:val="247C6A35"/>
    <w:rsid w:val="2DBE7C63"/>
    <w:rsid w:val="2F6502C4"/>
    <w:rsid w:val="366151CA"/>
    <w:rsid w:val="379B1C01"/>
    <w:rsid w:val="3AF21C09"/>
    <w:rsid w:val="3BB645EB"/>
    <w:rsid w:val="3D242A85"/>
    <w:rsid w:val="446B4C2F"/>
    <w:rsid w:val="49423962"/>
    <w:rsid w:val="526519B2"/>
    <w:rsid w:val="59E3711B"/>
    <w:rsid w:val="5A457506"/>
    <w:rsid w:val="5F337B7D"/>
    <w:rsid w:val="611158A0"/>
    <w:rsid w:val="615E2FF5"/>
    <w:rsid w:val="61FA2BD4"/>
    <w:rsid w:val="644F7AB5"/>
    <w:rsid w:val="64A369E0"/>
    <w:rsid w:val="6713261A"/>
    <w:rsid w:val="6922333E"/>
    <w:rsid w:val="6BB42046"/>
    <w:rsid w:val="6FE80510"/>
    <w:rsid w:val="707E19D8"/>
    <w:rsid w:val="765E303D"/>
    <w:rsid w:val="7AB627DF"/>
    <w:rsid w:val="7C6C4211"/>
    <w:rsid w:val="7D91465B"/>
    <w:rsid w:val="7E17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ind w:firstLine="0" w:firstLineChars="0"/>
      <w:jc w:val="center"/>
      <w:outlineLvl w:val="0"/>
    </w:pPr>
    <w:rPr>
      <w:rFonts w:ascii="方正小标宋_GBK" w:hAnsi="方正小标宋_GBK" w:eastAsia="黑体" w:cs="Times New Roman"/>
      <w:b/>
      <w:bCs/>
      <w:sz w:val="36"/>
    </w:r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envelope return"/>
    <w:basedOn w:val="1"/>
    <w:qFormat/>
    <w:uiPriority w:val="0"/>
    <w:rPr>
      <w:rFonts w:ascii="Arial" w:hAnsi="Arial"/>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able of figures"/>
    <w:basedOn w:val="1"/>
    <w:next w:val="1"/>
    <w:qFormat/>
    <w:uiPriority w:val="0"/>
    <w:pPr>
      <w:ind w:left="200" w:leftChars="200" w:hanging="200" w:hangingChars="200"/>
    </w:pPr>
    <w:rPr>
      <w:rFonts w:ascii="Calibri" w:hAnsi="Calibri"/>
    </w:rPr>
  </w:style>
  <w:style w:type="paragraph" w:styleId="20">
    <w:name w:val="toc 2"/>
    <w:basedOn w:val="1"/>
    <w:next w:val="1"/>
    <w:unhideWhenUsed/>
    <w:qFormat/>
    <w:uiPriority w:val="39"/>
    <w:pPr>
      <w:tabs>
        <w:tab w:val="right" w:leader="dot" w:pos="8296"/>
      </w:tabs>
      <w:ind w:left="420" w:leftChars="200"/>
    </w:pPr>
  </w:style>
  <w:style w:type="character" w:styleId="23">
    <w:name w:val="Hyperlink"/>
    <w:unhideWhenUsed/>
    <w:qFormat/>
    <w:uiPriority w:val="99"/>
    <w:rPr>
      <w:color w:val="0000FF"/>
      <w:u w:val="single"/>
    </w:rPr>
  </w:style>
  <w:style w:type="paragraph" w:customStyle="1" w:styleId="24">
    <w:name w:val="*正文"/>
    <w:basedOn w:val="1"/>
    <w:qFormat/>
    <w:uiPriority w:val="0"/>
    <w:pPr>
      <w:spacing w:line="360" w:lineRule="auto"/>
      <w:ind w:firstLine="200" w:firstLineChars="200"/>
      <w:jc w:val="left"/>
    </w:pPr>
    <w:rPr>
      <w:sz w:val="24"/>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7837</Words>
  <Characters>9625</Characters>
  <Lines>0</Lines>
  <Paragraphs>0</Paragraphs>
  <TotalTime>6</TotalTime>
  <ScaleCrop>false</ScaleCrop>
  <LinksUpToDate>false</LinksUpToDate>
  <CharactersWithSpaces>9811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L</cp:lastModifiedBy>
  <cp:lastPrinted>2026-03-31T09:08:00Z</cp:lastPrinted>
  <dcterms:modified xsi:type="dcterms:W3CDTF">2026-04-23T09:13:39Z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2E30FF05927244BCA995E3993A608E6C_11</vt:lpwstr>
  </property>
  <property fmtid="{D5CDD505-2E9C-101B-9397-08002B2CF9AE}" pid="4" name="KSOTemplateDocerSaveRecord">
    <vt:lpwstr>eyJoZGlkIjoiZDUzYmU5MzQwMjY5MTlhZGU4ZDQ3NmM4ZGI0OTljN2QiLCJ1c2VySWQiOiI0MDc1ODAxMDMifQ==</vt:lpwstr>
  </property>
</Properties>
</file>