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color w:val="auto"/>
          <w:highlight w:val="none"/>
        </w:rPr>
        <w:drawing>
          <wp:inline distT="0" distB="0" distL="114300" distR="114300">
            <wp:extent cx="1887855" cy="1844040"/>
            <wp:effectExtent l="0" t="0" r="17145" b="3810"/>
            <wp:docPr id="1" name="图片 4" descr="TIM图片2019040917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TIM图片20190409175741"/>
                    <pic:cNvPicPr>
                      <a:picLocks noChangeAspect="1"/>
                    </pic:cNvPicPr>
                  </pic:nvPicPr>
                  <pic:blipFill>
                    <a:blip r:embed="rId13"/>
                    <a:stretch>
                      <a:fillRect/>
                    </a:stretch>
                  </pic:blipFill>
                  <pic:spPr>
                    <a:xfrm>
                      <a:off x="0" y="0"/>
                      <a:ext cx="1887855" cy="1844040"/>
                    </a:xfrm>
                    <a:prstGeom prst="rect">
                      <a:avLst/>
                    </a:prstGeom>
                    <a:noFill/>
                    <a:ln>
                      <a:noFill/>
                    </a:ln>
                  </pic:spPr>
                </pic:pic>
              </a:graphicData>
            </a:graphic>
          </wp:inline>
        </w:drawing>
      </w:r>
    </w:p>
    <w:p>
      <w:pPr>
        <w:snapToGrid w:val="0"/>
        <w:spacing w:before="156" w:beforeLines="50" w:line="360" w:lineRule="auto"/>
        <w:jc w:val="center"/>
        <w:rPr>
          <w:rFonts w:hint="eastAsia" w:ascii="宋体" w:hAnsi="宋体" w:eastAsia="宋体" w:cs="宋体"/>
          <w:color w:val="auto"/>
          <w:sz w:val="120"/>
          <w:szCs w:val="120"/>
          <w:highlight w:val="none"/>
        </w:rPr>
      </w:pPr>
      <w:r>
        <w:rPr>
          <w:rFonts w:hint="eastAsia" w:ascii="宋体" w:hAnsi="宋体" w:eastAsia="宋体" w:cs="宋体"/>
          <w:color w:val="auto"/>
          <w:sz w:val="120"/>
          <w:szCs w:val="120"/>
          <w:highlight w:val="none"/>
        </w:rPr>
        <w:t>竞争性磋商文件</w:t>
      </w:r>
    </w:p>
    <w:p>
      <w:pPr>
        <w:snapToGrid w:val="0"/>
        <w:spacing w:before="156" w:beforeLines="50" w:line="360" w:lineRule="auto"/>
        <w:jc w:val="center"/>
        <w:rPr>
          <w:rFonts w:hint="eastAsia" w:ascii="宋体" w:hAnsi="宋体" w:eastAsia="宋体" w:cs="宋体"/>
          <w:b/>
          <w:color w:val="auto"/>
          <w:sz w:val="30"/>
          <w:szCs w:val="72"/>
          <w:highlight w:val="none"/>
        </w:rPr>
      </w:pPr>
      <w:r>
        <w:rPr>
          <w:rFonts w:hint="eastAsia" w:ascii="宋体" w:hAnsi="宋体" w:eastAsia="宋体" w:cs="宋体"/>
          <w:b/>
          <w:color w:val="auto"/>
          <w:sz w:val="48"/>
          <w:szCs w:val="48"/>
          <w:highlight w:val="none"/>
        </w:rPr>
        <w:t>（全流程电子化采购）</w:t>
      </w:r>
    </w:p>
    <w:p>
      <w:pPr>
        <w:snapToGrid w:val="0"/>
        <w:spacing w:line="360" w:lineRule="auto"/>
        <w:rPr>
          <w:rFonts w:hint="eastAsia" w:ascii="宋体" w:hAnsi="宋体" w:eastAsia="宋体" w:cs="宋体"/>
          <w:color w:val="auto"/>
          <w:sz w:val="30"/>
          <w:szCs w:val="72"/>
          <w:highlight w:val="none"/>
        </w:rPr>
      </w:pPr>
    </w:p>
    <w:p>
      <w:pPr>
        <w:widowControl w:val="0"/>
        <w:snapToGrid w:val="0"/>
        <w:spacing w:line="360" w:lineRule="auto"/>
        <w:ind w:firstLine="1193" w:firstLineChars="396"/>
        <w:jc w:val="both"/>
        <w:rPr>
          <w:rFonts w:hint="eastAsia" w:ascii="宋体" w:hAnsi="宋体" w:eastAsia="宋体" w:cs="宋体"/>
          <w:b/>
          <w:bCs/>
          <w:color w:val="auto"/>
          <w:kern w:val="0"/>
          <w:sz w:val="30"/>
          <w:szCs w:val="30"/>
          <w:highlight w:val="none"/>
          <w:lang w:val="en-US" w:eastAsia="zh-CN" w:bidi="ar-SA"/>
        </w:rPr>
      </w:pPr>
      <w:r>
        <w:rPr>
          <w:rFonts w:hint="eastAsia" w:ascii="宋体" w:hAnsi="宋体" w:eastAsia="宋体" w:cs="宋体"/>
          <w:b/>
          <w:bCs/>
          <w:color w:val="auto"/>
          <w:kern w:val="0"/>
          <w:sz w:val="30"/>
          <w:szCs w:val="30"/>
          <w:highlight w:val="none"/>
          <w:lang w:val="en-US" w:eastAsia="zh-CN" w:bidi="ar-SA"/>
        </w:rPr>
        <w:t>项目</w:t>
      </w:r>
      <w:r>
        <w:rPr>
          <w:rFonts w:hint="eastAsia" w:ascii="宋体" w:hAnsi="宋体" w:eastAsia="宋体" w:cs="宋体"/>
          <w:b/>
          <w:bCs/>
          <w:color w:val="auto"/>
          <w:w w:val="95"/>
          <w:kern w:val="0"/>
          <w:sz w:val="30"/>
          <w:szCs w:val="30"/>
          <w:highlight w:val="none"/>
          <w:lang w:val="en-US" w:eastAsia="zh-CN" w:bidi="ar-SA"/>
        </w:rPr>
        <w:t>名称</w:t>
      </w:r>
      <w:r>
        <w:rPr>
          <w:rFonts w:hint="eastAsia" w:ascii="宋体" w:hAnsi="宋体" w:eastAsia="宋体" w:cs="宋体"/>
          <w:b/>
          <w:bCs/>
          <w:color w:val="auto"/>
          <w:kern w:val="0"/>
          <w:sz w:val="30"/>
          <w:szCs w:val="30"/>
          <w:highlight w:val="none"/>
          <w:lang w:val="en-US" w:eastAsia="zh-CN" w:bidi="ar-SA"/>
        </w:rPr>
        <w:t>：</w:t>
      </w:r>
      <w:r>
        <w:rPr>
          <w:rFonts w:hint="eastAsia" w:ascii="宋体" w:hAnsi="宋体" w:cs="宋体"/>
          <w:b/>
          <w:bCs/>
          <w:color w:val="auto"/>
          <w:kern w:val="0"/>
          <w:sz w:val="30"/>
          <w:szCs w:val="30"/>
          <w:highlight w:val="none"/>
          <w:lang w:val="en-US" w:eastAsia="zh-CN" w:bidi="ar-SA"/>
        </w:rPr>
        <w:t>广西全民所有自然资源资产清查综合技术服务</w:t>
      </w:r>
    </w:p>
    <w:p>
      <w:pPr>
        <w:snapToGrid w:val="0"/>
        <w:spacing w:line="360" w:lineRule="auto"/>
        <w:ind w:firstLine="1145" w:firstLineChars="400"/>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项目</w:t>
      </w:r>
      <w:r>
        <w:rPr>
          <w:rFonts w:hint="eastAsia" w:ascii="宋体" w:hAnsi="宋体" w:eastAsia="宋体" w:cs="宋体"/>
          <w:b/>
          <w:bCs/>
          <w:color w:val="auto"/>
          <w:sz w:val="30"/>
          <w:szCs w:val="30"/>
          <w:highlight w:val="none"/>
        </w:rPr>
        <w:t>编号</w:t>
      </w:r>
      <w:r>
        <w:rPr>
          <w:rFonts w:hint="eastAsia" w:ascii="宋体" w:hAnsi="宋体" w:eastAsia="宋体" w:cs="宋体"/>
          <w:b/>
          <w:bCs/>
          <w:color w:val="auto"/>
          <w:w w:val="95"/>
          <w:sz w:val="30"/>
          <w:szCs w:val="30"/>
          <w:highlight w:val="none"/>
        </w:rPr>
        <w:t>：</w:t>
      </w:r>
      <w:r>
        <w:rPr>
          <w:rFonts w:hint="eastAsia" w:ascii="宋体" w:hAnsi="宋体" w:eastAsia="宋体" w:cs="宋体"/>
          <w:b/>
          <w:bCs/>
          <w:color w:val="auto"/>
          <w:w w:val="95"/>
          <w:sz w:val="30"/>
          <w:szCs w:val="30"/>
          <w:highlight w:val="none"/>
          <w:lang w:eastAsia="zh-CN"/>
        </w:rPr>
        <w:t xml:space="preserve"> </w:t>
      </w:r>
      <w:r>
        <w:rPr>
          <w:rFonts w:hint="eastAsia" w:ascii="宋体" w:hAnsi="宋体" w:cs="宋体"/>
          <w:b/>
          <w:bCs/>
          <w:color w:val="auto"/>
          <w:w w:val="95"/>
          <w:sz w:val="30"/>
          <w:szCs w:val="30"/>
          <w:highlight w:val="none"/>
          <w:lang w:eastAsia="zh-CN"/>
        </w:rPr>
        <w:t>GXZC2026-C3-000658-JGJD</w:t>
      </w:r>
    </w:p>
    <w:p>
      <w:pPr>
        <w:pStyle w:val="2"/>
        <w:rPr>
          <w:rFonts w:hint="eastAsia" w:ascii="宋体" w:hAnsi="宋体" w:eastAsia="宋体" w:cs="宋体"/>
          <w:b/>
          <w:bCs/>
          <w:color w:val="auto"/>
          <w:w w:val="95"/>
          <w:sz w:val="30"/>
          <w:szCs w:val="30"/>
          <w:highlight w:val="none"/>
        </w:rPr>
      </w:pPr>
    </w:p>
    <w:p>
      <w:pPr>
        <w:rPr>
          <w:rFonts w:hint="eastAsia" w:ascii="宋体" w:hAnsi="宋体" w:eastAsia="宋体" w:cs="宋体"/>
          <w:b/>
          <w:bCs/>
          <w:color w:val="auto"/>
          <w:w w:val="95"/>
          <w:sz w:val="30"/>
          <w:szCs w:val="30"/>
          <w:highlight w:val="none"/>
        </w:rPr>
      </w:pPr>
    </w:p>
    <w:p>
      <w:pPr>
        <w:pStyle w:val="2"/>
        <w:rPr>
          <w:rFonts w:hint="eastAsia" w:ascii="宋体" w:hAnsi="宋体" w:eastAsia="宋体" w:cs="宋体"/>
          <w:color w:val="auto"/>
          <w:highlight w:val="none"/>
        </w:rPr>
      </w:pPr>
    </w:p>
    <w:p>
      <w:pPr>
        <w:widowControl w:val="0"/>
        <w:snapToGrid w:val="0"/>
        <w:spacing w:line="360" w:lineRule="auto"/>
        <w:ind w:firstLine="1125" w:firstLineChars="393"/>
        <w:jc w:val="both"/>
        <w:rPr>
          <w:rFonts w:hint="eastAsia" w:ascii="宋体" w:hAnsi="宋体" w:eastAsia="宋体" w:cs="宋体"/>
          <w:b/>
          <w:bCs/>
          <w:color w:val="auto"/>
          <w:w w:val="95"/>
          <w:kern w:val="0"/>
          <w:sz w:val="30"/>
          <w:szCs w:val="30"/>
          <w:highlight w:val="none"/>
          <w:lang w:val="en-US" w:eastAsia="zh-CN" w:bidi="ar-SA"/>
        </w:rPr>
      </w:pPr>
      <w:r>
        <w:rPr>
          <w:rFonts w:hint="eastAsia" w:ascii="宋体" w:hAnsi="宋体" w:eastAsia="宋体" w:cs="宋体"/>
          <w:b/>
          <w:bCs/>
          <w:color w:val="auto"/>
          <w:w w:val="95"/>
          <w:kern w:val="0"/>
          <w:sz w:val="30"/>
          <w:szCs w:val="30"/>
          <w:highlight w:val="none"/>
          <w:lang w:val="en-US" w:eastAsia="zh-CN" w:bidi="ar-SA"/>
        </w:rPr>
        <w:t>采 购 人:</w:t>
      </w:r>
      <w:r>
        <w:rPr>
          <w:rFonts w:hint="eastAsia" w:ascii="宋体" w:hAnsi="宋体" w:cs="宋体"/>
          <w:b/>
          <w:bCs/>
          <w:color w:val="auto"/>
          <w:w w:val="95"/>
          <w:kern w:val="0"/>
          <w:sz w:val="30"/>
          <w:szCs w:val="30"/>
          <w:highlight w:val="none"/>
          <w:lang w:val="en-US" w:eastAsia="zh-CN" w:bidi="ar-SA"/>
        </w:rPr>
        <w:t xml:space="preserve"> 广西壮族自治区自然资源厅</w:t>
      </w:r>
    </w:p>
    <w:p>
      <w:pPr>
        <w:widowControl w:val="0"/>
        <w:snapToGrid w:val="0"/>
        <w:spacing w:line="360" w:lineRule="auto"/>
        <w:ind w:firstLine="1125" w:firstLineChars="393"/>
        <w:jc w:val="both"/>
        <w:rPr>
          <w:rFonts w:hint="eastAsia" w:ascii="宋体" w:hAnsi="宋体" w:eastAsia="宋体" w:cs="宋体"/>
          <w:b/>
          <w:bCs/>
          <w:color w:val="auto"/>
          <w:w w:val="95"/>
          <w:kern w:val="0"/>
          <w:sz w:val="30"/>
          <w:szCs w:val="30"/>
          <w:highlight w:val="none"/>
          <w:lang w:val="en-US" w:eastAsia="zh-CN" w:bidi="ar-SA"/>
        </w:rPr>
      </w:pPr>
      <w:r>
        <w:rPr>
          <w:rFonts w:hint="eastAsia" w:ascii="宋体" w:hAnsi="宋体" w:eastAsia="宋体" w:cs="宋体"/>
          <w:b/>
          <w:bCs/>
          <w:color w:val="auto"/>
          <w:w w:val="95"/>
          <w:kern w:val="0"/>
          <w:sz w:val="30"/>
          <w:szCs w:val="30"/>
          <w:highlight w:val="none"/>
          <w:lang w:val="en-US" w:eastAsia="zh-CN" w:bidi="ar-SA"/>
        </w:rPr>
        <w:t>采购代理机构：广西建设工程机电设备招标中心有限公司</w:t>
      </w:r>
    </w:p>
    <w:p>
      <w:pPr>
        <w:widowControl w:val="0"/>
        <w:snapToGrid w:val="0"/>
        <w:spacing w:line="360" w:lineRule="auto"/>
        <w:ind w:left="420" w:firstLine="841" w:firstLineChars="294"/>
        <w:jc w:val="both"/>
        <w:rPr>
          <w:rFonts w:hint="eastAsia" w:ascii="宋体" w:hAnsi="宋体" w:eastAsia="宋体" w:cs="宋体"/>
          <w:b/>
          <w:bCs/>
          <w:color w:val="auto"/>
          <w:kern w:val="0"/>
          <w:sz w:val="32"/>
          <w:szCs w:val="32"/>
          <w:highlight w:val="none"/>
          <w:lang w:val="en-US" w:eastAsia="zh-CN" w:bidi="ar-SA"/>
        </w:rPr>
      </w:pPr>
      <w:r>
        <w:rPr>
          <w:rFonts w:hint="eastAsia" w:ascii="宋体" w:hAnsi="宋体" w:eastAsia="宋体" w:cs="宋体"/>
          <w:b/>
          <w:bCs/>
          <w:color w:val="auto"/>
          <w:w w:val="95"/>
          <w:kern w:val="0"/>
          <w:sz w:val="30"/>
          <w:szCs w:val="30"/>
          <w:highlight w:val="none"/>
          <w:lang w:val="en-US" w:eastAsia="zh-CN" w:bidi="ar-SA"/>
        </w:rPr>
        <w:t xml:space="preserve">               2026年</w:t>
      </w:r>
      <w:r>
        <w:rPr>
          <w:rFonts w:hint="eastAsia" w:ascii="宋体" w:hAnsi="宋体" w:cs="宋体"/>
          <w:b/>
          <w:bCs/>
          <w:color w:val="auto"/>
          <w:w w:val="95"/>
          <w:kern w:val="0"/>
          <w:sz w:val="30"/>
          <w:szCs w:val="30"/>
          <w:highlight w:val="none"/>
          <w:lang w:val="en-US" w:eastAsia="zh-CN" w:bidi="ar-SA"/>
        </w:rPr>
        <w:t>3</w:t>
      </w:r>
      <w:r>
        <w:rPr>
          <w:rFonts w:hint="eastAsia" w:ascii="宋体" w:hAnsi="宋体" w:eastAsia="宋体" w:cs="宋体"/>
          <w:b/>
          <w:bCs/>
          <w:color w:val="auto"/>
          <w:w w:val="95"/>
          <w:kern w:val="0"/>
          <w:sz w:val="30"/>
          <w:szCs w:val="30"/>
          <w:highlight w:val="none"/>
          <w:lang w:val="en-US" w:eastAsia="zh-CN" w:bidi="ar-SA"/>
        </w:rPr>
        <w:t>月</w:t>
      </w:r>
    </w:p>
    <w:p>
      <w:pPr>
        <w:spacing w:line="360" w:lineRule="auto"/>
        <w:jc w:val="center"/>
        <w:rPr>
          <w:rFonts w:hint="eastAsia" w:ascii="宋体" w:hAnsi="宋体" w:eastAsia="宋体" w:cs="宋体"/>
          <w:b/>
          <w:color w:val="auto"/>
          <w:sz w:val="44"/>
          <w:szCs w:val="44"/>
          <w:highlight w:val="none"/>
        </w:rPr>
        <w:sectPr>
          <w:headerReference r:id="rId4" w:type="first"/>
          <w:footerReference r:id="rId6" w:type="first"/>
          <w:headerReference r:id="rId3" w:type="default"/>
          <w:footerReference r:id="rId5" w:type="default"/>
          <w:pgSz w:w="11906" w:h="16838"/>
          <w:pgMar w:top="1440" w:right="1440" w:bottom="1440" w:left="1587" w:header="851" w:footer="992" w:gutter="0"/>
          <w:pgNumType w:start="0"/>
          <w:cols w:space="720" w:num="1"/>
          <w:titlePg/>
          <w:docGrid w:type="lines" w:linePitch="312" w:charSpace="0"/>
        </w:sectPr>
      </w:pPr>
    </w:p>
    <w:p>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pPr>
        <w:spacing w:line="400" w:lineRule="exact"/>
        <w:jc w:val="center"/>
        <w:rPr>
          <w:rFonts w:hint="eastAsia" w:ascii="宋体" w:hAnsi="宋体" w:eastAsia="宋体" w:cs="宋体"/>
          <w:b/>
          <w:color w:val="auto"/>
          <w:sz w:val="44"/>
          <w:szCs w:val="44"/>
          <w:highlight w:val="none"/>
        </w:rPr>
      </w:pPr>
    </w:p>
    <w:p>
      <w:pPr>
        <w:pStyle w:val="18"/>
        <w:tabs>
          <w:tab w:val="right" w:leader="dot" w:pos="8869"/>
        </w:tabs>
        <w:snapToGrid w:val="0"/>
        <w:spacing w:line="500" w:lineRule="atLeast"/>
        <w:rPr>
          <w:rFonts w:hint="eastAsia" w:ascii="宋体" w:hAnsi="宋体" w:eastAsia="宋体" w:cs="宋体"/>
          <w:b/>
          <w:color w:val="auto"/>
          <w:sz w:val="24"/>
          <w:highlight w:val="none"/>
        </w:rPr>
      </w:pPr>
      <w:r>
        <w:rPr>
          <w:rFonts w:hint="eastAsia" w:ascii="宋体" w:hAnsi="宋体" w:eastAsia="宋体" w:cs="宋体"/>
          <w:b/>
          <w:color w:val="auto"/>
          <w:sz w:val="24"/>
          <w:highlight w:val="none"/>
        </w:rPr>
        <w:fldChar w:fldCharType="begin"/>
      </w:r>
      <w:r>
        <w:rPr>
          <w:rFonts w:hint="eastAsia" w:ascii="宋体" w:hAnsi="宋体" w:eastAsia="宋体" w:cs="宋体"/>
          <w:b/>
          <w:color w:val="auto"/>
          <w:sz w:val="24"/>
          <w:highlight w:val="none"/>
        </w:rPr>
        <w:instrText xml:space="preserve"> TOC \o "1-3" \h \z \u </w:instrText>
      </w:r>
      <w:r>
        <w:rPr>
          <w:rFonts w:hint="eastAsia" w:ascii="宋体" w:hAnsi="宋体" w:eastAsia="宋体" w:cs="宋体"/>
          <w:b/>
          <w:color w:val="auto"/>
          <w:sz w:val="24"/>
          <w:highlight w:val="none"/>
        </w:rPr>
        <w:fldChar w:fldCharType="separate"/>
      </w:r>
      <w:r>
        <w:rPr>
          <w:rFonts w:hint="eastAsia" w:ascii="宋体" w:hAnsi="宋体" w:eastAsia="宋体" w:cs="宋体"/>
          <w:b/>
          <w:color w:val="auto"/>
          <w:sz w:val="24"/>
          <w:highlight w:val="none"/>
        </w:rPr>
        <w:fldChar w:fldCharType="begin"/>
      </w:r>
      <w:r>
        <w:rPr>
          <w:rStyle w:val="26"/>
          <w:rFonts w:hint="eastAsia" w:ascii="宋体" w:hAnsi="宋体" w:eastAsia="宋体" w:cs="宋体"/>
          <w:b/>
          <w:color w:val="auto"/>
          <w:sz w:val="24"/>
          <w:highlight w:val="none"/>
        </w:rPr>
        <w:instrText xml:space="preserve"> </w:instrText>
      </w:r>
      <w:r>
        <w:rPr>
          <w:rFonts w:hint="eastAsia" w:ascii="宋体" w:hAnsi="宋体" w:eastAsia="宋体" w:cs="宋体"/>
          <w:b/>
          <w:color w:val="auto"/>
          <w:sz w:val="24"/>
          <w:highlight w:val="none"/>
        </w:rPr>
        <w:instrText xml:space="preserve">HYPERLINK \l "_Toc74323456"</w:instrText>
      </w:r>
      <w:r>
        <w:rPr>
          <w:rStyle w:val="26"/>
          <w:rFonts w:hint="eastAsia" w:ascii="宋体" w:hAnsi="宋体" w:eastAsia="宋体" w:cs="宋体"/>
          <w:b/>
          <w:color w:val="auto"/>
          <w:sz w:val="24"/>
          <w:highlight w:val="none"/>
        </w:rPr>
        <w:instrText xml:space="preserve"> </w:instrText>
      </w:r>
      <w:r>
        <w:rPr>
          <w:rFonts w:hint="eastAsia" w:ascii="宋体" w:hAnsi="宋体" w:eastAsia="宋体" w:cs="宋体"/>
          <w:b/>
          <w:color w:val="auto"/>
          <w:sz w:val="24"/>
          <w:highlight w:val="none"/>
        </w:rPr>
        <w:fldChar w:fldCharType="separate"/>
      </w:r>
      <w:r>
        <w:rPr>
          <w:rStyle w:val="26"/>
          <w:rFonts w:hint="eastAsia" w:ascii="宋体" w:hAnsi="宋体" w:eastAsia="宋体" w:cs="宋体"/>
          <w:b/>
          <w:color w:val="auto"/>
          <w:sz w:val="24"/>
          <w:highlight w:val="none"/>
        </w:rPr>
        <w:t>第一章 竞争性磋商公告</w:t>
      </w:r>
      <w:r>
        <w:rPr>
          <w:rFonts w:hint="eastAsia" w:ascii="宋体" w:hAnsi="宋体" w:eastAsia="宋体" w:cs="宋体"/>
          <w:b/>
          <w:color w:val="auto"/>
          <w:sz w:val="24"/>
          <w:highlight w:val="none"/>
        </w:rPr>
        <w:tab/>
      </w:r>
      <w:r>
        <w:rPr>
          <w:rFonts w:hint="eastAsia" w:ascii="宋体" w:hAnsi="宋体" w:eastAsia="宋体" w:cs="宋体"/>
          <w:b/>
          <w:color w:val="auto"/>
          <w:sz w:val="24"/>
          <w:highlight w:val="none"/>
        </w:rPr>
        <w:fldChar w:fldCharType="begin"/>
      </w:r>
      <w:r>
        <w:rPr>
          <w:rFonts w:hint="eastAsia" w:ascii="宋体" w:hAnsi="宋体" w:eastAsia="宋体" w:cs="宋体"/>
          <w:b/>
          <w:color w:val="auto"/>
          <w:sz w:val="24"/>
          <w:highlight w:val="none"/>
        </w:rPr>
        <w:instrText xml:space="preserve"> PAGEREF _Toc74323456 \h </w:instrText>
      </w:r>
      <w:r>
        <w:rPr>
          <w:rFonts w:hint="eastAsia" w:ascii="宋体" w:hAnsi="宋体" w:eastAsia="宋体" w:cs="宋体"/>
          <w:b/>
          <w:color w:val="auto"/>
          <w:sz w:val="24"/>
          <w:highlight w:val="none"/>
        </w:rPr>
        <w:fldChar w:fldCharType="separate"/>
      </w: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rPr>
        <w:fldChar w:fldCharType="end"/>
      </w:r>
      <w:r>
        <w:rPr>
          <w:rFonts w:hint="eastAsia" w:ascii="宋体" w:hAnsi="宋体" w:eastAsia="宋体" w:cs="宋体"/>
          <w:b/>
          <w:color w:val="auto"/>
          <w:sz w:val="24"/>
          <w:highlight w:val="none"/>
        </w:rPr>
        <w:fldChar w:fldCharType="end"/>
      </w:r>
    </w:p>
    <w:p>
      <w:pPr>
        <w:pStyle w:val="18"/>
        <w:tabs>
          <w:tab w:val="right" w:leader="dot" w:pos="8869"/>
        </w:tabs>
        <w:snapToGrid w:val="0"/>
        <w:spacing w:line="500" w:lineRule="atLeast"/>
        <w:rPr>
          <w:rFonts w:hint="eastAsia" w:ascii="宋体" w:hAnsi="宋体" w:eastAsia="宋体" w:cs="宋体"/>
          <w:b/>
          <w:color w:val="auto"/>
          <w:sz w:val="24"/>
          <w:highlight w:val="none"/>
        </w:rPr>
      </w:pPr>
      <w:r>
        <w:rPr>
          <w:rFonts w:hint="eastAsia" w:ascii="宋体" w:hAnsi="宋体" w:eastAsia="宋体" w:cs="宋体"/>
          <w:b/>
          <w:color w:val="auto"/>
          <w:sz w:val="24"/>
          <w:highlight w:val="none"/>
        </w:rPr>
        <w:fldChar w:fldCharType="begin"/>
      </w:r>
      <w:r>
        <w:rPr>
          <w:rStyle w:val="26"/>
          <w:rFonts w:hint="eastAsia" w:ascii="宋体" w:hAnsi="宋体" w:eastAsia="宋体" w:cs="宋体"/>
          <w:b/>
          <w:color w:val="auto"/>
          <w:sz w:val="24"/>
          <w:highlight w:val="none"/>
        </w:rPr>
        <w:instrText xml:space="preserve"> </w:instrText>
      </w:r>
      <w:r>
        <w:rPr>
          <w:rFonts w:hint="eastAsia" w:ascii="宋体" w:hAnsi="宋体" w:eastAsia="宋体" w:cs="宋体"/>
          <w:b/>
          <w:color w:val="auto"/>
          <w:sz w:val="24"/>
          <w:highlight w:val="none"/>
        </w:rPr>
        <w:instrText xml:space="preserve">HYPERLINK \l "_Toc74323457"</w:instrText>
      </w:r>
      <w:r>
        <w:rPr>
          <w:rStyle w:val="26"/>
          <w:rFonts w:hint="eastAsia" w:ascii="宋体" w:hAnsi="宋体" w:eastAsia="宋体" w:cs="宋体"/>
          <w:b/>
          <w:color w:val="auto"/>
          <w:sz w:val="24"/>
          <w:highlight w:val="none"/>
        </w:rPr>
        <w:instrText xml:space="preserve"> </w:instrText>
      </w:r>
      <w:r>
        <w:rPr>
          <w:rFonts w:hint="eastAsia" w:ascii="宋体" w:hAnsi="宋体" w:eastAsia="宋体" w:cs="宋体"/>
          <w:b/>
          <w:color w:val="auto"/>
          <w:sz w:val="24"/>
          <w:highlight w:val="none"/>
        </w:rPr>
        <w:fldChar w:fldCharType="separate"/>
      </w:r>
      <w:r>
        <w:rPr>
          <w:rStyle w:val="26"/>
          <w:rFonts w:hint="eastAsia" w:ascii="宋体" w:hAnsi="宋体" w:eastAsia="宋体" w:cs="宋体"/>
          <w:b/>
          <w:color w:val="auto"/>
          <w:sz w:val="24"/>
          <w:highlight w:val="none"/>
        </w:rPr>
        <w:t>第二章 供应</w:t>
      </w:r>
      <w:bookmarkStart w:id="0" w:name="_Hlt82161237"/>
      <w:r>
        <w:rPr>
          <w:rStyle w:val="26"/>
          <w:rFonts w:hint="eastAsia" w:ascii="宋体" w:hAnsi="宋体" w:eastAsia="宋体" w:cs="宋体"/>
          <w:b/>
          <w:color w:val="auto"/>
          <w:sz w:val="24"/>
          <w:highlight w:val="none"/>
        </w:rPr>
        <w:t>商</w:t>
      </w:r>
      <w:bookmarkEnd w:id="0"/>
      <w:r>
        <w:rPr>
          <w:rStyle w:val="26"/>
          <w:rFonts w:hint="eastAsia" w:ascii="宋体" w:hAnsi="宋体" w:eastAsia="宋体" w:cs="宋体"/>
          <w:b/>
          <w:color w:val="auto"/>
          <w:sz w:val="24"/>
          <w:highlight w:val="none"/>
        </w:rPr>
        <w:t>须知</w:t>
      </w:r>
      <w:r>
        <w:rPr>
          <w:rFonts w:hint="eastAsia" w:ascii="宋体" w:hAnsi="宋体" w:eastAsia="宋体" w:cs="宋体"/>
          <w:b/>
          <w:color w:val="auto"/>
          <w:sz w:val="24"/>
          <w:highlight w:val="none"/>
        </w:rPr>
        <w:tab/>
      </w:r>
      <w:r>
        <w:rPr>
          <w:rFonts w:hint="eastAsia" w:ascii="宋体" w:hAnsi="宋体" w:eastAsia="宋体" w:cs="宋体"/>
          <w:b/>
          <w:color w:val="auto"/>
          <w:sz w:val="24"/>
          <w:highlight w:val="none"/>
        </w:rPr>
        <w:fldChar w:fldCharType="begin"/>
      </w:r>
      <w:r>
        <w:rPr>
          <w:rFonts w:hint="eastAsia" w:ascii="宋体" w:hAnsi="宋体" w:eastAsia="宋体" w:cs="宋体"/>
          <w:b/>
          <w:color w:val="auto"/>
          <w:sz w:val="24"/>
          <w:highlight w:val="none"/>
        </w:rPr>
        <w:instrText xml:space="preserve"> PAGEREF _Toc74323457 \h </w:instrText>
      </w:r>
      <w:r>
        <w:rPr>
          <w:rFonts w:hint="eastAsia" w:ascii="宋体" w:hAnsi="宋体" w:eastAsia="宋体" w:cs="宋体"/>
          <w:b/>
          <w:color w:val="auto"/>
          <w:sz w:val="24"/>
          <w:highlight w:val="none"/>
        </w:rPr>
        <w:fldChar w:fldCharType="separate"/>
      </w:r>
      <w:r>
        <w:rPr>
          <w:rFonts w:hint="eastAsia" w:ascii="宋体" w:hAnsi="宋体" w:eastAsia="宋体" w:cs="宋体"/>
          <w:b/>
          <w:color w:val="auto"/>
          <w:sz w:val="24"/>
          <w:highlight w:val="none"/>
        </w:rPr>
        <w:t>5</w:t>
      </w:r>
      <w:r>
        <w:rPr>
          <w:rFonts w:hint="eastAsia" w:ascii="宋体" w:hAnsi="宋体" w:eastAsia="宋体" w:cs="宋体"/>
          <w:b/>
          <w:color w:val="auto"/>
          <w:sz w:val="24"/>
          <w:highlight w:val="none"/>
        </w:rPr>
        <w:fldChar w:fldCharType="end"/>
      </w:r>
      <w:r>
        <w:rPr>
          <w:rFonts w:hint="eastAsia" w:ascii="宋体" w:hAnsi="宋体" w:eastAsia="宋体" w:cs="宋体"/>
          <w:b/>
          <w:color w:val="auto"/>
          <w:sz w:val="24"/>
          <w:highlight w:val="none"/>
        </w:rPr>
        <w:fldChar w:fldCharType="end"/>
      </w:r>
    </w:p>
    <w:p>
      <w:pPr>
        <w:pStyle w:val="18"/>
        <w:tabs>
          <w:tab w:val="right" w:leader="dot" w:pos="8869"/>
        </w:tabs>
        <w:snapToGrid w:val="0"/>
        <w:spacing w:line="500" w:lineRule="atLeast"/>
        <w:rPr>
          <w:rFonts w:hint="eastAsia" w:ascii="宋体" w:hAnsi="宋体" w:eastAsia="宋体" w:cs="宋体"/>
          <w:b/>
          <w:color w:val="auto"/>
          <w:sz w:val="24"/>
          <w:highlight w:val="none"/>
        </w:rPr>
      </w:pPr>
      <w:r>
        <w:rPr>
          <w:rFonts w:hint="eastAsia" w:ascii="宋体" w:hAnsi="宋体" w:eastAsia="宋体" w:cs="宋体"/>
          <w:b/>
          <w:color w:val="auto"/>
          <w:sz w:val="24"/>
          <w:highlight w:val="none"/>
        </w:rPr>
        <w:fldChar w:fldCharType="begin"/>
      </w:r>
      <w:r>
        <w:rPr>
          <w:rStyle w:val="26"/>
          <w:rFonts w:hint="eastAsia" w:ascii="宋体" w:hAnsi="宋体" w:eastAsia="宋体" w:cs="宋体"/>
          <w:b/>
          <w:color w:val="auto"/>
          <w:sz w:val="24"/>
          <w:highlight w:val="none"/>
        </w:rPr>
        <w:instrText xml:space="preserve"> </w:instrText>
      </w:r>
      <w:r>
        <w:rPr>
          <w:rFonts w:hint="eastAsia" w:ascii="宋体" w:hAnsi="宋体" w:eastAsia="宋体" w:cs="宋体"/>
          <w:b/>
          <w:color w:val="auto"/>
          <w:sz w:val="24"/>
          <w:highlight w:val="none"/>
        </w:rPr>
        <w:instrText xml:space="preserve">HYPERLINK \l "_Toc74323458"</w:instrText>
      </w:r>
      <w:r>
        <w:rPr>
          <w:rStyle w:val="26"/>
          <w:rFonts w:hint="eastAsia" w:ascii="宋体" w:hAnsi="宋体" w:eastAsia="宋体" w:cs="宋体"/>
          <w:b/>
          <w:color w:val="auto"/>
          <w:sz w:val="24"/>
          <w:highlight w:val="none"/>
        </w:rPr>
        <w:instrText xml:space="preserve"> </w:instrText>
      </w:r>
      <w:r>
        <w:rPr>
          <w:rFonts w:hint="eastAsia" w:ascii="宋体" w:hAnsi="宋体" w:eastAsia="宋体" w:cs="宋体"/>
          <w:b/>
          <w:color w:val="auto"/>
          <w:sz w:val="24"/>
          <w:highlight w:val="none"/>
        </w:rPr>
        <w:fldChar w:fldCharType="separate"/>
      </w:r>
      <w:r>
        <w:rPr>
          <w:rStyle w:val="26"/>
          <w:rFonts w:hint="eastAsia" w:ascii="宋体" w:hAnsi="宋体" w:eastAsia="宋体" w:cs="宋体"/>
          <w:b/>
          <w:color w:val="auto"/>
          <w:sz w:val="24"/>
          <w:highlight w:val="none"/>
        </w:rPr>
        <w:t>第三章 采购需</w:t>
      </w:r>
      <w:bookmarkStart w:id="1" w:name="_Hlt82166940"/>
      <w:r>
        <w:rPr>
          <w:rStyle w:val="26"/>
          <w:rFonts w:hint="eastAsia" w:ascii="宋体" w:hAnsi="宋体" w:eastAsia="宋体" w:cs="宋体"/>
          <w:b/>
          <w:color w:val="auto"/>
          <w:sz w:val="24"/>
          <w:highlight w:val="none"/>
        </w:rPr>
        <w:t>求</w:t>
      </w:r>
      <w:bookmarkEnd w:id="1"/>
      <w:bookmarkStart w:id="2" w:name="_Hlt102419822"/>
      <w:bookmarkStart w:id="3" w:name="_Hlt102419823"/>
      <w:r>
        <w:rPr>
          <w:rFonts w:hint="eastAsia" w:ascii="宋体" w:hAnsi="宋体" w:eastAsia="宋体" w:cs="宋体"/>
          <w:b/>
          <w:color w:val="auto"/>
          <w:sz w:val="24"/>
          <w:highlight w:val="none"/>
        </w:rPr>
        <w:tab/>
      </w:r>
      <w:bookmarkEnd w:id="2"/>
      <w:bookmarkEnd w:id="3"/>
      <w:r>
        <w:rPr>
          <w:rFonts w:hint="eastAsia" w:ascii="宋体" w:hAnsi="宋体" w:eastAsia="宋体" w:cs="宋体"/>
          <w:b/>
          <w:color w:val="auto"/>
          <w:sz w:val="24"/>
          <w:highlight w:val="none"/>
        </w:rPr>
        <w:fldChar w:fldCharType="begin"/>
      </w:r>
      <w:r>
        <w:rPr>
          <w:rFonts w:hint="eastAsia" w:ascii="宋体" w:hAnsi="宋体" w:eastAsia="宋体" w:cs="宋体"/>
          <w:b/>
          <w:color w:val="auto"/>
          <w:sz w:val="24"/>
          <w:highlight w:val="none"/>
        </w:rPr>
        <w:instrText xml:space="preserve"> PAGEREF _Toc74323458 \h </w:instrText>
      </w:r>
      <w:r>
        <w:rPr>
          <w:rFonts w:hint="eastAsia" w:ascii="宋体" w:hAnsi="宋体" w:eastAsia="宋体" w:cs="宋体"/>
          <w:b/>
          <w:color w:val="auto"/>
          <w:sz w:val="24"/>
          <w:highlight w:val="none"/>
        </w:rPr>
        <w:fldChar w:fldCharType="separate"/>
      </w:r>
      <w:r>
        <w:rPr>
          <w:rFonts w:hint="eastAsia" w:ascii="宋体" w:hAnsi="宋体" w:eastAsia="宋体" w:cs="宋体"/>
          <w:b/>
          <w:color w:val="auto"/>
          <w:sz w:val="24"/>
          <w:highlight w:val="none"/>
        </w:rPr>
        <w:t>24</w:t>
      </w:r>
      <w:r>
        <w:rPr>
          <w:rFonts w:hint="eastAsia" w:ascii="宋体" w:hAnsi="宋体" w:eastAsia="宋体" w:cs="宋体"/>
          <w:b/>
          <w:color w:val="auto"/>
          <w:sz w:val="24"/>
          <w:highlight w:val="none"/>
        </w:rPr>
        <w:fldChar w:fldCharType="end"/>
      </w:r>
      <w:r>
        <w:rPr>
          <w:rFonts w:hint="eastAsia" w:ascii="宋体" w:hAnsi="宋体" w:eastAsia="宋体" w:cs="宋体"/>
          <w:b/>
          <w:color w:val="auto"/>
          <w:sz w:val="24"/>
          <w:highlight w:val="none"/>
        </w:rPr>
        <w:fldChar w:fldCharType="end"/>
      </w:r>
    </w:p>
    <w:p>
      <w:pPr>
        <w:pStyle w:val="18"/>
        <w:tabs>
          <w:tab w:val="right" w:leader="dot" w:pos="8869"/>
        </w:tabs>
        <w:snapToGrid w:val="0"/>
        <w:spacing w:line="500" w:lineRule="atLeast"/>
        <w:rPr>
          <w:rFonts w:hint="eastAsia" w:ascii="宋体" w:hAnsi="宋体" w:eastAsia="宋体" w:cs="宋体"/>
          <w:b/>
          <w:color w:val="auto"/>
          <w:sz w:val="24"/>
          <w:highlight w:val="none"/>
        </w:rPr>
      </w:pPr>
      <w:r>
        <w:rPr>
          <w:rFonts w:hint="eastAsia" w:ascii="宋体" w:hAnsi="宋体" w:eastAsia="宋体" w:cs="宋体"/>
          <w:b/>
          <w:color w:val="auto"/>
          <w:sz w:val="24"/>
          <w:highlight w:val="none"/>
        </w:rPr>
        <w:fldChar w:fldCharType="begin"/>
      </w:r>
      <w:r>
        <w:rPr>
          <w:rStyle w:val="26"/>
          <w:rFonts w:hint="eastAsia" w:ascii="宋体" w:hAnsi="宋体" w:eastAsia="宋体" w:cs="宋体"/>
          <w:b/>
          <w:color w:val="auto"/>
          <w:sz w:val="24"/>
          <w:highlight w:val="none"/>
        </w:rPr>
        <w:instrText xml:space="preserve"> </w:instrText>
      </w:r>
      <w:r>
        <w:rPr>
          <w:rFonts w:hint="eastAsia" w:ascii="宋体" w:hAnsi="宋体" w:eastAsia="宋体" w:cs="宋体"/>
          <w:b/>
          <w:color w:val="auto"/>
          <w:sz w:val="24"/>
          <w:highlight w:val="none"/>
        </w:rPr>
        <w:instrText xml:space="preserve">HYPERLINK \l "_Toc74323459"</w:instrText>
      </w:r>
      <w:r>
        <w:rPr>
          <w:rStyle w:val="26"/>
          <w:rFonts w:hint="eastAsia" w:ascii="宋体" w:hAnsi="宋体" w:eastAsia="宋体" w:cs="宋体"/>
          <w:b/>
          <w:color w:val="auto"/>
          <w:sz w:val="24"/>
          <w:highlight w:val="none"/>
        </w:rPr>
        <w:instrText xml:space="preserve"> </w:instrText>
      </w:r>
      <w:r>
        <w:rPr>
          <w:rFonts w:hint="eastAsia" w:ascii="宋体" w:hAnsi="宋体" w:eastAsia="宋体" w:cs="宋体"/>
          <w:b/>
          <w:color w:val="auto"/>
          <w:sz w:val="24"/>
          <w:highlight w:val="none"/>
        </w:rPr>
        <w:fldChar w:fldCharType="separate"/>
      </w:r>
      <w:r>
        <w:rPr>
          <w:rStyle w:val="26"/>
          <w:rFonts w:hint="eastAsia" w:ascii="宋体" w:hAnsi="宋体" w:eastAsia="宋体" w:cs="宋体"/>
          <w:b/>
          <w:color w:val="auto"/>
          <w:sz w:val="24"/>
          <w:highlight w:val="none"/>
        </w:rPr>
        <w:t>第四章 评审程序、</w:t>
      </w:r>
      <w:bookmarkStart w:id="4" w:name="_Hlt82166000"/>
      <w:r>
        <w:rPr>
          <w:rStyle w:val="26"/>
          <w:rFonts w:hint="eastAsia" w:ascii="宋体" w:hAnsi="宋体" w:eastAsia="宋体" w:cs="宋体"/>
          <w:b/>
          <w:color w:val="auto"/>
          <w:sz w:val="24"/>
          <w:highlight w:val="none"/>
        </w:rPr>
        <w:t>评</w:t>
      </w:r>
      <w:bookmarkEnd w:id="4"/>
      <w:r>
        <w:rPr>
          <w:rStyle w:val="26"/>
          <w:rFonts w:hint="eastAsia" w:ascii="宋体" w:hAnsi="宋体" w:eastAsia="宋体" w:cs="宋体"/>
          <w:b/>
          <w:color w:val="auto"/>
          <w:sz w:val="24"/>
          <w:highlight w:val="none"/>
        </w:rPr>
        <w:t>审方法和评审标</w:t>
      </w:r>
      <w:bookmarkStart w:id="5" w:name="_Hlt100217601"/>
      <w:bookmarkStart w:id="6" w:name="_Hlt100217602"/>
      <w:r>
        <w:rPr>
          <w:rStyle w:val="26"/>
          <w:rFonts w:hint="eastAsia" w:ascii="宋体" w:hAnsi="宋体" w:eastAsia="宋体" w:cs="宋体"/>
          <w:b/>
          <w:color w:val="auto"/>
          <w:sz w:val="24"/>
          <w:highlight w:val="none"/>
        </w:rPr>
        <w:t>准</w:t>
      </w:r>
      <w:bookmarkEnd w:id="5"/>
      <w:bookmarkEnd w:id="6"/>
      <w:r>
        <w:rPr>
          <w:rFonts w:hint="eastAsia" w:ascii="宋体" w:hAnsi="宋体" w:eastAsia="宋体" w:cs="宋体"/>
          <w:b/>
          <w:color w:val="auto"/>
          <w:sz w:val="24"/>
          <w:highlight w:val="none"/>
        </w:rPr>
        <w:tab/>
      </w:r>
      <w:r>
        <w:rPr>
          <w:rFonts w:hint="eastAsia" w:ascii="宋体" w:hAnsi="宋体" w:eastAsia="宋体" w:cs="宋体"/>
          <w:b/>
          <w:color w:val="auto"/>
          <w:sz w:val="24"/>
          <w:highlight w:val="none"/>
        </w:rPr>
        <w:fldChar w:fldCharType="begin"/>
      </w:r>
      <w:r>
        <w:rPr>
          <w:rFonts w:hint="eastAsia" w:ascii="宋体" w:hAnsi="宋体" w:eastAsia="宋体" w:cs="宋体"/>
          <w:b/>
          <w:color w:val="auto"/>
          <w:sz w:val="24"/>
          <w:highlight w:val="none"/>
        </w:rPr>
        <w:instrText xml:space="preserve"> PAGEREF _Toc74323459 \h </w:instrText>
      </w:r>
      <w:r>
        <w:rPr>
          <w:rFonts w:hint="eastAsia" w:ascii="宋体" w:hAnsi="宋体" w:eastAsia="宋体" w:cs="宋体"/>
          <w:b/>
          <w:color w:val="auto"/>
          <w:sz w:val="24"/>
          <w:highlight w:val="none"/>
        </w:rPr>
        <w:fldChar w:fldCharType="separate"/>
      </w:r>
      <w:r>
        <w:rPr>
          <w:rFonts w:hint="eastAsia" w:ascii="宋体" w:hAnsi="宋体" w:eastAsia="宋体" w:cs="宋体"/>
          <w:b/>
          <w:color w:val="auto"/>
          <w:sz w:val="24"/>
          <w:highlight w:val="none"/>
        </w:rPr>
        <w:t>29</w:t>
      </w:r>
      <w:r>
        <w:rPr>
          <w:rFonts w:hint="eastAsia" w:ascii="宋体" w:hAnsi="宋体" w:eastAsia="宋体" w:cs="宋体"/>
          <w:b/>
          <w:color w:val="auto"/>
          <w:sz w:val="24"/>
          <w:highlight w:val="none"/>
        </w:rPr>
        <w:fldChar w:fldCharType="end"/>
      </w:r>
      <w:r>
        <w:rPr>
          <w:rFonts w:hint="eastAsia" w:ascii="宋体" w:hAnsi="宋体" w:eastAsia="宋体" w:cs="宋体"/>
          <w:b/>
          <w:color w:val="auto"/>
          <w:sz w:val="24"/>
          <w:highlight w:val="none"/>
        </w:rPr>
        <w:fldChar w:fldCharType="end"/>
      </w:r>
    </w:p>
    <w:p>
      <w:pPr>
        <w:pStyle w:val="18"/>
        <w:tabs>
          <w:tab w:val="right" w:leader="dot" w:pos="8869"/>
        </w:tabs>
        <w:snapToGrid w:val="0"/>
        <w:spacing w:line="500" w:lineRule="atLeast"/>
        <w:rPr>
          <w:rFonts w:hint="eastAsia" w:ascii="宋体" w:hAnsi="宋体" w:eastAsia="宋体" w:cs="宋体"/>
          <w:b/>
          <w:color w:val="auto"/>
          <w:sz w:val="24"/>
          <w:highlight w:val="none"/>
        </w:rPr>
      </w:pPr>
      <w:r>
        <w:rPr>
          <w:rFonts w:hint="eastAsia" w:ascii="宋体" w:hAnsi="宋体" w:eastAsia="宋体" w:cs="宋体"/>
          <w:b/>
          <w:color w:val="auto"/>
          <w:sz w:val="24"/>
          <w:highlight w:val="none"/>
        </w:rPr>
        <w:fldChar w:fldCharType="begin"/>
      </w:r>
      <w:r>
        <w:rPr>
          <w:rStyle w:val="26"/>
          <w:rFonts w:hint="eastAsia" w:ascii="宋体" w:hAnsi="宋体" w:eastAsia="宋体" w:cs="宋体"/>
          <w:b/>
          <w:color w:val="auto"/>
          <w:sz w:val="24"/>
          <w:highlight w:val="none"/>
        </w:rPr>
        <w:instrText xml:space="preserve"> </w:instrText>
      </w:r>
      <w:r>
        <w:rPr>
          <w:rFonts w:hint="eastAsia" w:ascii="宋体" w:hAnsi="宋体" w:eastAsia="宋体" w:cs="宋体"/>
          <w:b/>
          <w:color w:val="auto"/>
          <w:sz w:val="24"/>
          <w:highlight w:val="none"/>
        </w:rPr>
        <w:instrText xml:space="preserve">HYPERLINK \l "_Toc74323460"</w:instrText>
      </w:r>
      <w:r>
        <w:rPr>
          <w:rStyle w:val="26"/>
          <w:rFonts w:hint="eastAsia" w:ascii="宋体" w:hAnsi="宋体" w:eastAsia="宋体" w:cs="宋体"/>
          <w:b/>
          <w:color w:val="auto"/>
          <w:sz w:val="24"/>
          <w:highlight w:val="none"/>
        </w:rPr>
        <w:instrText xml:space="preserve"> </w:instrText>
      </w:r>
      <w:r>
        <w:rPr>
          <w:rFonts w:hint="eastAsia" w:ascii="宋体" w:hAnsi="宋体" w:eastAsia="宋体" w:cs="宋体"/>
          <w:b/>
          <w:color w:val="auto"/>
          <w:sz w:val="24"/>
          <w:highlight w:val="none"/>
        </w:rPr>
        <w:fldChar w:fldCharType="separate"/>
      </w:r>
      <w:r>
        <w:rPr>
          <w:rStyle w:val="26"/>
          <w:rFonts w:hint="eastAsia" w:ascii="宋体" w:hAnsi="宋体" w:eastAsia="宋体" w:cs="宋体"/>
          <w:b/>
          <w:color w:val="auto"/>
          <w:sz w:val="24"/>
          <w:highlight w:val="none"/>
        </w:rPr>
        <w:t>第五章 响应文件格式</w:t>
      </w:r>
      <w:r>
        <w:rPr>
          <w:rFonts w:hint="eastAsia" w:ascii="宋体" w:hAnsi="宋体" w:eastAsia="宋体" w:cs="宋体"/>
          <w:b/>
          <w:color w:val="auto"/>
          <w:sz w:val="24"/>
          <w:highlight w:val="none"/>
        </w:rPr>
        <w:tab/>
      </w:r>
      <w:r>
        <w:rPr>
          <w:rFonts w:hint="eastAsia" w:ascii="宋体" w:hAnsi="宋体" w:eastAsia="宋体" w:cs="宋体"/>
          <w:b/>
          <w:color w:val="auto"/>
          <w:sz w:val="24"/>
          <w:highlight w:val="none"/>
        </w:rPr>
        <w:fldChar w:fldCharType="begin"/>
      </w:r>
      <w:r>
        <w:rPr>
          <w:rFonts w:hint="eastAsia" w:ascii="宋体" w:hAnsi="宋体" w:eastAsia="宋体" w:cs="宋体"/>
          <w:b/>
          <w:color w:val="auto"/>
          <w:sz w:val="24"/>
          <w:highlight w:val="none"/>
        </w:rPr>
        <w:instrText xml:space="preserve"> PAGEREF _Toc74323460 \h </w:instrText>
      </w:r>
      <w:r>
        <w:rPr>
          <w:rFonts w:hint="eastAsia" w:ascii="宋体" w:hAnsi="宋体" w:eastAsia="宋体" w:cs="宋体"/>
          <w:b/>
          <w:color w:val="auto"/>
          <w:sz w:val="24"/>
          <w:highlight w:val="none"/>
        </w:rPr>
        <w:fldChar w:fldCharType="separate"/>
      </w:r>
      <w:r>
        <w:rPr>
          <w:rFonts w:hint="eastAsia" w:ascii="宋体" w:hAnsi="宋体" w:eastAsia="宋体" w:cs="宋体"/>
          <w:b/>
          <w:color w:val="auto"/>
          <w:sz w:val="24"/>
          <w:highlight w:val="none"/>
        </w:rPr>
        <w:t>39</w:t>
      </w:r>
      <w:r>
        <w:rPr>
          <w:rFonts w:hint="eastAsia" w:ascii="宋体" w:hAnsi="宋体" w:eastAsia="宋体" w:cs="宋体"/>
          <w:b/>
          <w:color w:val="auto"/>
          <w:sz w:val="24"/>
          <w:highlight w:val="none"/>
        </w:rPr>
        <w:fldChar w:fldCharType="end"/>
      </w:r>
      <w:r>
        <w:rPr>
          <w:rFonts w:hint="eastAsia" w:ascii="宋体" w:hAnsi="宋体" w:eastAsia="宋体" w:cs="宋体"/>
          <w:b/>
          <w:color w:val="auto"/>
          <w:sz w:val="24"/>
          <w:highlight w:val="none"/>
        </w:rPr>
        <w:fldChar w:fldCharType="end"/>
      </w:r>
    </w:p>
    <w:p>
      <w:pPr>
        <w:pStyle w:val="18"/>
        <w:tabs>
          <w:tab w:val="right" w:leader="dot" w:pos="8869"/>
        </w:tabs>
        <w:snapToGrid w:val="0"/>
        <w:spacing w:line="500" w:lineRule="atLeast"/>
        <w:rPr>
          <w:rFonts w:hint="eastAsia" w:ascii="宋体" w:hAnsi="宋体" w:eastAsia="宋体" w:cs="宋体"/>
          <w:color w:val="auto"/>
          <w:sz w:val="24"/>
          <w:highlight w:val="none"/>
        </w:rPr>
      </w:pPr>
      <w:r>
        <w:rPr>
          <w:rFonts w:hint="eastAsia" w:ascii="宋体" w:hAnsi="宋体" w:eastAsia="宋体" w:cs="宋体"/>
          <w:b/>
          <w:color w:val="auto"/>
          <w:sz w:val="24"/>
          <w:highlight w:val="none"/>
        </w:rPr>
        <w:fldChar w:fldCharType="begin"/>
      </w:r>
      <w:r>
        <w:rPr>
          <w:rStyle w:val="26"/>
          <w:rFonts w:hint="eastAsia" w:ascii="宋体" w:hAnsi="宋体" w:eastAsia="宋体" w:cs="宋体"/>
          <w:b/>
          <w:color w:val="auto"/>
          <w:sz w:val="24"/>
          <w:highlight w:val="none"/>
        </w:rPr>
        <w:instrText xml:space="preserve"> </w:instrText>
      </w:r>
      <w:r>
        <w:rPr>
          <w:rFonts w:hint="eastAsia" w:ascii="宋体" w:hAnsi="宋体" w:eastAsia="宋体" w:cs="宋体"/>
          <w:b/>
          <w:color w:val="auto"/>
          <w:sz w:val="24"/>
          <w:highlight w:val="none"/>
        </w:rPr>
        <w:instrText xml:space="preserve">HYPERLINK \l "_Toc74323461"</w:instrText>
      </w:r>
      <w:r>
        <w:rPr>
          <w:rStyle w:val="26"/>
          <w:rFonts w:hint="eastAsia" w:ascii="宋体" w:hAnsi="宋体" w:eastAsia="宋体" w:cs="宋体"/>
          <w:b/>
          <w:color w:val="auto"/>
          <w:sz w:val="24"/>
          <w:highlight w:val="none"/>
        </w:rPr>
        <w:instrText xml:space="preserve"> </w:instrText>
      </w:r>
      <w:r>
        <w:rPr>
          <w:rFonts w:hint="eastAsia" w:ascii="宋体" w:hAnsi="宋体" w:eastAsia="宋体" w:cs="宋体"/>
          <w:b/>
          <w:color w:val="auto"/>
          <w:sz w:val="24"/>
          <w:highlight w:val="none"/>
        </w:rPr>
        <w:fldChar w:fldCharType="separate"/>
      </w:r>
      <w:r>
        <w:rPr>
          <w:rStyle w:val="26"/>
          <w:rFonts w:hint="eastAsia" w:ascii="宋体" w:hAnsi="宋体" w:eastAsia="宋体" w:cs="宋体"/>
          <w:b/>
          <w:color w:val="auto"/>
          <w:sz w:val="24"/>
          <w:highlight w:val="none"/>
        </w:rPr>
        <w:t>第六章 合同文本</w:t>
      </w:r>
      <w:r>
        <w:rPr>
          <w:rFonts w:hint="eastAsia" w:ascii="宋体" w:hAnsi="宋体" w:eastAsia="宋体" w:cs="宋体"/>
          <w:b/>
          <w:color w:val="auto"/>
          <w:sz w:val="24"/>
          <w:highlight w:val="none"/>
        </w:rPr>
        <w:tab/>
      </w:r>
      <w:r>
        <w:rPr>
          <w:rFonts w:hint="eastAsia" w:ascii="宋体" w:hAnsi="宋体" w:eastAsia="宋体" w:cs="宋体"/>
          <w:b/>
          <w:color w:val="auto"/>
          <w:sz w:val="24"/>
          <w:highlight w:val="none"/>
        </w:rPr>
        <w:fldChar w:fldCharType="begin"/>
      </w:r>
      <w:r>
        <w:rPr>
          <w:rFonts w:hint="eastAsia" w:ascii="宋体" w:hAnsi="宋体" w:eastAsia="宋体" w:cs="宋体"/>
          <w:b/>
          <w:color w:val="auto"/>
          <w:sz w:val="24"/>
          <w:highlight w:val="none"/>
        </w:rPr>
        <w:instrText xml:space="preserve"> PAGEREF _Toc74323461 \h </w:instrText>
      </w:r>
      <w:r>
        <w:rPr>
          <w:rFonts w:hint="eastAsia" w:ascii="宋体" w:hAnsi="宋体" w:eastAsia="宋体" w:cs="宋体"/>
          <w:b/>
          <w:color w:val="auto"/>
          <w:sz w:val="24"/>
          <w:highlight w:val="none"/>
        </w:rPr>
        <w:fldChar w:fldCharType="separate"/>
      </w:r>
      <w:r>
        <w:rPr>
          <w:rFonts w:hint="eastAsia" w:ascii="宋体" w:hAnsi="宋体" w:eastAsia="宋体" w:cs="宋体"/>
          <w:b/>
          <w:color w:val="auto"/>
          <w:sz w:val="24"/>
          <w:highlight w:val="none"/>
        </w:rPr>
        <w:t>64</w:t>
      </w:r>
      <w:r>
        <w:rPr>
          <w:rFonts w:hint="eastAsia" w:ascii="宋体" w:hAnsi="宋体" w:eastAsia="宋体" w:cs="宋体"/>
          <w:b/>
          <w:color w:val="auto"/>
          <w:sz w:val="24"/>
          <w:highlight w:val="none"/>
        </w:rPr>
        <w:fldChar w:fldCharType="end"/>
      </w:r>
      <w:r>
        <w:rPr>
          <w:rFonts w:hint="eastAsia" w:ascii="宋体" w:hAnsi="宋体" w:eastAsia="宋体" w:cs="宋体"/>
          <w:b/>
          <w:color w:val="auto"/>
          <w:sz w:val="24"/>
          <w:highlight w:val="none"/>
        </w:rPr>
        <w:fldChar w:fldCharType="end"/>
      </w:r>
    </w:p>
    <w:p>
      <w:pPr>
        <w:pStyle w:val="19"/>
        <w:tabs>
          <w:tab w:val="right" w:leader="dot" w:pos="8931"/>
          <w:tab w:val="clear" w:pos="8296"/>
        </w:tabs>
        <w:snapToGrid w:val="0"/>
        <w:spacing w:line="500" w:lineRule="atLeast"/>
        <w:ind w:left="0" w:leftChars="0"/>
        <w:rPr>
          <w:rFonts w:hint="eastAsia" w:ascii="宋体" w:hAnsi="宋体" w:eastAsia="宋体" w:cs="宋体"/>
          <w:b/>
          <w:color w:val="auto"/>
          <w:sz w:val="24"/>
          <w:highlight w:val="none"/>
        </w:rPr>
      </w:pPr>
      <w:r>
        <w:rPr>
          <w:rFonts w:hint="eastAsia" w:ascii="宋体" w:hAnsi="宋体" w:eastAsia="宋体" w:cs="宋体"/>
          <w:b/>
          <w:color w:val="auto"/>
          <w:sz w:val="24"/>
          <w:highlight w:val="none"/>
        </w:rPr>
        <w:fldChar w:fldCharType="end"/>
      </w:r>
    </w:p>
    <w:p>
      <w:pPr>
        <w:spacing w:line="400" w:lineRule="exact"/>
        <w:jc w:val="left"/>
        <w:rPr>
          <w:rFonts w:hint="eastAsia" w:ascii="宋体" w:hAnsi="宋体" w:eastAsia="宋体" w:cs="宋体"/>
          <w:b/>
          <w:color w:val="auto"/>
          <w:sz w:val="32"/>
          <w:szCs w:val="32"/>
          <w:highlight w:val="none"/>
        </w:rPr>
      </w:pPr>
    </w:p>
    <w:p>
      <w:pPr>
        <w:spacing w:line="400" w:lineRule="exact"/>
        <w:jc w:val="center"/>
        <w:rPr>
          <w:rFonts w:hint="eastAsia" w:ascii="宋体" w:hAnsi="宋体" w:eastAsia="宋体" w:cs="宋体"/>
          <w:b/>
          <w:color w:val="auto"/>
          <w:sz w:val="32"/>
          <w:szCs w:val="32"/>
          <w:highlight w:val="none"/>
        </w:rPr>
      </w:pPr>
    </w:p>
    <w:p>
      <w:pPr>
        <w:spacing w:line="400" w:lineRule="exact"/>
        <w:jc w:val="center"/>
        <w:rPr>
          <w:rFonts w:hint="eastAsia" w:ascii="宋体" w:hAnsi="宋体" w:eastAsia="宋体" w:cs="宋体"/>
          <w:b/>
          <w:color w:val="auto"/>
          <w:sz w:val="32"/>
          <w:szCs w:val="32"/>
          <w:highlight w:val="none"/>
        </w:rPr>
      </w:pPr>
    </w:p>
    <w:p>
      <w:pPr>
        <w:spacing w:line="400" w:lineRule="exact"/>
        <w:jc w:val="center"/>
        <w:rPr>
          <w:rFonts w:hint="eastAsia" w:ascii="宋体" w:hAnsi="宋体" w:eastAsia="宋体" w:cs="宋体"/>
          <w:b/>
          <w:color w:val="auto"/>
          <w:sz w:val="32"/>
          <w:szCs w:val="32"/>
          <w:highlight w:val="none"/>
        </w:rPr>
      </w:pPr>
    </w:p>
    <w:p>
      <w:pPr>
        <w:spacing w:line="400" w:lineRule="exact"/>
        <w:jc w:val="center"/>
        <w:rPr>
          <w:rFonts w:hint="eastAsia" w:ascii="宋体" w:hAnsi="宋体" w:eastAsia="宋体" w:cs="宋体"/>
          <w:b/>
          <w:color w:val="auto"/>
          <w:sz w:val="32"/>
          <w:szCs w:val="32"/>
          <w:highlight w:val="none"/>
        </w:rPr>
      </w:pPr>
    </w:p>
    <w:p>
      <w:pPr>
        <w:spacing w:line="400" w:lineRule="exact"/>
        <w:rPr>
          <w:rFonts w:hint="eastAsia" w:ascii="宋体" w:hAnsi="宋体" w:eastAsia="宋体" w:cs="宋体"/>
          <w:b/>
          <w:color w:val="auto"/>
          <w:sz w:val="32"/>
          <w:szCs w:val="32"/>
          <w:highlight w:val="none"/>
        </w:rPr>
        <w:sectPr>
          <w:footerReference r:id="rId8" w:type="first"/>
          <w:footerReference r:id="rId7" w:type="default"/>
          <w:pgSz w:w="11906" w:h="16838"/>
          <w:pgMar w:top="1440" w:right="1440" w:bottom="1440" w:left="1587" w:header="851" w:footer="992" w:gutter="0"/>
          <w:pgNumType w:fmt="decimal" w:start="1"/>
          <w:cols w:space="720" w:num="1"/>
          <w:titlePg/>
          <w:docGrid w:type="lines" w:linePitch="312" w:charSpace="0"/>
        </w:sectPr>
      </w:pPr>
    </w:p>
    <w:p>
      <w:pPr>
        <w:pStyle w:val="3"/>
        <w:spacing w:line="240" w:lineRule="auto"/>
        <w:jc w:val="center"/>
        <w:rPr>
          <w:rFonts w:hint="eastAsia" w:ascii="宋体" w:hAnsi="宋体" w:eastAsia="宋体" w:cs="宋体"/>
          <w:b/>
          <w:bCs/>
          <w:color w:val="auto"/>
          <w:highlight w:val="none"/>
        </w:rPr>
      </w:pPr>
      <w:bookmarkStart w:id="7" w:name="_Toc74323456"/>
      <w:r>
        <w:rPr>
          <w:rFonts w:hint="eastAsia" w:ascii="宋体" w:hAnsi="宋体" w:eastAsia="宋体" w:cs="宋体"/>
          <w:b/>
          <w:bCs/>
          <w:color w:val="auto"/>
          <w:highlight w:val="none"/>
        </w:rPr>
        <w:t>第一章 竞争性磋商公告</w:t>
      </w:r>
      <w:bookmarkEnd w:id="7"/>
    </w:p>
    <w:p>
      <w:pPr>
        <w:spacing w:line="24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竞争性磋商公告</w:t>
      </w:r>
    </w:p>
    <w:p>
      <w:pPr>
        <w:spacing w:line="360" w:lineRule="auto"/>
        <w:rPr>
          <w:rFonts w:hint="eastAsia" w:ascii="宋体" w:hAnsi="宋体" w:eastAsia="宋体" w:cs="宋体"/>
          <w:color w:val="auto"/>
          <w:szCs w:val="21"/>
          <w:highlight w:val="none"/>
        </w:rPr>
      </w:pPr>
    </w:p>
    <w:p>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项目概况</w:t>
      </w:r>
    </w:p>
    <w:p>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u w:val="single"/>
          <w:lang w:eastAsia="zh-CN"/>
        </w:rPr>
        <w:t>广西全民所有自然资源资产清查综合技术服务</w:t>
      </w:r>
      <w:r>
        <w:rPr>
          <w:rFonts w:hint="eastAsia" w:ascii="宋体" w:hAnsi="宋体" w:eastAsia="宋体" w:cs="宋体"/>
          <w:color w:val="auto"/>
          <w:szCs w:val="21"/>
          <w:highlight w:val="none"/>
        </w:rPr>
        <w:t>的潜在供应商应在“</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https://www.gcy.zfcg.gxzf.gov.cn/</w:t>
      </w:r>
      <w:r>
        <w:rPr>
          <w:rFonts w:hint="eastAsia" w:ascii="宋体" w:hAnsi="宋体" w:eastAsia="宋体" w:cs="宋体"/>
          <w:color w:val="auto"/>
          <w:szCs w:val="21"/>
          <w:highlight w:val="none"/>
        </w:rPr>
        <w:t>）获取（下载）竞争性磋商文件，并于</w:t>
      </w:r>
      <w:r>
        <w:rPr>
          <w:rFonts w:hint="eastAsia" w:ascii="宋体" w:hAnsi="宋体" w:eastAsia="宋体" w:cs="宋体"/>
          <w:color w:val="FF0000"/>
          <w:szCs w:val="21"/>
          <w:highlight w:val="none"/>
          <w:u w:val="single"/>
          <w:lang w:eastAsia="zh-CN"/>
        </w:rPr>
        <w:t>202</w:t>
      </w:r>
      <w:r>
        <w:rPr>
          <w:rFonts w:hint="eastAsia" w:ascii="宋体" w:hAnsi="宋体" w:eastAsia="宋体" w:cs="宋体"/>
          <w:color w:val="FF0000"/>
          <w:szCs w:val="21"/>
          <w:highlight w:val="none"/>
          <w:u w:val="single"/>
          <w:lang w:val="en-US" w:eastAsia="zh-CN"/>
        </w:rPr>
        <w:t>6</w:t>
      </w:r>
      <w:r>
        <w:rPr>
          <w:rFonts w:hint="eastAsia" w:ascii="宋体" w:hAnsi="宋体" w:eastAsia="宋体" w:cs="宋体"/>
          <w:color w:val="FF0000"/>
          <w:szCs w:val="21"/>
          <w:highlight w:val="none"/>
          <w:u w:val="single"/>
          <w:lang w:eastAsia="zh-CN"/>
        </w:rPr>
        <w:t>年</w:t>
      </w:r>
      <w:r>
        <w:rPr>
          <w:rFonts w:hint="eastAsia" w:ascii="宋体" w:hAnsi="宋体" w:cs="宋体"/>
          <w:color w:val="FF0000"/>
          <w:szCs w:val="21"/>
          <w:highlight w:val="none"/>
          <w:u w:val="single"/>
          <w:lang w:val="en-US" w:eastAsia="zh-CN"/>
        </w:rPr>
        <w:t>4</w:t>
      </w:r>
      <w:r>
        <w:rPr>
          <w:rFonts w:hint="eastAsia" w:ascii="宋体" w:hAnsi="宋体" w:eastAsia="宋体" w:cs="宋体"/>
          <w:color w:val="FF0000"/>
          <w:szCs w:val="21"/>
          <w:highlight w:val="none"/>
          <w:u w:val="single"/>
          <w:lang w:val="en-US" w:eastAsia="zh-CN"/>
        </w:rPr>
        <w:t>月</w:t>
      </w:r>
      <w:r>
        <w:rPr>
          <w:rFonts w:hint="eastAsia" w:ascii="宋体" w:hAnsi="宋体" w:cs="宋体"/>
          <w:color w:val="FF0000"/>
          <w:szCs w:val="21"/>
          <w:highlight w:val="none"/>
          <w:u w:val="single"/>
          <w:lang w:val="en-US" w:eastAsia="zh-CN"/>
        </w:rPr>
        <w:t>7</w:t>
      </w:r>
      <w:r>
        <w:rPr>
          <w:rFonts w:hint="eastAsia" w:ascii="宋体" w:hAnsi="宋体" w:eastAsia="宋体" w:cs="宋体"/>
          <w:color w:val="FF0000"/>
          <w:szCs w:val="21"/>
          <w:highlight w:val="none"/>
          <w:u w:val="single"/>
          <w:lang w:val="en-US" w:eastAsia="zh-CN"/>
        </w:rPr>
        <w:t>日</w:t>
      </w:r>
      <w:r>
        <w:rPr>
          <w:rFonts w:hint="eastAsia" w:ascii="宋体" w:hAnsi="宋体" w:cs="宋体"/>
          <w:bCs/>
          <w:color w:val="FF0000"/>
          <w:szCs w:val="21"/>
          <w:highlight w:val="none"/>
          <w:u w:val="single"/>
          <w:lang w:val="en-US" w:eastAsia="zh-CN"/>
        </w:rPr>
        <w:t>15</w:t>
      </w:r>
      <w:r>
        <w:rPr>
          <w:rFonts w:hint="eastAsia" w:ascii="宋体" w:hAnsi="宋体" w:eastAsia="宋体" w:cs="宋体"/>
          <w:bCs/>
          <w:color w:val="FF0000"/>
          <w:szCs w:val="21"/>
          <w:highlight w:val="none"/>
          <w:u w:val="single"/>
          <w:lang w:eastAsia="zh-CN"/>
        </w:rPr>
        <w:t>：</w:t>
      </w:r>
      <w:r>
        <w:rPr>
          <w:rFonts w:hint="eastAsia" w:ascii="宋体" w:hAnsi="宋体" w:eastAsia="宋体" w:cs="宋体"/>
          <w:bCs/>
          <w:color w:val="FF0000"/>
          <w:szCs w:val="21"/>
          <w:highlight w:val="none"/>
          <w:u w:val="single"/>
          <w:lang w:val="en-US" w:eastAsia="zh-CN"/>
        </w:rPr>
        <w:t>30</w:t>
      </w:r>
      <w:r>
        <w:rPr>
          <w:rFonts w:hint="eastAsia" w:ascii="宋体" w:hAnsi="宋体" w:eastAsia="宋体" w:cs="宋体"/>
          <w:bCs/>
          <w:color w:val="auto"/>
          <w:szCs w:val="21"/>
          <w:highlight w:val="none"/>
          <w:u w:val="single"/>
        </w:rPr>
        <w:t>（</w:t>
      </w:r>
      <w:r>
        <w:rPr>
          <w:rFonts w:hint="eastAsia" w:ascii="宋体" w:hAnsi="宋体" w:eastAsia="宋体" w:cs="宋体"/>
          <w:bCs/>
          <w:color w:val="auto"/>
          <w:szCs w:val="21"/>
          <w:highlight w:val="none"/>
        </w:rPr>
        <w:t>北京时间）前提交（上传）</w:t>
      </w:r>
      <w:r>
        <w:rPr>
          <w:rFonts w:hint="eastAsia" w:ascii="宋体" w:hAnsi="宋体" w:eastAsia="宋体" w:cs="宋体"/>
          <w:color w:val="auto"/>
          <w:szCs w:val="21"/>
          <w:highlight w:val="none"/>
        </w:rPr>
        <w:t>响应</w:t>
      </w:r>
      <w:r>
        <w:rPr>
          <w:rFonts w:hint="eastAsia" w:ascii="宋体" w:hAnsi="宋体" w:eastAsia="宋体" w:cs="宋体"/>
          <w:bCs/>
          <w:color w:val="auto"/>
          <w:szCs w:val="21"/>
          <w:highlight w:val="none"/>
        </w:rPr>
        <w:t>文件</w:t>
      </w:r>
      <w:r>
        <w:rPr>
          <w:rFonts w:hint="eastAsia" w:ascii="宋体" w:hAnsi="宋体" w:eastAsia="宋体" w:cs="宋体"/>
          <w:color w:val="auto"/>
          <w:szCs w:val="21"/>
          <w:highlight w:val="none"/>
        </w:rPr>
        <w:t>。</w:t>
      </w:r>
    </w:p>
    <w:p>
      <w:pPr>
        <w:spacing w:line="360" w:lineRule="auto"/>
        <w:rPr>
          <w:rFonts w:hint="eastAsia" w:ascii="宋体" w:hAnsi="宋体" w:eastAsia="宋体" w:cs="宋体"/>
          <w:color w:val="auto"/>
          <w:szCs w:val="21"/>
          <w:highlight w:val="none"/>
        </w:rPr>
      </w:pPr>
    </w:p>
    <w:p>
      <w:pPr>
        <w:ind w:firstLine="354" w:firstLineChars="147"/>
        <w:rPr>
          <w:rFonts w:hint="eastAsia" w:ascii="宋体" w:hAnsi="宋体" w:eastAsia="宋体" w:cs="宋体"/>
          <w:b/>
          <w:color w:val="auto"/>
          <w:sz w:val="24"/>
          <w:highlight w:val="none"/>
        </w:rPr>
      </w:pPr>
      <w:bookmarkStart w:id="8" w:name="_Toc71365905"/>
      <w:bookmarkStart w:id="9" w:name="_Toc35393629"/>
      <w:bookmarkStart w:id="10" w:name="_Toc28359089"/>
      <w:bookmarkStart w:id="11" w:name="_Toc35393798"/>
      <w:bookmarkStart w:id="12" w:name="_Toc44229878"/>
      <w:bookmarkStart w:id="13" w:name="_Toc28359012"/>
      <w:r>
        <w:rPr>
          <w:rFonts w:hint="eastAsia" w:ascii="宋体" w:hAnsi="宋体" w:eastAsia="宋体" w:cs="宋体"/>
          <w:b/>
          <w:color w:val="auto"/>
          <w:sz w:val="24"/>
          <w:highlight w:val="none"/>
        </w:rPr>
        <w:t>一、项目基本情况</w:t>
      </w:r>
      <w:bookmarkEnd w:id="8"/>
      <w:bookmarkEnd w:id="9"/>
      <w:bookmarkEnd w:id="10"/>
      <w:bookmarkEnd w:id="11"/>
      <w:bookmarkEnd w:id="12"/>
      <w:bookmarkEnd w:id="13"/>
    </w:p>
    <w:p>
      <w:pPr>
        <w:spacing w:line="360" w:lineRule="auto"/>
        <w:ind w:firstLine="420" w:firstLineChars="200"/>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lang w:eastAsia="zh-CN"/>
        </w:rPr>
        <w:t xml:space="preserve"> </w:t>
      </w:r>
      <w:bookmarkStart w:id="14" w:name="OLE_LINK44"/>
      <w:r>
        <w:rPr>
          <w:rFonts w:hint="eastAsia" w:ascii="宋体" w:hAnsi="宋体" w:cs="宋体"/>
          <w:color w:val="auto"/>
          <w:szCs w:val="21"/>
          <w:highlight w:val="none"/>
          <w:lang w:eastAsia="zh-CN"/>
        </w:rPr>
        <w:t>GXZC2026-C3-00065</w:t>
      </w:r>
      <w:bookmarkStart w:id="232" w:name="_GoBack"/>
      <w:bookmarkEnd w:id="232"/>
      <w:r>
        <w:rPr>
          <w:rFonts w:hint="eastAsia" w:ascii="宋体" w:hAnsi="宋体" w:cs="宋体"/>
          <w:color w:val="auto"/>
          <w:szCs w:val="21"/>
          <w:highlight w:val="none"/>
          <w:lang w:eastAsia="zh-CN"/>
        </w:rPr>
        <w:t>8-JGJD</w:t>
      </w:r>
      <w:bookmarkEnd w:id="14"/>
      <w:r>
        <w:rPr>
          <w:rFonts w:hint="eastAsia" w:ascii="宋体" w:hAnsi="宋体" w:eastAsia="宋体" w:cs="宋体"/>
          <w:color w:val="auto"/>
          <w:szCs w:val="21"/>
          <w:highlight w:val="none"/>
        </w:rPr>
        <w:t>（政府采购计划编号：广西政采[2026]3852号-001</w:t>
      </w:r>
      <w:r>
        <w:rPr>
          <w:rFonts w:hint="eastAsia" w:ascii="宋体" w:hAnsi="宋体" w:cs="宋体"/>
          <w:color w:val="auto"/>
          <w:szCs w:val="21"/>
          <w:highlight w:val="none"/>
          <w:lang w:eastAsia="zh-CN"/>
        </w:rPr>
        <w:t>、广西政采[2026]3852号-002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项目名称：</w:t>
      </w:r>
      <w:bookmarkStart w:id="15" w:name="OLE_LINK22"/>
      <w:r>
        <w:rPr>
          <w:rFonts w:hint="eastAsia" w:ascii="宋体" w:hAnsi="宋体" w:cs="宋体"/>
          <w:color w:val="auto"/>
          <w:szCs w:val="21"/>
          <w:highlight w:val="none"/>
          <w:lang w:eastAsia="zh-CN"/>
        </w:rPr>
        <w:t>广西全民所有自然资源资产清查综合技术服务</w:t>
      </w:r>
      <w:bookmarkEnd w:id="15"/>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采购方式：竞争性磋商</w:t>
      </w:r>
    </w:p>
    <w:p>
      <w:pPr>
        <w:spacing w:line="360" w:lineRule="auto"/>
        <w:ind w:firstLine="420" w:firstLineChars="200"/>
        <w:rPr>
          <w:rFonts w:hint="default" w:ascii="宋体" w:hAnsi="宋体" w:eastAsia="宋体" w:cs="宋体"/>
          <w:color w:val="auto"/>
          <w:szCs w:val="21"/>
          <w:highlight w:val="none"/>
          <w:lang w:val="en-US"/>
        </w:rPr>
      </w:pPr>
      <w:r>
        <w:rPr>
          <w:rFonts w:hint="eastAsia" w:ascii="宋体" w:hAnsi="宋体" w:eastAsia="宋体" w:cs="宋体"/>
          <w:color w:val="auto"/>
          <w:szCs w:val="21"/>
          <w:highlight w:val="none"/>
        </w:rPr>
        <w:t>预算金额</w:t>
      </w:r>
      <w:r>
        <w:rPr>
          <w:rFonts w:hint="eastAsia" w:ascii="宋体" w:hAnsi="宋体" w:eastAsia="宋体" w:cs="宋体"/>
          <w:color w:val="auto"/>
          <w:szCs w:val="21"/>
          <w:highlight w:val="none"/>
          <w:lang w:eastAsia="zh-CN"/>
        </w:rPr>
        <w:t>（元）</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2752800.00（其中分标1：2335200.00元；分标2：417600.00元）</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采购需求： </w:t>
      </w:r>
    </w:p>
    <w:p>
      <w:pPr>
        <w:spacing w:line="360" w:lineRule="auto"/>
        <w:ind w:left="420" w:leftChars="200"/>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标项一 </w:t>
      </w:r>
    </w:p>
    <w:p>
      <w:pPr>
        <w:spacing w:line="360" w:lineRule="auto"/>
        <w:ind w:left="420" w:leftChars="200"/>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标项名称：</w:t>
      </w:r>
      <w:bookmarkStart w:id="16" w:name="OLE_LINK23"/>
      <w:r>
        <w:rPr>
          <w:rFonts w:hint="eastAsia" w:ascii="宋体" w:hAnsi="宋体" w:eastAsia="宋体" w:cs="宋体"/>
          <w:bCs/>
          <w:color w:val="auto"/>
          <w:kern w:val="0"/>
          <w:szCs w:val="21"/>
          <w:highlight w:val="none"/>
          <w:lang w:val="en-US" w:eastAsia="zh-CN"/>
        </w:rPr>
        <w:t>2025年度广西全民所有自然资源资产清查（土地、矿产、森林、草原、湿地）</w:t>
      </w:r>
      <w:bookmarkEnd w:id="16"/>
      <w:r>
        <w:rPr>
          <w:rFonts w:hint="eastAsia" w:ascii="宋体" w:hAnsi="宋体" w:eastAsia="宋体" w:cs="宋体"/>
          <w:bCs/>
          <w:color w:val="auto"/>
          <w:kern w:val="0"/>
          <w:szCs w:val="21"/>
          <w:highlight w:val="none"/>
        </w:rPr>
        <w:br w:type="textWrapping"/>
      </w:r>
      <w:r>
        <w:rPr>
          <w:rFonts w:hint="eastAsia" w:ascii="宋体" w:hAnsi="宋体" w:eastAsia="宋体" w:cs="宋体"/>
          <w:color w:val="auto"/>
          <w:kern w:val="0"/>
          <w:szCs w:val="21"/>
          <w:highlight w:val="none"/>
        </w:rPr>
        <w:t>数量：1</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预算金额（元）：</w:t>
      </w:r>
      <w:bookmarkStart w:id="17" w:name="OLE_LINK21"/>
      <w:r>
        <w:rPr>
          <w:rFonts w:hint="eastAsia" w:ascii="宋体" w:hAnsi="宋体" w:eastAsia="宋体" w:cs="宋体"/>
          <w:color w:val="auto"/>
          <w:szCs w:val="21"/>
          <w:highlight w:val="none"/>
          <w:lang w:val="en-US" w:eastAsia="zh-CN"/>
        </w:rPr>
        <w:t>2335200.00</w:t>
      </w:r>
      <w:bookmarkEnd w:id="17"/>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简要规格描述或项目基本概况介绍、用途：</w:t>
      </w:r>
      <w:bookmarkStart w:id="18" w:name="OLE_LINK30"/>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一</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协助完成全民所有自然资源资产清查价格体系更新</w:t>
      </w:r>
      <w:r>
        <w:rPr>
          <w:rFonts w:hint="eastAsia" w:ascii="宋体" w:hAnsi="宋体" w:cs="宋体"/>
          <w:color w:val="auto"/>
          <w:kern w:val="0"/>
          <w:szCs w:val="21"/>
          <w:highlight w:val="none"/>
          <w:lang w:val="en-US" w:eastAsia="zh-CN"/>
        </w:rPr>
        <w:t>；（二）协助开展全区全民所有自然资源资产实物量清查及经济价值核算成果年度更新；（三）协助完成全区全民所有自然资源资产使用权状况清查；（四）配合开展国有自然资源“三资”清查。</w:t>
      </w:r>
      <w:r>
        <w:rPr>
          <w:rFonts w:hint="eastAsia" w:ascii="宋体" w:hAnsi="宋体" w:eastAsia="宋体" w:cs="宋体"/>
          <w:color w:val="auto"/>
          <w:kern w:val="0"/>
          <w:szCs w:val="21"/>
          <w:highlight w:val="none"/>
        </w:rPr>
        <w:t>如需进一步了解详细内容，详见竞争性磋商采购文件。</w:t>
      </w:r>
      <w:bookmarkEnd w:id="18"/>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最高限价（如有）：</w:t>
      </w:r>
      <w:r>
        <w:rPr>
          <w:rFonts w:hint="eastAsia" w:ascii="宋体" w:hAnsi="宋体" w:eastAsia="宋体" w:cs="宋体"/>
          <w:color w:val="auto"/>
          <w:szCs w:val="21"/>
          <w:highlight w:val="none"/>
          <w:lang w:val="en-US" w:eastAsia="zh-CN"/>
        </w:rPr>
        <w:t>2335200.00</w:t>
      </w:r>
    </w:p>
    <w:p>
      <w:pPr>
        <w:spacing w:line="360" w:lineRule="auto"/>
        <w:ind w:firstLine="420" w:firstLineChars="20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合同履行期限：</w:t>
      </w:r>
      <w:bookmarkStart w:id="19" w:name="OLE_LINK11"/>
      <w:r>
        <w:rPr>
          <w:rFonts w:hint="eastAsia" w:ascii="宋体" w:hAnsi="宋体" w:eastAsia="宋体" w:cs="宋体"/>
          <w:b w:val="0"/>
          <w:bCs w:val="0"/>
          <w:color w:val="auto"/>
          <w:kern w:val="0"/>
          <w:szCs w:val="22"/>
          <w:highlight w:val="none"/>
          <w:lang w:val="en-US" w:eastAsia="zh-CN"/>
        </w:rPr>
        <w:t>202</w:t>
      </w:r>
      <w:r>
        <w:rPr>
          <w:rFonts w:hint="eastAsia" w:ascii="宋体" w:hAnsi="宋体" w:cs="宋体"/>
          <w:b w:val="0"/>
          <w:bCs w:val="0"/>
          <w:color w:val="auto"/>
          <w:kern w:val="0"/>
          <w:szCs w:val="22"/>
          <w:highlight w:val="none"/>
          <w:lang w:val="en-US" w:eastAsia="zh-CN"/>
        </w:rPr>
        <w:t>6</w:t>
      </w:r>
      <w:r>
        <w:rPr>
          <w:rFonts w:hint="eastAsia" w:ascii="宋体" w:hAnsi="宋体" w:eastAsia="宋体" w:cs="宋体"/>
          <w:b w:val="0"/>
          <w:bCs w:val="0"/>
          <w:color w:val="auto"/>
          <w:kern w:val="0"/>
          <w:szCs w:val="22"/>
          <w:highlight w:val="none"/>
          <w:lang w:val="en-US" w:eastAsia="zh-CN"/>
        </w:rPr>
        <w:t>年12月31日前完成成果交付并通过验收。</w:t>
      </w:r>
      <w:bookmarkEnd w:id="19"/>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本标项（否）接受联合体投标。</w:t>
      </w:r>
    </w:p>
    <w:p>
      <w:pPr>
        <w:spacing w:line="360" w:lineRule="auto"/>
        <w:ind w:left="420" w:leftChars="200"/>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标项</w:t>
      </w:r>
      <w:r>
        <w:rPr>
          <w:rFonts w:hint="eastAsia" w:ascii="宋体" w:hAnsi="宋体" w:cs="宋体"/>
          <w:b/>
          <w:bCs w:val="0"/>
          <w:color w:val="auto"/>
          <w:kern w:val="0"/>
          <w:szCs w:val="21"/>
          <w:highlight w:val="none"/>
          <w:lang w:eastAsia="zh-CN"/>
        </w:rPr>
        <w:t>二</w:t>
      </w:r>
      <w:r>
        <w:rPr>
          <w:rFonts w:hint="eastAsia" w:ascii="宋体" w:hAnsi="宋体" w:eastAsia="宋体" w:cs="宋体"/>
          <w:b/>
          <w:bCs w:val="0"/>
          <w:color w:val="auto"/>
          <w:kern w:val="0"/>
          <w:szCs w:val="21"/>
          <w:highlight w:val="none"/>
        </w:rPr>
        <w:t> </w:t>
      </w:r>
    </w:p>
    <w:p>
      <w:pPr>
        <w:spacing w:line="360" w:lineRule="auto"/>
        <w:ind w:left="420" w:leftChars="200"/>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标项名称：</w:t>
      </w:r>
      <w:r>
        <w:rPr>
          <w:rFonts w:hint="eastAsia" w:ascii="宋体" w:hAnsi="宋体" w:eastAsia="宋体" w:cs="宋体"/>
          <w:bCs/>
          <w:color w:val="auto"/>
          <w:kern w:val="0"/>
          <w:szCs w:val="21"/>
          <w:highlight w:val="none"/>
          <w:lang w:val="en-US" w:eastAsia="zh-CN"/>
        </w:rPr>
        <w:t>广西全民所有自然资源资产清查成果质量监督评价</w:t>
      </w:r>
      <w:r>
        <w:rPr>
          <w:rFonts w:hint="eastAsia" w:ascii="宋体" w:hAnsi="宋体" w:eastAsia="宋体" w:cs="宋体"/>
          <w:bCs/>
          <w:color w:val="auto"/>
          <w:kern w:val="0"/>
          <w:szCs w:val="21"/>
          <w:highlight w:val="none"/>
        </w:rPr>
        <w:br w:type="textWrapping"/>
      </w:r>
      <w:r>
        <w:rPr>
          <w:rFonts w:hint="eastAsia" w:ascii="宋体" w:hAnsi="宋体" w:eastAsia="宋体" w:cs="宋体"/>
          <w:color w:val="auto"/>
          <w:kern w:val="0"/>
          <w:szCs w:val="21"/>
          <w:highlight w:val="none"/>
        </w:rPr>
        <w:t>数量：1</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预算金额（元）：</w:t>
      </w:r>
      <w:r>
        <w:rPr>
          <w:rFonts w:hint="eastAsia" w:ascii="宋体" w:hAnsi="宋体" w:eastAsia="宋体" w:cs="宋体"/>
          <w:color w:val="auto"/>
          <w:szCs w:val="21"/>
          <w:highlight w:val="none"/>
          <w:lang w:val="en-US" w:eastAsia="zh-CN"/>
        </w:rPr>
        <w:t>417600.00</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简要规格描述或项目基本概况介绍、用途：</w:t>
      </w:r>
      <w:bookmarkStart w:id="20" w:name="OLE_LINK33"/>
      <w:r>
        <w:rPr>
          <w:rFonts w:hint="eastAsia" w:ascii="宋体" w:hAnsi="宋体" w:eastAsia="宋体" w:cs="宋体"/>
          <w:color w:val="auto"/>
          <w:szCs w:val="21"/>
          <w:highlight w:val="none"/>
          <w:lang w:val="en-US" w:eastAsia="zh-CN"/>
        </w:rPr>
        <w:t>根据《自然资源部关于全面开展全民所有自然资源资产清查工作的通知》（自然资发〔2024〕127号）及《全民所有自然资源资产清查技术指南》第十三章中要求，</w:t>
      </w:r>
      <w:r>
        <w:rPr>
          <w:rFonts w:hint="eastAsia" w:ascii="宋体" w:hAnsi="宋体" w:cs="宋体"/>
          <w:color w:val="auto"/>
          <w:szCs w:val="21"/>
          <w:highlight w:val="none"/>
          <w:lang w:val="en-US" w:eastAsia="zh-CN"/>
        </w:rPr>
        <w:t>协助</w:t>
      </w:r>
      <w:r>
        <w:rPr>
          <w:rFonts w:hint="eastAsia" w:ascii="宋体" w:hAnsi="宋体" w:eastAsia="宋体" w:cs="宋体"/>
          <w:color w:val="auto"/>
          <w:szCs w:val="21"/>
          <w:highlight w:val="none"/>
          <w:lang w:val="en-US" w:eastAsia="zh-CN"/>
        </w:rPr>
        <w:t>对自治区111个县(市、区)的全民所有自然资源资产清查成果开展质检工作</w:t>
      </w:r>
      <w:r>
        <w:rPr>
          <w:rFonts w:hint="eastAsia" w:ascii="宋体" w:hAnsi="宋体" w:cs="宋体"/>
          <w:color w:val="auto"/>
          <w:szCs w:val="21"/>
          <w:highlight w:val="none"/>
          <w:lang w:eastAsia="zh-CN"/>
        </w:rPr>
        <w:t>。</w:t>
      </w:r>
      <w:r>
        <w:rPr>
          <w:rFonts w:hint="eastAsia" w:ascii="宋体" w:hAnsi="宋体" w:eastAsia="宋体" w:cs="宋体"/>
          <w:color w:val="auto"/>
          <w:kern w:val="0"/>
          <w:szCs w:val="21"/>
          <w:highlight w:val="none"/>
        </w:rPr>
        <w:t>如需进一步了解详细内容，详见竞争性磋商采购文件。</w:t>
      </w:r>
      <w:bookmarkEnd w:id="20"/>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最高限价（如有）：</w:t>
      </w:r>
      <w:bookmarkStart w:id="21" w:name="OLE_LINK31"/>
      <w:r>
        <w:rPr>
          <w:rFonts w:hint="eastAsia" w:ascii="宋体" w:hAnsi="宋体" w:eastAsia="宋体" w:cs="宋体"/>
          <w:color w:val="auto"/>
          <w:szCs w:val="21"/>
          <w:highlight w:val="none"/>
          <w:lang w:val="en-US" w:eastAsia="zh-CN"/>
        </w:rPr>
        <w:t>417600.00</w:t>
      </w:r>
      <w:bookmarkEnd w:id="21"/>
    </w:p>
    <w:p>
      <w:pPr>
        <w:spacing w:line="360" w:lineRule="auto"/>
        <w:ind w:firstLine="420" w:firstLineChars="20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合同履行期限：</w:t>
      </w:r>
      <w:bookmarkStart w:id="22" w:name="OLE_LINK32"/>
      <w:r>
        <w:rPr>
          <w:rFonts w:hint="eastAsia" w:ascii="宋体" w:hAnsi="宋体" w:eastAsia="宋体" w:cs="宋体"/>
          <w:b w:val="0"/>
          <w:bCs w:val="0"/>
          <w:color w:val="auto"/>
          <w:kern w:val="0"/>
          <w:szCs w:val="22"/>
          <w:highlight w:val="none"/>
          <w:lang w:val="en-US" w:eastAsia="zh-CN"/>
        </w:rPr>
        <w:t>202</w:t>
      </w:r>
      <w:r>
        <w:rPr>
          <w:rFonts w:hint="eastAsia" w:ascii="宋体" w:hAnsi="宋体" w:cs="宋体"/>
          <w:b w:val="0"/>
          <w:bCs w:val="0"/>
          <w:color w:val="auto"/>
          <w:kern w:val="0"/>
          <w:szCs w:val="22"/>
          <w:highlight w:val="none"/>
          <w:lang w:val="en-US" w:eastAsia="zh-CN"/>
        </w:rPr>
        <w:t>6</w:t>
      </w:r>
      <w:r>
        <w:rPr>
          <w:rFonts w:hint="eastAsia" w:ascii="宋体" w:hAnsi="宋体" w:eastAsia="宋体" w:cs="宋体"/>
          <w:b w:val="0"/>
          <w:bCs w:val="0"/>
          <w:color w:val="auto"/>
          <w:kern w:val="0"/>
          <w:szCs w:val="22"/>
          <w:highlight w:val="none"/>
          <w:lang w:val="en-US" w:eastAsia="zh-CN"/>
        </w:rPr>
        <w:t>年12月31日前完成成果交付并通过验收。</w:t>
      </w:r>
      <w:bookmarkEnd w:id="22"/>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本标项（</w:t>
      </w:r>
      <w:r>
        <w:rPr>
          <w:rFonts w:hint="eastAsia" w:ascii="宋体" w:hAnsi="宋体" w:cs="宋体"/>
          <w:color w:val="auto"/>
          <w:szCs w:val="21"/>
          <w:highlight w:val="none"/>
          <w:lang w:eastAsia="zh-CN"/>
        </w:rPr>
        <w:t>是</w:t>
      </w:r>
      <w:r>
        <w:rPr>
          <w:rFonts w:hint="eastAsia" w:ascii="宋体" w:hAnsi="宋体" w:eastAsia="宋体" w:cs="宋体"/>
          <w:color w:val="auto"/>
          <w:szCs w:val="21"/>
          <w:highlight w:val="none"/>
        </w:rPr>
        <w:t>）接受联合体投标。</w:t>
      </w:r>
    </w:p>
    <w:p>
      <w:pPr>
        <w:ind w:firstLine="354" w:firstLineChars="147"/>
        <w:rPr>
          <w:rFonts w:hint="eastAsia" w:ascii="宋体" w:hAnsi="宋体" w:eastAsia="宋体" w:cs="宋体"/>
          <w:b/>
          <w:color w:val="auto"/>
          <w:sz w:val="24"/>
          <w:highlight w:val="none"/>
        </w:rPr>
      </w:pPr>
      <w:bookmarkStart w:id="23" w:name="_Toc35393799"/>
      <w:bookmarkStart w:id="24" w:name="_Toc28359090"/>
      <w:bookmarkStart w:id="25" w:name="_Toc35393630"/>
      <w:bookmarkStart w:id="26" w:name="_Toc71365906"/>
      <w:bookmarkStart w:id="27" w:name="_Toc44229879"/>
      <w:bookmarkStart w:id="28" w:name="_Toc28359013"/>
      <w:r>
        <w:rPr>
          <w:rFonts w:hint="eastAsia" w:ascii="宋体" w:hAnsi="宋体" w:eastAsia="宋体" w:cs="宋体"/>
          <w:b/>
          <w:color w:val="auto"/>
          <w:sz w:val="24"/>
          <w:highlight w:val="none"/>
        </w:rPr>
        <w:t>二、申请人的资格条件：</w:t>
      </w:r>
      <w:bookmarkEnd w:id="23"/>
      <w:bookmarkEnd w:id="24"/>
      <w:bookmarkEnd w:id="25"/>
      <w:bookmarkEnd w:id="26"/>
      <w:bookmarkEnd w:id="27"/>
      <w:bookmarkEnd w:id="28"/>
    </w:p>
    <w:p>
      <w:pPr>
        <w:keepNext w:val="0"/>
        <w:keepLines w:val="0"/>
        <w:pageBreakBefore w:val="0"/>
        <w:kinsoku/>
        <w:wordWrap/>
        <w:overflowPunct/>
        <w:topLinePunct w:val="0"/>
        <w:autoSpaceDE/>
        <w:autoSpaceDN/>
        <w:bidi w:val="0"/>
        <w:adjustRightInd/>
        <w:spacing w:line="440" w:lineRule="exact"/>
        <w:ind w:left="0" w:leftChars="0" w:firstLine="420" w:firstLineChars="200"/>
        <w:textAlignment w:val="auto"/>
        <w:rPr>
          <w:rFonts w:hint="eastAsia" w:ascii="宋体" w:hAnsi="宋体" w:eastAsia="宋体" w:cs="宋体"/>
          <w:color w:val="auto"/>
          <w:szCs w:val="21"/>
          <w:highlight w:val="none"/>
        </w:rPr>
      </w:pPr>
      <w:bookmarkStart w:id="29" w:name="_Toc35393631"/>
      <w:bookmarkStart w:id="30" w:name="_Toc28359091"/>
      <w:bookmarkStart w:id="31" w:name="_Toc28359014"/>
      <w:bookmarkStart w:id="32" w:name="_Toc44229880"/>
      <w:bookmarkStart w:id="33" w:name="_Toc35393800"/>
      <w:r>
        <w:rPr>
          <w:rFonts w:hint="eastAsia" w:ascii="宋体" w:hAnsi="宋体" w:eastAsia="宋体" w:cs="宋体"/>
          <w:color w:val="auto"/>
          <w:szCs w:val="21"/>
          <w:highlight w:val="none"/>
        </w:rPr>
        <w:t>1.满足《中华人民共和国政府采购法》第二十二条规定；</w:t>
      </w:r>
    </w:p>
    <w:p>
      <w:pPr>
        <w:pStyle w:val="11"/>
        <w:spacing w:line="38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2.落实政府采购政策需满足的资格要求：</w:t>
      </w:r>
    </w:p>
    <w:p>
      <w:pPr>
        <w:snapToGrid w:val="0"/>
        <w:spacing w:line="440" w:lineRule="exact"/>
        <w:ind w:firstLine="422" w:firstLineChars="200"/>
        <w:rPr>
          <w:rFonts w:hint="eastAsia" w:ascii="宋体" w:hAnsi="宋体" w:eastAsia="宋体"/>
          <w:color w:val="auto"/>
          <w:szCs w:val="21"/>
          <w:highlight w:val="none"/>
          <w:lang w:eastAsia="zh-CN"/>
        </w:rPr>
      </w:pPr>
      <w:bookmarkStart w:id="34" w:name="OLE_LINK35"/>
      <w:bookmarkStart w:id="35" w:name="OLE_LINK4"/>
      <w:r>
        <w:rPr>
          <w:rFonts w:hint="eastAsia" w:ascii="宋体" w:hAnsi="宋体" w:cs="Times New Roman"/>
          <w:b/>
          <w:bCs/>
          <w:color w:val="auto"/>
          <w:szCs w:val="21"/>
          <w:highlight w:val="none"/>
          <w:lang w:eastAsia="zh-CN"/>
        </w:rPr>
        <w:t>标项一：</w:t>
      </w:r>
      <w:r>
        <w:rPr>
          <w:rFonts w:hint="eastAsia" w:ascii="宋体" w:hAnsi="宋体" w:cs="Times New Roman"/>
          <w:color w:val="auto"/>
          <w:szCs w:val="21"/>
          <w:highlight w:val="none"/>
          <w:lang w:eastAsia="zh-CN"/>
        </w:rPr>
        <w:t>本标项为部分预留份额专门面向中小企业采购的项目，预留该部分采购项目合同总额的30%专门面向中小企业，其中预留给小微企业的比例不低于60%。（1）竞标人提供的服务由小微企业承接的，由竞标人按采购文件要</w:t>
      </w:r>
      <w:bookmarkStart w:id="36" w:name="OLE_LINK28"/>
      <w:r>
        <w:rPr>
          <w:rFonts w:hint="eastAsia" w:ascii="宋体" w:hAnsi="宋体" w:cs="Times New Roman"/>
          <w:color w:val="auto"/>
          <w:szCs w:val="21"/>
          <w:highlight w:val="none"/>
          <w:lang w:eastAsia="zh-CN"/>
        </w:rPr>
        <w:t>求出具《</w:t>
      </w:r>
      <w:r>
        <w:rPr>
          <w:rFonts w:hint="eastAsia" w:ascii="宋体" w:hAnsi="宋体" w:cs="Times New Roman"/>
          <w:color w:val="auto"/>
          <w:szCs w:val="21"/>
          <w:highlight w:val="none"/>
          <w:lang w:val="en-US" w:eastAsia="zh-CN"/>
        </w:rPr>
        <w:t>中</w:t>
      </w:r>
      <w:r>
        <w:rPr>
          <w:rFonts w:hint="eastAsia" w:ascii="宋体" w:hAnsi="宋体" w:cs="Times New Roman"/>
          <w:color w:val="auto"/>
          <w:szCs w:val="21"/>
          <w:highlight w:val="none"/>
          <w:lang w:eastAsia="zh-CN"/>
        </w:rPr>
        <w:t>小企业声明函》，</w:t>
      </w:r>
      <w:bookmarkStart w:id="37" w:name="OLE_LINK18"/>
      <w:bookmarkStart w:id="38" w:name="OLE_LINK19"/>
      <w:r>
        <w:rPr>
          <w:rFonts w:hint="eastAsia" w:ascii="宋体" w:hAnsi="宋体" w:cs="Times New Roman"/>
          <w:color w:val="auto"/>
          <w:szCs w:val="21"/>
          <w:highlight w:val="none"/>
          <w:lang w:eastAsia="zh-CN"/>
        </w:rPr>
        <w:t>小微</w:t>
      </w:r>
      <w:bookmarkEnd w:id="37"/>
      <w:r>
        <w:rPr>
          <w:rFonts w:hint="eastAsia" w:ascii="宋体" w:hAnsi="宋体" w:cs="Times New Roman"/>
          <w:color w:val="auto"/>
          <w:szCs w:val="21"/>
          <w:highlight w:val="none"/>
          <w:lang w:eastAsia="zh-CN"/>
        </w:rPr>
        <w:t>企业竞标</w:t>
      </w:r>
      <w:bookmarkEnd w:id="38"/>
      <w:r>
        <w:rPr>
          <w:rFonts w:hint="eastAsia" w:ascii="宋体" w:hAnsi="宋体" w:cs="Times New Roman"/>
          <w:color w:val="auto"/>
          <w:szCs w:val="21"/>
          <w:highlight w:val="none"/>
          <w:lang w:eastAsia="zh-CN"/>
        </w:rPr>
        <w:t>则不能分包；（2）大型企业参与竞标的，应将不低于30%的项目合同份额分包给一家或者多家中小微企业，其中分包给小微企业的比例不低于60%。且与接受分包合同的中小微企业之间不得存在直接控股、管理关系。（3）中型企业参与竞标的，应将不低于18%的项目合同份额分包给一家或者多家小微企业，且与接受分包合同的小微企业之间不得存在直接控股、管理关系。</w:t>
      </w:r>
      <w:bookmarkEnd w:id="34"/>
      <w:bookmarkStart w:id="39" w:name="OLE_LINK36"/>
      <w:r>
        <w:rPr>
          <w:rFonts w:hint="eastAsia" w:ascii="宋体" w:hAnsi="宋体" w:cs="Times New Roman"/>
          <w:b/>
          <w:bCs/>
          <w:color w:val="auto"/>
          <w:szCs w:val="21"/>
          <w:highlight w:val="none"/>
          <w:lang w:eastAsia="zh-CN"/>
        </w:rPr>
        <w:t>标项二：</w:t>
      </w:r>
      <w:r>
        <w:rPr>
          <w:rFonts w:hint="eastAsia" w:ascii="宋体" w:hAnsi="宋体" w:cs="Times New Roman"/>
          <w:color w:val="auto"/>
          <w:szCs w:val="21"/>
          <w:highlight w:val="none"/>
          <w:lang w:eastAsia="zh-CN"/>
        </w:rPr>
        <w:t>本标项为部分预留份额专门面向中小企业采购的项目，预留该部分采购项目合同总额的30%专门面向中小企业，其中预留给小微企业的比例不低于60%。（1）竞标人提供的服务由小微企业承接的，由竞标人按采购文件要求出具《</w:t>
      </w:r>
      <w:r>
        <w:rPr>
          <w:rFonts w:hint="eastAsia" w:ascii="宋体" w:hAnsi="宋体" w:cs="Times New Roman"/>
          <w:color w:val="auto"/>
          <w:szCs w:val="21"/>
          <w:highlight w:val="none"/>
          <w:lang w:val="en-US" w:eastAsia="zh-CN"/>
        </w:rPr>
        <w:t>中</w:t>
      </w:r>
      <w:r>
        <w:rPr>
          <w:rFonts w:hint="eastAsia" w:ascii="宋体" w:hAnsi="宋体" w:cs="Times New Roman"/>
          <w:color w:val="auto"/>
          <w:szCs w:val="21"/>
          <w:highlight w:val="none"/>
          <w:lang w:eastAsia="zh-CN"/>
        </w:rPr>
        <w:t>小企业声明函》；（2）</w:t>
      </w:r>
      <w:bookmarkEnd w:id="36"/>
      <w:r>
        <w:rPr>
          <w:rFonts w:hint="eastAsia" w:ascii="宋体" w:hAnsi="宋体" w:cs="Times New Roman"/>
          <w:color w:val="auto"/>
          <w:szCs w:val="21"/>
          <w:highlight w:val="none"/>
          <w:lang w:eastAsia="zh-CN"/>
        </w:rPr>
        <w:t>该标项不允许分包，若为联合体竞标的，联合体成员之一必须是中小微企业，中小微企业成员实施内容不低于30%（其中小微企业成员实施内容不低于60%）。</w:t>
      </w:r>
    </w:p>
    <w:bookmarkEnd w:id="35"/>
    <w:bookmarkEnd w:id="39"/>
    <w:p>
      <w:pPr>
        <w:keepNext w:val="0"/>
        <w:keepLines w:val="0"/>
        <w:pageBreakBefore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3.本项目的特定资格要求：</w:t>
      </w:r>
      <w:bookmarkStart w:id="40" w:name="OLE_LINK34"/>
      <w:r>
        <w:rPr>
          <w:rFonts w:hint="eastAsia" w:ascii="宋体" w:hAnsi="宋体" w:eastAsia="宋体" w:cs="宋体"/>
          <w:color w:val="auto"/>
          <w:szCs w:val="21"/>
          <w:highlight w:val="none"/>
        </w:rPr>
        <w:t>无</w:t>
      </w:r>
      <w:bookmarkEnd w:id="40"/>
    </w:p>
    <w:p>
      <w:pPr>
        <w:keepNext w:val="0"/>
        <w:keepLines w:val="0"/>
        <w:pageBreakBefore w:val="0"/>
        <w:kinsoku/>
        <w:wordWrap/>
        <w:overflowPunct/>
        <w:topLinePunct w:val="0"/>
        <w:autoSpaceDE/>
        <w:autoSpaceDN/>
        <w:bidi w:val="0"/>
        <w:adjustRightInd/>
        <w:spacing w:line="44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4.本项目的特定条件：无</w:t>
      </w:r>
    </w:p>
    <w:p>
      <w:pPr>
        <w:keepNext w:val="0"/>
        <w:keepLines w:val="0"/>
        <w:pageBreakBefore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keepNext w:val="0"/>
        <w:keepLines w:val="0"/>
        <w:pageBreakBefore w:val="0"/>
        <w:kinsoku/>
        <w:wordWrap/>
        <w:overflowPunct/>
        <w:topLinePunct w:val="0"/>
        <w:autoSpaceDE/>
        <w:autoSpaceDN/>
        <w:bidi w:val="0"/>
        <w:adjustRightInd/>
        <w:spacing w:line="44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 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pPr>
        <w:spacing w:line="360" w:lineRule="auto"/>
        <w:ind w:firstLine="482" w:firstLineChars="200"/>
        <w:rPr>
          <w:rFonts w:hint="eastAsia" w:ascii="宋体" w:hAnsi="宋体" w:eastAsia="宋体" w:cs="宋体"/>
          <w:b/>
          <w:color w:val="auto"/>
          <w:sz w:val="24"/>
          <w:highlight w:val="none"/>
        </w:rPr>
      </w:pPr>
      <w:bookmarkStart w:id="41" w:name="_Toc71365907"/>
      <w:r>
        <w:rPr>
          <w:rFonts w:hint="eastAsia" w:ascii="宋体" w:hAnsi="宋体" w:eastAsia="宋体" w:cs="宋体"/>
          <w:b/>
          <w:color w:val="auto"/>
          <w:sz w:val="24"/>
          <w:highlight w:val="none"/>
        </w:rPr>
        <w:t>三、获取竞争性磋商文件</w:t>
      </w:r>
      <w:bookmarkEnd w:id="29"/>
      <w:bookmarkEnd w:id="30"/>
      <w:bookmarkEnd w:id="31"/>
      <w:bookmarkEnd w:id="32"/>
      <w:bookmarkEnd w:id="33"/>
      <w:bookmarkEnd w:id="41"/>
    </w:p>
    <w:p>
      <w:pPr>
        <w:spacing w:line="360" w:lineRule="auto"/>
        <w:ind w:firstLine="420" w:firstLineChars="200"/>
        <w:rPr>
          <w:rFonts w:hint="eastAsia" w:ascii="宋体" w:hAnsi="宋体" w:eastAsia="宋体" w:cs="宋体"/>
          <w:color w:val="auto"/>
          <w:highlight w:val="none"/>
        </w:rPr>
      </w:pPr>
      <w:bookmarkStart w:id="42" w:name="_Toc28359082"/>
      <w:bookmarkStart w:id="43" w:name="_Toc28359015"/>
      <w:bookmarkStart w:id="44" w:name="_Toc35393801"/>
      <w:bookmarkStart w:id="45" w:name="_Toc28359092"/>
      <w:bookmarkStart w:id="46" w:name="_Toc44229881"/>
      <w:bookmarkStart w:id="47" w:name="_Toc35393632"/>
      <w:r>
        <w:rPr>
          <w:rFonts w:hint="eastAsia" w:ascii="宋体" w:hAnsi="宋体" w:eastAsia="宋体" w:cs="宋体"/>
          <w:color w:val="auto"/>
          <w:highlight w:val="none"/>
        </w:rPr>
        <w:t>时间：202</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年</w:t>
      </w:r>
      <w:r>
        <w:rPr>
          <w:rFonts w:hint="eastAsia" w:ascii="宋体" w:hAnsi="宋体" w:cs="宋体"/>
          <w:color w:val="auto"/>
          <w:highlight w:val="none"/>
          <w:lang w:val="en-US" w:eastAsia="zh-CN"/>
        </w:rPr>
        <w:t>3</w:t>
      </w:r>
      <w:r>
        <w:rPr>
          <w:rFonts w:hint="eastAsia" w:ascii="宋体" w:hAnsi="宋体" w:eastAsia="宋体" w:cs="宋体"/>
          <w:color w:val="auto"/>
          <w:highlight w:val="none"/>
        </w:rPr>
        <w:t>月</w:t>
      </w:r>
      <w:r>
        <w:rPr>
          <w:rFonts w:hint="eastAsia" w:ascii="宋体" w:hAnsi="宋体" w:cs="宋体"/>
          <w:color w:val="auto"/>
          <w:highlight w:val="none"/>
          <w:lang w:val="en-US" w:eastAsia="zh-CN"/>
        </w:rPr>
        <w:t>27</w:t>
      </w:r>
      <w:r>
        <w:rPr>
          <w:rFonts w:hint="eastAsia" w:ascii="宋体" w:hAnsi="宋体" w:eastAsia="宋体" w:cs="宋体"/>
          <w:color w:val="auto"/>
          <w:highlight w:val="none"/>
        </w:rPr>
        <w:t>日至202</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年</w:t>
      </w:r>
      <w:r>
        <w:rPr>
          <w:rFonts w:hint="eastAsia" w:ascii="宋体" w:hAnsi="宋体" w:cs="宋体"/>
          <w:color w:val="auto"/>
          <w:highlight w:val="none"/>
          <w:lang w:val="en-US" w:eastAsia="zh-CN"/>
        </w:rPr>
        <w:t>4</w:t>
      </w:r>
      <w:r>
        <w:rPr>
          <w:rFonts w:hint="eastAsia" w:ascii="宋体" w:hAnsi="宋体" w:eastAsia="宋体" w:cs="宋体"/>
          <w:color w:val="auto"/>
          <w:highlight w:val="none"/>
        </w:rPr>
        <w:t>月</w:t>
      </w:r>
      <w:r>
        <w:rPr>
          <w:rFonts w:hint="eastAsia" w:ascii="宋体" w:hAnsi="宋体" w:cs="宋体"/>
          <w:color w:val="auto"/>
          <w:highlight w:val="none"/>
          <w:lang w:val="en-US" w:eastAsia="zh-CN"/>
        </w:rPr>
        <w:t>3</w:t>
      </w:r>
      <w:r>
        <w:rPr>
          <w:rFonts w:hint="eastAsia" w:ascii="宋体" w:hAnsi="宋体" w:eastAsia="宋体" w:cs="宋体"/>
          <w:color w:val="auto"/>
          <w:highlight w:val="none"/>
        </w:rPr>
        <w:t>日，每天上午0</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:00至1</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59</w:t>
      </w:r>
      <w:r>
        <w:rPr>
          <w:rFonts w:hint="eastAsia" w:ascii="宋体" w:hAnsi="宋体" w:eastAsia="宋体" w:cs="宋体"/>
          <w:color w:val="auto"/>
          <w:highlight w:val="none"/>
        </w:rPr>
        <w:t>，下午1</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:00至</w:t>
      </w:r>
      <w:r>
        <w:rPr>
          <w:rFonts w:hint="eastAsia" w:ascii="宋体" w:hAnsi="宋体" w:eastAsia="宋体" w:cs="宋体"/>
          <w:color w:val="auto"/>
          <w:highlight w:val="none"/>
          <w:lang w:val="en-US" w:eastAsia="zh-CN"/>
        </w:rPr>
        <w:t>23</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59</w:t>
      </w:r>
      <w:r>
        <w:rPr>
          <w:rFonts w:hint="eastAsia" w:ascii="宋体" w:hAnsi="宋体" w:eastAsia="宋体" w:cs="宋体"/>
          <w:color w:val="auto"/>
          <w:highlight w:val="none"/>
        </w:rPr>
        <w:t>（北京时间，法定节假日除外）</w:t>
      </w:r>
      <w:bookmarkEnd w:id="42"/>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rPr>
        <w:t>地点</w:t>
      </w:r>
      <w:r>
        <w:rPr>
          <w:rFonts w:hint="eastAsia" w:ascii="宋体" w:hAnsi="宋体" w:eastAsia="宋体" w:cs="宋体"/>
          <w:color w:val="auto"/>
          <w:highlight w:val="none"/>
        </w:rPr>
        <w:t>（网址）</w:t>
      </w:r>
      <w:r>
        <w:rPr>
          <w:rFonts w:hint="eastAsia" w:ascii="宋体" w:hAnsi="宋体" w:eastAsia="宋体" w:cs="宋体"/>
          <w:bCs/>
          <w:color w:val="auto"/>
          <w:kern w:val="0"/>
          <w:szCs w:val="21"/>
          <w:highlight w:val="none"/>
        </w:rPr>
        <w:t>：</w:t>
      </w:r>
      <w:bookmarkStart w:id="48" w:name="OLE_LINK37"/>
      <w:r>
        <w:rPr>
          <w:rFonts w:hint="eastAsia" w:ascii="宋体" w:hAnsi="宋体" w:eastAsia="宋体" w:cs="宋体"/>
          <w:bCs/>
          <w:color w:val="auto"/>
          <w:kern w:val="0"/>
          <w:szCs w:val="21"/>
          <w:highlight w:val="none"/>
        </w:rPr>
        <w:t>广西政府采购云平台（https://www.gcy.zfcg.gxzf.gov.cn/）</w:t>
      </w:r>
      <w:bookmarkEnd w:id="48"/>
    </w:p>
    <w:p>
      <w:pPr>
        <w:spacing w:line="360" w:lineRule="auto"/>
        <w:ind w:firstLine="420" w:firstLineChars="200"/>
        <w:rPr>
          <w:rFonts w:hint="eastAsia" w:ascii="宋体" w:hAnsi="宋体" w:eastAsia="宋体" w:cs="宋体"/>
          <w:b/>
          <w:bCs/>
          <w:color w:val="auto"/>
          <w:highlight w:val="none"/>
        </w:rPr>
      </w:pPr>
      <w:r>
        <w:rPr>
          <w:rFonts w:hint="eastAsia" w:ascii="宋体" w:hAnsi="宋体" w:eastAsia="宋体" w:cs="宋体"/>
          <w:color w:val="auto"/>
          <w:highlight w:val="none"/>
        </w:rPr>
        <w:t>获取方式:</w:t>
      </w:r>
      <w:bookmarkStart w:id="49" w:name="OLE_LINK38"/>
      <w:r>
        <w:rPr>
          <w:rFonts w:hint="eastAsia" w:ascii="宋体" w:hAnsi="宋体" w:eastAsia="宋体" w:cs="宋体"/>
          <w:color w:val="auto"/>
          <w:highlight w:val="none"/>
        </w:rPr>
        <w:t>网上下载。本项目不发放纸质采购文件，供应商可自行在</w:t>
      </w:r>
      <w:r>
        <w:rPr>
          <w:rFonts w:hint="eastAsia" w:ascii="宋体" w:hAnsi="宋体" w:eastAsia="宋体" w:cs="宋体"/>
          <w:color w:val="auto"/>
          <w:szCs w:val="21"/>
          <w:highlight w:val="none"/>
        </w:rPr>
        <w:t>广西政府采购云平台（https://www.gcy.zfcg.gxzf.gov.cn/）</w:t>
      </w:r>
      <w:r>
        <w:rPr>
          <w:rFonts w:hint="eastAsia" w:ascii="宋体" w:hAnsi="宋体" w:eastAsia="宋体" w:cs="宋体"/>
          <w:color w:val="auto"/>
          <w:highlight w:val="none"/>
        </w:rPr>
        <w:t>下载采购文件（操作路径：登录</w:t>
      </w:r>
      <w:r>
        <w:rPr>
          <w:rFonts w:hint="eastAsia" w:ascii="宋体" w:hAnsi="宋体" w:eastAsia="宋体" w:cs="宋体"/>
          <w:color w:val="auto"/>
          <w:szCs w:val="21"/>
          <w:highlight w:val="none"/>
        </w:rPr>
        <w:t>广西政府采购云平台</w:t>
      </w:r>
      <w:r>
        <w:rPr>
          <w:rFonts w:hint="eastAsia" w:ascii="宋体" w:hAnsi="宋体" w:eastAsia="宋体" w:cs="宋体"/>
          <w:color w:val="auto"/>
          <w:highlight w:val="none"/>
        </w:rPr>
        <w:t>-项目采购-获取采购文件-找到本项目-点击“申请获取采购文件”），电子响应文件制作需要基于广西政府采购云平台（https://www.gcy.zfcg.gxzf.gov.cn/）获取的采购文件编制。</w:t>
      </w:r>
      <w:bookmarkEnd w:id="49"/>
    </w:p>
    <w:p>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售价：0元。</w:t>
      </w:r>
      <w:bookmarkStart w:id="50" w:name="_Toc71365908"/>
    </w:p>
    <w:p>
      <w:pPr>
        <w:ind w:firstLine="354" w:firstLineChars="147"/>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四、响应文件提交</w:t>
      </w:r>
      <w:bookmarkEnd w:id="43"/>
      <w:bookmarkEnd w:id="44"/>
      <w:bookmarkEnd w:id="45"/>
      <w:bookmarkEnd w:id="46"/>
      <w:bookmarkEnd w:id="47"/>
      <w:bookmarkEnd w:id="50"/>
    </w:p>
    <w:p>
      <w:pPr>
        <w:spacing w:line="360" w:lineRule="auto"/>
        <w:ind w:firstLine="420" w:firstLineChars="200"/>
        <w:rPr>
          <w:rFonts w:hint="eastAsia" w:ascii="宋体" w:hAnsi="宋体" w:eastAsia="宋体" w:cs="宋体"/>
          <w:color w:val="auto"/>
          <w:szCs w:val="21"/>
          <w:highlight w:val="none"/>
          <w:u w:val="single"/>
        </w:rPr>
      </w:pPr>
      <w:bookmarkStart w:id="51" w:name="_Toc35393802"/>
      <w:bookmarkStart w:id="52" w:name="_Toc35393633"/>
      <w:bookmarkStart w:id="53" w:name="_Toc28359016"/>
      <w:bookmarkStart w:id="54" w:name="_Toc28359093"/>
      <w:bookmarkStart w:id="55" w:name="_Toc44229882"/>
      <w:bookmarkStart w:id="56" w:name="_Toc71365909"/>
      <w:r>
        <w:rPr>
          <w:rFonts w:hint="eastAsia" w:ascii="宋体" w:hAnsi="宋体" w:eastAsia="宋体" w:cs="宋体"/>
          <w:color w:val="auto"/>
          <w:szCs w:val="21"/>
          <w:highlight w:val="none"/>
        </w:rPr>
        <w:t>截止时间：202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日</w:t>
      </w:r>
      <w:r>
        <w:rPr>
          <w:rFonts w:hint="eastAsia" w:ascii="宋体" w:hAnsi="宋体" w:cs="宋体"/>
          <w:color w:val="auto"/>
          <w:szCs w:val="21"/>
          <w:highlight w:val="none"/>
          <w:lang w:val="en-US" w:eastAsia="zh-CN"/>
        </w:rPr>
        <w:t>15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0</w:t>
      </w:r>
      <w:r>
        <w:rPr>
          <w:rFonts w:hint="eastAsia" w:ascii="宋体" w:hAnsi="宋体" w:eastAsia="宋体" w:cs="宋体"/>
          <w:bCs/>
          <w:color w:val="auto"/>
          <w:szCs w:val="21"/>
          <w:highlight w:val="none"/>
        </w:rPr>
        <w:t>（北京时间）</w:t>
      </w:r>
    </w:p>
    <w:p>
      <w:pPr>
        <w:spacing w:line="360" w:lineRule="auto"/>
        <w:ind w:firstLine="420" w:firstLineChars="200"/>
        <w:rPr>
          <w:rFonts w:hint="eastAsia" w:ascii="宋体" w:hAnsi="宋体" w:eastAsia="宋体" w:cs="宋体"/>
          <w:b/>
          <w:color w:val="auto"/>
          <w:sz w:val="24"/>
          <w:highlight w:val="none"/>
        </w:rPr>
      </w:pPr>
      <w:r>
        <w:rPr>
          <w:rFonts w:hint="eastAsia" w:ascii="宋体" w:hAnsi="宋体" w:eastAsia="宋体" w:cs="宋体"/>
          <w:color w:val="auto"/>
          <w:szCs w:val="21"/>
          <w:highlight w:val="none"/>
        </w:rPr>
        <w:t>地点：请登录广西政府采购云平台投标客户端投标</w:t>
      </w:r>
    </w:p>
    <w:p>
      <w:pPr>
        <w:spacing w:line="360" w:lineRule="auto"/>
        <w:ind w:firstLine="482" w:firstLineChars="200"/>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t>五、开启</w:t>
      </w:r>
      <w:bookmarkEnd w:id="51"/>
      <w:bookmarkEnd w:id="52"/>
      <w:bookmarkEnd w:id="53"/>
      <w:bookmarkEnd w:id="54"/>
      <w:bookmarkEnd w:id="55"/>
      <w:bookmarkEnd w:id="56"/>
      <w:r>
        <w:rPr>
          <w:rFonts w:hint="eastAsia" w:ascii="宋体" w:hAnsi="宋体" w:eastAsia="宋体" w:cs="宋体"/>
          <w:b/>
          <w:color w:val="auto"/>
          <w:sz w:val="24"/>
          <w:highlight w:val="none"/>
          <w:lang w:eastAsia="zh-CN"/>
        </w:rPr>
        <w:t>（</w:t>
      </w:r>
      <w:r>
        <w:rPr>
          <w:rFonts w:hint="eastAsia" w:ascii="宋体" w:hAnsi="宋体" w:eastAsia="宋体" w:cs="宋体"/>
          <w:b/>
          <w:bCs/>
          <w:color w:val="auto"/>
          <w:highlight w:val="none"/>
        </w:rPr>
        <w:t>首次响应文件开启时间</w:t>
      </w:r>
      <w:r>
        <w:rPr>
          <w:rFonts w:hint="eastAsia" w:ascii="宋体" w:hAnsi="宋体" w:eastAsia="宋体" w:cs="宋体"/>
          <w:b/>
          <w:bCs/>
          <w:color w:val="auto"/>
          <w:highlight w:val="none"/>
          <w:lang w:eastAsia="zh-CN"/>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1.时间：202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日</w:t>
      </w:r>
      <w:r>
        <w:rPr>
          <w:rFonts w:hint="eastAsia" w:ascii="宋体" w:hAnsi="宋体" w:cs="宋体"/>
          <w:color w:val="auto"/>
          <w:szCs w:val="21"/>
          <w:highlight w:val="none"/>
          <w:lang w:val="en-US" w:eastAsia="zh-CN"/>
        </w:rPr>
        <w:t>15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0</w:t>
      </w:r>
      <w:r>
        <w:rPr>
          <w:rFonts w:hint="eastAsia" w:ascii="宋体" w:hAnsi="宋体" w:eastAsia="宋体" w:cs="宋体"/>
          <w:bCs/>
          <w:color w:val="auto"/>
          <w:szCs w:val="21"/>
          <w:highlight w:val="none"/>
        </w:rPr>
        <w:t>（北京时间）</w:t>
      </w:r>
    </w:p>
    <w:p>
      <w:pPr>
        <w:spacing w:line="360" w:lineRule="auto"/>
        <w:ind w:firstLine="420" w:firstLineChars="200"/>
        <w:rPr>
          <w:rFonts w:hint="eastAsia" w:ascii="宋体" w:hAnsi="宋体" w:eastAsia="宋体" w:cs="宋体"/>
          <w:bCs/>
          <w:color w:val="auto"/>
          <w:szCs w:val="21"/>
          <w:highlight w:val="none"/>
          <w:u w:val="single"/>
        </w:rPr>
      </w:pPr>
      <w:r>
        <w:rPr>
          <w:rFonts w:hint="eastAsia" w:ascii="宋体" w:hAnsi="宋体" w:eastAsia="宋体" w:cs="宋体"/>
          <w:color w:val="auto"/>
          <w:szCs w:val="21"/>
          <w:highlight w:val="none"/>
        </w:rPr>
        <w:t>2.地点：广西政府采购云平台（https://www.gcy.zfcg.gxzf.gov.cn/） </w:t>
      </w:r>
    </w:p>
    <w:p>
      <w:pPr>
        <w:ind w:firstLine="354" w:firstLineChars="147"/>
        <w:rPr>
          <w:rFonts w:hint="eastAsia" w:ascii="宋体" w:hAnsi="宋体" w:eastAsia="宋体" w:cs="宋体"/>
          <w:b/>
          <w:color w:val="auto"/>
          <w:sz w:val="24"/>
          <w:highlight w:val="none"/>
        </w:rPr>
      </w:pPr>
      <w:bookmarkStart w:id="57" w:name="_Toc28359017"/>
      <w:bookmarkStart w:id="58" w:name="_Toc44229883"/>
      <w:bookmarkStart w:id="59" w:name="_Toc28359094"/>
      <w:bookmarkStart w:id="60" w:name="_Toc35393634"/>
      <w:bookmarkStart w:id="61" w:name="_Toc71365910"/>
      <w:bookmarkStart w:id="62" w:name="_Toc35393803"/>
      <w:r>
        <w:rPr>
          <w:rFonts w:hint="eastAsia" w:ascii="宋体" w:hAnsi="宋体" w:eastAsia="宋体" w:cs="宋体"/>
          <w:b/>
          <w:color w:val="auto"/>
          <w:sz w:val="24"/>
          <w:highlight w:val="none"/>
        </w:rPr>
        <w:t>六、公告期限</w:t>
      </w:r>
      <w:bookmarkEnd w:id="57"/>
      <w:bookmarkEnd w:id="58"/>
      <w:bookmarkEnd w:id="59"/>
      <w:bookmarkEnd w:id="60"/>
      <w:bookmarkEnd w:id="61"/>
      <w:bookmarkEnd w:id="62"/>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pPr>
        <w:ind w:firstLine="354" w:firstLineChars="147"/>
        <w:rPr>
          <w:rFonts w:hint="eastAsia" w:ascii="宋体" w:hAnsi="宋体" w:eastAsia="宋体" w:cs="宋体"/>
          <w:b/>
          <w:color w:val="auto"/>
          <w:sz w:val="24"/>
          <w:highlight w:val="none"/>
        </w:rPr>
      </w:pPr>
      <w:bookmarkStart w:id="63" w:name="_Toc35393635"/>
      <w:bookmarkStart w:id="64" w:name="_Toc35393804"/>
      <w:bookmarkStart w:id="65" w:name="_Toc44229884"/>
      <w:bookmarkStart w:id="66" w:name="_Toc71365911"/>
      <w:r>
        <w:rPr>
          <w:rFonts w:hint="eastAsia" w:ascii="宋体" w:hAnsi="宋体" w:eastAsia="宋体" w:cs="宋体"/>
          <w:b/>
          <w:color w:val="auto"/>
          <w:sz w:val="24"/>
          <w:highlight w:val="none"/>
        </w:rPr>
        <w:t>七、其他补充事宜</w:t>
      </w:r>
      <w:bookmarkEnd w:id="63"/>
      <w:bookmarkEnd w:id="64"/>
      <w:bookmarkEnd w:id="65"/>
      <w:bookmarkEnd w:id="66"/>
    </w:p>
    <w:p>
      <w:pPr>
        <w:spacing w:line="360" w:lineRule="auto"/>
        <w:ind w:firstLine="420" w:firstLineChars="200"/>
        <w:outlineLvl w:val="9"/>
        <w:rPr>
          <w:rFonts w:hint="eastAsia" w:ascii="宋体" w:hAnsi="宋体" w:eastAsia="宋体" w:cs="宋体"/>
          <w:color w:val="auto"/>
          <w:kern w:val="0"/>
          <w:szCs w:val="21"/>
          <w:highlight w:val="none"/>
        </w:rPr>
      </w:pPr>
      <w:bookmarkStart w:id="67" w:name="OLE_LINK39"/>
      <w:r>
        <w:rPr>
          <w:rFonts w:hint="eastAsia" w:ascii="宋体" w:hAnsi="宋体" w:eastAsia="宋体" w:cs="宋体"/>
          <w:color w:val="auto"/>
          <w:kern w:val="0"/>
          <w:szCs w:val="21"/>
          <w:highlight w:val="none"/>
        </w:rPr>
        <w:t>1.磋商保证金：</w:t>
      </w:r>
      <w:r>
        <w:rPr>
          <w:rFonts w:hint="eastAsia" w:ascii="宋体" w:hAnsi="宋体" w:cs="宋体"/>
          <w:color w:val="auto"/>
          <w:kern w:val="0"/>
          <w:szCs w:val="21"/>
          <w:highlight w:val="none"/>
          <w:lang w:eastAsia="zh-CN"/>
        </w:rPr>
        <w:t>本项目不收取磋商保证金</w:t>
      </w:r>
      <w:r>
        <w:rPr>
          <w:rFonts w:hint="eastAsia" w:ascii="宋体" w:hAnsi="宋体" w:eastAsia="宋体" w:cs="宋体"/>
          <w:color w:val="auto"/>
          <w:kern w:val="0"/>
          <w:szCs w:val="21"/>
          <w:highlight w:val="none"/>
        </w:rPr>
        <w:t>。</w:t>
      </w:r>
    </w:p>
    <w:p>
      <w:pPr>
        <w:widowControl/>
        <w:spacing w:line="360" w:lineRule="auto"/>
        <w:ind w:firstLine="422" w:firstLineChars="200"/>
        <w:rPr>
          <w:rFonts w:hint="eastAsia" w:ascii="宋体" w:hAnsi="宋体" w:eastAsia="宋体" w:cs="宋体"/>
          <w:color w:val="auto"/>
          <w:kern w:val="0"/>
          <w:szCs w:val="21"/>
          <w:highlight w:val="none"/>
          <w:lang w:val="en-US" w:eastAsia="zh-CN"/>
        </w:rPr>
      </w:pPr>
      <w:r>
        <w:rPr>
          <w:rFonts w:hint="eastAsia" w:ascii="宋体" w:hAnsi="宋体" w:cs="宋体"/>
          <w:b/>
          <w:color w:val="auto"/>
          <w:sz w:val="21"/>
          <w:szCs w:val="21"/>
          <w:highlight w:val="none"/>
          <w:lang w:val="en-US" w:eastAsia="zh-CN" w:bidi="ar"/>
        </w:rPr>
        <w:t>2</w:t>
      </w:r>
      <w:r>
        <w:rPr>
          <w:rFonts w:hint="eastAsia" w:ascii="宋体" w:hAnsi="宋体" w:cs="宋体"/>
          <w:b/>
          <w:color w:val="auto"/>
          <w:sz w:val="21"/>
          <w:szCs w:val="21"/>
          <w:highlight w:val="none"/>
          <w:lang w:bidi="ar"/>
        </w:rPr>
        <w:t>、各供应商可对所有分标进行竞标，但只允许成交1个分标,按评审顺序（1分标→2分标），已被推选为某分标第一成交候选人的，</w:t>
      </w:r>
      <w:r>
        <w:rPr>
          <w:rFonts w:hint="eastAsia" w:ascii="宋体" w:hAnsi="宋体" w:cs="宋体"/>
          <w:b/>
          <w:color w:val="auto"/>
          <w:sz w:val="21"/>
          <w:szCs w:val="21"/>
          <w:highlight w:val="none"/>
          <w:lang w:val="en-US" w:eastAsia="zh-CN" w:bidi="ar"/>
        </w:rPr>
        <w:t>可继续参与其他分标评审，但</w:t>
      </w:r>
      <w:r>
        <w:rPr>
          <w:rFonts w:hint="eastAsia" w:ascii="宋体" w:hAnsi="宋体" w:cs="宋体"/>
          <w:b/>
          <w:color w:val="auto"/>
          <w:sz w:val="21"/>
          <w:szCs w:val="21"/>
          <w:highlight w:val="none"/>
          <w:lang w:bidi="ar"/>
        </w:rPr>
        <w:t>不再推选为其他分标的成交候选人。</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.网上查询地址</w:t>
      </w:r>
    </w:p>
    <w:p>
      <w:pPr>
        <w:spacing w:line="360" w:lineRule="auto"/>
        <w:ind w:firstLine="420" w:firstLineChars="200"/>
        <w:rPr>
          <w:rFonts w:hint="eastAsia" w:ascii="宋体" w:hAnsi="宋体" w:eastAsia="宋体" w:cs="宋体"/>
          <w:color w:val="auto"/>
          <w:kern w:val="0"/>
          <w:szCs w:val="21"/>
          <w:highlight w:val="none"/>
          <w:lang w:val="en"/>
        </w:rPr>
      </w:pPr>
      <w:r>
        <w:rPr>
          <w:rFonts w:hint="eastAsia" w:ascii="宋体" w:hAnsi="宋体" w:eastAsia="宋体" w:cs="宋体"/>
          <w:color w:val="auto"/>
          <w:kern w:val="0"/>
          <w:szCs w:val="21"/>
          <w:highlight w:val="none"/>
        </w:rPr>
        <w:t>www.ccgp.gov.cn（中国政府采购网）、zfcg.gxzf.gov.cn（广西壮族自治区政府采购网）、</w:t>
      </w:r>
      <w:r>
        <w:rPr>
          <w:rFonts w:hint="eastAsia" w:ascii="宋体" w:hAnsi="宋体" w:eastAsia="宋体" w:cs="宋体"/>
          <w:color w:val="auto"/>
          <w:kern w:val="0"/>
          <w:szCs w:val="21"/>
          <w:highlight w:val="none"/>
          <w:lang w:val="en"/>
        </w:rPr>
        <w:t>http://www.guangxibid.com.cn/（</w:t>
      </w:r>
      <w:r>
        <w:rPr>
          <w:rFonts w:hint="eastAsia" w:ascii="宋体" w:hAnsi="宋体" w:eastAsia="宋体" w:cs="宋体"/>
          <w:color w:val="auto"/>
          <w:szCs w:val="21"/>
          <w:highlight w:val="none"/>
          <w:lang w:eastAsia="zh-CN"/>
        </w:rPr>
        <w:t>广西招标网</w:t>
      </w:r>
      <w:r>
        <w:rPr>
          <w:rFonts w:hint="eastAsia" w:ascii="宋体" w:hAnsi="宋体" w:eastAsia="宋体" w:cs="宋体"/>
          <w:color w:val="auto"/>
          <w:kern w:val="0"/>
          <w:szCs w:val="21"/>
          <w:highlight w:val="none"/>
          <w:lang w:val="en"/>
        </w:rPr>
        <w:t>）</w:t>
      </w:r>
    </w:p>
    <w:p>
      <w:pPr>
        <w:numPr>
          <w:ilvl w:val="0"/>
          <w:numId w:val="0"/>
        </w:numPr>
        <w:spacing w:line="360" w:lineRule="auto"/>
        <w:ind w:firstLine="424" w:firstLineChars="202"/>
        <w:rPr>
          <w:rFonts w:hint="eastAsia" w:ascii="宋体" w:hAnsi="宋体" w:eastAsia="宋体" w:cs="宋体"/>
          <w:color w:val="auto"/>
          <w:kern w:val="0"/>
          <w:szCs w:val="21"/>
          <w:highlight w:val="none"/>
          <w:lang w:eastAsia="zh-CN"/>
        </w:rPr>
      </w:pPr>
      <w:r>
        <w:rPr>
          <w:rFonts w:hint="eastAsia" w:ascii="宋体" w:hAnsi="宋体" w:cs="宋体"/>
          <w:color w:val="auto"/>
          <w:kern w:val="0"/>
          <w:sz w:val="21"/>
          <w:szCs w:val="21"/>
          <w:highlight w:val="none"/>
          <w:lang w:val="en-US" w:eastAsia="zh-CN" w:bidi="ar-SA"/>
        </w:rPr>
        <w:t>4</w:t>
      </w:r>
      <w:r>
        <w:rPr>
          <w:rFonts w:hint="eastAsia" w:ascii="宋体" w:hAnsi="宋体" w:eastAsia="宋体" w:cs="宋体"/>
          <w:color w:val="auto"/>
          <w:kern w:val="0"/>
          <w:sz w:val="21"/>
          <w:szCs w:val="21"/>
          <w:highlight w:val="none"/>
          <w:lang w:val="en-US" w:eastAsia="zh-CN" w:bidi="ar-SA"/>
        </w:rPr>
        <w:t>.</w:t>
      </w:r>
      <w:r>
        <w:rPr>
          <w:rFonts w:hint="eastAsia" w:ascii="宋体" w:hAnsi="宋体" w:eastAsia="宋体" w:cs="宋体"/>
          <w:color w:val="auto"/>
          <w:kern w:val="0"/>
          <w:szCs w:val="21"/>
          <w:highlight w:val="none"/>
        </w:rPr>
        <w:t>采购意向公开链接</w:t>
      </w:r>
      <w:r>
        <w:rPr>
          <w:rFonts w:hint="eastAsia" w:ascii="宋体" w:hAnsi="宋体" w:eastAsia="宋体" w:cs="宋体"/>
          <w:color w:val="auto"/>
          <w:kern w:val="0"/>
          <w:szCs w:val="21"/>
          <w:highlight w:val="none"/>
          <w:lang w:eastAsia="zh-CN"/>
        </w:rPr>
        <w:t>：</w:t>
      </w:r>
    </w:p>
    <w:p>
      <w:pPr>
        <w:numPr>
          <w:ilvl w:val="-1"/>
          <w:numId w:val="0"/>
        </w:numPr>
        <w:spacing w:line="360" w:lineRule="auto"/>
        <w:ind w:firstLine="420" w:firstLineChars="200"/>
        <w:rPr>
          <w:rFonts w:hint="eastAsia" w:ascii="宋体" w:hAnsi="宋体" w:eastAsia="宋体" w:cs="宋体"/>
          <w:color w:val="auto"/>
          <w:highlight w:val="none"/>
          <w:lang w:val="en"/>
        </w:rPr>
      </w:pPr>
      <w:bookmarkStart w:id="68" w:name="OLE_LINK3"/>
      <w:bookmarkStart w:id="69" w:name="OLE_LINK1"/>
      <w:r>
        <w:rPr>
          <w:rFonts w:hint="eastAsia" w:ascii="宋体" w:hAnsi="宋体" w:eastAsia="宋体" w:cs="宋体"/>
          <w:color w:val="auto"/>
          <w:highlight w:val="none"/>
          <w:lang w:val="en"/>
        </w:rPr>
        <w:t>http://www.ccgp-guangxi.gov.cn/site/detail?parentId=66485&amp;articleId=uxSdhAjCzf08bndeKknA4g==</w:t>
      </w:r>
      <w:bookmarkEnd w:id="68"/>
    </w:p>
    <w:bookmarkEnd w:id="69"/>
    <w:p>
      <w:pPr>
        <w:spacing w:line="360" w:lineRule="auto"/>
        <w:ind w:firstLine="424" w:firstLineChars="202"/>
        <w:rPr>
          <w:rFonts w:hint="eastAsia" w:ascii="宋体" w:hAnsi="宋体" w:eastAsia="宋体" w:cs="宋体"/>
          <w:color w:val="auto"/>
          <w:kern w:val="0"/>
          <w:szCs w:val="21"/>
          <w:highlight w:val="none"/>
        </w:rPr>
      </w:pPr>
      <w:bookmarkStart w:id="70" w:name="_Hlk37429674"/>
      <w:bookmarkStart w:id="71" w:name="_Toc44229885"/>
      <w:bookmarkStart w:id="72" w:name="_Toc35393636"/>
      <w:bookmarkStart w:id="73" w:name="_Toc28359095"/>
      <w:bookmarkStart w:id="74" w:name="_Toc28359018"/>
      <w:bookmarkStart w:id="75" w:name="_Toc35393805"/>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本项目需要落实的政府采购政策</w:t>
      </w:r>
    </w:p>
    <w:p>
      <w:pPr>
        <w:widowControl/>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（1）政府采购促进中小企业发展。</w:t>
      </w:r>
    </w:p>
    <w:p>
      <w:pPr>
        <w:widowControl/>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（2）政府采购支持采用本国产品的政策。</w:t>
      </w:r>
    </w:p>
    <w:p>
      <w:pPr>
        <w:widowControl/>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（3）强制采购节能产品；优先采购节能产品、环境标志产品。</w:t>
      </w:r>
    </w:p>
    <w:p>
      <w:pPr>
        <w:widowControl/>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（4）政府采购促进残疾人就业政策。</w:t>
      </w:r>
    </w:p>
    <w:p>
      <w:pPr>
        <w:widowControl/>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（5）政府采购支持监狱企业发展。</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rPr>
        <w:t>.供应商</w:t>
      </w:r>
      <w:r>
        <w:rPr>
          <w:rFonts w:hint="eastAsia" w:ascii="宋体" w:hAnsi="宋体" w:eastAsia="宋体" w:cs="宋体"/>
          <w:color w:val="auto"/>
          <w:szCs w:val="21"/>
          <w:highlight w:val="none"/>
        </w:rPr>
        <w:t>竞标注意事项</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（1）本项目为全流程电子化采购项目，通过广西政府采购云平台（https://www.gcy.zfcg.gxzf.gov.cn/）  实行在线电子竞标，供应商应先安装“广西政府采购云电子交易客户端”（请自行前往广西政府采购云平台进行下载），并按照本项目竞争性磋商文件和广西政府采购云平台的要求编制、加密后在提交响应文件截止时间前通过网络上传至 广西政府采购云平台（加密的电子响应文件是指后缀名为“jmbs”的文件），供应商在广西政府采购云平台提交电子响应文件时，请填写参加远程采购活动经办人联系方式。供应商登录广西政府采购云平台，依次进入“服务中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项目采购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操作流程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电子招投标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政府采购项目电子交易管理操作指南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供应商”查看电子竞标具体操作流程。</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下载专区”或者登录</w:t>
      </w:r>
      <w:r>
        <w:rPr>
          <w:rFonts w:hint="eastAsia" w:ascii="宋体" w:hAnsi="宋体" w:eastAsia="宋体" w:cs="宋体"/>
          <w:color w:val="auto"/>
          <w:kern w:val="0"/>
          <w:sz w:val="21"/>
          <w:szCs w:val="21"/>
          <w:highlight w:val="none"/>
        </w:rPr>
        <w:t>广西政府采购云平台，</w:t>
      </w:r>
      <w:r>
        <w:rPr>
          <w:rFonts w:hint="eastAsia" w:ascii="宋体" w:hAnsi="宋体" w:eastAsia="宋体" w:cs="宋体"/>
          <w:color w:val="auto"/>
          <w:sz w:val="21"/>
          <w:szCs w:val="21"/>
          <w:highlight w:val="none"/>
        </w:rPr>
        <w:t>依次进入“服务中心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入驻与配置”中查看CA数字证书办理操作流程。如在操作过程中遇到问题或者需要技术支持，请致电客服热线：95763）。</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（3）CA证书在线解密：首次响应文件开启时，需携带制作响应文件时用来加密的有效数字证书（CA认证）登录广西政府采购云平台</w:t>
      </w:r>
      <w:r>
        <w:rPr>
          <w:rFonts w:hint="eastAsia" w:ascii="宋体" w:hAnsi="宋体" w:eastAsia="宋体" w:cs="宋体"/>
          <w:color w:val="auto"/>
          <w:kern w:val="0"/>
          <w:sz w:val="21"/>
          <w:szCs w:val="21"/>
          <w:highlight w:val="none"/>
        </w:rPr>
        <w:t>电子开标大厅现场按规定时间对加密的响应文件进行解密，否则后果自负。</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注：1）为确保网上操作合法、有效和安全，请供应商确保在电子竞标过程中能够对相关数据电文进行加密和使用电子签章，妥善保管CA数字证书并使用有效的CA数字证书参与整个采购活动。2）</w:t>
      </w:r>
      <w:r>
        <w:rPr>
          <w:rFonts w:hint="eastAsia" w:ascii="宋体" w:hAnsi="宋体" w:eastAsia="宋体" w:cs="宋体"/>
          <w:bCs/>
          <w:color w:val="auto"/>
          <w:sz w:val="21"/>
          <w:szCs w:val="21"/>
          <w:highlight w:val="none"/>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pPr>
        <w:widowControl/>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rPr>
        <w:t>（4）供应商需要在具备有摄像头及语音功能且互联网网络状况良好的电脑登录广西政府采购云平台远程开标大厅参与本次磋商，否则后果自负。</w:t>
      </w:r>
    </w:p>
    <w:bookmarkEnd w:id="67"/>
    <w:bookmarkEnd w:id="70"/>
    <w:p>
      <w:pPr>
        <w:ind w:firstLine="354" w:firstLineChars="147"/>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八、凡对本次采购提出询问，请按以下方式联系。</w:t>
      </w:r>
      <w:bookmarkEnd w:id="71"/>
      <w:bookmarkEnd w:id="72"/>
      <w:bookmarkEnd w:id="73"/>
      <w:bookmarkEnd w:id="74"/>
      <w:bookmarkEnd w:id="75"/>
    </w:p>
    <w:p>
      <w:pPr>
        <w:spacing w:line="400" w:lineRule="exact"/>
        <w:ind w:firstLine="420" w:firstLineChars="200"/>
        <w:rPr>
          <w:rFonts w:hint="eastAsia" w:ascii="宋体" w:hAnsi="宋体" w:eastAsia="宋体" w:cs="宋体"/>
          <w:color w:val="auto"/>
          <w:szCs w:val="21"/>
          <w:highlight w:val="none"/>
        </w:rPr>
      </w:pPr>
      <w:bookmarkStart w:id="76" w:name="_Toc35393806"/>
      <w:bookmarkStart w:id="77" w:name="_Toc28359019"/>
      <w:bookmarkStart w:id="78" w:name="_Toc35393637"/>
      <w:bookmarkStart w:id="79" w:name="_Toc28359096"/>
      <w:r>
        <w:rPr>
          <w:rFonts w:hint="eastAsia" w:ascii="宋体" w:hAnsi="宋体" w:eastAsia="宋体" w:cs="宋体"/>
          <w:color w:val="auto"/>
          <w:szCs w:val="21"/>
          <w:highlight w:val="none"/>
        </w:rPr>
        <w:t>1.采购人信息</w:t>
      </w:r>
      <w:bookmarkEnd w:id="76"/>
      <w:bookmarkEnd w:id="77"/>
      <w:bookmarkEnd w:id="78"/>
      <w:bookmarkEnd w:id="79"/>
    </w:p>
    <w:p>
      <w:pPr>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名    称：</w:t>
      </w:r>
      <w:r>
        <w:rPr>
          <w:rFonts w:hint="eastAsia" w:ascii="宋体" w:hAnsi="宋体" w:cs="宋体"/>
          <w:color w:val="auto"/>
          <w:szCs w:val="21"/>
          <w:highlight w:val="none"/>
          <w:lang w:eastAsia="zh-CN"/>
        </w:rPr>
        <w:t>广西壮族自治区自然资源厅</w:t>
      </w:r>
    </w:p>
    <w:p>
      <w:pPr>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lang w:eastAsia="zh-CN"/>
        </w:rPr>
        <w:t>广西南宁市青秀区中新路2号</w:t>
      </w:r>
    </w:p>
    <w:p>
      <w:pPr>
        <w:spacing w:line="360" w:lineRule="auto"/>
        <w:ind w:firstLine="424" w:firstLineChars="202"/>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联系人：</w:t>
      </w:r>
      <w:bookmarkStart w:id="80" w:name="OLE_LINK5"/>
      <w:r>
        <w:rPr>
          <w:rFonts w:hint="eastAsia" w:ascii="宋体" w:hAnsi="宋体" w:eastAsia="宋体" w:cs="宋体"/>
          <w:color w:val="auto"/>
          <w:szCs w:val="21"/>
          <w:highlight w:val="none"/>
          <w:lang w:eastAsia="zh-CN"/>
        </w:rPr>
        <w:t>吴国东</w:t>
      </w:r>
      <w:bookmarkEnd w:id="80"/>
      <w:r>
        <w:rPr>
          <w:rFonts w:hint="eastAsia" w:ascii="宋体" w:hAnsi="宋体" w:eastAsia="宋体" w:cs="宋体"/>
          <w:color w:val="auto"/>
          <w:szCs w:val="21"/>
          <w:highlight w:val="none"/>
          <w:lang w:val="en-US" w:eastAsia="zh-CN"/>
        </w:rPr>
        <w:t xml:space="preserve"> </w:t>
      </w:r>
    </w:p>
    <w:p>
      <w:pPr>
        <w:spacing w:line="360" w:lineRule="auto"/>
        <w:ind w:firstLine="424" w:firstLineChars="202"/>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联系方式：</w:t>
      </w:r>
      <w:bookmarkStart w:id="81" w:name="OLE_LINK6"/>
      <w:r>
        <w:rPr>
          <w:rFonts w:hint="eastAsia" w:ascii="宋体" w:hAnsi="宋体" w:eastAsia="宋体" w:cs="宋体"/>
          <w:color w:val="auto"/>
          <w:szCs w:val="21"/>
          <w:highlight w:val="none"/>
          <w:lang w:val="en-US" w:eastAsia="zh-CN"/>
        </w:rPr>
        <w:t>0771-</w:t>
      </w:r>
      <w:bookmarkStart w:id="82" w:name="OLE_LINK20"/>
      <w:r>
        <w:rPr>
          <w:rFonts w:hint="eastAsia" w:ascii="宋体" w:hAnsi="宋体" w:eastAsia="宋体" w:cs="宋体"/>
          <w:color w:val="auto"/>
          <w:szCs w:val="21"/>
          <w:highlight w:val="none"/>
          <w:lang w:val="en-US" w:eastAsia="zh-CN"/>
        </w:rPr>
        <w:t>5388198</w:t>
      </w:r>
      <w:bookmarkEnd w:id="81"/>
      <w:bookmarkEnd w:id="82"/>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2.采购代理机构信息</w:t>
      </w:r>
    </w:p>
    <w:p>
      <w:pPr>
        <w:spacing w:line="400" w:lineRule="exact"/>
        <w:ind w:firstLine="420" w:firstLineChars="200"/>
        <w:rPr>
          <w:rFonts w:hint="eastAsia" w:ascii="宋体" w:hAnsi="宋体" w:eastAsia="宋体" w:cs="宋体"/>
          <w:color w:val="auto"/>
          <w:szCs w:val="21"/>
          <w:highlight w:val="none"/>
        </w:rPr>
      </w:pPr>
      <w:bookmarkStart w:id="83" w:name="_Toc35393639"/>
      <w:bookmarkStart w:id="84" w:name="_Toc28359021"/>
      <w:bookmarkStart w:id="85" w:name="_Toc28359098"/>
      <w:bookmarkStart w:id="86" w:name="_Toc35393808"/>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lang w:eastAsia="zh-CN"/>
        </w:rPr>
        <w:t>广西建设工程机电设备招标中心有限公司</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址：</w:t>
      </w:r>
      <w:bookmarkStart w:id="87" w:name="OLE_LINK41"/>
      <w:r>
        <w:rPr>
          <w:rFonts w:hint="eastAsia" w:ascii="宋体" w:hAnsi="宋体" w:eastAsia="宋体" w:cs="宋体"/>
          <w:color w:val="auto"/>
          <w:szCs w:val="21"/>
          <w:highlight w:val="none"/>
          <w:lang w:eastAsia="zh-CN"/>
        </w:rPr>
        <w:t>南宁市青秀区枫林路18号广西国控集团（枫林路办公区）裙楼三层</w:t>
      </w:r>
      <w:bookmarkEnd w:id="87"/>
    </w:p>
    <w:p>
      <w:pPr>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lang w:eastAsia="zh-CN"/>
        </w:rPr>
        <w:t>0771-2869912</w:t>
      </w:r>
    </w:p>
    <w:p>
      <w:pPr>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3.项目联系方式</w:t>
      </w:r>
      <w:bookmarkEnd w:id="83"/>
      <w:bookmarkEnd w:id="84"/>
      <w:bookmarkEnd w:id="85"/>
      <w:bookmarkEnd w:id="86"/>
    </w:p>
    <w:p>
      <w:pPr>
        <w:spacing w:line="400" w:lineRule="exact"/>
        <w:ind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项目联系人：</w:t>
      </w:r>
      <w:bookmarkStart w:id="88" w:name="OLE_LINK42"/>
      <w:r>
        <w:rPr>
          <w:rFonts w:hint="eastAsia" w:ascii="宋体" w:hAnsi="宋体" w:eastAsia="宋体" w:cs="宋体"/>
          <w:color w:val="auto"/>
          <w:kern w:val="0"/>
          <w:szCs w:val="21"/>
          <w:highlight w:val="none"/>
          <w:lang w:eastAsia="zh-CN"/>
        </w:rPr>
        <w:t>陈有弟、陈蓉、庞雄庆</w:t>
      </w:r>
      <w:bookmarkEnd w:id="88"/>
    </w:p>
    <w:p>
      <w:pPr>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话：</w:t>
      </w:r>
      <w:r>
        <w:rPr>
          <w:rFonts w:hint="eastAsia" w:ascii="宋体" w:hAnsi="宋体" w:eastAsia="宋体" w:cs="宋体"/>
          <w:color w:val="auto"/>
          <w:kern w:val="0"/>
          <w:szCs w:val="21"/>
          <w:highlight w:val="none"/>
          <w:lang w:eastAsia="zh-CN"/>
        </w:rPr>
        <w:t>0771-2869912</w:t>
      </w:r>
    </w:p>
    <w:p>
      <w:pPr>
        <w:spacing w:line="400" w:lineRule="exact"/>
        <w:ind w:firstLine="420" w:firstLineChars="200"/>
        <w:rPr>
          <w:rFonts w:hint="eastAsia" w:ascii="宋体" w:hAnsi="宋体" w:eastAsia="宋体" w:cs="宋体"/>
          <w:color w:val="auto"/>
          <w:kern w:val="0"/>
          <w:szCs w:val="21"/>
          <w:highlight w:val="none"/>
        </w:rPr>
      </w:pPr>
    </w:p>
    <w:p>
      <w:pPr>
        <w:spacing w:line="360" w:lineRule="auto"/>
        <w:ind w:firstLine="420" w:firstLineChars="200"/>
        <w:jc w:val="righ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u w:val="none"/>
          <w:lang w:eastAsia="zh-CN"/>
        </w:rPr>
        <w:t>广西建设工程机电设备招标中心有限公司</w:t>
      </w:r>
    </w:p>
    <w:p>
      <w:pPr>
        <w:spacing w:line="360" w:lineRule="auto"/>
        <w:ind w:firstLine="420" w:firstLineChars="200"/>
        <w:jc w:val="righ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27</w:t>
      </w:r>
      <w:r>
        <w:rPr>
          <w:rFonts w:hint="eastAsia" w:ascii="宋体" w:hAnsi="宋体" w:eastAsia="宋体" w:cs="宋体"/>
          <w:color w:val="auto"/>
          <w:szCs w:val="21"/>
          <w:highlight w:val="none"/>
          <w:lang w:eastAsia="zh-CN"/>
        </w:rPr>
        <w:t>日</w:t>
      </w:r>
    </w:p>
    <w:p>
      <w:pPr>
        <w:pStyle w:val="2"/>
        <w:rPr>
          <w:rFonts w:hint="eastAsia" w:ascii="宋体" w:hAnsi="宋体" w:eastAsia="宋体" w:cs="宋体"/>
          <w:color w:val="auto"/>
          <w:szCs w:val="21"/>
          <w:highlight w:val="none"/>
          <w:lang w:eastAsia="zh-CN"/>
        </w:rPr>
      </w:pPr>
    </w:p>
    <w:p>
      <w:pPr>
        <w:rPr>
          <w:rFonts w:hint="eastAsia" w:ascii="宋体" w:hAnsi="宋体" w:eastAsia="宋体" w:cs="宋体"/>
          <w:color w:val="auto"/>
          <w:szCs w:val="21"/>
          <w:highlight w:val="none"/>
          <w:lang w:eastAsia="zh-CN"/>
        </w:rPr>
      </w:pPr>
    </w:p>
    <w:p>
      <w:pPr>
        <w:pStyle w:val="2"/>
        <w:rPr>
          <w:rFonts w:hint="eastAsia" w:ascii="宋体" w:hAnsi="宋体" w:eastAsia="宋体" w:cs="宋体"/>
          <w:color w:val="auto"/>
          <w:szCs w:val="21"/>
          <w:highlight w:val="none"/>
          <w:lang w:eastAsia="zh-CN"/>
        </w:rPr>
      </w:pPr>
    </w:p>
    <w:p>
      <w:pPr>
        <w:rPr>
          <w:rFonts w:hint="eastAsia" w:ascii="宋体" w:hAnsi="宋体" w:eastAsia="宋体" w:cs="宋体"/>
          <w:color w:val="auto"/>
          <w:szCs w:val="21"/>
          <w:highlight w:val="none"/>
          <w:lang w:eastAsia="zh-CN"/>
        </w:rPr>
      </w:pPr>
    </w:p>
    <w:p>
      <w:pPr>
        <w:pStyle w:val="2"/>
        <w:rPr>
          <w:rFonts w:hint="eastAsia" w:ascii="宋体" w:hAnsi="宋体" w:eastAsia="宋体" w:cs="宋体"/>
          <w:color w:val="auto"/>
          <w:szCs w:val="21"/>
          <w:highlight w:val="none"/>
          <w:lang w:eastAsia="zh-CN"/>
        </w:rPr>
      </w:pPr>
    </w:p>
    <w:p>
      <w:pPr>
        <w:pStyle w:val="22"/>
        <w:rPr>
          <w:rFonts w:hint="eastAsia"/>
          <w:color w:val="auto"/>
          <w:highlight w:val="none"/>
          <w:lang w:eastAsia="zh-CN"/>
        </w:rPr>
      </w:pPr>
    </w:p>
    <w:p>
      <w:pPr>
        <w:pStyle w:val="21"/>
        <w:rPr>
          <w:rFonts w:hint="eastAsia"/>
          <w:color w:val="auto"/>
          <w:highlight w:val="none"/>
          <w:lang w:eastAsia="zh-CN"/>
        </w:rPr>
      </w:pPr>
    </w:p>
    <w:p>
      <w:pPr>
        <w:rPr>
          <w:rFonts w:hint="eastAsia"/>
          <w:color w:val="auto"/>
          <w:highlight w:val="none"/>
          <w:lang w:eastAsia="zh-CN"/>
        </w:rPr>
      </w:pPr>
    </w:p>
    <w:p>
      <w:pPr>
        <w:rPr>
          <w:rFonts w:hint="eastAsia"/>
          <w:color w:val="auto"/>
          <w:highlight w:val="none"/>
          <w:lang w:eastAsia="zh-CN"/>
        </w:rPr>
      </w:pPr>
    </w:p>
    <w:p>
      <w:pPr>
        <w:rPr>
          <w:rFonts w:hint="eastAsia"/>
          <w:color w:val="auto"/>
          <w:highlight w:val="none"/>
          <w:lang w:eastAsia="zh-CN"/>
        </w:rPr>
      </w:pPr>
    </w:p>
    <w:p>
      <w:pPr>
        <w:rPr>
          <w:rFonts w:hint="eastAsia"/>
          <w:color w:val="auto"/>
          <w:highlight w:val="none"/>
          <w:lang w:eastAsia="zh-CN"/>
        </w:rPr>
      </w:pPr>
    </w:p>
    <w:p>
      <w:pPr>
        <w:rPr>
          <w:rFonts w:hint="eastAsia"/>
          <w:color w:val="auto"/>
          <w:highlight w:val="none"/>
          <w:lang w:eastAsia="zh-CN"/>
        </w:rPr>
      </w:pPr>
    </w:p>
    <w:p>
      <w:pPr>
        <w:rPr>
          <w:rFonts w:hint="eastAsia"/>
          <w:color w:val="auto"/>
          <w:highlight w:val="none"/>
          <w:lang w:eastAsia="zh-CN"/>
        </w:rPr>
      </w:pPr>
    </w:p>
    <w:p>
      <w:pPr>
        <w:rPr>
          <w:rFonts w:hint="eastAsia"/>
          <w:color w:val="auto"/>
          <w:highlight w:val="none"/>
          <w:lang w:eastAsia="zh-CN"/>
        </w:rPr>
      </w:pPr>
    </w:p>
    <w:p>
      <w:pPr>
        <w:rPr>
          <w:rFonts w:hint="eastAsia"/>
          <w:color w:val="auto"/>
          <w:highlight w:val="none"/>
          <w:lang w:eastAsia="zh-CN"/>
        </w:rPr>
      </w:pPr>
    </w:p>
    <w:p>
      <w:pPr>
        <w:rPr>
          <w:rFonts w:hint="eastAsia"/>
          <w:color w:val="auto"/>
          <w:highlight w:val="none"/>
          <w:lang w:eastAsia="zh-CN"/>
        </w:rPr>
      </w:pPr>
    </w:p>
    <w:p>
      <w:pPr>
        <w:pStyle w:val="2"/>
        <w:rPr>
          <w:rFonts w:hint="eastAsia"/>
          <w:color w:val="auto"/>
          <w:highlight w:val="none"/>
          <w:lang w:eastAsia="zh-CN"/>
        </w:rPr>
      </w:pPr>
    </w:p>
    <w:p>
      <w:pPr>
        <w:pStyle w:val="22"/>
        <w:rPr>
          <w:rFonts w:hint="eastAsia"/>
          <w:color w:val="auto"/>
          <w:highlight w:val="none"/>
          <w:lang w:eastAsia="zh-CN"/>
        </w:rPr>
      </w:pPr>
    </w:p>
    <w:p>
      <w:pPr>
        <w:pStyle w:val="21"/>
        <w:rPr>
          <w:rFonts w:hint="eastAsia"/>
          <w:color w:val="auto"/>
          <w:highlight w:val="none"/>
          <w:lang w:eastAsia="zh-CN"/>
        </w:rPr>
      </w:pPr>
    </w:p>
    <w:p>
      <w:pPr>
        <w:pStyle w:val="21"/>
        <w:rPr>
          <w:rFonts w:hint="eastAsia"/>
          <w:color w:val="auto"/>
          <w:highlight w:val="none"/>
          <w:lang w:eastAsia="zh-CN"/>
        </w:rPr>
      </w:pPr>
    </w:p>
    <w:p>
      <w:pPr>
        <w:pStyle w:val="21"/>
        <w:rPr>
          <w:rFonts w:hint="eastAsia"/>
          <w:color w:val="auto"/>
          <w:highlight w:val="none"/>
          <w:lang w:eastAsia="zh-CN"/>
        </w:rPr>
      </w:pPr>
    </w:p>
    <w:p>
      <w:pPr>
        <w:pStyle w:val="21"/>
        <w:rPr>
          <w:rFonts w:hint="eastAsia"/>
          <w:color w:val="auto"/>
          <w:highlight w:val="none"/>
          <w:lang w:eastAsia="zh-CN"/>
        </w:rPr>
      </w:pPr>
    </w:p>
    <w:p>
      <w:pPr>
        <w:pStyle w:val="21"/>
        <w:rPr>
          <w:rFonts w:hint="eastAsia"/>
          <w:color w:val="auto"/>
          <w:highlight w:val="none"/>
          <w:lang w:eastAsia="zh-CN"/>
        </w:rPr>
      </w:pPr>
    </w:p>
    <w:p>
      <w:pPr>
        <w:pStyle w:val="3"/>
        <w:spacing w:line="240" w:lineRule="auto"/>
        <w:ind w:firstLine="2650" w:firstLineChars="600"/>
        <w:jc w:val="both"/>
        <w:rPr>
          <w:rFonts w:hint="eastAsia" w:ascii="宋体" w:hAnsi="宋体" w:eastAsia="宋体" w:cs="宋体"/>
          <w:b/>
          <w:bCs/>
          <w:color w:val="auto"/>
          <w:highlight w:val="none"/>
        </w:rPr>
      </w:pPr>
      <w:bookmarkStart w:id="89" w:name="_Toc74323457"/>
      <w:r>
        <w:rPr>
          <w:rFonts w:hint="eastAsia" w:ascii="宋体" w:hAnsi="宋体" w:eastAsia="宋体" w:cs="宋体"/>
          <w:b/>
          <w:bCs/>
          <w:color w:val="auto"/>
          <w:highlight w:val="none"/>
        </w:rPr>
        <w:t>第二章 供应商须知</w:t>
      </w:r>
      <w:bookmarkEnd w:id="89"/>
    </w:p>
    <w:p>
      <w:pPr>
        <w:spacing w:line="24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供应商须知前附表</w:t>
      </w:r>
    </w:p>
    <w:p>
      <w:pPr>
        <w:spacing w:line="400" w:lineRule="exact"/>
        <w:jc w:val="center"/>
        <w:rPr>
          <w:rFonts w:hint="eastAsia" w:ascii="宋体" w:hAnsi="宋体" w:eastAsia="宋体" w:cs="宋体"/>
          <w:b/>
          <w:color w:val="auto"/>
          <w:sz w:val="32"/>
          <w:szCs w:val="32"/>
          <w:highlight w:val="none"/>
        </w:rPr>
      </w:pPr>
    </w:p>
    <w:tbl>
      <w:tblPr>
        <w:tblStyle w:val="2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top"/>
          </w:tcPr>
          <w:p>
            <w:pPr>
              <w:spacing w:line="360" w:lineRule="auto"/>
              <w:jc w:val="center"/>
              <w:rPr>
                <w:rFonts w:hint="eastAsia" w:ascii="宋体" w:hAnsi="宋体" w:eastAsia="宋体" w:cs="宋体"/>
                <w:b/>
                <w:color w:val="auto"/>
                <w:szCs w:val="21"/>
                <w:highlight w:val="none"/>
              </w:rPr>
            </w:pPr>
            <w:bookmarkStart w:id="90" w:name="OLE_LINK2"/>
            <w:r>
              <w:rPr>
                <w:rFonts w:hint="eastAsia" w:ascii="宋体" w:hAnsi="宋体" w:eastAsia="宋体" w:cs="宋体"/>
                <w:b/>
                <w:color w:val="auto"/>
                <w:szCs w:val="21"/>
                <w:highlight w:val="none"/>
              </w:rPr>
              <w:t>条款号</w:t>
            </w:r>
          </w:p>
        </w:tc>
        <w:tc>
          <w:tcPr>
            <w:tcW w:w="7912" w:type="dxa"/>
            <w:noWrap w:val="0"/>
            <w:vAlign w:val="top"/>
          </w:tcPr>
          <w:p>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jc w:val="center"/>
        </w:trPr>
        <w:tc>
          <w:tcPr>
            <w:tcW w:w="992"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7912" w:type="dxa"/>
            <w:noWrap w:val="0"/>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1.供应商的资格条件</w:t>
            </w:r>
            <w:r>
              <w:rPr>
                <w:rFonts w:hint="eastAsia" w:ascii="宋体" w:hAnsi="宋体" w:eastAsia="宋体" w:cs="宋体"/>
                <w:color w:val="auto"/>
                <w:szCs w:val="21"/>
                <w:highlight w:val="none"/>
              </w:rPr>
              <w:t>：详见竞争性磋商公告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jc w:val="center"/>
        </w:trPr>
        <w:tc>
          <w:tcPr>
            <w:tcW w:w="992"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7912" w:type="dxa"/>
            <w:noWrap w:val="0"/>
            <w:vAlign w:val="center"/>
          </w:tcPr>
          <w:p>
            <w:pPr>
              <w:spacing w:line="360" w:lineRule="auto"/>
              <w:rPr>
                <w:rFonts w:hint="eastAsia" w:ascii="宋体" w:hAnsi="宋体" w:eastAsia="宋体" w:cs="宋体"/>
                <w:color w:val="auto"/>
                <w:szCs w:val="21"/>
                <w:highlight w:val="none"/>
              </w:rPr>
            </w:pPr>
            <w:bookmarkStart w:id="91" w:name="PO_3000001868_PM007"/>
            <w:r>
              <w:rPr>
                <w:rFonts w:hint="eastAsia" w:ascii="宋体" w:hAnsi="宋体" w:eastAsia="宋体" w:cs="宋体"/>
                <w:color w:val="auto"/>
                <w:szCs w:val="21"/>
                <w:highlight w:val="none"/>
                <w:lang w:val="en-US" w:eastAsia="zh-CN"/>
              </w:rPr>
              <w:t>本项目是否接受联合体投标：详见竞争性磋商公告。</w:t>
            </w:r>
            <w:bookmarkEnd w:id="91"/>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jc w:val="center"/>
        </w:trPr>
        <w:tc>
          <w:tcPr>
            <w:tcW w:w="992" w:type="dxa"/>
            <w:noWrap w:val="0"/>
            <w:vAlign w:val="center"/>
          </w:tcPr>
          <w:p>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5.2</w:t>
            </w:r>
          </w:p>
        </w:tc>
        <w:tc>
          <w:tcPr>
            <w:tcW w:w="7912" w:type="dxa"/>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如接受联合体竞标，联合体竞标要求如下：</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1.两个以上供应商可以组成一个竞标联合体，以一个供应商的身份共同参加竞标。联合体竞标的，须提供《联合体竞标协议书》（格式后附）。</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以联合体形式参加竞标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磋商文件规定的特定条件。</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3.联合体各方之间必须签订联合竞标协议，协议书必须明确主体方（或者牵头方）并明确约定联合体各方承担的工作和相应的责任（</w:t>
            </w:r>
            <w:r>
              <w:rPr>
                <w:rFonts w:hint="eastAsia" w:ascii="宋体" w:hAnsi="宋体" w:eastAsia="宋体" w:cs="宋体"/>
                <w:b/>
                <w:color w:val="auto"/>
                <w:sz w:val="21"/>
                <w:szCs w:val="21"/>
                <w:highlight w:val="none"/>
              </w:rPr>
              <w:t>各方承担责任与义务的分工必须符合采购需求，否则，联合体竞标无效</w:t>
            </w:r>
            <w:r>
              <w:rPr>
                <w:rFonts w:hint="eastAsia" w:ascii="宋体" w:hAnsi="宋体" w:eastAsia="宋体" w:cs="宋体"/>
                <w:color w:val="auto"/>
                <w:sz w:val="21"/>
                <w:szCs w:val="21"/>
                <w:highlight w:val="none"/>
              </w:rPr>
              <w:t>），并将联合竞标协议放入响应文件。联合体各方必须共同与采购人签订采购合同，就采购合同约定的事项对采购人承担连带责任。</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4.以联合体形式参加政府采购活动的，联合体各方不得再单独参加或者与其他供应商另外组成联合体参加同一合同项下的政府采购活动。</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5.联合体中有同类资质的供应商按照联合体分工承担相同工作的，应当按照资质等级较低的供应商确定资质等级。</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6.联合体竞标业绩、履约能力按照联合体各方中较高的一方认定并计算（磋商文件另有规定的除外）。</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7.供应商为联合体的，可以由联合体中的一方或者多方共同交纳磋商保证金，其交纳的保证金对联合体各方均具有约束力。</w:t>
            </w:r>
          </w:p>
          <w:p>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rPr>
              <w:t>8.联合体各方均应按照磋商文件的规定提交资格证明文件。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p>
        </w:tc>
        <w:tc>
          <w:tcPr>
            <w:tcW w:w="7912" w:type="dxa"/>
            <w:noWrap w:val="0"/>
            <w:vAlign w:val="center"/>
          </w:tcPr>
          <w:p>
            <w:pPr>
              <w:spacing w:line="360" w:lineRule="auto"/>
              <w:rPr>
                <w:rFonts w:hint="eastAsia"/>
                <w:b/>
                <w:bCs/>
                <w:color w:val="auto"/>
                <w:highlight w:val="none"/>
                <w:lang w:val="en-US" w:eastAsia="zh-CN"/>
              </w:rPr>
            </w:pPr>
            <w:r>
              <w:rPr>
                <w:rFonts w:hint="eastAsia"/>
                <w:b/>
                <w:bCs/>
                <w:color w:val="auto"/>
                <w:highlight w:val="none"/>
                <w:lang w:val="en-US" w:eastAsia="zh-CN"/>
              </w:rPr>
              <w:t>标项一</w:t>
            </w:r>
          </w:p>
          <w:p>
            <w:pPr>
              <w:spacing w:line="360" w:lineRule="auto"/>
              <w:rPr>
                <w:rFonts w:hint="eastAsia"/>
                <w:color w:val="auto"/>
                <w:highlight w:val="none"/>
                <w:lang w:val="en-US" w:eastAsia="zh-CN"/>
              </w:rPr>
            </w:pPr>
            <w:r>
              <w:rPr>
                <w:rFonts w:hint="eastAsia"/>
                <w:color w:val="auto"/>
                <w:highlight w:val="none"/>
                <w:lang w:val="en-US" w:eastAsia="zh-CN"/>
              </w:rPr>
              <w:t>□不允许分包、转包</w:t>
            </w:r>
          </w:p>
          <w:p>
            <w:pPr>
              <w:spacing w:line="360" w:lineRule="auto"/>
              <w:rPr>
                <w:rFonts w:hint="eastAsia"/>
                <w:color w:val="auto"/>
                <w:highlight w:val="none"/>
                <w:lang w:val="en-US" w:eastAsia="zh-CN"/>
              </w:rPr>
            </w:pPr>
            <w:r>
              <w:rPr>
                <w:rFonts w:hint="eastAsia"/>
                <w:color w:val="auto"/>
                <w:highlight w:val="none"/>
                <w:lang w:val="en-US" w:eastAsia="zh-CN"/>
              </w:rPr>
              <w:t>☑允许分包</w:t>
            </w:r>
          </w:p>
          <w:p>
            <w:pPr>
              <w:spacing w:line="360" w:lineRule="auto"/>
              <w:jc w:val="left"/>
              <w:rPr>
                <w:rFonts w:hint="eastAsia"/>
                <w:color w:val="auto"/>
                <w:highlight w:val="none"/>
              </w:rPr>
            </w:pPr>
            <w:r>
              <w:rPr>
                <w:rFonts w:hint="eastAsia"/>
                <w:color w:val="auto"/>
                <w:highlight w:val="none"/>
              </w:rPr>
              <w:t>分包内容：</w:t>
            </w:r>
            <w:r>
              <w:rPr>
                <w:rFonts w:hint="eastAsia"/>
                <w:color w:val="auto"/>
                <w:highlight w:val="none"/>
                <w:lang w:val="en-US" w:eastAsia="zh-CN"/>
              </w:rPr>
              <w:t>本项目预留不低于采购合同金额的30%专门面向中小企业采购，</w:t>
            </w:r>
            <w:r>
              <w:rPr>
                <w:rFonts w:hint="eastAsia"/>
                <w:color w:val="auto"/>
                <w:highlight w:val="none"/>
              </w:rPr>
              <w:t>其中预留给小微企业的比例不低于60%</w:t>
            </w:r>
            <w:r>
              <w:rPr>
                <w:rFonts w:hint="eastAsia"/>
                <w:color w:val="auto"/>
                <w:highlight w:val="none"/>
                <w:lang w:val="en-US" w:eastAsia="zh-CN"/>
              </w:rPr>
              <w:t xml:space="preserve">。（1）竞标人提供的服务由小微企业承接的，由竞标人按采购文件要求出具《中小企业声明函》，小微企业竞标则不能分包；（2）大型企业参与竞标的，应将不低于30%的项目合同份额分包给一家或者多家中小微企业，其中分包给小微企业的比例不低于60%。且与接受分包合同的中小微企业之间不得存在直接控股、管理关系。（3）中型企业参与竞标的，应将不低于18%的项目合同份额分包给一家或者多家小微企业，且与接受分包合同的小微企业之间不得存在直接控股、管理关系。分包工作内容详见第三章 采购需求的服务内容。   </w:t>
            </w:r>
            <w:r>
              <w:rPr>
                <w:rFonts w:hint="eastAsia"/>
                <w:color w:val="auto"/>
                <w:highlight w:val="none"/>
              </w:rPr>
              <w:t xml:space="preserve"> </w:t>
            </w:r>
          </w:p>
          <w:p>
            <w:pPr>
              <w:spacing w:line="360" w:lineRule="auto"/>
              <w:rPr>
                <w:rFonts w:hint="eastAsia"/>
                <w:color w:val="auto"/>
                <w:highlight w:val="none"/>
                <w:lang w:val="en-US" w:eastAsia="zh-CN"/>
              </w:rPr>
            </w:pPr>
            <w:r>
              <w:rPr>
                <w:rFonts w:hint="eastAsia"/>
                <w:color w:val="auto"/>
                <w:highlight w:val="none"/>
                <w:lang w:val="en-US" w:eastAsia="zh-CN"/>
              </w:rPr>
              <w:t xml:space="preserve">分包金额或者比例：不低于采购合同金额的30%。  </w:t>
            </w:r>
          </w:p>
          <w:p>
            <w:pPr>
              <w:spacing w:line="360" w:lineRule="auto"/>
              <w:rPr>
                <w:rFonts w:hint="eastAsia"/>
                <w:b/>
                <w:bCs/>
                <w:color w:val="auto"/>
                <w:highlight w:val="none"/>
                <w:lang w:val="en-US" w:eastAsia="zh-CN"/>
              </w:rPr>
            </w:pPr>
            <w:r>
              <w:rPr>
                <w:rFonts w:hint="eastAsia"/>
                <w:b/>
                <w:bCs/>
                <w:color w:val="auto"/>
                <w:highlight w:val="none"/>
                <w:lang w:val="en-US" w:eastAsia="zh-CN"/>
              </w:rPr>
              <w:t>标项二</w:t>
            </w:r>
          </w:p>
          <w:p>
            <w:pPr>
              <w:spacing w:line="360" w:lineRule="auto"/>
              <w:rPr>
                <w:rFonts w:hint="eastAsia"/>
                <w:color w:val="auto"/>
                <w:highlight w:val="none"/>
                <w:lang w:val="en-US" w:eastAsia="zh-CN"/>
              </w:rPr>
            </w:pPr>
            <w:r>
              <w:rPr>
                <w:rFonts w:hint="eastAsia"/>
                <w:color w:val="auto"/>
                <w:highlight w:val="none"/>
                <w:lang w:val="en-US" w:eastAsia="zh-CN"/>
              </w:rPr>
              <w:t>☑不允许分包、转包</w:t>
            </w:r>
          </w:p>
          <w:p>
            <w:pPr>
              <w:spacing w:line="360" w:lineRule="auto"/>
              <w:rPr>
                <w:rFonts w:hint="eastAsia"/>
                <w:color w:val="auto"/>
                <w:highlight w:val="none"/>
                <w:lang w:val="en-US" w:eastAsia="zh-CN"/>
              </w:rPr>
            </w:pPr>
            <w:r>
              <w:rPr>
                <w:rFonts w:hint="eastAsia"/>
                <w:color w:val="auto"/>
                <w:highlight w:val="none"/>
                <w:lang w:val="en-US" w:eastAsia="zh-CN"/>
              </w:rPr>
              <w:t>□允许分包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4" w:hRule="atLeast"/>
          <w:jc w:val="center"/>
        </w:trPr>
        <w:tc>
          <w:tcPr>
            <w:tcW w:w="992"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7912" w:type="dxa"/>
            <w:noWrap w:val="0"/>
            <w:vAlign w:val="center"/>
          </w:tcPr>
          <w:p>
            <w:pPr>
              <w:numPr>
                <w:ilvl w:val="0"/>
                <w:numId w:val="0"/>
              </w:numPr>
              <w:snapToGrid w:val="0"/>
              <w:spacing w:line="360" w:lineRule="auto"/>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w:t>
            </w:r>
          </w:p>
          <w:p>
            <w:pPr>
              <w:numPr>
                <w:ilvl w:val="0"/>
                <w:numId w:val="0"/>
              </w:num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1.供应商为法人或者其他组织的提供其营业执照等证明文件（如营业执照或者事业单位法人证书或者执业许可证或者登记证书等），供应商为自然人的提供其身份证复印件；（</w:t>
            </w:r>
            <w:r>
              <w:rPr>
                <w:rFonts w:hint="eastAsia" w:ascii="宋体" w:hAnsi="宋体" w:eastAsia="宋体" w:cs="宋体"/>
                <w:b/>
                <w:color w:val="auto"/>
                <w:szCs w:val="21"/>
                <w:highlight w:val="none"/>
                <w:lang w:val="en-US" w:eastAsia="zh-CN"/>
              </w:rPr>
              <w:t>必须提供，否则响应文件按无效响应处理</w:t>
            </w:r>
            <w:r>
              <w:rPr>
                <w:rFonts w:hint="eastAsia" w:ascii="宋体" w:hAnsi="宋体" w:eastAsia="宋体" w:cs="宋体"/>
                <w:color w:val="auto"/>
                <w:szCs w:val="21"/>
                <w:highlight w:val="none"/>
                <w:lang w:val="en-US" w:eastAsia="zh-CN"/>
              </w:rPr>
              <w:t>）</w:t>
            </w:r>
          </w:p>
          <w:p>
            <w:pPr>
              <w:numPr>
                <w:ilvl w:val="0"/>
                <w:numId w:val="0"/>
              </w:numPr>
              <w:snapToGrid w:val="0"/>
              <w:spacing w:line="360" w:lineRule="auto"/>
              <w:ind w:firstLine="420" w:firstLineChars="200"/>
              <w:contextualSpacing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供应商依法缴纳税收的相关材料（</w:t>
            </w:r>
            <w:r>
              <w:rPr>
                <w:rFonts w:hint="eastAsia" w:ascii="宋体" w:hAnsi="宋体" w:eastAsia="宋体" w:cs="宋体"/>
                <w:color w:val="auto"/>
                <w:szCs w:val="21"/>
                <w:highlight w:val="none"/>
                <w:u w:val="single"/>
                <w:lang w:eastAsia="zh-CN"/>
              </w:rPr>
              <w:t xml:space="preserve"> 2025年9月至首次响应文件提交截止时间前</w:t>
            </w:r>
            <w:r>
              <w:rPr>
                <w:rFonts w:hint="eastAsia" w:ascii="宋体" w:hAnsi="宋体" w:eastAsia="宋体" w:cs="宋体"/>
                <w:color w:val="auto"/>
                <w:szCs w:val="21"/>
                <w:highlight w:val="none"/>
                <w:lang w:eastAsia="zh-CN"/>
              </w:rPr>
              <w:t>任意</w:t>
            </w:r>
            <w:r>
              <w:rPr>
                <w:rFonts w:hint="eastAsia" w:ascii="宋体" w:hAnsi="宋体" w:eastAsia="宋体" w:cs="宋体"/>
                <w:color w:val="auto"/>
                <w:szCs w:val="21"/>
                <w:highlight w:val="none"/>
              </w:rPr>
              <w:t>连续</w:t>
            </w:r>
            <w:r>
              <w:rPr>
                <w:rFonts w:hint="eastAsia" w:ascii="宋体" w:hAnsi="宋体" w:eastAsia="宋体" w:cs="宋体"/>
                <w:color w:val="auto"/>
                <w:szCs w:val="21"/>
                <w:highlight w:val="none"/>
                <w:u w:val="single"/>
              </w:rPr>
              <w:t>3</w:t>
            </w:r>
            <w:r>
              <w:rPr>
                <w:rFonts w:hint="eastAsia" w:ascii="宋体" w:hAnsi="宋体" w:eastAsia="宋体" w:cs="宋体"/>
                <w:color w:val="auto"/>
                <w:szCs w:val="21"/>
                <w:highlight w:val="none"/>
              </w:rPr>
              <w:t>个月的依法缴纳税收的凭据复印件；</w:t>
            </w:r>
            <w:r>
              <w:rPr>
                <w:rFonts w:hint="eastAsia" w:ascii="宋体" w:hAnsi="宋体" w:eastAsia="宋体" w:cs="宋体"/>
                <w:color w:val="auto"/>
                <w:highlight w:val="none"/>
              </w:rPr>
              <w:t>依法免税的，必须提供相应文件证明其依法免税。</w:t>
            </w:r>
            <w:r>
              <w:rPr>
                <w:rFonts w:hint="eastAsia" w:ascii="宋体" w:hAnsi="宋体" w:eastAsia="宋体" w:cs="宋体"/>
                <w:color w:val="auto"/>
                <w:szCs w:val="21"/>
                <w:highlight w:val="none"/>
              </w:rPr>
              <w:t>从成立之日起到响应文件提交截止时间止不足要求月数的，只需提供从成立之日起的依法缴纳税收</w:t>
            </w:r>
            <w:r>
              <w:rPr>
                <w:rFonts w:hint="eastAsia" w:ascii="宋体" w:hAnsi="宋体" w:eastAsia="宋体" w:cs="宋体"/>
                <w:color w:val="auto"/>
                <w:highlight w:val="none"/>
              </w:rPr>
              <w:t>相应证明文件</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pPr>
              <w:numPr>
                <w:ilvl w:val="0"/>
                <w:numId w:val="0"/>
              </w:numPr>
              <w:snapToGrid w:val="0"/>
              <w:spacing w:line="360" w:lineRule="auto"/>
              <w:ind w:firstLine="420" w:firstLineChars="200"/>
              <w:contextualSpacing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供应商依法缴纳社会保障资金的相关材料[</w:t>
            </w:r>
            <w:r>
              <w:rPr>
                <w:rFonts w:hint="eastAsia" w:ascii="宋体" w:hAnsi="宋体" w:eastAsia="宋体" w:cs="宋体"/>
                <w:color w:val="auto"/>
                <w:szCs w:val="21"/>
                <w:highlight w:val="none"/>
                <w:u w:val="single"/>
                <w:lang w:eastAsia="zh-CN"/>
              </w:rPr>
              <w:t xml:space="preserve"> 2025年9月至首次响应文件提交截止时间前</w:t>
            </w:r>
            <w:r>
              <w:rPr>
                <w:rFonts w:hint="eastAsia" w:ascii="宋体" w:hAnsi="宋体" w:eastAsia="宋体" w:cs="宋体"/>
                <w:color w:val="auto"/>
                <w:szCs w:val="21"/>
                <w:highlight w:val="none"/>
              </w:rPr>
              <w:t>任意连续</w:t>
            </w:r>
            <w:r>
              <w:rPr>
                <w:rFonts w:hint="eastAsia" w:ascii="宋体" w:hAnsi="宋体" w:eastAsia="宋体" w:cs="宋体"/>
                <w:color w:val="auto"/>
                <w:szCs w:val="21"/>
                <w:highlight w:val="none"/>
                <w:u w:val="single"/>
              </w:rPr>
              <w:t>3</w:t>
            </w:r>
            <w:r>
              <w:rPr>
                <w:rFonts w:hint="eastAsia" w:ascii="宋体" w:hAnsi="宋体" w:eastAsia="宋体" w:cs="宋体"/>
                <w:color w:val="auto"/>
                <w:szCs w:val="21"/>
                <w:highlight w:val="none"/>
              </w:rPr>
              <w:t>个月的依法缴纳社会保障资金的缴费凭证（专用收据或者社会保险缴纳清单）复印件；</w:t>
            </w:r>
            <w:r>
              <w:rPr>
                <w:rFonts w:hint="eastAsia" w:ascii="宋体" w:hAnsi="宋体" w:eastAsia="宋体" w:cs="宋体"/>
                <w:color w:val="auto"/>
                <w:highlight w:val="none"/>
              </w:rPr>
              <w:t>依法不需要缴纳社会保障资金的，必须提供相应文件证明不需要缴纳社会保障资金。</w:t>
            </w:r>
            <w:r>
              <w:rPr>
                <w:rFonts w:hint="eastAsia" w:ascii="宋体" w:hAnsi="宋体" w:eastAsia="宋体" w:cs="宋体"/>
                <w:color w:val="auto"/>
                <w:szCs w:val="21"/>
                <w:highlight w:val="none"/>
              </w:rPr>
              <w:t>从成立之日起到响应文件提交截止时间止不足要求月数的只需提供从成立之日起的依法缴纳社会保障资金的</w:t>
            </w:r>
            <w:r>
              <w:rPr>
                <w:rFonts w:hint="eastAsia" w:ascii="宋体" w:hAnsi="宋体" w:eastAsia="宋体" w:cs="宋体"/>
                <w:color w:val="auto"/>
                <w:highlight w:val="none"/>
              </w:rPr>
              <w:t>相应证明文件</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pPr>
              <w:numPr>
                <w:ilvl w:val="0"/>
                <w:numId w:val="0"/>
              </w:numPr>
              <w:snapToGrid w:val="0"/>
              <w:spacing w:line="360" w:lineRule="auto"/>
              <w:ind w:firstLine="420" w:firstLineChars="200"/>
              <w:contextualSpacing w:val="0"/>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4.供应商财务状况报告（</w:t>
            </w:r>
            <w:r>
              <w:rPr>
                <w:rFonts w:hint="eastAsia" w:ascii="宋体" w:hAnsi="宋体" w:eastAsia="宋体" w:cs="宋体"/>
                <w:color w:val="auto"/>
                <w:highlight w:val="none"/>
                <w:u w:val="single"/>
                <w:lang w:eastAsia="zh-CN"/>
              </w:rPr>
              <w:t>2024年度财务报表</w:t>
            </w:r>
            <w:r>
              <w:rPr>
                <w:rFonts w:hint="eastAsia" w:ascii="宋体" w:hAnsi="宋体" w:eastAsia="宋体" w:cs="宋体"/>
                <w:color w:val="auto"/>
                <w:szCs w:val="21"/>
                <w:highlight w:val="none"/>
              </w:rPr>
              <w:t>复印件，或者银行出具的资信证明，或者中国人民银行征信中心出具的信用报告（企业竞标的提供企业信用报告，自然人竞标的提供个人信用报告）；供应商属于</w:t>
            </w:r>
            <w:r>
              <w:rPr>
                <w:rFonts w:hint="eastAsia" w:ascii="宋体" w:hAnsi="宋体" w:eastAsia="宋体" w:cs="宋体"/>
                <w:color w:val="auto"/>
                <w:highlight w:val="none"/>
              </w:rPr>
              <w:t>成立时间</w:t>
            </w:r>
            <w:r>
              <w:rPr>
                <w:rFonts w:hint="eastAsia" w:ascii="宋体" w:hAnsi="宋体" w:eastAsia="宋体" w:cs="宋体"/>
                <w:color w:val="auto"/>
                <w:kern w:val="0"/>
                <w:highlight w:val="none"/>
              </w:rPr>
              <w:t>在规定年度之后</w:t>
            </w:r>
            <w:r>
              <w:rPr>
                <w:rFonts w:hint="eastAsia" w:ascii="宋体" w:hAnsi="宋体" w:eastAsia="宋体" w:cs="宋体"/>
                <w:color w:val="auto"/>
                <w:highlight w:val="none"/>
              </w:rPr>
              <w:t>的</w:t>
            </w:r>
            <w:r>
              <w:rPr>
                <w:rFonts w:hint="eastAsia" w:ascii="宋体" w:hAnsi="宋体" w:eastAsia="宋体" w:cs="宋体"/>
                <w:color w:val="auto"/>
                <w:szCs w:val="21"/>
                <w:highlight w:val="none"/>
              </w:rPr>
              <w:t>法人或其他组织</w:t>
            </w:r>
            <w:r>
              <w:rPr>
                <w:rFonts w:hint="eastAsia" w:ascii="宋体" w:hAnsi="宋体" w:eastAsia="宋体" w:cs="宋体"/>
                <w:color w:val="auto"/>
                <w:highlight w:val="none"/>
              </w:rPr>
              <w:t>，需提供成立之日起至响应文件提交截止时间前的月报表</w:t>
            </w:r>
            <w:r>
              <w:rPr>
                <w:rFonts w:hint="eastAsia" w:ascii="宋体" w:hAnsi="宋体" w:eastAsia="宋体" w:cs="宋体"/>
                <w:color w:val="auto"/>
                <w:szCs w:val="21"/>
                <w:highlight w:val="none"/>
              </w:rPr>
              <w:t>或银行出具的资信证明或者中国人民银行征信中心出具的企业信用报告；资信证明应在有效期内，未注明有效期的，银行出具时间至响应文件提交截止时间不超过一年）；</w:t>
            </w:r>
            <w:r>
              <w:rPr>
                <w:rFonts w:hint="eastAsia" w:ascii="宋体" w:hAnsi="宋体" w:eastAsia="宋体" w:cs="宋体"/>
                <w:bCs/>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bCs/>
                <w:color w:val="auto"/>
                <w:szCs w:val="21"/>
                <w:highlight w:val="none"/>
              </w:rPr>
              <w:t>）</w:t>
            </w:r>
          </w:p>
          <w:p>
            <w:pPr>
              <w:numPr>
                <w:ilvl w:val="0"/>
                <w:numId w:val="0"/>
              </w:num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5.供应商直接控股、管理关系信息表（格式后附）；（</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pPr>
              <w:numPr>
                <w:ilvl w:val="0"/>
                <w:numId w:val="0"/>
              </w:num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6.竞标声明（格式后附）；（</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pPr>
              <w:numPr>
                <w:ilvl w:val="-1"/>
                <w:numId w:val="0"/>
              </w:numPr>
              <w:snapToGrid/>
              <w:spacing w:line="240" w:lineRule="auto"/>
              <w:ind w:firstLine="420" w:firstLineChars="200"/>
              <w:jc w:val="left"/>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lang w:val="en-US" w:eastAsia="zh-CN"/>
              </w:rPr>
              <w:t>7、中小企业声明函或者残疾人福利性单位声明函或者供应商属于监狱企业的证明材料；</w:t>
            </w:r>
            <w:r>
              <w:rPr>
                <w:rFonts w:hint="eastAsia" w:ascii="宋体" w:hAnsi="宋体" w:eastAsia="宋体" w:cs="宋体"/>
                <w:b/>
                <w:bCs/>
                <w:color w:val="auto"/>
                <w:szCs w:val="21"/>
                <w:highlight w:val="none"/>
                <w:lang w:val="en-US" w:eastAsia="zh-CN"/>
              </w:rPr>
              <w:t>（竞标</w:t>
            </w:r>
            <w:r>
              <w:rPr>
                <w:rFonts w:hint="eastAsia" w:ascii="宋体" w:hAnsi="宋体" w:cs="宋体"/>
                <w:b/>
                <w:bCs/>
                <w:color w:val="auto"/>
                <w:szCs w:val="21"/>
                <w:highlight w:val="none"/>
                <w:lang w:val="en-US" w:eastAsia="zh-CN"/>
              </w:rPr>
              <w:t>供应商</w:t>
            </w:r>
            <w:r>
              <w:rPr>
                <w:rFonts w:hint="eastAsia" w:ascii="宋体" w:hAnsi="宋体" w:eastAsia="宋体" w:cs="宋体"/>
                <w:b/>
                <w:bCs/>
                <w:color w:val="auto"/>
                <w:szCs w:val="21"/>
                <w:highlight w:val="none"/>
                <w:lang w:val="en-US" w:eastAsia="zh-CN"/>
              </w:rPr>
              <w:t>为</w:t>
            </w:r>
            <w:r>
              <w:rPr>
                <w:rFonts w:hint="eastAsia" w:ascii="宋体" w:hAnsi="宋体" w:cs="宋体"/>
                <w:b/>
                <w:bCs/>
                <w:color w:val="auto"/>
                <w:szCs w:val="21"/>
                <w:highlight w:val="none"/>
                <w:lang w:val="en-US" w:eastAsia="zh-CN"/>
              </w:rPr>
              <w:t>中小</w:t>
            </w:r>
            <w:r>
              <w:rPr>
                <w:rFonts w:hint="eastAsia" w:ascii="宋体" w:hAnsi="宋体" w:eastAsia="宋体" w:cs="宋体"/>
                <w:b/>
                <w:bCs/>
                <w:color w:val="auto"/>
                <w:szCs w:val="21"/>
                <w:highlight w:val="none"/>
                <w:lang w:val="en-US" w:eastAsia="zh-CN"/>
              </w:rPr>
              <w:t>企业时必须提供，否则响应文件按无效响应处理）</w:t>
            </w:r>
          </w:p>
          <w:p>
            <w:pPr>
              <w:numPr>
                <w:ilvl w:val="-1"/>
                <w:numId w:val="0"/>
              </w:numPr>
              <w:snapToGrid/>
              <w:spacing w:line="240" w:lineRule="auto"/>
              <w:ind w:firstLine="420" w:firstLineChars="200"/>
              <w:jc w:val="left"/>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lang w:val="en-US" w:eastAsia="zh-CN"/>
              </w:rPr>
              <w:t>8、分包意向协议（</w:t>
            </w:r>
            <w:bookmarkStart w:id="92" w:name="OLE_LINK15"/>
            <w:r>
              <w:rPr>
                <w:rFonts w:hint="eastAsia" w:ascii="宋体" w:hAnsi="宋体" w:eastAsia="宋体" w:cs="宋体"/>
                <w:color w:val="auto"/>
                <w:szCs w:val="21"/>
                <w:highlight w:val="none"/>
                <w:lang w:val="en-US" w:eastAsia="zh-CN"/>
              </w:rPr>
              <w:t>附分包意向协议的中小企业的《中小企业声明函》</w:t>
            </w:r>
            <w:bookmarkEnd w:id="92"/>
            <w:r>
              <w:rPr>
                <w:rFonts w:hint="eastAsia" w:ascii="宋体" w:hAnsi="宋体" w:eastAsia="宋体" w:cs="宋体"/>
                <w:color w:val="auto"/>
                <w:szCs w:val="21"/>
                <w:highlight w:val="none"/>
                <w:lang w:val="en-US" w:eastAsia="zh-CN"/>
              </w:rPr>
              <w:t>）或分包承诺书（格式后附）；</w:t>
            </w:r>
            <w:r>
              <w:rPr>
                <w:rFonts w:hint="eastAsia" w:ascii="宋体" w:hAnsi="宋体" w:eastAsia="宋体" w:cs="宋体"/>
                <w:b/>
                <w:bCs/>
                <w:color w:val="auto"/>
                <w:szCs w:val="21"/>
                <w:highlight w:val="none"/>
                <w:lang w:val="en-US" w:eastAsia="zh-CN"/>
              </w:rPr>
              <w:t>（标项一</w:t>
            </w:r>
            <w:r>
              <w:rPr>
                <w:rFonts w:hint="eastAsia" w:ascii="宋体" w:hAnsi="宋体" w:cs="宋体"/>
                <w:b/>
                <w:bCs/>
                <w:color w:val="auto"/>
                <w:szCs w:val="21"/>
                <w:highlight w:val="none"/>
                <w:lang w:val="en-US" w:eastAsia="zh-CN"/>
              </w:rPr>
              <w:t>：</w:t>
            </w:r>
            <w:r>
              <w:rPr>
                <w:rFonts w:hint="eastAsia" w:ascii="宋体" w:hAnsi="宋体" w:eastAsia="宋体" w:cs="宋体"/>
                <w:b/>
                <w:bCs/>
                <w:color w:val="auto"/>
                <w:szCs w:val="21"/>
                <w:highlight w:val="none"/>
                <w:lang w:val="en-US" w:eastAsia="zh-CN"/>
              </w:rPr>
              <w:t>竞标</w:t>
            </w:r>
            <w:r>
              <w:rPr>
                <w:rFonts w:hint="eastAsia" w:ascii="宋体" w:hAnsi="宋体" w:cs="宋体"/>
                <w:b/>
                <w:bCs/>
                <w:color w:val="auto"/>
                <w:szCs w:val="21"/>
                <w:highlight w:val="none"/>
                <w:lang w:val="en-US" w:eastAsia="zh-CN"/>
              </w:rPr>
              <w:t>供应商</w:t>
            </w:r>
            <w:r>
              <w:rPr>
                <w:rFonts w:hint="eastAsia" w:ascii="宋体" w:hAnsi="宋体" w:eastAsia="宋体" w:cs="宋体"/>
                <w:b/>
                <w:bCs/>
                <w:color w:val="auto"/>
                <w:szCs w:val="21"/>
                <w:highlight w:val="none"/>
                <w:lang w:val="en-US" w:eastAsia="zh-CN"/>
              </w:rPr>
              <w:t>为非</w:t>
            </w:r>
            <w:bookmarkStart w:id="93" w:name="OLE_LINK8"/>
            <w:r>
              <w:rPr>
                <w:rFonts w:hint="eastAsia" w:ascii="宋体" w:hAnsi="宋体" w:cs="宋体"/>
                <w:b/>
                <w:bCs/>
                <w:color w:val="auto"/>
                <w:szCs w:val="21"/>
                <w:highlight w:val="none"/>
                <w:lang w:val="en-US" w:eastAsia="zh-CN"/>
              </w:rPr>
              <w:t>小微</w:t>
            </w:r>
            <w:bookmarkEnd w:id="93"/>
            <w:r>
              <w:rPr>
                <w:rFonts w:hint="eastAsia" w:ascii="宋体" w:hAnsi="宋体" w:eastAsia="宋体" w:cs="宋体"/>
                <w:b/>
                <w:bCs/>
                <w:color w:val="auto"/>
                <w:szCs w:val="21"/>
                <w:highlight w:val="none"/>
                <w:lang w:val="en-US" w:eastAsia="zh-CN"/>
              </w:rPr>
              <w:t>企业或</w:t>
            </w:r>
            <w:bookmarkStart w:id="94" w:name="OLE_LINK7"/>
            <w:r>
              <w:rPr>
                <w:rFonts w:hint="eastAsia" w:ascii="宋体" w:hAnsi="宋体" w:eastAsia="宋体" w:cs="宋体"/>
                <w:b/>
                <w:bCs/>
                <w:color w:val="auto"/>
                <w:szCs w:val="21"/>
                <w:highlight w:val="none"/>
                <w:lang w:val="en-US" w:eastAsia="zh-CN"/>
              </w:rPr>
              <w:t>监狱企业或残疾人福利性单位</w:t>
            </w:r>
            <w:bookmarkEnd w:id="94"/>
            <w:r>
              <w:rPr>
                <w:rFonts w:hint="eastAsia" w:ascii="宋体" w:hAnsi="宋体" w:eastAsia="宋体" w:cs="宋体"/>
                <w:b/>
                <w:bCs/>
                <w:color w:val="auto"/>
                <w:szCs w:val="21"/>
                <w:highlight w:val="none"/>
                <w:lang w:val="en-US" w:eastAsia="zh-CN"/>
              </w:rPr>
              <w:t>时必须提供，否则响应文件按无效响应处理）</w:t>
            </w:r>
          </w:p>
          <w:p>
            <w:pPr>
              <w:numPr>
                <w:ilvl w:val="-1"/>
                <w:numId w:val="0"/>
              </w:numPr>
              <w:snapToGrid/>
              <w:spacing w:line="240" w:lineRule="auto"/>
              <w:ind w:firstLine="420" w:firstLineChars="200"/>
              <w:jc w:val="left"/>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lang w:val="en-US" w:eastAsia="zh-CN"/>
              </w:rPr>
              <w:t>9、</w:t>
            </w:r>
            <w:bookmarkStart w:id="95" w:name="OLE_LINK29"/>
            <w:r>
              <w:rPr>
                <w:rFonts w:hint="eastAsia" w:ascii="宋体" w:hAnsi="宋体" w:eastAsia="宋体" w:cs="宋体"/>
                <w:color w:val="auto"/>
                <w:szCs w:val="21"/>
                <w:highlight w:val="none"/>
                <w:lang w:val="en-US" w:eastAsia="zh-CN"/>
              </w:rPr>
              <w:t>联合体协议书</w:t>
            </w:r>
            <w:bookmarkEnd w:id="95"/>
            <w:r>
              <w:rPr>
                <w:rFonts w:hint="eastAsia" w:ascii="宋体" w:hAnsi="宋体" w:eastAsia="宋体" w:cs="宋体"/>
                <w:color w:val="auto"/>
                <w:szCs w:val="21"/>
                <w:highlight w:val="none"/>
                <w:lang w:val="en-US" w:eastAsia="zh-CN"/>
              </w:rPr>
              <w:t>（</w:t>
            </w:r>
            <w:r>
              <w:rPr>
                <w:rFonts w:hint="eastAsia" w:ascii="宋体" w:hAnsi="宋体" w:eastAsia="宋体" w:cs="宋体"/>
                <w:b/>
                <w:bCs/>
                <w:color w:val="auto"/>
                <w:szCs w:val="21"/>
                <w:highlight w:val="none"/>
                <w:lang w:val="en-US" w:eastAsia="zh-CN"/>
              </w:rPr>
              <w:t>标项二</w:t>
            </w:r>
            <w:r>
              <w:rPr>
                <w:rFonts w:hint="eastAsia" w:ascii="宋体" w:hAnsi="宋体" w:cs="宋体"/>
                <w:b/>
                <w:bCs/>
                <w:color w:val="auto"/>
                <w:szCs w:val="21"/>
                <w:highlight w:val="none"/>
                <w:lang w:val="en-US" w:eastAsia="zh-CN"/>
              </w:rPr>
              <w:t>：</w:t>
            </w:r>
            <w:r>
              <w:rPr>
                <w:rFonts w:hint="eastAsia" w:ascii="宋体" w:hAnsi="宋体" w:eastAsia="宋体" w:cs="宋体"/>
                <w:b/>
                <w:bCs/>
                <w:color w:val="auto"/>
                <w:szCs w:val="21"/>
                <w:highlight w:val="none"/>
                <w:lang w:val="en-US" w:eastAsia="zh-CN"/>
              </w:rPr>
              <w:t>竞标</w:t>
            </w:r>
            <w:r>
              <w:rPr>
                <w:rFonts w:hint="eastAsia" w:ascii="宋体" w:hAnsi="宋体" w:cs="宋体"/>
                <w:b/>
                <w:bCs/>
                <w:color w:val="auto"/>
                <w:szCs w:val="21"/>
                <w:highlight w:val="none"/>
                <w:lang w:val="en-US" w:eastAsia="zh-CN"/>
              </w:rPr>
              <w:t>供应商</w:t>
            </w:r>
            <w:r>
              <w:rPr>
                <w:rFonts w:hint="eastAsia" w:ascii="宋体" w:hAnsi="宋体" w:eastAsia="宋体" w:cs="宋体"/>
                <w:b/>
                <w:bCs/>
                <w:color w:val="auto"/>
                <w:szCs w:val="21"/>
                <w:highlight w:val="none"/>
                <w:lang w:val="en-US" w:eastAsia="zh-CN"/>
              </w:rPr>
              <w:t>为</w:t>
            </w:r>
            <w:r>
              <w:rPr>
                <w:rFonts w:hint="eastAsia" w:ascii="宋体" w:hAnsi="宋体" w:cs="宋体"/>
                <w:b/>
                <w:bCs/>
                <w:color w:val="auto"/>
                <w:szCs w:val="21"/>
                <w:highlight w:val="none"/>
                <w:lang w:val="en-US" w:eastAsia="zh-CN"/>
              </w:rPr>
              <w:t>联合体竞标的</w:t>
            </w:r>
            <w:r>
              <w:rPr>
                <w:rFonts w:hint="eastAsia" w:ascii="宋体" w:hAnsi="宋体" w:eastAsia="宋体" w:cs="宋体"/>
                <w:b/>
                <w:bCs/>
                <w:color w:val="auto"/>
                <w:szCs w:val="21"/>
                <w:highlight w:val="none"/>
                <w:lang w:val="en-US" w:eastAsia="zh-CN"/>
              </w:rPr>
              <w:t>时必须</w:t>
            </w:r>
            <w:bookmarkStart w:id="96" w:name="OLE_LINK27"/>
            <w:r>
              <w:rPr>
                <w:rFonts w:hint="eastAsia" w:ascii="宋体" w:hAnsi="宋体" w:eastAsia="宋体" w:cs="宋体"/>
                <w:b/>
                <w:bCs/>
                <w:color w:val="auto"/>
                <w:szCs w:val="21"/>
                <w:highlight w:val="none"/>
                <w:lang w:val="en-US" w:eastAsia="zh-CN"/>
              </w:rPr>
              <w:t>提供</w:t>
            </w:r>
            <w:bookmarkEnd w:id="96"/>
            <w:r>
              <w:rPr>
                <w:rFonts w:hint="eastAsia" w:ascii="宋体" w:hAnsi="宋体" w:eastAsia="宋体" w:cs="宋体"/>
                <w:b/>
                <w:bCs/>
                <w:color w:val="auto"/>
                <w:szCs w:val="21"/>
                <w:highlight w:val="none"/>
                <w:lang w:val="en-US" w:eastAsia="zh-CN"/>
              </w:rPr>
              <w:t>，否则响应文件按无效响应处理）</w:t>
            </w:r>
          </w:p>
          <w:p>
            <w:pPr>
              <w:numPr>
                <w:ilvl w:val="-1"/>
                <w:numId w:val="0"/>
              </w:numPr>
              <w:snapToGrid/>
              <w:spacing w:line="240" w:lineRule="auto"/>
              <w:ind w:firstLine="420" w:firstLineChars="200"/>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除磋商文件规定必须提供以外，供应商认为需要提供的其他证明材料；（如有请提供）</w:t>
            </w:r>
          </w:p>
          <w:p>
            <w:pPr>
              <w:rPr>
                <w:rFonts w:hint="eastAsia" w:ascii="宋体" w:hAnsi="宋体" w:eastAsia="宋体" w:cs="宋体"/>
                <w:color w:val="auto"/>
                <w:highlight w:val="none"/>
              </w:rPr>
            </w:pPr>
            <w:r>
              <w:rPr>
                <w:rFonts w:hint="eastAsia" w:ascii="宋体" w:hAnsi="宋体" w:eastAsia="宋体" w:cs="宋体"/>
                <w:b/>
                <w:color w:val="auto"/>
                <w:szCs w:val="21"/>
                <w:highlight w:val="none"/>
              </w:rPr>
              <w:t>注：</w:t>
            </w:r>
          </w:p>
          <w:p>
            <w:pPr>
              <w:rPr>
                <w:rFonts w:hint="eastAsia" w:ascii="宋体" w:hAnsi="宋体" w:eastAsia="宋体" w:cs="宋体"/>
                <w:color w:val="auto"/>
                <w:highlight w:val="none"/>
              </w:rPr>
            </w:pPr>
            <w:r>
              <w:rPr>
                <w:rFonts w:hint="eastAsia" w:ascii="宋体" w:hAnsi="宋体" w:cs="宋体"/>
                <w:b/>
                <w:color w:val="auto"/>
                <w:szCs w:val="21"/>
                <w:highlight w:val="none"/>
                <w:lang w:val="en-US" w:eastAsia="zh-CN"/>
              </w:rPr>
              <w:t>1、</w:t>
            </w:r>
            <w:r>
              <w:rPr>
                <w:rFonts w:hint="eastAsia" w:ascii="宋体" w:hAnsi="宋体" w:eastAsia="宋体" w:cs="宋体"/>
                <w:b/>
                <w:color w:val="auto"/>
                <w:szCs w:val="21"/>
                <w:highlight w:val="none"/>
              </w:rPr>
              <w:t>以上标明“必须提供”的材料属于复印件的，必须加盖供应商电子签章，否则响应文件按无效处理。</w:t>
            </w:r>
          </w:p>
          <w:p>
            <w:pPr>
              <w:numPr>
                <w:ilvl w:val="0"/>
                <w:numId w:val="0"/>
              </w:numPr>
              <w:snapToGrid w:val="0"/>
              <w:spacing w:line="360" w:lineRule="auto"/>
              <w:ind w:firstLine="0" w:firstLineChars="0"/>
              <w:jc w:val="left"/>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2、分公司参加竞标的，应当取得总公司授权，否则响应文件按无效响应处理。（注：分公司参加竞标的，总公司人员及业绩均予以认可）</w:t>
            </w:r>
          </w:p>
          <w:p>
            <w:pPr>
              <w:pStyle w:val="2"/>
              <w:rPr>
                <w:rFonts w:hint="default"/>
                <w:color w:val="auto"/>
                <w:highlight w:val="none"/>
                <w:lang w:val="en-US" w:eastAsia="zh-CN"/>
              </w:rPr>
            </w:pPr>
            <w:r>
              <w:rPr>
                <w:rFonts w:hint="eastAsia" w:ascii="宋体" w:hAnsi="宋体"/>
                <w:b/>
                <w:bCs/>
                <w:color w:val="auto"/>
                <w:sz w:val="21"/>
                <w:szCs w:val="21"/>
                <w:highlight w:val="none"/>
              </w:rPr>
              <w:t>3.联合体</w:t>
            </w:r>
            <w:r>
              <w:rPr>
                <w:rFonts w:hint="eastAsia" w:ascii="宋体" w:hAnsi="宋体"/>
                <w:b/>
                <w:bCs/>
                <w:color w:val="auto"/>
                <w:sz w:val="21"/>
                <w:szCs w:val="21"/>
                <w:highlight w:val="none"/>
                <w:lang w:val="en-US" w:eastAsia="zh-CN"/>
              </w:rPr>
              <w:t>竞标</w:t>
            </w:r>
            <w:r>
              <w:rPr>
                <w:rFonts w:hint="eastAsia" w:ascii="宋体" w:hAnsi="宋体"/>
                <w:b/>
                <w:bCs/>
                <w:color w:val="auto"/>
                <w:sz w:val="21"/>
                <w:szCs w:val="21"/>
                <w:highlight w:val="none"/>
              </w:rPr>
              <w:t>时，第1-</w:t>
            </w:r>
            <w:r>
              <w:rPr>
                <w:rFonts w:hint="eastAsia" w:ascii="宋体" w:hAnsi="宋体"/>
                <w:b/>
                <w:bCs/>
                <w:color w:val="auto"/>
                <w:sz w:val="21"/>
                <w:szCs w:val="21"/>
                <w:highlight w:val="none"/>
                <w:lang w:val="en-US" w:eastAsia="zh-CN"/>
              </w:rPr>
              <w:t>6</w:t>
            </w:r>
            <w:r>
              <w:rPr>
                <w:rFonts w:hint="eastAsia" w:ascii="宋体" w:hAnsi="宋体"/>
                <w:b/>
                <w:bCs/>
                <w:color w:val="auto"/>
                <w:sz w:val="21"/>
                <w:szCs w:val="21"/>
                <w:highlight w:val="none"/>
              </w:rPr>
              <w:t>项资格证明文件联合体各方均必须分别提供，并由联合体牵头人加盖电子签章，规定签字处签字（</w:t>
            </w:r>
            <w:r>
              <w:rPr>
                <w:rFonts w:hint="eastAsia" w:ascii="宋体" w:hAnsi="宋体" w:cs="宋体"/>
                <w:b/>
                <w:bCs/>
                <w:color w:val="auto"/>
                <w:sz w:val="21"/>
                <w:szCs w:val="21"/>
                <w:highlight w:val="none"/>
              </w:rPr>
              <w:t>或者盖章</w:t>
            </w:r>
            <w:r>
              <w:rPr>
                <w:rFonts w:hint="eastAsia" w:ascii="宋体" w:hAnsi="宋体"/>
                <w:b/>
                <w:bCs/>
                <w:color w:val="auto"/>
                <w:sz w:val="21"/>
                <w:szCs w:val="21"/>
                <w:highlight w:val="none"/>
              </w:rPr>
              <w:t>或者电子签</w:t>
            </w:r>
            <w:r>
              <w:rPr>
                <w:rFonts w:ascii="宋体" w:hAnsi="宋体"/>
                <w:b/>
                <w:bCs/>
                <w:color w:val="auto"/>
                <w:sz w:val="21"/>
                <w:szCs w:val="21"/>
                <w:highlight w:val="none"/>
              </w:rPr>
              <w:t>名</w:t>
            </w:r>
            <w:r>
              <w:rPr>
                <w:rFonts w:hint="eastAsia" w:ascii="宋体" w:hAnsi="宋体"/>
                <w:b/>
                <w:bCs/>
                <w:color w:val="auto"/>
                <w:sz w:val="21"/>
                <w:szCs w:val="21"/>
                <w:highlight w:val="none"/>
              </w:rPr>
              <w:t>），否则按无效</w:t>
            </w:r>
            <w:r>
              <w:rPr>
                <w:rFonts w:hint="eastAsia" w:ascii="宋体" w:hAnsi="宋体" w:eastAsia="宋体" w:cs="宋体"/>
                <w:b/>
                <w:bCs/>
                <w:color w:val="auto"/>
                <w:szCs w:val="21"/>
                <w:highlight w:val="none"/>
                <w:lang w:val="en-US" w:eastAsia="zh-CN"/>
              </w:rPr>
              <w:t>响应</w:t>
            </w:r>
            <w:r>
              <w:rPr>
                <w:rFonts w:hint="eastAsia" w:ascii="宋体" w:hAnsi="宋体"/>
                <w:b/>
                <w:bCs/>
                <w:color w:val="auto"/>
                <w:sz w:val="21"/>
                <w:szCs w:val="21"/>
                <w:highlight w:val="none"/>
              </w:rPr>
              <w:t>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92" w:type="dxa"/>
            <w:noWrap w:val="0"/>
            <w:vAlign w:val="center"/>
          </w:tcPr>
          <w:p>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12.1.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12.1.</w:t>
            </w:r>
            <w:r>
              <w:rPr>
                <w:rFonts w:hint="eastAsia" w:ascii="宋体" w:hAnsi="宋体" w:eastAsia="宋体" w:cs="宋体"/>
                <w:color w:val="auto"/>
                <w:szCs w:val="21"/>
                <w:highlight w:val="none"/>
                <w:lang w:val="en-US" w:eastAsia="zh-CN"/>
              </w:rPr>
              <w:t>3</w:t>
            </w:r>
          </w:p>
        </w:tc>
        <w:tc>
          <w:tcPr>
            <w:tcW w:w="7912" w:type="dxa"/>
            <w:noWrap w:val="0"/>
            <w:vAlign w:val="center"/>
          </w:tcPr>
          <w:p>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报价商务技术文件</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1.无串通竞标行为的承诺函（格式后附）；（</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报价表（格式后附）；（</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3.法定代表人身份证明书及法定代表人有效身份证正反面复印件（格式后附）；（</w:t>
            </w:r>
            <w:r>
              <w:rPr>
                <w:rFonts w:hint="eastAsia" w:ascii="宋体" w:hAnsi="宋体" w:eastAsia="宋体" w:cs="宋体"/>
                <w:b/>
                <w:bCs/>
                <w:color w:val="auto"/>
                <w:szCs w:val="21"/>
                <w:highlight w:val="none"/>
              </w:rPr>
              <w:t>除自然人竞标外</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4.授权委托书及委托代理人有效身份证正反面复印件（格式后附）；（</w:t>
            </w:r>
            <w:r>
              <w:rPr>
                <w:rFonts w:hint="eastAsia" w:ascii="宋体" w:hAnsi="宋体" w:eastAsia="宋体" w:cs="宋体"/>
                <w:b/>
                <w:color w:val="auto"/>
                <w:szCs w:val="21"/>
                <w:highlight w:val="none"/>
              </w:rPr>
              <w:t>委托时必须提供，否则响应文件按无效响应处理</w:t>
            </w:r>
            <w:r>
              <w:rPr>
                <w:rFonts w:hint="eastAsia" w:ascii="宋体" w:hAnsi="宋体" w:eastAsia="宋体" w:cs="宋体"/>
                <w:color w:val="auto"/>
                <w:szCs w:val="21"/>
                <w:highlight w:val="none"/>
              </w:rPr>
              <w:t>）</w:t>
            </w:r>
          </w:p>
          <w:p>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.商务要求偏离表（格式后附）；（</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.服务方案（格式自拟）；（</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.技术要求偏离表（格式后附）；（</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.项目实施人员一览表（格式后附）； （</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.服务承诺；（如有请提供）</w:t>
            </w:r>
          </w:p>
          <w:p>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rPr>
              <w:t>.业绩；（如有请提供）</w:t>
            </w:r>
          </w:p>
          <w:p>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.对应采购需求的技术需求提供的其他文件资料；（如有请提供）</w:t>
            </w:r>
          </w:p>
          <w:p>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.对应采购需求的商务条款提供的其他文件资料；（如有请提供）</w:t>
            </w:r>
          </w:p>
          <w:p>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.供应商认为需要提供的有关资料。（如有请提供）</w:t>
            </w:r>
          </w:p>
          <w:p>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针对报价需要说明的其他文件和说明；（如有请提供）</w:t>
            </w:r>
          </w:p>
          <w:p>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r>
              <w:rPr>
                <w:rFonts w:hint="eastAsia" w:ascii="宋体" w:hAnsi="宋体" w:cs="宋体"/>
                <w:b/>
                <w:color w:val="auto"/>
                <w:szCs w:val="21"/>
                <w:highlight w:val="none"/>
                <w:lang w:val="en-US" w:eastAsia="zh-CN"/>
              </w:rPr>
              <w:t>1、</w:t>
            </w:r>
            <w:r>
              <w:rPr>
                <w:rFonts w:hint="eastAsia" w:ascii="宋体" w:hAnsi="宋体" w:eastAsia="宋体" w:cs="宋体"/>
                <w:b/>
                <w:color w:val="auto"/>
                <w:szCs w:val="21"/>
                <w:highlight w:val="none"/>
              </w:rPr>
              <w:t>以上标明“必须提供”的材料属于复印件的，必须加盖供应商</w:t>
            </w:r>
            <w:r>
              <w:rPr>
                <w:rFonts w:hint="eastAsia" w:ascii="宋体" w:hAnsi="宋体" w:eastAsia="宋体" w:cs="宋体"/>
                <w:b/>
                <w:bCs/>
                <w:color w:val="auto"/>
                <w:szCs w:val="21"/>
                <w:highlight w:val="none"/>
              </w:rPr>
              <w:t>电子签章</w:t>
            </w:r>
            <w:r>
              <w:rPr>
                <w:rFonts w:hint="eastAsia" w:ascii="宋体" w:hAnsi="宋体" w:eastAsia="宋体" w:cs="宋体"/>
                <w:b/>
                <w:color w:val="auto"/>
                <w:szCs w:val="21"/>
                <w:highlight w:val="none"/>
              </w:rPr>
              <w:t>，否则响应文件按无效响应处理。</w:t>
            </w:r>
          </w:p>
          <w:p>
            <w:pPr>
              <w:pStyle w:val="2"/>
              <w:rPr>
                <w:rFonts w:hint="eastAsia" w:eastAsia="宋体"/>
                <w:color w:val="auto"/>
                <w:highlight w:val="none"/>
                <w:lang w:val="en-US" w:eastAsia="zh-CN"/>
              </w:rPr>
            </w:pPr>
            <w:r>
              <w:rPr>
                <w:rFonts w:hint="eastAsia" w:ascii="宋体" w:hAnsi="宋体" w:cs="宋体"/>
                <w:b/>
                <w:color w:val="auto"/>
                <w:szCs w:val="21"/>
                <w:highlight w:val="none"/>
                <w:lang w:val="en-US" w:eastAsia="zh-CN"/>
              </w:rPr>
              <w:t>2、联合体竞标时，盖章处须加盖联合体牵头人电子签章，规定签字处签字（或者盖章或者电子签名），否则响应文件按无效处理。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7" w:hRule="atLeast"/>
          <w:jc w:val="center"/>
        </w:trPr>
        <w:tc>
          <w:tcPr>
            <w:tcW w:w="992"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7912" w:type="dxa"/>
            <w:noWrap w:val="0"/>
            <w:vAlign w:val="center"/>
          </w:tcPr>
          <w:p>
            <w:pPr>
              <w:adjustRightInd w:val="0"/>
              <w:snapToGrid w:val="0"/>
              <w:spacing w:line="400" w:lineRule="exact"/>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竞标报价是履行合同的最终价格，即满足全部采购需求所应提供的服务的价格；包括竞标服务的成本、运输（含保险）（如有）、交通、差旅</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技术服务、培训、税费等所有费用。</w:t>
            </w:r>
            <w:r>
              <w:rPr>
                <w:rFonts w:hint="eastAsia" w:ascii="宋体" w:hAnsi="宋体" w:eastAsia="宋体" w:cs="宋体"/>
                <w:b/>
                <w:color w:val="auto"/>
                <w:szCs w:val="21"/>
                <w:highlight w:val="none"/>
              </w:rPr>
              <w:t>（采购需求另有约定的，从其约定。）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jc w:val="center"/>
        </w:trPr>
        <w:tc>
          <w:tcPr>
            <w:tcW w:w="992"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7912" w:type="dxa"/>
            <w:noWrap w:val="0"/>
            <w:vAlign w:val="center"/>
          </w:tcPr>
          <w:p>
            <w:pPr>
              <w:pStyle w:val="10"/>
              <w:widowControl w:val="0"/>
              <w:tabs>
                <w:tab w:val="left" w:pos="720"/>
                <w:tab w:val="left" w:pos="840"/>
              </w:tabs>
              <w:snapToGrid w:val="0"/>
              <w:spacing w:after="0" w:afterLines="0" w:line="360" w:lineRule="auto"/>
              <w:ind w:left="283" w:hanging="283" w:hangingChars="135"/>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竞标有效期：自首次响应文件提交截止之日起</w:t>
            </w:r>
            <w:r>
              <w:rPr>
                <w:rFonts w:hint="eastAsia" w:ascii="宋体" w:hAnsi="宋体" w:eastAsia="宋体" w:cs="宋体"/>
                <w:color w:val="auto"/>
                <w:kern w:val="2"/>
                <w:sz w:val="21"/>
                <w:szCs w:val="21"/>
                <w:highlight w:val="none"/>
                <w:u w:val="single"/>
              </w:rPr>
              <w:t xml:space="preserve"> 90</w:t>
            </w:r>
            <w:r>
              <w:rPr>
                <w:rFonts w:hint="eastAsia" w:ascii="宋体" w:hAnsi="宋体" w:eastAsia="宋体" w:cs="宋体"/>
                <w:color w:val="auto"/>
                <w:kern w:val="2"/>
                <w:sz w:val="21"/>
                <w:szCs w:val="21"/>
                <w:highlight w:val="non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992"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7912" w:type="dxa"/>
            <w:noWrap w:val="0"/>
            <w:vAlign w:val="center"/>
          </w:tcPr>
          <w:p>
            <w:pPr>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本项目不收取磋商保证金。</w:t>
            </w:r>
          </w:p>
          <w:p>
            <w:pPr>
              <w:snapToGrid w:val="0"/>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本项目收取磋商保证金，具体规定如下：</w:t>
            </w:r>
          </w:p>
          <w:p>
            <w:pPr>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磋商保证金的交纳方式：银行转账、支票、汇票、本票或者</w:t>
            </w:r>
            <w:r>
              <w:rPr>
                <w:rFonts w:hint="eastAsia" w:ascii="宋体" w:hAnsi="宋体" w:eastAsia="宋体" w:cs="宋体"/>
                <w:color w:val="auto"/>
                <w:kern w:val="0"/>
                <w:sz w:val="21"/>
                <w:szCs w:val="21"/>
                <w:highlight w:val="none"/>
                <w:lang w:eastAsia="zh-CN"/>
              </w:rPr>
              <w:t>金融机构、担保机构</w:t>
            </w:r>
            <w:r>
              <w:rPr>
                <w:rFonts w:hint="eastAsia" w:ascii="宋体" w:hAnsi="宋体" w:eastAsia="宋体" w:cs="宋体"/>
                <w:color w:val="auto"/>
                <w:kern w:val="0"/>
                <w:sz w:val="21"/>
                <w:szCs w:val="21"/>
                <w:highlight w:val="none"/>
              </w:rPr>
              <w:t>出具的保函，禁止采用现钞方式。采用银行转账方式的，在响应文件提交截止时间前交至指定账户并且到账【</w:t>
            </w:r>
            <w:r>
              <w:rPr>
                <w:rFonts w:hint="eastAsia" w:ascii="宋体" w:hAnsi="宋体" w:eastAsia="宋体" w:cs="宋体"/>
                <w:b/>
                <w:bCs/>
                <w:color w:val="auto"/>
                <w:sz w:val="21"/>
                <w:szCs w:val="21"/>
                <w:highlight w:val="none"/>
              </w:rPr>
              <w:t>开户名称：广西建设工程机电设备招标中心有限公司， 开户银行：招商银行南宁分行营业部， 银行账号：771901423310201</w:t>
            </w:r>
            <w:r>
              <w:rPr>
                <w:rFonts w:hint="eastAsia" w:ascii="宋体" w:hAnsi="宋体" w:eastAsia="宋体" w:cs="宋体"/>
                <w:color w:val="auto"/>
                <w:kern w:val="0"/>
                <w:sz w:val="21"/>
                <w:szCs w:val="21"/>
                <w:highlight w:val="none"/>
              </w:rPr>
              <w:t>】；采用支票、汇票、本票或者保函等方式的，在响应文件提交截止时间前，供应商必须提交单独密封的支票、汇票、本票或者保函原件。</w:t>
            </w:r>
            <w:r>
              <w:rPr>
                <w:rFonts w:hint="eastAsia" w:ascii="宋体" w:hAnsi="宋体" w:eastAsia="宋体" w:cs="宋体"/>
                <w:b/>
                <w:color w:val="auto"/>
                <w:kern w:val="0"/>
                <w:sz w:val="21"/>
                <w:szCs w:val="21"/>
                <w:highlight w:val="none"/>
              </w:rPr>
              <w:t>否则视为无效磋商保证金。</w:t>
            </w:r>
          </w:p>
          <w:p>
            <w:pPr>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相关要求：</w:t>
            </w:r>
          </w:p>
          <w:p>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1.磋商保证金采用银行转账交纳方式的，在响应文件提交截止时间前交至指定账户并且到账，供应商应将银行转账底单的扫描件作为磋商保证金提交凭证，放置于商务技术文件中，</w:t>
            </w:r>
            <w:r>
              <w:rPr>
                <w:rFonts w:hint="eastAsia" w:ascii="宋体" w:hAnsi="宋体" w:eastAsia="宋体" w:cs="宋体"/>
                <w:b/>
                <w:color w:val="auto"/>
                <w:sz w:val="21"/>
                <w:szCs w:val="21"/>
                <w:highlight w:val="none"/>
              </w:rPr>
              <w:t>否则响应文件按无效处理</w:t>
            </w:r>
            <w:r>
              <w:rPr>
                <w:rFonts w:hint="eastAsia" w:ascii="宋体" w:hAnsi="宋体" w:eastAsia="宋体" w:cs="宋体"/>
                <w:color w:val="auto"/>
                <w:sz w:val="21"/>
                <w:szCs w:val="21"/>
                <w:highlight w:val="none"/>
              </w:rPr>
              <w:t>。</w:t>
            </w:r>
          </w:p>
          <w:p>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2.磋商保证金采用支票、汇票、本票或者</w:t>
            </w:r>
            <w:r>
              <w:rPr>
                <w:rFonts w:hint="eastAsia" w:ascii="宋体" w:hAnsi="宋体" w:eastAsia="宋体" w:cs="宋体"/>
                <w:color w:val="auto"/>
                <w:sz w:val="21"/>
                <w:szCs w:val="21"/>
                <w:highlight w:val="none"/>
                <w:lang w:eastAsia="zh-CN"/>
              </w:rPr>
              <w:t>金融、担保</w:t>
            </w:r>
            <w:r>
              <w:rPr>
                <w:rFonts w:hint="eastAsia" w:ascii="宋体" w:hAnsi="宋体" w:eastAsia="宋体" w:cs="宋体"/>
                <w:color w:val="auto"/>
                <w:sz w:val="21"/>
                <w:szCs w:val="21"/>
                <w:highlight w:val="none"/>
              </w:rPr>
              <w:t>机构出具的保函交纳方式的，供应商应将支票、汇票、本票或者</w:t>
            </w:r>
            <w:r>
              <w:rPr>
                <w:rFonts w:hint="eastAsia" w:ascii="宋体" w:hAnsi="宋体" w:eastAsia="宋体" w:cs="宋体"/>
                <w:color w:val="auto"/>
                <w:sz w:val="21"/>
                <w:szCs w:val="21"/>
                <w:highlight w:val="none"/>
                <w:lang w:eastAsia="zh-CN"/>
              </w:rPr>
              <w:t>金融、担保</w:t>
            </w:r>
            <w:r>
              <w:rPr>
                <w:rFonts w:hint="eastAsia" w:ascii="宋体" w:hAnsi="宋体" w:eastAsia="宋体" w:cs="宋体"/>
                <w:color w:val="auto"/>
                <w:sz w:val="21"/>
                <w:szCs w:val="21"/>
                <w:highlight w:val="none"/>
              </w:rPr>
              <w:t>机构出具的保函的扫描件作为磋商保证金提交凭证，放置于商务技术文件中，</w:t>
            </w:r>
            <w:r>
              <w:rPr>
                <w:rFonts w:hint="eastAsia" w:ascii="宋体" w:hAnsi="宋体" w:eastAsia="宋体" w:cs="宋体"/>
                <w:b/>
                <w:color w:val="auto"/>
                <w:sz w:val="21"/>
                <w:szCs w:val="21"/>
                <w:highlight w:val="none"/>
              </w:rPr>
              <w:t>否则响应文件按无效处理</w:t>
            </w:r>
            <w:r>
              <w:rPr>
                <w:rFonts w:hint="eastAsia" w:ascii="宋体" w:hAnsi="宋体" w:eastAsia="宋体" w:cs="宋体"/>
                <w:color w:val="auto"/>
                <w:sz w:val="21"/>
                <w:szCs w:val="21"/>
                <w:highlight w:val="none"/>
              </w:rPr>
              <w:t>。供应商必须在响应文件提交截止时间前采用现场或邮寄方式（现场提交地址</w:t>
            </w:r>
            <w:r>
              <w:rPr>
                <w:rFonts w:hint="eastAsia" w:ascii="宋体" w:hAnsi="宋体" w:eastAsia="宋体" w:cs="宋体"/>
                <w:color w:val="auto"/>
                <w:sz w:val="21"/>
                <w:szCs w:val="21"/>
                <w:highlight w:val="none"/>
                <w:lang w:eastAsia="zh-CN"/>
              </w:rPr>
              <w:t>及</w:t>
            </w:r>
            <w:r>
              <w:rPr>
                <w:rFonts w:hint="eastAsia" w:ascii="宋体" w:hAnsi="宋体" w:eastAsia="宋体" w:cs="宋体"/>
                <w:color w:val="auto"/>
                <w:sz w:val="21"/>
                <w:szCs w:val="21"/>
                <w:highlight w:val="none"/>
              </w:rPr>
              <w:t>邮寄地址：</w:t>
            </w:r>
            <w:r>
              <w:rPr>
                <w:rFonts w:hint="eastAsia" w:ascii="宋体" w:hAnsi="宋体" w:eastAsia="宋体" w:cs="宋体"/>
                <w:color w:val="auto"/>
                <w:sz w:val="21"/>
                <w:szCs w:val="21"/>
                <w:highlight w:val="none"/>
                <w:lang w:eastAsia="zh-CN"/>
              </w:rPr>
              <w:t>南宁市青秀区枫林路18号广西国控大厦裙楼三层</w:t>
            </w:r>
            <w:r>
              <w:rPr>
                <w:rFonts w:hint="eastAsia" w:ascii="宋体" w:hAnsi="宋体" w:eastAsia="宋体" w:cs="宋体"/>
                <w:color w:val="auto"/>
                <w:sz w:val="21"/>
                <w:szCs w:val="21"/>
                <w:highlight w:val="none"/>
              </w:rPr>
              <w:t>，收件人：</w:t>
            </w:r>
            <w:r>
              <w:rPr>
                <w:rFonts w:hint="eastAsia" w:ascii="宋体" w:hAnsi="宋体" w:eastAsia="宋体" w:cs="宋体"/>
                <w:color w:val="auto"/>
                <w:sz w:val="21"/>
                <w:szCs w:val="21"/>
                <w:highlight w:val="none"/>
                <w:u w:val="single"/>
                <w:lang w:eastAsia="zh-CN"/>
              </w:rPr>
              <w:t>陈有弟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，联系方式：</w:t>
            </w:r>
            <w:r>
              <w:rPr>
                <w:rFonts w:hint="eastAsia" w:ascii="宋体" w:hAnsi="宋体" w:eastAsia="宋体" w:cs="宋体"/>
                <w:color w:val="auto"/>
                <w:sz w:val="21"/>
                <w:szCs w:val="21"/>
                <w:highlight w:val="none"/>
                <w:u w:val="single"/>
              </w:rPr>
              <w:t>0771-</w:t>
            </w:r>
            <w:r>
              <w:rPr>
                <w:rFonts w:hint="eastAsia" w:ascii="宋体" w:hAnsi="宋体" w:eastAsia="宋体" w:cs="宋体"/>
                <w:color w:val="auto"/>
                <w:sz w:val="21"/>
                <w:szCs w:val="21"/>
                <w:highlight w:val="none"/>
                <w:u w:val="single"/>
                <w:lang w:val="en-US" w:eastAsia="zh-CN"/>
              </w:rPr>
              <w:t>2869912</w:t>
            </w:r>
            <w:r>
              <w:rPr>
                <w:rFonts w:hint="eastAsia" w:ascii="宋体" w:hAnsi="宋体" w:eastAsia="宋体" w:cs="宋体"/>
                <w:color w:val="auto"/>
                <w:sz w:val="21"/>
                <w:szCs w:val="21"/>
                <w:highlight w:val="none"/>
              </w:rPr>
              <w:t>）将</w:t>
            </w:r>
            <w:r>
              <w:rPr>
                <w:rFonts w:hint="eastAsia" w:ascii="宋体" w:hAnsi="宋体" w:eastAsia="宋体" w:cs="宋体"/>
                <w:color w:val="auto"/>
                <w:kern w:val="0"/>
                <w:sz w:val="21"/>
                <w:szCs w:val="21"/>
                <w:highlight w:val="none"/>
              </w:rPr>
              <w:t>单独密封的</w:t>
            </w:r>
            <w:r>
              <w:rPr>
                <w:rFonts w:hint="eastAsia" w:ascii="宋体" w:hAnsi="宋体" w:eastAsia="宋体" w:cs="宋体"/>
                <w:color w:val="auto"/>
                <w:sz w:val="21"/>
                <w:szCs w:val="21"/>
                <w:highlight w:val="none"/>
              </w:rPr>
              <w:t>支票、汇票、本票或者</w:t>
            </w:r>
            <w:r>
              <w:rPr>
                <w:rFonts w:hint="eastAsia" w:ascii="宋体" w:hAnsi="宋体" w:eastAsia="宋体" w:cs="宋体"/>
                <w:color w:val="auto"/>
                <w:sz w:val="21"/>
                <w:szCs w:val="21"/>
                <w:highlight w:val="none"/>
                <w:lang w:eastAsia="zh-CN"/>
              </w:rPr>
              <w:t>金融、担保</w:t>
            </w:r>
            <w:r>
              <w:rPr>
                <w:rFonts w:hint="eastAsia" w:ascii="宋体" w:hAnsi="宋体" w:eastAsia="宋体" w:cs="宋体"/>
                <w:color w:val="auto"/>
                <w:sz w:val="21"/>
                <w:szCs w:val="21"/>
                <w:highlight w:val="none"/>
              </w:rPr>
              <w:t>机构出具的保函原件提交给采购人或者采购代理机构，由采购人或者采购代理机构向供应商出具回执（邮寄方式的除外），并妥善保管。</w:t>
            </w:r>
          </w:p>
          <w:p>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sz w:val="21"/>
                <w:szCs w:val="21"/>
                <w:highlight w:val="none"/>
              </w:rPr>
              <w:t>3.供应商为联合体的，可以由联合体中的一方或者多方共同交纳磋商保证金，其交纳的保证金对联合体各方均具有约束力。</w:t>
            </w:r>
          </w:p>
          <w:p>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备注： </w:t>
            </w:r>
          </w:p>
          <w:p>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1.磋商保证金在响应文件提交截止时间后提交的，或者不按规定交纳方式交纳的，或者未足额交纳的（包含保函额度不足的），视为无效磋商保证金。</w:t>
            </w:r>
          </w:p>
          <w:p>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2.供应商采用现钞方式或者从个人账户（自然人竞标除外）转出的磋商保证金，视为无效磋商保证金。</w:t>
            </w:r>
          </w:p>
          <w:p>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3.支票、汇票或者本票出现无效或者背书情形的，视为无效磋商保证金。</w:t>
            </w:r>
          </w:p>
          <w:p>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4.保函有效期低于竞标有效期的，视为无效磋商保证金。</w:t>
            </w:r>
          </w:p>
          <w:p>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5.采用</w:t>
            </w:r>
            <w:r>
              <w:rPr>
                <w:rFonts w:hint="eastAsia" w:ascii="宋体" w:hAnsi="宋体" w:eastAsia="宋体" w:cs="宋体"/>
                <w:b/>
                <w:color w:val="auto"/>
                <w:szCs w:val="21"/>
                <w:highlight w:val="none"/>
                <w:lang w:eastAsia="zh-CN"/>
              </w:rPr>
              <w:t>金融机构、担保机构</w:t>
            </w:r>
            <w:r>
              <w:rPr>
                <w:rFonts w:hint="eastAsia" w:ascii="宋体" w:hAnsi="宋体" w:eastAsia="宋体" w:cs="宋体"/>
                <w:b/>
                <w:color w:val="auto"/>
                <w:szCs w:val="21"/>
                <w:highlight w:val="none"/>
              </w:rPr>
              <w:t>出具保函的，必须为无条件保函，否则视为无效磋商保证金。</w:t>
            </w:r>
          </w:p>
          <w:p>
            <w:pPr>
              <w:spacing w:line="360" w:lineRule="auto"/>
              <w:rPr>
                <w:rFonts w:hint="eastAsia" w:ascii="宋体" w:hAnsi="宋体" w:eastAsia="宋体" w:cs="宋体"/>
                <w:color w:val="auto"/>
                <w:highlight w:val="none"/>
              </w:rPr>
            </w:pPr>
            <w:r>
              <w:rPr>
                <w:rFonts w:hint="eastAsia" w:ascii="宋体" w:hAnsi="宋体" w:eastAsia="宋体" w:cs="宋体"/>
                <w:b/>
                <w:color w:val="auto"/>
                <w:szCs w:val="21"/>
                <w:highlight w:val="none"/>
              </w:rPr>
              <w:t>6.政采云平台暂未支持电子保函功能，故本项目暂不接受电子保函形式的保证金。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992"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19</w:t>
            </w:r>
          </w:p>
        </w:tc>
        <w:tc>
          <w:tcPr>
            <w:tcW w:w="7912" w:type="dxa"/>
            <w:noWrap w:val="0"/>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本项目不接受</w:t>
            </w:r>
            <w:r>
              <w:rPr>
                <w:rFonts w:hint="eastAsia" w:ascii="宋体" w:hAnsi="宋体" w:eastAsia="宋体" w:cs="宋体"/>
                <w:color w:val="auto"/>
                <w:highlight w:val="none"/>
              </w:rPr>
              <w:t>电子</w:t>
            </w:r>
            <w:r>
              <w:rPr>
                <w:rFonts w:hint="eastAsia" w:ascii="宋体" w:hAnsi="宋体" w:eastAsia="宋体" w:cs="宋体"/>
                <w:color w:val="auto"/>
                <w:szCs w:val="21"/>
                <w:highlight w:val="none"/>
              </w:rPr>
              <w:t>备份响应文件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7912" w:type="dxa"/>
            <w:noWrap w:val="0"/>
            <w:vAlign w:val="center"/>
          </w:tcPr>
          <w:p>
            <w:pPr>
              <w:spacing w:line="360" w:lineRule="auto"/>
              <w:contextualSpacing/>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响应文件提交截止时间：详见竞争性磋商公告。</w:t>
            </w:r>
          </w:p>
          <w:p>
            <w:pPr>
              <w:spacing w:line="360" w:lineRule="auto"/>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响应文件提交地点：详见竞争性磋商公告。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w:t>
            </w:r>
          </w:p>
        </w:tc>
        <w:tc>
          <w:tcPr>
            <w:tcW w:w="7912" w:type="dxa"/>
            <w:noWrap w:val="0"/>
            <w:vAlign w:val="center"/>
          </w:tcPr>
          <w:p>
            <w:pPr>
              <w:snapToGrid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磋商小组的人数：</w:t>
            </w:r>
            <w:r>
              <w:rPr>
                <w:rFonts w:hint="eastAsia" w:ascii="宋体" w:hAnsi="宋体" w:eastAsia="宋体" w:cs="宋体"/>
                <w:color w:val="auto"/>
                <w:szCs w:val="21"/>
                <w:highlight w:val="none"/>
                <w:u w:val="single"/>
              </w:rPr>
              <w:t xml:space="preserve"> 3</w:t>
            </w:r>
            <w:r>
              <w:rPr>
                <w:rFonts w:hint="eastAsia" w:ascii="宋体" w:hAnsi="宋体" w:eastAsia="宋体" w:cs="宋体"/>
                <w:color w:val="auto"/>
                <w:szCs w:val="21"/>
                <w:highlight w:val="none"/>
              </w:rPr>
              <w:t>人或以上</w:t>
            </w:r>
            <w:r>
              <w:rPr>
                <w:rFonts w:hint="eastAsia" w:ascii="宋体" w:hAnsi="宋体" w:eastAsia="宋体" w:cs="宋体"/>
                <w:color w:val="auto"/>
                <w:szCs w:val="21"/>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25</w:t>
            </w:r>
          </w:p>
        </w:tc>
        <w:tc>
          <w:tcPr>
            <w:tcW w:w="7912" w:type="dxa"/>
            <w:noWrap w:val="0"/>
            <w:vAlign w:val="center"/>
          </w:tcPr>
          <w:p>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首次响应文件开启时间详见“竞争性磋商公告”</w:t>
            </w:r>
          </w:p>
          <w:p>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首次响应文件解密时间：</w:t>
            </w:r>
            <w:r>
              <w:rPr>
                <w:rFonts w:hint="eastAsia" w:ascii="宋体" w:hAnsi="宋体" w:eastAsia="宋体" w:cs="宋体"/>
                <w:color w:val="auto"/>
                <w:highlight w:val="none"/>
                <w:u w:val="single"/>
              </w:rPr>
              <w:t xml:space="preserve">30 </w:t>
            </w:r>
            <w:r>
              <w:rPr>
                <w:rFonts w:hint="eastAsia" w:ascii="宋体" w:hAnsi="宋体" w:eastAsia="宋体" w:cs="宋体"/>
                <w:color w:val="auto"/>
                <w:highlight w:val="none"/>
              </w:rPr>
              <w:t>分钟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26.3</w:t>
            </w:r>
          </w:p>
        </w:tc>
        <w:tc>
          <w:tcPr>
            <w:tcW w:w="7912" w:type="dxa"/>
            <w:noWrap w:val="0"/>
            <w:vAlign w:val="center"/>
          </w:tcPr>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商务要求评审中允许负偏离的条款数为</w:t>
            </w:r>
            <w:r>
              <w:rPr>
                <w:rFonts w:hint="eastAsia" w:ascii="宋体" w:hAnsi="宋体" w:eastAsia="宋体" w:cs="宋体"/>
                <w:color w:val="auto"/>
                <w:szCs w:val="21"/>
                <w:highlight w:val="none"/>
                <w:u w:val="single"/>
              </w:rPr>
              <w:t xml:space="preserve"> 0</w:t>
            </w:r>
            <w:r>
              <w:rPr>
                <w:rFonts w:hint="eastAsia" w:ascii="宋体" w:hAnsi="宋体" w:eastAsia="宋体" w:cs="宋体"/>
                <w:color w:val="auto"/>
                <w:szCs w:val="21"/>
                <w:highlight w:val="none"/>
              </w:rPr>
              <w:t>项，</w:t>
            </w:r>
            <w:r>
              <w:rPr>
                <w:rFonts w:hint="eastAsia" w:ascii="宋体" w:hAnsi="宋体" w:eastAsia="宋体" w:cs="宋体"/>
                <w:color w:val="auto"/>
                <w:highlight w:val="none"/>
              </w:rPr>
              <w:t>（负偏离达到1项或以上则</w:t>
            </w:r>
            <w:r>
              <w:rPr>
                <w:rFonts w:hint="eastAsia" w:ascii="宋体" w:hAnsi="宋体" w:eastAsia="宋体" w:cs="宋体"/>
                <w:color w:val="auto"/>
                <w:highlight w:val="none"/>
                <w:lang w:eastAsia="zh-CN"/>
              </w:rPr>
              <w:t>竞标</w:t>
            </w:r>
            <w:r>
              <w:rPr>
                <w:rFonts w:hint="eastAsia" w:ascii="宋体" w:hAnsi="宋体" w:eastAsia="宋体" w:cs="宋体"/>
                <w:color w:val="auto"/>
                <w:highlight w:val="none"/>
              </w:rPr>
              <w:t>无效）</w:t>
            </w:r>
            <w:r>
              <w:rPr>
                <w:rFonts w:hint="eastAsia" w:ascii="宋体" w:hAnsi="宋体" w:eastAsia="宋体" w:cs="宋体"/>
                <w:color w:val="auto"/>
                <w:szCs w:val="21"/>
                <w:highlight w:val="none"/>
              </w:rPr>
              <w:t>。</w:t>
            </w:r>
          </w:p>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技术要求评审中允许负偏离的条款数为</w:t>
            </w:r>
            <w:r>
              <w:rPr>
                <w:rFonts w:hint="eastAsia" w:ascii="宋体" w:hAnsi="宋体" w:eastAsia="宋体" w:cs="宋体"/>
                <w:color w:val="auto"/>
                <w:szCs w:val="21"/>
                <w:highlight w:val="none"/>
                <w:u w:val="single"/>
              </w:rPr>
              <w:t xml:space="preserve"> 0</w:t>
            </w:r>
            <w:r>
              <w:rPr>
                <w:rFonts w:hint="eastAsia" w:ascii="宋体" w:hAnsi="宋体" w:eastAsia="宋体" w:cs="宋体"/>
                <w:color w:val="auto"/>
                <w:szCs w:val="21"/>
                <w:highlight w:val="none"/>
              </w:rPr>
              <w:t>项，</w:t>
            </w:r>
            <w:r>
              <w:rPr>
                <w:rFonts w:hint="eastAsia" w:ascii="宋体" w:hAnsi="宋体" w:eastAsia="宋体" w:cs="宋体"/>
                <w:color w:val="auto"/>
                <w:highlight w:val="none"/>
              </w:rPr>
              <w:t>（负偏离达到1项或以上则</w:t>
            </w:r>
            <w:r>
              <w:rPr>
                <w:rFonts w:hint="eastAsia" w:ascii="宋体" w:hAnsi="宋体" w:eastAsia="宋体" w:cs="宋体"/>
                <w:color w:val="auto"/>
                <w:highlight w:val="none"/>
                <w:lang w:eastAsia="zh-CN"/>
              </w:rPr>
              <w:t>竞标</w:t>
            </w:r>
            <w:r>
              <w:rPr>
                <w:rFonts w:hint="eastAsia" w:ascii="宋体" w:hAnsi="宋体" w:eastAsia="宋体" w:cs="宋体"/>
                <w:color w:val="auto"/>
                <w:highlight w:val="none"/>
              </w:rPr>
              <w:t>无效）</w:t>
            </w:r>
            <w:r>
              <w:rPr>
                <w:rFonts w:hint="eastAsia" w:ascii="宋体" w:hAnsi="宋体" w:eastAsia="宋体" w:cs="宋体"/>
                <w:color w:val="auto"/>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28.1</w:t>
            </w:r>
          </w:p>
        </w:tc>
        <w:tc>
          <w:tcPr>
            <w:tcW w:w="7912" w:type="dxa"/>
            <w:shd w:val="clear" w:color="auto" w:fill="auto"/>
            <w:noWrap w:val="0"/>
            <w:vAlign w:val="center"/>
          </w:tcPr>
          <w:p>
            <w:pPr>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本项目不收取履约保证金。</w:t>
            </w:r>
          </w:p>
          <w:p>
            <w:pPr>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本项目收取履约保证金，具体规定如下：</w:t>
            </w:r>
          </w:p>
          <w:p>
            <w:pPr>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履约保证金金额：按</w:t>
            </w:r>
            <w:r>
              <w:rPr>
                <w:rFonts w:hint="eastAsia" w:ascii="宋体" w:hAnsi="宋体" w:eastAsia="宋体" w:cs="宋体"/>
                <w:color w:val="auto"/>
                <w:szCs w:val="21"/>
                <w:highlight w:val="none"/>
                <w:lang w:val="en-US" w:eastAsia="zh-CN"/>
              </w:rPr>
              <w:t>成交</w:t>
            </w:r>
            <w:r>
              <w:rPr>
                <w:rFonts w:hint="eastAsia" w:ascii="宋体" w:hAnsi="宋体" w:eastAsia="宋体" w:cs="宋体"/>
                <w:color w:val="auto"/>
                <w:szCs w:val="21"/>
                <w:highlight w:val="none"/>
              </w:rPr>
              <w:t>金额的</w:t>
            </w:r>
            <w:r>
              <w:rPr>
                <w:rFonts w:hint="eastAsia" w:ascii="宋体" w:hAnsi="宋体" w:eastAsia="宋体" w:cs="宋体"/>
                <w:color w:val="auto"/>
                <w:szCs w:val="21"/>
                <w:highlight w:val="none"/>
                <w:u w:val="single"/>
                <w:lang w:val="en-US" w:eastAsia="zh-CN"/>
              </w:rPr>
              <w:t>2</w:t>
            </w:r>
            <w:r>
              <w:rPr>
                <w:rFonts w:hint="eastAsia" w:ascii="宋体" w:hAnsi="宋体" w:eastAsia="宋体" w:cs="宋体"/>
                <w:color w:val="auto"/>
                <w:szCs w:val="21"/>
                <w:highlight w:val="none"/>
              </w:rPr>
              <w:t>%。</w:t>
            </w:r>
          </w:p>
          <w:p>
            <w:pPr>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履约保证金递交方式：银行转账、支票、汇票、本票或者</w:t>
            </w:r>
            <w:r>
              <w:rPr>
                <w:rFonts w:hint="eastAsia" w:ascii="宋体" w:hAnsi="宋体" w:eastAsia="宋体" w:cs="宋体"/>
                <w:color w:val="auto"/>
                <w:szCs w:val="21"/>
                <w:highlight w:val="none"/>
                <w:lang w:eastAsia="zh-CN"/>
              </w:rPr>
              <w:t>金融机构、担保机构出具的保函</w:t>
            </w:r>
            <w:r>
              <w:rPr>
                <w:rFonts w:hint="eastAsia" w:ascii="宋体" w:hAnsi="宋体" w:eastAsia="宋体" w:cs="宋体"/>
                <w:color w:val="auto"/>
                <w:szCs w:val="21"/>
                <w:highlight w:val="none"/>
              </w:rPr>
              <w:t>等非现金方式（参照投标保证金）</w:t>
            </w:r>
          </w:p>
          <w:p>
            <w:pPr>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履约保证金缴纳期限：自</w:t>
            </w:r>
            <w:r>
              <w:rPr>
                <w:rFonts w:hint="eastAsia" w:ascii="宋体" w:hAnsi="宋体" w:eastAsia="宋体" w:cs="宋体"/>
                <w:b w:val="0"/>
                <w:bCs w:val="0"/>
                <w:color w:val="auto"/>
                <w:szCs w:val="21"/>
                <w:highlight w:val="none"/>
                <w:u w:val="none"/>
                <w:lang w:val="en-US" w:eastAsia="zh-CN"/>
              </w:rPr>
              <w:t>签订合同之日起5个工作日内</w:t>
            </w:r>
            <w:r>
              <w:rPr>
                <w:rFonts w:hint="eastAsia" w:ascii="宋体" w:hAnsi="宋体" w:eastAsia="宋体" w:cs="宋体"/>
                <w:color w:val="auto"/>
                <w:szCs w:val="21"/>
                <w:highlight w:val="none"/>
              </w:rPr>
              <w:t>。</w:t>
            </w:r>
          </w:p>
          <w:p>
            <w:pPr>
              <w:autoSpaceDE w:val="0"/>
              <w:autoSpaceDN w:val="0"/>
              <w:snapToGrid w:val="0"/>
              <w:spacing w:line="360" w:lineRule="auto"/>
              <w:textAlignment w:val="bottom"/>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履约保证金退付方式、时间及条件：</w:t>
            </w:r>
          </w:p>
          <w:p>
            <w:pPr>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履约保证金指定账户：</w:t>
            </w:r>
          </w:p>
          <w:p>
            <w:pPr>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开户名称： </w:t>
            </w:r>
          </w:p>
          <w:p>
            <w:pPr>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开户银行： </w:t>
            </w:r>
          </w:p>
          <w:p>
            <w:pPr>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银行账号： </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pPr>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 根据《广西壮族自治区财政厅关于持续优化政府采购营商环境推动高质量发展的通知》（桂财采〔2024〕55号）的规定，履约保证金数额不得超过政府采购合同金额的5%；对中小企业收取的履约保证金数额不得超过政府采购合同金额的2%</w:t>
            </w:r>
            <w:r>
              <w:rPr>
                <w:rFonts w:hint="eastAsia" w:ascii="宋体" w:hAnsi="宋体" w:eastAsia="宋体" w:cs="宋体"/>
                <w:b/>
                <w:color w:val="auto"/>
                <w:kern w:val="0"/>
                <w:sz w:val="24"/>
                <w:highlight w:val="none"/>
              </w:rPr>
              <w:t>。</w:t>
            </w:r>
          </w:p>
          <w:p>
            <w:pPr>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color w:val="auto"/>
                <w:szCs w:val="21"/>
                <w:highlight w:val="none"/>
              </w:rPr>
              <w:t xml:space="preserve"> </w:t>
            </w:r>
            <w:r>
              <w:rPr>
                <w:rFonts w:hint="eastAsia" w:ascii="宋体" w:hAnsi="宋体" w:eastAsia="宋体" w:cs="宋体"/>
                <w:b/>
                <w:color w:val="auto"/>
                <w:szCs w:val="21"/>
                <w:highlight w:val="none"/>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r>
              <w:rPr>
                <w:rFonts w:hint="eastAsia" w:ascii="宋体" w:hAnsi="宋体" w:eastAsia="宋体" w:cs="宋体"/>
                <w:b/>
                <w:color w:val="auto"/>
                <w:szCs w:val="21"/>
                <w:highlight w:val="none"/>
              </w:rPr>
              <w:br w:type="textWrapping"/>
            </w:r>
            <w:r>
              <w:rPr>
                <w:rFonts w:hint="eastAsia" w:ascii="宋体" w:hAnsi="宋体" w:eastAsia="宋体" w:cs="宋体"/>
                <w:b/>
                <w:color w:val="auto"/>
                <w:szCs w:val="21"/>
                <w:highlight w:val="none"/>
              </w:rPr>
              <w:t>3.采用</w:t>
            </w:r>
            <w:r>
              <w:rPr>
                <w:rFonts w:hint="eastAsia" w:ascii="宋体" w:hAnsi="宋体" w:eastAsia="宋体" w:cs="宋体"/>
                <w:b/>
                <w:color w:val="auto"/>
                <w:szCs w:val="21"/>
                <w:highlight w:val="none"/>
                <w:lang w:eastAsia="zh-CN"/>
              </w:rPr>
              <w:t>金融机构、担保机构出具的保函</w:t>
            </w:r>
            <w:r>
              <w:rPr>
                <w:rFonts w:hint="eastAsia" w:ascii="宋体" w:hAnsi="宋体" w:eastAsia="宋体" w:cs="宋体"/>
                <w:b/>
                <w:color w:val="auto"/>
                <w:szCs w:val="21"/>
                <w:highlight w:val="none"/>
              </w:rPr>
              <w:t>的，必须为无条件保函，否则不予签订合同。</w:t>
            </w:r>
          </w:p>
          <w:p>
            <w:pPr>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color w:val="auto"/>
                <w:szCs w:val="21"/>
                <w:highlight w:val="none"/>
              </w:rPr>
              <w:t>4.投标人为联合体的，由联合体其中一方按规定提交的履约保证金，视为有效履约保证金。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29.1</w:t>
            </w:r>
          </w:p>
        </w:tc>
        <w:tc>
          <w:tcPr>
            <w:tcW w:w="7912" w:type="dxa"/>
            <w:noWrap w:val="0"/>
            <w:vAlign w:val="center"/>
          </w:tcPr>
          <w:p>
            <w:pPr>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签订合同携带的证明材料： </w:t>
            </w:r>
          </w:p>
          <w:p>
            <w:pPr>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委托代理人负责签订合同的，须携带授权委托书及委托代理人身份证原件等其他资格证件。</w:t>
            </w:r>
          </w:p>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法定代表人负责签订合同的，须携带法定代表人身份证明原件及身份证原件等其他证明材料。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7912" w:type="dxa"/>
            <w:noWrap w:val="0"/>
            <w:vAlign w:val="center"/>
          </w:tcPr>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接收质疑函方式：以书面形式。</w:t>
            </w:r>
          </w:p>
          <w:p>
            <w:pPr>
              <w:snapToGri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质疑联系部门及联系方式：</w:t>
            </w:r>
            <w:r>
              <w:rPr>
                <w:rFonts w:hint="eastAsia" w:ascii="宋体" w:hAnsi="宋体" w:eastAsia="宋体" w:cs="宋体"/>
                <w:color w:val="auto"/>
                <w:szCs w:val="21"/>
                <w:highlight w:val="none"/>
                <w:lang w:eastAsia="zh-CN"/>
              </w:rPr>
              <w:t>广西建设工程机电设备招标中心有限公司</w:t>
            </w:r>
          </w:p>
          <w:p>
            <w:pPr>
              <w:snapToGri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lang w:eastAsia="zh-CN"/>
              </w:rPr>
              <w:t>0771-2869912</w:t>
            </w:r>
          </w:p>
          <w:p>
            <w:pPr>
              <w:snapToGri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通讯地址：</w:t>
            </w:r>
            <w:r>
              <w:rPr>
                <w:rFonts w:hint="eastAsia" w:ascii="宋体" w:hAnsi="宋体" w:eastAsia="宋体" w:cs="宋体"/>
                <w:color w:val="auto"/>
                <w:szCs w:val="21"/>
                <w:highlight w:val="none"/>
                <w:lang w:eastAsia="zh-CN"/>
              </w:rPr>
              <w:t>南宁市青秀区枫林路18号广西国控集团（枫林路办公区）裙楼三层</w:t>
            </w:r>
          </w:p>
          <w:p>
            <w:pPr>
              <w:widowControl w:val="0"/>
              <w:snapToGrid w:val="0"/>
              <w:spacing w:line="360" w:lineRule="auto"/>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业务时间：每天上午8时00分到12时00分，下午3时00分到6时 00分，双休日和法定节假日不办理业务。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32.1</w:t>
            </w:r>
          </w:p>
        </w:tc>
        <w:tc>
          <w:tcPr>
            <w:tcW w:w="7912" w:type="dxa"/>
            <w:noWrap w:val="0"/>
            <w:vAlign w:val="center"/>
          </w:tcPr>
          <w:p>
            <w:pPr>
              <w:widowControl w:val="0"/>
              <w:snapToGrid w:val="0"/>
              <w:spacing w:line="360" w:lineRule="auto"/>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1.采购代理费支付方式：</w:t>
            </w:r>
          </w:p>
          <w:p>
            <w:pPr>
              <w:widowControl w:val="0"/>
              <w:snapToGrid w:val="0"/>
              <w:spacing w:line="360" w:lineRule="auto"/>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0"/>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本项目代理服务费按如下规定由</w:t>
            </w:r>
            <w:r>
              <w:rPr>
                <w:rFonts w:hint="eastAsia" w:ascii="宋体" w:hAnsi="宋体" w:eastAsia="宋体" w:cs="宋体"/>
                <w:color w:val="auto"/>
                <w:kern w:val="0"/>
                <w:sz w:val="21"/>
                <w:szCs w:val="21"/>
                <w:highlight w:val="none"/>
                <w:u w:val="single"/>
                <w:lang w:val="en-US" w:eastAsia="zh-CN" w:bidi="ar-SA"/>
              </w:rPr>
              <w:t>成交供应商</w:t>
            </w:r>
            <w:r>
              <w:rPr>
                <w:rFonts w:hint="eastAsia" w:ascii="宋体" w:hAnsi="宋体" w:eastAsia="宋体" w:cs="宋体"/>
                <w:color w:val="auto"/>
                <w:kern w:val="0"/>
                <w:sz w:val="21"/>
                <w:szCs w:val="21"/>
                <w:highlight w:val="none"/>
                <w:lang w:val="en-US" w:eastAsia="zh-CN" w:bidi="ar-SA"/>
              </w:rPr>
              <w:t>在领取成交通知书前，一次性向采购代理机构支付。</w:t>
            </w:r>
          </w:p>
          <w:p>
            <w:pPr>
              <w:widowControl w:val="0"/>
              <w:snapToGrid w:val="0"/>
              <w:spacing w:line="360" w:lineRule="auto"/>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□采购人支付。</w:t>
            </w:r>
          </w:p>
          <w:p>
            <w:pPr>
              <w:widowControl w:val="0"/>
              <w:snapToGrid w:val="0"/>
              <w:spacing w:line="360" w:lineRule="auto"/>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2.采购代理费收取标准：</w:t>
            </w:r>
          </w:p>
          <w:p>
            <w:pPr>
              <w:widowControl w:val="0"/>
              <w:snapToGrid w:val="0"/>
              <w:spacing w:line="360" w:lineRule="auto"/>
              <w:jc w:val="both"/>
              <w:rPr>
                <w:rFonts w:hint="eastAsia" w:ascii="宋体" w:hAnsi="宋体" w:eastAsia="宋体" w:cs="宋体"/>
                <w:color w:val="auto"/>
                <w:kern w:val="0"/>
                <w:sz w:val="21"/>
                <w:szCs w:val="21"/>
                <w:highlight w:val="none"/>
                <w:lang w:val="en-US" w:eastAsia="zh-CN" w:bidi="ar-SA"/>
              </w:rPr>
            </w:pPr>
            <w:bookmarkStart w:id="97" w:name="OLE_LINK40"/>
            <w:r>
              <w:rPr>
                <w:rFonts w:hint="eastAsia" w:ascii="宋体" w:hAnsi="宋体" w:eastAsia="宋体" w:cs="宋体"/>
                <w:color w:val="auto"/>
                <w:kern w:val="0"/>
                <w:sz w:val="20"/>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以分标（</w:t>
            </w:r>
            <w:r>
              <w:rPr>
                <w:rFonts w:hint="eastAsia" w:ascii="宋体" w:hAnsi="宋体" w:eastAsia="宋体" w:cs="宋体"/>
                <w:color w:val="auto"/>
                <w:kern w:val="0"/>
                <w:sz w:val="20"/>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成交金额/</w:t>
            </w:r>
            <w:r>
              <w:rPr>
                <w:rFonts w:hint="eastAsia" w:ascii="宋体" w:hAnsi="宋体" w:eastAsia="宋体" w:cs="宋体"/>
                <w:color w:val="auto"/>
                <w:kern w:val="0"/>
                <w:sz w:val="20"/>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采购预算/□暂定成交金额/□其他</w:t>
            </w:r>
            <w:r>
              <w:rPr>
                <w:rFonts w:hint="eastAsia" w:ascii="宋体" w:hAnsi="宋体" w:eastAsia="宋体" w:cs="宋体"/>
                <w:color w:val="auto"/>
                <w:kern w:val="0"/>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lang w:val="en-US" w:eastAsia="zh-CN" w:bidi="ar-SA"/>
              </w:rPr>
              <w:t>）为计费额，按本须知正文第32.1条规定的（□货物类/</w:t>
            </w:r>
            <w:r>
              <w:rPr>
                <w:rFonts w:hint="eastAsia" w:ascii="宋体" w:hAnsi="宋体" w:eastAsia="宋体" w:cs="宋体"/>
                <w:color w:val="auto"/>
                <w:kern w:val="0"/>
                <w:sz w:val="20"/>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服务类/□工程类）标准采用差额定率累进法计算出收费基准价格，采购代理收费以（□收费基准价格/☑收费基准价格下浮</w:t>
            </w:r>
            <w:r>
              <w:rPr>
                <w:rFonts w:hint="eastAsia" w:ascii="宋体" w:hAnsi="宋体" w:eastAsia="宋体" w:cs="宋体"/>
                <w:color w:val="auto"/>
                <w:kern w:val="0"/>
                <w:sz w:val="21"/>
                <w:szCs w:val="21"/>
                <w:highlight w:val="none"/>
                <w:u w:val="single"/>
                <w:lang w:val="en-US" w:eastAsia="zh-CN" w:bidi="ar-SA"/>
              </w:rPr>
              <w:t xml:space="preserve"> 40 %</w:t>
            </w:r>
            <w:r>
              <w:rPr>
                <w:rFonts w:hint="eastAsia" w:ascii="宋体" w:hAnsi="宋体" w:eastAsia="宋体" w:cs="宋体"/>
                <w:color w:val="auto"/>
                <w:kern w:val="0"/>
                <w:sz w:val="21"/>
                <w:szCs w:val="21"/>
                <w:highlight w:val="none"/>
                <w:lang w:val="en-US" w:eastAsia="zh-CN" w:bidi="ar-SA"/>
              </w:rPr>
              <w:t>/□收费基准价格上浮</w:t>
            </w:r>
            <w:r>
              <w:rPr>
                <w:rFonts w:hint="eastAsia" w:ascii="宋体" w:hAnsi="宋体" w:eastAsia="宋体" w:cs="宋体"/>
                <w:color w:val="auto"/>
                <w:kern w:val="0"/>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lang w:val="en-US" w:eastAsia="zh-CN" w:bidi="ar-SA"/>
              </w:rPr>
              <w:t>）收取。</w:t>
            </w:r>
          </w:p>
          <w:bookmarkEnd w:id="97"/>
          <w:p>
            <w:pPr>
              <w:widowControl w:val="0"/>
              <w:snapToGrid w:val="0"/>
              <w:spacing w:line="360" w:lineRule="auto"/>
              <w:jc w:val="both"/>
              <w:rPr>
                <w:rFonts w:hint="eastAsia" w:ascii="宋体" w:hAnsi="宋体" w:eastAsia="宋体" w:cs="宋体"/>
                <w:color w:val="auto"/>
                <w:kern w:val="0"/>
                <w:sz w:val="21"/>
                <w:szCs w:val="21"/>
                <w:highlight w:val="none"/>
                <w:u w:val="single"/>
                <w:lang w:val="en-US" w:eastAsia="zh-CN" w:bidi="ar-SA"/>
              </w:rPr>
            </w:pPr>
            <w:r>
              <w:rPr>
                <w:rFonts w:hint="eastAsia" w:ascii="宋体" w:hAnsi="宋体" w:eastAsia="宋体" w:cs="宋体"/>
                <w:color w:val="auto"/>
                <w:kern w:val="0"/>
                <w:sz w:val="21"/>
                <w:szCs w:val="21"/>
                <w:highlight w:val="none"/>
                <w:lang w:val="en-US" w:eastAsia="zh-CN" w:bidi="ar-SA"/>
              </w:rPr>
              <w:t>□固定采购代理收费</w:t>
            </w:r>
            <w:r>
              <w:rPr>
                <w:rFonts w:hint="eastAsia" w:ascii="宋体" w:hAnsi="宋体" w:eastAsia="宋体" w:cs="宋体"/>
                <w:color w:val="auto"/>
                <w:kern w:val="0"/>
                <w:sz w:val="21"/>
                <w:szCs w:val="21"/>
                <w:highlight w:val="none"/>
                <w:u w:val="single"/>
                <w:lang w:val="en-US" w:eastAsia="zh-CN" w:bidi="ar-SA"/>
              </w:rPr>
              <w:t xml:space="preserve">              。</w:t>
            </w:r>
          </w:p>
          <w:p>
            <w:pPr>
              <w:widowControl w:val="0"/>
              <w:snapToGrid w:val="0"/>
              <w:spacing w:line="360" w:lineRule="auto"/>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 采购代理费收取银行账户</w:t>
            </w:r>
          </w:p>
          <w:p>
            <w:pPr>
              <w:widowControl w:val="0"/>
              <w:snapToGrid w:val="0"/>
              <w:spacing w:line="360" w:lineRule="auto"/>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账户名称：广西建设工程机电设备招标中心有限公司</w:t>
            </w:r>
          </w:p>
          <w:p>
            <w:pPr>
              <w:widowControl w:val="0"/>
              <w:snapToGrid w:val="0"/>
              <w:spacing w:line="360" w:lineRule="auto"/>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开户银行：招商银行南宁分行营业部</w:t>
            </w:r>
          </w:p>
          <w:p>
            <w:pPr>
              <w:widowControl w:val="0"/>
              <w:snapToGrid w:val="0"/>
              <w:spacing w:line="360" w:lineRule="auto"/>
              <w:jc w:val="both"/>
              <w:rPr>
                <w:rFonts w:hint="eastAsia" w:ascii="宋体" w:hAnsi="宋体" w:eastAsia="宋体" w:cs="宋体"/>
                <w:color w:val="auto"/>
                <w:kern w:val="0"/>
                <w:sz w:val="21"/>
                <w:szCs w:val="21"/>
                <w:highlight w:val="none"/>
                <w:u w:val="single"/>
                <w:lang w:val="en-US" w:eastAsia="zh-CN" w:bidi="ar-SA"/>
              </w:rPr>
            </w:pPr>
            <w:r>
              <w:rPr>
                <w:rFonts w:hint="eastAsia" w:ascii="宋体" w:hAnsi="宋体" w:eastAsia="宋体" w:cs="宋体"/>
                <w:color w:val="auto"/>
                <w:kern w:val="0"/>
                <w:szCs w:val="21"/>
                <w:highlight w:val="none"/>
              </w:rPr>
              <w:t>银行账号：771901423310201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33.1</w:t>
            </w:r>
          </w:p>
        </w:tc>
        <w:tc>
          <w:tcPr>
            <w:tcW w:w="7912" w:type="dxa"/>
            <w:noWrap w:val="0"/>
            <w:vAlign w:val="center"/>
          </w:tcPr>
          <w:p>
            <w:pPr>
              <w:widowControl w:val="0"/>
              <w:snapToGrid w:val="0"/>
              <w:spacing w:line="360" w:lineRule="auto"/>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33.2</w:t>
            </w:r>
          </w:p>
        </w:tc>
        <w:tc>
          <w:tcPr>
            <w:tcW w:w="7912" w:type="dxa"/>
            <w:noWrap w:val="0"/>
            <w:vAlign w:val="center"/>
          </w:tcPr>
          <w:p>
            <w:pPr>
              <w:widowControl w:val="0"/>
              <w:snapToGrid w:val="0"/>
              <w:spacing w:line="360" w:lineRule="auto"/>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pPr>
              <w:widowControl w:val="0"/>
              <w:snapToGrid w:val="0"/>
              <w:spacing w:line="360" w:lineRule="auto"/>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2.本磋商文件所称的“</w:t>
            </w:r>
            <w:r>
              <w:rPr>
                <w:rFonts w:hint="eastAsia" w:ascii="宋体" w:hAnsi="宋体" w:eastAsia="宋体" w:cs="宋体"/>
                <w:color w:val="auto"/>
                <w:kern w:val="0"/>
                <w:sz w:val="21"/>
                <w:szCs w:val="21"/>
                <w:highlight w:val="none"/>
                <w:lang w:val="en-US" w:eastAsia="zh-CN" w:bidi="ar-SA"/>
              </w:rPr>
              <w:t>电子签章</w:t>
            </w:r>
            <w:r>
              <w:rPr>
                <w:rFonts w:hint="eastAsia" w:ascii="宋体" w:hAnsi="宋体" w:eastAsia="宋体" w:cs="宋体"/>
                <w:bCs/>
                <w:color w:val="auto"/>
                <w:kern w:val="0"/>
                <w:sz w:val="21"/>
                <w:szCs w:val="21"/>
                <w:highlight w:val="none"/>
                <w:lang w:val="en-US" w:eastAsia="zh-CN" w:bidi="ar-SA"/>
              </w:rPr>
              <w:t>”、“电子签名”</w:t>
            </w:r>
            <w:r>
              <w:rPr>
                <w:rFonts w:hint="eastAsia" w:ascii="宋体" w:hAnsi="宋体" w:eastAsia="宋体" w:cs="宋体"/>
                <w:color w:val="auto"/>
                <w:kern w:val="0"/>
                <w:sz w:val="21"/>
                <w:szCs w:val="21"/>
                <w:highlight w:val="none"/>
                <w:lang w:val="en-US" w:eastAsia="zh-CN" w:bidi="ar-SA"/>
              </w:rPr>
              <w:t>，是指经“广西政府采购云平台”认可的CA认证的电子签名数据为表现形式的印章，可用于签署电子响应文件，电子印章与实物印章具有同等法律效力，不因其采用电子化表现形式而否定其法律效力。</w:t>
            </w:r>
          </w:p>
          <w:p>
            <w:pPr>
              <w:widowControl w:val="0"/>
              <w:snapToGrid w:val="0"/>
              <w:spacing w:line="360" w:lineRule="auto"/>
              <w:jc w:val="both"/>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3.供应商为其他组织或者自然人时，本磋商文件规定的法定代表人指负责人或者自然人。本磋商文件所称负责人是指参加竞标的其他组织</w:t>
            </w:r>
            <w:r>
              <w:rPr>
                <w:rFonts w:hint="eastAsia" w:ascii="宋体" w:hAnsi="宋体" w:eastAsia="宋体" w:cs="宋体"/>
                <w:bCs/>
                <w:color w:val="auto"/>
                <w:kern w:val="0"/>
                <w:sz w:val="21"/>
                <w:szCs w:val="21"/>
                <w:highlight w:val="none"/>
                <w:lang w:val="en-US" w:eastAsia="zh-CN" w:bidi="ar-SA"/>
              </w:rPr>
              <w:t>营业执照或者执业许可证等证照上的</w:t>
            </w:r>
            <w:r>
              <w:rPr>
                <w:rFonts w:hint="eastAsia" w:ascii="宋体" w:hAnsi="宋体" w:eastAsia="宋体" w:cs="宋体"/>
                <w:color w:val="auto"/>
                <w:kern w:val="0"/>
                <w:sz w:val="21"/>
                <w:szCs w:val="21"/>
                <w:highlight w:val="none"/>
                <w:lang w:val="en-US" w:eastAsia="zh-CN" w:bidi="ar-SA"/>
              </w:rPr>
              <w:t>负责人，本磋商文件所称自然人指参与竞标的自然人本人，</w:t>
            </w:r>
            <w:r>
              <w:rPr>
                <w:rFonts w:hint="eastAsia" w:ascii="宋体" w:hAnsi="宋体" w:eastAsia="宋体" w:cs="宋体"/>
                <w:bCs/>
                <w:color w:val="auto"/>
                <w:kern w:val="0"/>
                <w:sz w:val="21"/>
                <w:szCs w:val="21"/>
                <w:highlight w:val="none"/>
                <w:lang w:val="en-US" w:eastAsia="zh-CN" w:bidi="ar-SA"/>
              </w:rPr>
              <w:t>且应具备独立承担民事责任能力，自然人应当为年满18岁以上成年人（十六周岁以上的未成年人，以自己的劳动收入为主要生活来源的，视为完全民事行为能力人）。</w:t>
            </w:r>
          </w:p>
          <w:p>
            <w:pPr>
              <w:widowControl w:val="0"/>
              <w:snapToGrid w:val="0"/>
              <w:spacing w:line="360" w:lineRule="auto"/>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4.本磋商文件中描述供应商的“签字”是指供应商的法定代表人或者委托代理人亲自在文件规定签署处亲笔写上个人的名字的行为，私章、签字章、印鉴、影印等其他形式均不能代替亲笔签字。</w:t>
            </w:r>
          </w:p>
          <w:p>
            <w:pPr>
              <w:widowControl w:val="0"/>
              <w:snapToGrid w:val="0"/>
              <w:spacing w:line="360" w:lineRule="auto"/>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5.本磋商文件所称的“以上”“以下”“以内”“届满”，包括本数；所称的“不满”“超过”“以外”，不包括本数。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特别说明</w:t>
            </w:r>
          </w:p>
        </w:tc>
        <w:tc>
          <w:tcPr>
            <w:tcW w:w="7912" w:type="dxa"/>
            <w:noWrap w:val="0"/>
            <w:vAlign w:val="center"/>
          </w:tcPr>
          <w:p>
            <w:pPr>
              <w:widowControl w:val="0"/>
              <w:snapToGrid w:val="0"/>
              <w:spacing w:line="360" w:lineRule="auto"/>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bCs/>
                <w:color w:val="auto"/>
                <w:szCs w:val="21"/>
                <w:highlight w:val="none"/>
              </w:rPr>
              <w:t>因项目存档需要，</w:t>
            </w:r>
            <w:r>
              <w:rPr>
                <w:rFonts w:hint="eastAsia" w:ascii="宋体" w:hAnsi="宋体" w:eastAsia="宋体" w:cs="宋体"/>
                <w:b/>
                <w:bCs/>
                <w:color w:val="auto"/>
                <w:szCs w:val="21"/>
                <w:highlight w:val="none"/>
                <w:lang w:val="en-US" w:eastAsia="zh-CN"/>
              </w:rPr>
              <w:t>成交</w:t>
            </w:r>
            <w:r>
              <w:rPr>
                <w:rFonts w:hint="eastAsia" w:ascii="宋体" w:hAnsi="宋体" w:eastAsia="宋体" w:cs="宋体"/>
                <w:b/>
                <w:bCs/>
                <w:color w:val="auto"/>
                <w:szCs w:val="21"/>
                <w:highlight w:val="none"/>
              </w:rPr>
              <w:t>人须按以下要求提供纸质投标文件：在</w:t>
            </w:r>
            <w:r>
              <w:rPr>
                <w:rFonts w:hint="eastAsia" w:ascii="宋体" w:hAnsi="宋体" w:eastAsia="宋体" w:cs="宋体"/>
                <w:b/>
                <w:bCs/>
                <w:color w:val="auto"/>
                <w:szCs w:val="21"/>
                <w:highlight w:val="none"/>
                <w:lang w:val="en-US" w:eastAsia="zh-CN"/>
              </w:rPr>
              <w:t>成交</w:t>
            </w:r>
            <w:r>
              <w:rPr>
                <w:rFonts w:hint="eastAsia" w:ascii="宋体" w:hAnsi="宋体" w:eastAsia="宋体" w:cs="宋体"/>
                <w:b/>
                <w:bCs/>
                <w:color w:val="auto"/>
                <w:szCs w:val="21"/>
                <w:highlight w:val="none"/>
              </w:rPr>
              <w:t>通知书发出后5天内须提交3套纸质版</w:t>
            </w:r>
            <w:r>
              <w:rPr>
                <w:rFonts w:hint="eastAsia" w:ascii="宋体" w:hAnsi="宋体" w:eastAsia="宋体" w:cs="宋体"/>
                <w:b/>
                <w:bCs/>
                <w:color w:val="auto"/>
                <w:szCs w:val="21"/>
                <w:highlight w:val="none"/>
                <w:lang w:val="en-US" w:eastAsia="zh-CN"/>
              </w:rPr>
              <w:t>响应</w:t>
            </w:r>
            <w:r>
              <w:rPr>
                <w:rFonts w:hint="eastAsia" w:ascii="宋体" w:hAnsi="宋体" w:eastAsia="宋体" w:cs="宋体"/>
                <w:b/>
                <w:bCs/>
                <w:color w:val="auto"/>
                <w:szCs w:val="21"/>
                <w:highlight w:val="none"/>
              </w:rPr>
              <w:t>文件（含资格证明文件、报价文件、商务文件、技术文件。）给采购代理机构。提交的纸质版</w:t>
            </w:r>
            <w:r>
              <w:rPr>
                <w:rFonts w:hint="eastAsia" w:ascii="宋体" w:hAnsi="宋体" w:eastAsia="宋体" w:cs="宋体"/>
                <w:b/>
                <w:bCs/>
                <w:color w:val="auto"/>
                <w:szCs w:val="21"/>
                <w:highlight w:val="none"/>
                <w:lang w:val="en-US" w:eastAsia="zh-CN"/>
              </w:rPr>
              <w:t>响应</w:t>
            </w:r>
            <w:r>
              <w:rPr>
                <w:rFonts w:hint="eastAsia" w:ascii="宋体" w:hAnsi="宋体" w:eastAsia="宋体" w:cs="宋体"/>
                <w:b/>
                <w:bCs/>
                <w:color w:val="auto"/>
                <w:szCs w:val="21"/>
                <w:highlight w:val="none"/>
              </w:rPr>
              <w:t>文件必须与上传广西政府采购云平台的电子</w:t>
            </w:r>
            <w:r>
              <w:rPr>
                <w:rFonts w:hint="eastAsia" w:ascii="宋体" w:hAnsi="宋体" w:eastAsia="宋体" w:cs="宋体"/>
                <w:b/>
                <w:bCs/>
                <w:color w:val="auto"/>
                <w:szCs w:val="21"/>
                <w:highlight w:val="none"/>
                <w:lang w:val="en-US" w:eastAsia="zh-CN"/>
              </w:rPr>
              <w:t>响应</w:t>
            </w:r>
            <w:r>
              <w:rPr>
                <w:rFonts w:hint="eastAsia" w:ascii="宋体" w:hAnsi="宋体" w:eastAsia="宋体" w:cs="宋体"/>
                <w:b/>
                <w:bCs/>
                <w:color w:val="auto"/>
                <w:szCs w:val="21"/>
                <w:highlight w:val="none"/>
              </w:rPr>
              <w:t>文件内容一致，不允许有篡改。如项目验收时因所提供的纸质</w:t>
            </w:r>
            <w:r>
              <w:rPr>
                <w:rFonts w:hint="eastAsia" w:ascii="宋体" w:hAnsi="宋体" w:eastAsia="宋体" w:cs="宋体"/>
                <w:b/>
                <w:bCs/>
                <w:color w:val="auto"/>
                <w:szCs w:val="21"/>
                <w:highlight w:val="none"/>
                <w:lang w:val="en-US" w:eastAsia="zh-CN"/>
              </w:rPr>
              <w:t>响应</w:t>
            </w:r>
            <w:r>
              <w:rPr>
                <w:rFonts w:hint="eastAsia" w:ascii="宋体" w:hAnsi="宋体" w:eastAsia="宋体" w:cs="宋体"/>
                <w:b/>
                <w:bCs/>
                <w:color w:val="auto"/>
                <w:szCs w:val="21"/>
                <w:highlight w:val="none"/>
              </w:rPr>
              <w:t>文件与评标的</w:t>
            </w:r>
            <w:r>
              <w:rPr>
                <w:rFonts w:hint="eastAsia" w:ascii="宋体" w:hAnsi="宋体" w:eastAsia="宋体" w:cs="宋体"/>
                <w:b/>
                <w:bCs/>
                <w:color w:val="auto"/>
                <w:szCs w:val="21"/>
                <w:highlight w:val="none"/>
                <w:lang w:val="en-US" w:eastAsia="zh-CN"/>
              </w:rPr>
              <w:t>响应</w:t>
            </w:r>
            <w:r>
              <w:rPr>
                <w:rFonts w:hint="eastAsia" w:ascii="宋体" w:hAnsi="宋体" w:eastAsia="宋体" w:cs="宋体"/>
                <w:b/>
                <w:bCs/>
                <w:color w:val="auto"/>
                <w:szCs w:val="21"/>
                <w:highlight w:val="none"/>
              </w:rPr>
              <w:t>文件不一致造成纠纷时，所有责任由</w:t>
            </w:r>
            <w:r>
              <w:rPr>
                <w:rFonts w:hint="eastAsia" w:ascii="宋体" w:hAnsi="宋体" w:eastAsia="宋体" w:cs="宋体"/>
                <w:b/>
                <w:bCs/>
                <w:color w:val="auto"/>
                <w:szCs w:val="21"/>
                <w:highlight w:val="none"/>
                <w:lang w:val="en-US" w:eastAsia="zh-CN"/>
              </w:rPr>
              <w:t>成交</w:t>
            </w:r>
            <w:r>
              <w:rPr>
                <w:rFonts w:hint="eastAsia" w:ascii="宋体" w:hAnsi="宋体" w:eastAsia="宋体" w:cs="宋体"/>
                <w:b/>
                <w:bCs/>
                <w:color w:val="auto"/>
                <w:szCs w:val="21"/>
                <w:highlight w:val="none"/>
              </w:rPr>
              <w:t>人承担。</w:t>
            </w:r>
          </w:p>
        </w:tc>
      </w:tr>
      <w:bookmarkEnd w:id="90"/>
    </w:tbl>
    <w:p>
      <w:pPr>
        <w:spacing w:line="40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供应商须知正文</w:t>
      </w:r>
    </w:p>
    <w:p>
      <w:pPr>
        <w:spacing w:line="400" w:lineRule="exact"/>
        <w:jc w:val="center"/>
        <w:rPr>
          <w:rFonts w:hint="eastAsia" w:ascii="宋体" w:hAnsi="宋体" w:eastAsia="宋体" w:cs="宋体"/>
          <w:b/>
          <w:color w:val="auto"/>
          <w:sz w:val="32"/>
          <w:szCs w:val="32"/>
          <w:highlight w:val="none"/>
        </w:rPr>
      </w:pPr>
    </w:p>
    <w:p>
      <w:pPr>
        <w:spacing w:line="40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一、总则</w:t>
      </w:r>
    </w:p>
    <w:p>
      <w:pPr>
        <w:spacing w:line="400" w:lineRule="exact"/>
        <w:rPr>
          <w:rFonts w:hint="eastAsia" w:ascii="宋体" w:hAnsi="宋体" w:eastAsia="宋体" w:cs="宋体"/>
          <w:color w:val="auto"/>
          <w:szCs w:val="21"/>
          <w:highlight w:val="none"/>
        </w:rPr>
      </w:pP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本竞争性磋商文件（以下简称磋商文件）适用于本项目的所有采购程序和环节（法律、法规另有规定的，从其规定）。</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2.4“服务”是指除货物和工程以外的其他政府采购对象。</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2.5“竞标”是指供应商按照本项目竞争性磋商公告或者邀请函规定的方式获取磋商文件、提交响应文件并希望获得标的的行为。</w:t>
      </w:r>
    </w:p>
    <w:p>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2.6“书面形式”是指合同书、信件和数据电文（包括电报、电传、传真、电子数据交换和电子邮件）等可以有形地表现所载内容的形式。</w:t>
      </w:r>
    </w:p>
    <w:p>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2.7“响应文件”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2.8“实质性要求”是指磋商文件中已经指明不满足则响应文件按无效响应处理的条款，或者不能负偏离的条款，或者采购需求中带“▲”的条款。</w:t>
      </w:r>
    </w:p>
    <w:p>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2.9“正偏离”，是指响应文件对磋商文件“采购需求”中有关条款作出的响应优于条款要求并有利于采购人的情形。</w:t>
      </w:r>
    </w:p>
    <w:p>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2.10“负偏离”，是指响应文件对磋商文件“采购需求”中有关条款作出的响应不满足条款要求，导致采购人要求不能得到满足的情形。</w:t>
      </w:r>
    </w:p>
    <w:p>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2.11“允许负偏离的条款”是指采购需求中的不属于“实质性要求”的条款。</w:t>
      </w:r>
    </w:p>
    <w:p>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2.12“首次报价”是指供应商提交的首次响应文件中的报价。</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4.竞标费用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w:t>
      </w:r>
      <w:bookmarkStart w:id="98" w:name="_Hlk66782192"/>
      <w:r>
        <w:rPr>
          <w:rFonts w:hint="eastAsia" w:ascii="宋体" w:hAnsi="宋体" w:eastAsia="宋体" w:cs="宋体"/>
          <w:color w:val="auto"/>
          <w:szCs w:val="21"/>
          <w:highlight w:val="none"/>
        </w:rPr>
        <w:t>根据《政府采购促进中小企业发展管理办法》（财库〔2020〕46号）</w:t>
      </w:r>
      <w:r>
        <w:rPr>
          <w:rFonts w:hint="eastAsia" w:ascii="宋体" w:hAnsi="宋体" w:eastAsia="宋体" w:cs="宋体"/>
          <w:color w:val="auto"/>
          <w:szCs w:val="21"/>
          <w:highlight w:val="none"/>
          <w:lang w:eastAsia="zh-CN"/>
        </w:rPr>
        <w:t>、关于进一步加大政府采购支持中小企业力度的通知（财库〔2022〕19号）</w:t>
      </w:r>
      <w:r>
        <w:rPr>
          <w:rFonts w:hint="eastAsia" w:ascii="宋体" w:hAnsi="宋体" w:eastAsia="宋体" w:cs="宋体"/>
          <w:color w:val="auto"/>
          <w:szCs w:val="21"/>
          <w:highlight w:val="none"/>
        </w:rPr>
        <w:t>及</w:t>
      </w:r>
      <w:r>
        <w:rPr>
          <w:rFonts w:hint="eastAsia" w:ascii="宋体" w:hAnsi="宋体" w:eastAsia="宋体" w:cs="宋体"/>
          <w:bCs/>
          <w:color w:val="auto"/>
          <w:sz w:val="21"/>
          <w:szCs w:val="21"/>
          <w:highlight w:val="none"/>
        </w:rPr>
        <w:t>《广西壮族自治区财政厅关于持续优化政府采购营商环境推动高质量发展的通知》（桂财采〔2024〕55号）</w:t>
      </w:r>
      <w:r>
        <w:rPr>
          <w:rFonts w:hint="eastAsia" w:ascii="宋体" w:hAnsi="宋体" w:eastAsia="宋体" w:cs="宋体"/>
          <w:color w:val="auto"/>
          <w:szCs w:val="21"/>
          <w:highlight w:val="none"/>
        </w:rPr>
        <w:t>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的扣除，用扣除后的价格参加评审。</w:t>
      </w:r>
      <w:bookmarkEnd w:id="98"/>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pPr>
        <w:pStyle w:val="7"/>
        <w:keepNext w:val="0"/>
        <w:keepLines w:val="0"/>
        <w:spacing w:before="0" w:after="0" w:line="360" w:lineRule="auto"/>
        <w:ind w:left="420" w:leftChars="200"/>
        <w:rPr>
          <w:rFonts w:hint="eastAsia" w:ascii="宋体" w:hAnsi="宋体" w:eastAsia="宋体" w:cs="宋体"/>
          <w:b w:val="0"/>
          <w:bCs/>
          <w:color w:val="auto"/>
          <w:sz w:val="21"/>
          <w:szCs w:val="21"/>
          <w:highlight w:val="none"/>
        </w:rPr>
      </w:pPr>
      <w:bookmarkStart w:id="99" w:name="_Toc254970532"/>
      <w:bookmarkStart w:id="100" w:name="_Toc254970673"/>
      <w:r>
        <w:rPr>
          <w:rFonts w:hint="eastAsia" w:ascii="宋体" w:hAnsi="宋体" w:eastAsia="宋体" w:cs="宋体"/>
          <w:b w:val="0"/>
          <w:bCs/>
          <w:color w:val="auto"/>
          <w:sz w:val="21"/>
          <w:szCs w:val="21"/>
          <w:highlight w:val="none"/>
        </w:rPr>
        <w:t>6.1本项目不允许转包。</w:t>
      </w:r>
    </w:p>
    <w:p>
      <w:pPr>
        <w:pStyle w:val="7"/>
        <w:keepNext w:val="0"/>
        <w:keepLines w:val="0"/>
        <w:spacing w:before="0" w:after="0" w:line="360" w:lineRule="auto"/>
        <w:ind w:firstLine="315" w:firstLineChars="15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pPr>
        <w:pStyle w:val="7"/>
        <w:keepNext w:val="0"/>
        <w:keepLines w:val="0"/>
        <w:spacing w:before="0" w:after="0" w:line="360" w:lineRule="auto"/>
        <w:ind w:firstLine="315" w:firstLineChars="15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7.特别说明</w:t>
      </w:r>
      <w:bookmarkEnd w:id="99"/>
      <w:bookmarkEnd w:id="100"/>
    </w:p>
    <w:p>
      <w:pPr>
        <w:spacing w:line="360" w:lineRule="auto"/>
        <w:ind w:firstLine="420" w:firstLineChars="200"/>
        <w:rPr>
          <w:rFonts w:hint="eastAsia" w:ascii="宋体" w:hAnsi="宋体" w:eastAsia="宋体" w:cs="宋体"/>
          <w:color w:val="auto"/>
          <w:szCs w:val="21"/>
          <w:highlight w:val="none"/>
        </w:rPr>
      </w:pPr>
      <w:bookmarkStart w:id="101" w:name="_8.1提供相同品牌产品且通过资格审查、符合性审查的不同投标人参加同一合"/>
      <w:bookmarkEnd w:id="101"/>
      <w:r>
        <w:rPr>
          <w:rFonts w:hint="eastAsia" w:ascii="宋体" w:hAnsi="宋体" w:eastAsia="宋体" w:cs="宋体"/>
          <w:color w:val="auto"/>
          <w:szCs w:val="21"/>
          <w:highlight w:val="none"/>
        </w:rPr>
        <w:t>7.1</w:t>
      </w:r>
      <w:bookmarkStart w:id="102"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102"/>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7.5有下列情形之一的视为供应商相互串通竞标，响应文件将被视为无效：</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（1）不同供应商的响应文件由同一单位或者个人编制；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eastAsia="宋体" w:cs="宋体"/>
          <w:color w:val="auto"/>
          <w:szCs w:val="21"/>
          <w:highlight w:val="none"/>
        </w:rPr>
        <w:tab/>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pPr>
        <w:snapToGrid w:val="0"/>
        <w:spacing w:line="360" w:lineRule="auto"/>
        <w:ind w:firstLine="420" w:firstLineChars="200"/>
        <w:rPr>
          <w:rFonts w:hint="eastAsia" w:ascii="宋体" w:hAnsi="宋体" w:eastAsia="宋体" w:cs="宋体"/>
          <w:b w:val="0"/>
          <w:bCs/>
          <w:color w:val="auto"/>
          <w:szCs w:val="21"/>
          <w:highlight w:val="none"/>
        </w:rPr>
      </w:pPr>
      <w:r>
        <w:rPr>
          <w:rFonts w:hint="eastAsia" w:ascii="宋体" w:hAnsi="宋体" w:eastAsia="宋体" w:cs="宋体"/>
          <w:color w:val="auto"/>
          <w:szCs w:val="21"/>
          <w:highlight w:val="none"/>
          <w:lang w:val="en-US" w:eastAsia="zh-CN"/>
        </w:rPr>
        <w:t>7.7</w:t>
      </w:r>
      <w:r>
        <w:rPr>
          <w:rFonts w:hint="eastAsia" w:ascii="宋体" w:hAnsi="宋体" w:eastAsia="宋体" w:cs="宋体"/>
          <w:b w:val="0"/>
          <w:bCs/>
          <w:color w:val="auto"/>
          <w:kern w:val="0"/>
          <w:szCs w:val="21"/>
          <w:highlight w:val="none"/>
          <w:shd w:val="clear" w:color="auto" w:fill="auto"/>
          <w:lang w:val="en-US" w:eastAsia="zh-CN"/>
        </w:rPr>
        <w:t>异常低价响应的风险警示：为维护公平竞争和项目质量，磋商小组将对疑似异常低价的响应进行认定。若供应商的最后报价被认定为异常低价且无法在合理期限内证明其报价合理性的，其报价将被视为无效。具体认定标准和处理程序，详见“第四章  评审程序、评审方法和评审标准”。</w:t>
      </w:r>
    </w:p>
    <w:p>
      <w:pPr>
        <w:snapToGrid w:val="0"/>
        <w:spacing w:line="360" w:lineRule="auto"/>
        <w:ind w:firstLine="420" w:firstLineChars="200"/>
        <w:rPr>
          <w:rFonts w:hint="eastAsia" w:ascii="宋体" w:hAnsi="宋体" w:eastAsia="宋体" w:cs="宋体"/>
          <w:b w:val="0"/>
          <w:bCs/>
          <w:color w:val="auto"/>
          <w:szCs w:val="21"/>
          <w:highlight w:val="none"/>
        </w:rPr>
      </w:pPr>
    </w:p>
    <w:p>
      <w:pPr>
        <w:spacing w:line="360" w:lineRule="auto"/>
        <w:jc w:val="center"/>
        <w:rPr>
          <w:rFonts w:hint="eastAsia" w:ascii="宋体" w:hAnsi="宋体" w:eastAsia="宋体" w:cs="宋体"/>
          <w:b/>
          <w:bCs/>
          <w:color w:val="auto"/>
          <w:sz w:val="32"/>
          <w:szCs w:val="32"/>
          <w:highlight w:val="none"/>
        </w:rPr>
      </w:pPr>
      <w:bookmarkStart w:id="103" w:name="_Toc254970675"/>
      <w:bookmarkStart w:id="104" w:name="_Toc254970534"/>
      <w:r>
        <w:rPr>
          <w:rFonts w:hint="eastAsia" w:ascii="宋体" w:hAnsi="宋体" w:eastAsia="宋体" w:cs="宋体"/>
          <w:b/>
          <w:bCs/>
          <w:color w:val="auto"/>
          <w:sz w:val="32"/>
          <w:szCs w:val="32"/>
          <w:highlight w:val="none"/>
        </w:rPr>
        <w:t>二、磋商文件</w:t>
      </w:r>
      <w:bookmarkEnd w:id="103"/>
      <w:bookmarkEnd w:id="104"/>
    </w:p>
    <w:p>
      <w:pPr>
        <w:spacing w:line="360" w:lineRule="auto"/>
        <w:rPr>
          <w:rFonts w:hint="eastAsia" w:ascii="宋体" w:hAnsi="宋体" w:eastAsia="宋体" w:cs="宋体"/>
          <w:color w:val="auto"/>
          <w:szCs w:val="21"/>
          <w:highlight w:val="none"/>
        </w:rPr>
      </w:pP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（1）竞争性磋商公告；</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（2）供应商须知； </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（3）采购需求；</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（4）评审程序、评审方法和评审标准；</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（5）响应文件格式；</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（6）合同文本。</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供应商应认真阅读磋商文件的采购需求，如供应商对磋商文件有疑问的，如要求采购人作出澄清或者修改的，供应商尽可能在提交首次响应文件截止之日前，以书面形式向采购人、采购代理机构提出。</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获取磋商文件的供应商，不足3个工作日的，应当顺延提交首次响应文件截止之日。</w:t>
      </w:r>
    </w:p>
    <w:p>
      <w:pPr>
        <w:spacing w:line="360" w:lineRule="auto"/>
        <w:rPr>
          <w:rFonts w:hint="eastAsia" w:ascii="宋体" w:hAnsi="宋体" w:eastAsia="宋体" w:cs="宋体"/>
          <w:color w:val="auto"/>
          <w:szCs w:val="21"/>
          <w:highlight w:val="none"/>
        </w:rPr>
      </w:pPr>
    </w:p>
    <w:p>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 w:val="32"/>
          <w:szCs w:val="32"/>
          <w:highlight w:val="none"/>
        </w:rPr>
        <w:t>三、响应文件的编制</w:t>
      </w:r>
    </w:p>
    <w:p>
      <w:pPr>
        <w:spacing w:line="360" w:lineRule="auto"/>
        <w:rPr>
          <w:rFonts w:hint="eastAsia" w:ascii="宋体" w:hAnsi="宋体" w:eastAsia="宋体" w:cs="宋体"/>
          <w:color w:val="auto"/>
          <w:szCs w:val="21"/>
          <w:highlight w:val="none"/>
        </w:rPr>
      </w:pP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12.1响应文件由资格证明文件、报价文件、商务技术文件三部分组成。</w:t>
      </w:r>
    </w:p>
    <w:p>
      <w:pPr>
        <w:spacing w:line="360" w:lineRule="auto"/>
        <w:ind w:left="840" w:leftChars="20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12.1.1资格证明文件：详见“供应商须知前附表”</w:t>
      </w:r>
    </w:p>
    <w:p>
      <w:pPr>
        <w:spacing w:line="360" w:lineRule="auto"/>
        <w:ind w:left="840" w:leftChars="20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12.1.2报价文件：详见“供应商须知前附表”</w:t>
      </w:r>
    </w:p>
    <w:p>
      <w:pPr>
        <w:spacing w:line="360" w:lineRule="auto"/>
        <w:ind w:left="840" w:leftChars="20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12.1.3商务技术文件：详见“供应商须知前附表”</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15.竞标报价</w:t>
      </w:r>
    </w:p>
    <w:p>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15.1竞标报价应按磋商文件中“</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报价表”格式填写。</w:t>
      </w:r>
    </w:p>
    <w:p>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15.2竞标报价的内容见“供应商须知前附表”。</w:t>
      </w:r>
    </w:p>
    <w:p>
      <w:pPr>
        <w:spacing w:line="360" w:lineRule="auto"/>
        <w:ind w:left="426" w:leftChars="203"/>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15.3竞标报价要求</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15.3.1供应商的竞标报价应符合以下要求，否则响应文件按无效响应处理：</w:t>
      </w:r>
    </w:p>
    <w:p>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（1）供应商必须就“采购需求”中所竞标的每个分标的全部内容分别作完整唯一总价报价，</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不得存在漏项报价；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15.3.2竞标报价（包含首次报价、最后报价）超过所竞标分标规定的采购预算金额或者最高限价的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或者经启动异常低价响应审查程序后，供应商不能证明其最后报价合理性的</w:t>
      </w:r>
      <w:r>
        <w:rPr>
          <w:rFonts w:hint="eastAsia" w:ascii="宋体" w:hAnsi="宋体" w:eastAsia="宋体" w:cs="宋体"/>
          <w:color w:val="auto"/>
          <w:szCs w:val="21"/>
          <w:highlight w:val="none"/>
        </w:rPr>
        <w:t>，其响应文件将按无效处理。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105" w:name="_Hlk42592874"/>
      <w:r>
        <w:rPr>
          <w:rFonts w:hint="eastAsia" w:ascii="宋体" w:hAnsi="宋体" w:eastAsia="宋体" w:cs="宋体"/>
          <w:color w:val="auto"/>
          <w:szCs w:val="21"/>
          <w:highlight w:val="none"/>
        </w:rPr>
        <w:t>竞标报价（包含首次报价、最后报价）超过分项采购预算金额或者最高限价的，其响应文件将按无效处理。</w:t>
      </w:r>
    </w:p>
    <w:bookmarkEnd w:id="105"/>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17.1供应商须按“供应商须知前附表”的规定提交磋商保证金。</w:t>
      </w:r>
    </w:p>
    <w:p>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17.2磋商保证金的退还</w:t>
      </w:r>
    </w:p>
    <w:p>
      <w:pPr>
        <w:spacing w:line="360" w:lineRule="auto"/>
        <w:ind w:firstLine="420" w:firstLineChars="200"/>
        <w:rPr>
          <w:rFonts w:hint="eastAsia" w:ascii="宋体" w:hAnsi="宋体" w:eastAsia="宋体" w:cs="宋体"/>
          <w:color w:val="auto"/>
          <w:szCs w:val="21"/>
          <w:highlight w:val="none"/>
        </w:rPr>
      </w:pPr>
      <w:bookmarkStart w:id="106" w:name="_Hlk66782243"/>
      <w:r>
        <w:rPr>
          <w:rFonts w:hint="eastAsia" w:ascii="宋体" w:hAnsi="宋体" w:eastAsia="宋体" w:cs="宋体"/>
          <w:color w:val="auto"/>
          <w:szCs w:val="21"/>
          <w:highlight w:val="none"/>
        </w:rPr>
        <w:t>未</w:t>
      </w:r>
      <w:r>
        <w:rPr>
          <w:rFonts w:hint="eastAsia" w:ascii="宋体" w:hAnsi="宋体" w:eastAsia="宋体" w:cs="宋体"/>
          <w:color w:val="auto"/>
          <w:spacing w:val="-6"/>
          <w:szCs w:val="21"/>
          <w:highlight w:val="none"/>
        </w:rPr>
        <w:t>成交供应商的竞标保证金自成交通知书发出之日起5个工作日内退还；</w:t>
      </w:r>
      <w:r>
        <w:rPr>
          <w:rFonts w:hint="eastAsia" w:ascii="宋体" w:hAnsi="宋体" w:eastAsia="宋体" w:cs="宋体"/>
          <w:color w:val="auto"/>
          <w:szCs w:val="21"/>
          <w:highlight w:val="none"/>
        </w:rPr>
        <w:t>成交供应商的磋商保证金自签订合同之日起5个工作日内退还。</w:t>
      </w:r>
      <w:bookmarkEnd w:id="106"/>
      <w:r>
        <w:rPr>
          <w:rFonts w:hint="eastAsia" w:ascii="宋体" w:hAnsi="宋体" w:eastAsia="宋体" w:cs="宋体"/>
          <w:color w:val="auto"/>
          <w:szCs w:val="21"/>
          <w:highlight w:val="none"/>
        </w:rPr>
        <w:t xml:space="preserve"> </w:t>
      </w:r>
    </w:p>
    <w:p>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17.3磋商保证金不计息。</w:t>
      </w:r>
    </w:p>
    <w:p>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17.4供应商有下列情形之一的，磋商保证金将不予退还： </w:t>
      </w:r>
    </w:p>
    <w:p>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（1）供应商在提交响应文件截止时间后撤回响应文件的；</w:t>
      </w:r>
    </w:p>
    <w:p>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（2）未按规定提交履约保证金的；</w:t>
      </w:r>
    </w:p>
    <w:p>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（3）供应商在响应文件中提供虚假材料的；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（4）除因不可抗力或者磋商文件认可的情形以外，成交供应商不与采购人签订合同的；</w:t>
      </w:r>
    </w:p>
    <w:p>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（5）供应商与采购人、其他供应商或者采购代理机构恶意串通的；</w:t>
      </w:r>
    </w:p>
    <w:p>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（6）法律法规规定的其他情形。</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18.1供应商应先安装“</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电子交易客户端”（请自行前往“</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进行下载），并按照本项目磋商文件规定的格式和顺序和“</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的要求编制并加密。响应文件内容不完整、编排混乱导致响应文件被误读、漏读或者查找不到相关内容的，由此引发的后果由供应商承担。</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18.2为确保网上操作合法、有效和安全，供应商应当在提交响应文件截止时间前完成在“</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的身份认证，确保在电子竞标过程中能够对相关数据电文进行加密和使用电子签章。</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18.3响应文件须由供应商在规定位置签字、盖章（具体以供应商须知前附表或响应文件格式规定为准），否则按无效响应处理。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19.电子</w:t>
      </w:r>
      <w:r>
        <w:rPr>
          <w:rFonts w:hint="eastAsia" w:ascii="宋体" w:hAnsi="宋体" w:eastAsia="宋体" w:cs="宋体"/>
          <w:b/>
          <w:color w:val="auto"/>
          <w:sz w:val="24"/>
          <w:highlight w:val="none"/>
        </w:rPr>
        <w:t>备份响应文件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电子备份响应文件是指通过“</w:t>
      </w:r>
      <w:r>
        <w:rPr>
          <w:rFonts w:hint="eastAsia" w:ascii="宋体" w:hAnsi="宋体" w:eastAsia="宋体" w:cs="宋体"/>
          <w:color w:val="auto"/>
          <w:highlight w:val="none"/>
          <w:lang w:eastAsia="zh-CN"/>
        </w:rPr>
        <w:t>广西政府采购云平台</w:t>
      </w:r>
      <w:r>
        <w:rPr>
          <w:rFonts w:hint="eastAsia" w:ascii="宋体" w:hAnsi="宋体" w:eastAsia="宋体" w:cs="宋体"/>
          <w:color w:val="auto"/>
          <w:highlight w:val="none"/>
        </w:rPr>
        <w:t>电子</w:t>
      </w:r>
      <w:r>
        <w:rPr>
          <w:rFonts w:hint="eastAsia" w:ascii="宋体" w:hAnsi="宋体" w:eastAsia="宋体" w:cs="宋体"/>
          <w:color w:val="auto"/>
          <w:highlight w:val="none"/>
          <w:lang w:eastAsia="zh-CN"/>
        </w:rPr>
        <w:t>竞标</w:t>
      </w:r>
      <w:r>
        <w:rPr>
          <w:rFonts w:hint="eastAsia" w:ascii="宋体" w:hAnsi="宋体" w:eastAsia="宋体" w:cs="宋体"/>
          <w:color w:val="auto"/>
          <w:highlight w:val="none"/>
        </w:rPr>
        <w:t>客户端”在线编制生成且后缀名为“bfbs”的文件，是否接受电子备份响应文件</w:t>
      </w:r>
      <w:r>
        <w:rPr>
          <w:rFonts w:hint="eastAsia" w:ascii="宋体" w:hAnsi="宋体" w:eastAsia="宋体" w:cs="宋体"/>
          <w:bCs/>
          <w:color w:val="auto"/>
          <w:szCs w:val="21"/>
          <w:highlight w:val="none"/>
        </w:rPr>
        <w:t>详见“供应商须知前附表”。</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pPr>
        <w:spacing w:line="360" w:lineRule="auto"/>
        <w:ind w:firstLine="420" w:firstLineChars="200"/>
        <w:rPr>
          <w:rFonts w:hint="eastAsia" w:ascii="宋体" w:hAnsi="宋体" w:eastAsia="宋体" w:cs="宋体"/>
          <w:b/>
          <w:color w:val="auto"/>
          <w:highlight w:val="none"/>
        </w:rPr>
      </w:pPr>
      <w:r>
        <w:rPr>
          <w:rFonts w:hint="eastAsia" w:ascii="宋体" w:hAnsi="宋体" w:eastAsia="宋体" w:cs="宋体"/>
          <w:bCs/>
          <w:color w:val="auto"/>
          <w:szCs w:val="21"/>
          <w:highlight w:val="none"/>
        </w:rPr>
        <w:t>20.1供应商必须按“供应商须知前附表”规定的</w:t>
      </w:r>
      <w:r>
        <w:rPr>
          <w:rFonts w:hint="eastAsia" w:ascii="宋体" w:hAnsi="宋体" w:eastAsia="宋体" w:cs="宋体"/>
          <w:color w:val="auto"/>
          <w:szCs w:val="21"/>
          <w:highlight w:val="none"/>
        </w:rPr>
        <w:t>时间及</w:t>
      </w:r>
      <w:r>
        <w:rPr>
          <w:rFonts w:hint="eastAsia" w:ascii="宋体" w:hAnsi="宋体" w:eastAsia="宋体" w:cs="宋体"/>
          <w:bCs/>
          <w:color w:val="auto"/>
          <w:szCs w:val="21"/>
          <w:highlight w:val="none"/>
        </w:rPr>
        <w:t>地点提交响应文件。电子响应文件应在制作完成后，在提交响应文件截止时间前通过有效数字证书（CA认证锁）进行电子签章、加密，然后通过网络将加密的电子响应文件提交至</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bCs/>
          <w:color w:val="auto"/>
          <w:szCs w:val="21"/>
          <w:highlight w:val="none"/>
        </w:rPr>
        <w:t xml:space="preserve">。 </w:t>
      </w:r>
      <w:r>
        <w:rPr>
          <w:rFonts w:hint="eastAsia" w:ascii="宋体" w:hAnsi="宋体" w:eastAsia="宋体" w:cs="宋体"/>
          <w:b/>
          <w:color w:val="auto"/>
          <w:highlight w:val="none"/>
        </w:rPr>
        <w:t xml:space="preserve"> </w:t>
      </w:r>
    </w:p>
    <w:p>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20.2未在规定时间内提交或者未按照磋商文件要求加密的电子响应文件，“</w:t>
      </w:r>
      <w:r>
        <w:rPr>
          <w:rFonts w:hint="eastAsia" w:ascii="宋体" w:hAnsi="宋体" w:eastAsia="宋体" w:cs="宋体"/>
          <w:b/>
          <w:color w:val="auto"/>
          <w:szCs w:val="21"/>
          <w:highlight w:val="none"/>
          <w:lang w:eastAsia="zh-CN"/>
        </w:rPr>
        <w:t>广西政府采购云平台”</w:t>
      </w:r>
      <w:r>
        <w:rPr>
          <w:rFonts w:hint="eastAsia" w:ascii="宋体" w:hAnsi="宋体" w:eastAsia="宋体" w:cs="宋体"/>
          <w:b/>
          <w:color w:val="auto"/>
          <w:szCs w:val="21"/>
          <w:highlight w:val="none"/>
        </w:rPr>
        <w:t>将拒收。</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pPr>
        <w:snapToGrid w:val="0"/>
        <w:spacing w:line="360" w:lineRule="auto"/>
        <w:ind w:firstLine="420"/>
        <w:jc w:val="left"/>
        <w:rPr>
          <w:rFonts w:hint="eastAsia" w:ascii="宋体" w:hAnsi="宋体" w:eastAsia="宋体" w:cs="宋体"/>
          <w:color w:val="auto"/>
          <w:szCs w:val="21"/>
          <w:highlight w:val="none"/>
        </w:rPr>
      </w:pPr>
      <w:bookmarkStart w:id="107" w:name="_Toc254970543"/>
      <w:bookmarkStart w:id="108" w:name="_Toc254970684"/>
      <w:r>
        <w:rPr>
          <w:rFonts w:hint="eastAsia" w:ascii="宋体" w:hAnsi="宋体" w:eastAsia="宋体" w:cs="宋体"/>
          <w:color w:val="auto"/>
          <w:szCs w:val="21"/>
          <w:highlight w:val="none"/>
        </w:rPr>
        <w:t>21.1</w:t>
      </w:r>
      <w:r>
        <w:rPr>
          <w:rFonts w:hint="eastAsia" w:ascii="宋体" w:hAnsi="宋体" w:eastAsia="宋体" w:cs="宋体"/>
          <w:bCs/>
          <w:color w:val="auto"/>
          <w:szCs w:val="21"/>
          <w:highlight w:val="none"/>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Pr>
          <w:rFonts w:hint="eastAsia" w:ascii="宋体" w:hAnsi="宋体" w:eastAsia="宋体" w:cs="宋体"/>
          <w:bCs/>
          <w:color w:val="auto"/>
          <w:szCs w:val="21"/>
          <w:highlight w:val="none"/>
          <w:lang w:eastAsia="zh-CN"/>
        </w:rPr>
        <w:t>广西政府采购云平台”</w:t>
      </w:r>
      <w:r>
        <w:rPr>
          <w:rFonts w:hint="eastAsia" w:ascii="宋体" w:hAnsi="宋体" w:eastAsia="宋体" w:cs="宋体"/>
          <w:bCs/>
          <w:color w:val="auto"/>
          <w:szCs w:val="21"/>
          <w:highlight w:val="none"/>
        </w:rPr>
        <w:t>将予以拒收。</w:t>
      </w:r>
      <w:r>
        <w:rPr>
          <w:rFonts w:hint="eastAsia" w:ascii="宋体" w:hAnsi="宋体" w:eastAsia="宋体" w:cs="宋体"/>
          <w:color w:val="auto"/>
          <w:szCs w:val="21"/>
          <w:highlight w:val="none"/>
        </w:rPr>
        <w:t>（补充、修改或者撤回方式可</w:t>
      </w:r>
      <w:r>
        <w:rPr>
          <w:rFonts w:hint="eastAsia" w:ascii="宋体" w:hAnsi="宋体" w:eastAsia="宋体" w:cs="宋体"/>
          <w:color w:val="auto"/>
          <w:szCs w:val="21"/>
          <w:highlight w:val="none"/>
          <w:lang w:eastAsia="zh-CN"/>
        </w:rPr>
        <w:t>登录</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广西政府采购云平台”</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进入“服务中心”中查看 “电子</w:t>
      </w:r>
      <w:r>
        <w:rPr>
          <w:rFonts w:hint="eastAsia" w:ascii="宋体" w:hAnsi="宋体" w:eastAsia="宋体" w:cs="宋体"/>
          <w:color w:val="auto"/>
          <w:szCs w:val="21"/>
          <w:highlight w:val="none"/>
          <w:lang w:eastAsia="zh-CN"/>
        </w:rPr>
        <w:t>竞标</w:t>
      </w:r>
      <w:r>
        <w:rPr>
          <w:rFonts w:hint="eastAsia" w:ascii="宋体" w:hAnsi="宋体" w:eastAsia="宋体" w:cs="宋体"/>
          <w:color w:val="auto"/>
          <w:szCs w:val="21"/>
          <w:highlight w:val="none"/>
        </w:rPr>
        <w:t>文件制作与投送教程”）</w:t>
      </w:r>
    </w:p>
    <w:bookmarkEnd w:id="107"/>
    <w:bookmarkEnd w:id="108"/>
    <w:p>
      <w:pPr>
        <w:widowControl w:val="0"/>
        <w:adjustRightInd w:val="0"/>
        <w:spacing w:before="0"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21.2在提交响应文件截止时间前，除供应商补充、修改或者撤回响应文件外，任何单位和个人不得解密或提取响应文件。</w:t>
      </w:r>
    </w:p>
    <w:p>
      <w:pPr>
        <w:spacing w:line="360" w:lineRule="auto"/>
        <w:ind w:firstLine="482" w:firstLineChars="200"/>
        <w:rPr>
          <w:rFonts w:hint="eastAsia" w:ascii="宋体" w:hAnsi="宋体" w:eastAsia="宋体" w:cs="宋体"/>
          <w:b/>
          <w:bCs/>
          <w:color w:val="auto"/>
          <w:sz w:val="24"/>
          <w:highlight w:val="none"/>
        </w:rPr>
      </w:pPr>
      <w:bookmarkStart w:id="109" w:name="_Hlk45702405"/>
      <w:r>
        <w:rPr>
          <w:rFonts w:hint="eastAsia" w:ascii="宋体" w:hAnsi="宋体" w:eastAsia="宋体" w:cs="宋体"/>
          <w:b/>
          <w:bCs/>
          <w:color w:val="auto"/>
          <w:sz w:val="24"/>
          <w:highlight w:val="none"/>
        </w:rPr>
        <w:t>22.响应文件的退回</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采购人和采购代理机构对已提交的响应文件概不退回。</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23.截止时间后的撤回</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供应商在响应文件提交截止时间后向采购人、采购代理机构书面申请撤回响应文件的，将根据本须知正文17.4的规定不予退还其磋商保证金。</w:t>
      </w:r>
    </w:p>
    <w:bookmarkEnd w:id="109"/>
    <w:p>
      <w:pPr>
        <w:spacing w:line="360" w:lineRule="auto"/>
        <w:rPr>
          <w:rFonts w:hint="eastAsia" w:ascii="宋体" w:hAnsi="宋体" w:eastAsia="宋体" w:cs="宋体"/>
          <w:color w:val="auto"/>
          <w:szCs w:val="21"/>
          <w:highlight w:val="none"/>
        </w:rPr>
      </w:pPr>
    </w:p>
    <w:p>
      <w:pPr>
        <w:spacing w:line="360" w:lineRule="auto"/>
        <w:ind w:left="420" w:firstLine="42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四、评审及磋商</w:t>
      </w:r>
    </w:p>
    <w:p>
      <w:pPr>
        <w:spacing w:line="360" w:lineRule="auto"/>
        <w:ind w:left="420" w:firstLine="420"/>
        <w:rPr>
          <w:rFonts w:hint="eastAsia" w:ascii="宋体" w:hAnsi="宋体" w:eastAsia="宋体" w:cs="宋体"/>
          <w:color w:val="auto"/>
          <w:szCs w:val="21"/>
          <w:highlight w:val="none"/>
        </w:rPr>
      </w:pP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24.3</w:t>
      </w:r>
      <w:r>
        <w:rPr>
          <w:rFonts w:hint="eastAsia" w:ascii="宋体" w:hAnsi="宋体" w:eastAsia="宋体" w:cs="宋体"/>
          <w:bCs/>
          <w:color w:val="auto"/>
          <w:szCs w:val="21"/>
          <w:highlight w:val="none"/>
        </w:rPr>
        <w:t>采购代理机构</w:t>
      </w:r>
      <w:r>
        <w:rPr>
          <w:rFonts w:hint="eastAsia" w:ascii="宋体" w:hAnsi="宋体" w:eastAsia="宋体" w:cs="宋体"/>
          <w:bCs/>
          <w:color w:val="auto"/>
          <w:highlight w:val="none"/>
        </w:rPr>
        <w:t>应当</w:t>
      </w:r>
      <w:r>
        <w:rPr>
          <w:rFonts w:hint="eastAsia" w:ascii="宋体" w:hAnsi="宋体" w:eastAsia="宋体" w:cs="宋体"/>
          <w:bCs/>
          <w:color w:val="auto"/>
          <w:szCs w:val="21"/>
          <w:highlight w:val="none"/>
        </w:rPr>
        <w:t>基于“</w:t>
      </w:r>
      <w:r>
        <w:rPr>
          <w:rFonts w:hint="eastAsia" w:ascii="宋体" w:hAnsi="宋体" w:eastAsia="宋体" w:cs="宋体"/>
          <w:bCs/>
          <w:color w:val="auto"/>
          <w:szCs w:val="21"/>
          <w:highlight w:val="none"/>
          <w:lang w:eastAsia="zh-CN"/>
        </w:rPr>
        <w:t>广西政府采购云平台”</w:t>
      </w:r>
      <w:r>
        <w:rPr>
          <w:rFonts w:hint="eastAsia" w:ascii="宋体" w:hAnsi="宋体" w:eastAsia="宋体" w:cs="宋体"/>
          <w:bCs/>
          <w:color w:val="auto"/>
          <w:highlight w:val="none"/>
        </w:rPr>
        <w:t>抽（选）取</w:t>
      </w:r>
      <w:r>
        <w:rPr>
          <w:rFonts w:hint="eastAsia" w:ascii="宋体" w:hAnsi="宋体" w:eastAsia="宋体" w:cs="宋体"/>
          <w:bCs/>
          <w:color w:val="auto"/>
          <w:szCs w:val="21"/>
          <w:highlight w:val="none"/>
        </w:rPr>
        <w:t>评审专家。</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25.首次响应文件的开启和解密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highlight w:val="none"/>
        </w:rPr>
        <w:t>采购代理机构将在“供应商须知前附表”规定的时</w:t>
      </w:r>
      <w:r>
        <w:rPr>
          <w:rFonts w:hint="eastAsia" w:ascii="宋体" w:hAnsi="宋体" w:eastAsia="宋体" w:cs="宋体"/>
          <w:color w:val="auto"/>
          <w:highlight w:val="none"/>
        </w:rPr>
        <w:t>间通过电子交易平台组织响应文件开启，供应商的法定代表人或其委托代理人须携带加密时所用的CA锁，按平台提示和磋商文件的规定登录到“</w:t>
      </w:r>
      <w:r>
        <w:rPr>
          <w:rFonts w:hint="eastAsia" w:ascii="宋体" w:hAnsi="宋体" w:eastAsia="宋体" w:cs="宋体"/>
          <w:color w:val="auto"/>
          <w:highlight w:val="none"/>
          <w:lang w:eastAsia="zh-CN"/>
        </w:rPr>
        <w:t>广西政府采购云平台”</w:t>
      </w:r>
      <w:r>
        <w:rPr>
          <w:rFonts w:hint="eastAsia" w:ascii="宋体" w:hAnsi="宋体" w:eastAsia="宋体" w:cs="宋体"/>
          <w:color w:val="auto"/>
          <w:highlight w:val="none"/>
        </w:rPr>
        <w:t>电子开标大厅签到，采购代理机构依托“</w:t>
      </w:r>
      <w:r>
        <w:rPr>
          <w:rFonts w:hint="eastAsia" w:ascii="宋体" w:hAnsi="宋体" w:eastAsia="宋体" w:cs="宋体"/>
          <w:color w:val="auto"/>
          <w:highlight w:val="none"/>
          <w:lang w:eastAsia="zh-CN"/>
        </w:rPr>
        <w:t>广西政府采购云平台”</w:t>
      </w:r>
      <w:r>
        <w:rPr>
          <w:rFonts w:hint="eastAsia" w:ascii="宋体" w:hAnsi="宋体" w:eastAsia="宋体" w:cs="宋体"/>
          <w:color w:val="auto"/>
          <w:highlight w:val="none"/>
        </w:rPr>
        <w:t>向各供应商发出电子加密响应文件【开始解密】通知，由供应商按</w:t>
      </w:r>
      <w:r>
        <w:rPr>
          <w:rFonts w:hint="eastAsia" w:ascii="宋体" w:hAnsi="宋体" w:eastAsia="宋体" w:cs="宋体"/>
          <w:bCs/>
          <w:color w:val="auto"/>
          <w:szCs w:val="21"/>
          <w:highlight w:val="none"/>
        </w:rPr>
        <w:t>“供应商须知前附表”</w:t>
      </w:r>
      <w:r>
        <w:rPr>
          <w:rFonts w:hint="eastAsia" w:ascii="宋体" w:hAnsi="宋体" w:eastAsia="宋体" w:cs="宋体"/>
          <w:color w:val="auto"/>
          <w:highlight w:val="none"/>
        </w:rPr>
        <w:t>规定的时间内自行进行响应文件解密。</w:t>
      </w:r>
      <w:r>
        <w:rPr>
          <w:rFonts w:hint="eastAsia" w:ascii="宋体" w:hAnsi="宋体" w:eastAsia="宋体" w:cs="宋体"/>
          <w:b/>
          <w:color w:val="auto"/>
          <w:highlight w:val="none"/>
        </w:rPr>
        <w:t>供应商未在规定的时间内解密响应文件或者解密失败的，供应商</w:t>
      </w:r>
      <w:r>
        <w:rPr>
          <w:rFonts w:hint="eastAsia" w:ascii="宋体" w:hAnsi="宋体" w:eastAsia="宋体" w:cs="宋体"/>
          <w:b/>
          <w:color w:val="auto"/>
          <w:szCs w:val="21"/>
          <w:highlight w:val="none"/>
        </w:rPr>
        <w:t>的响应文件作无效处理</w:t>
      </w:r>
      <w:r>
        <w:rPr>
          <w:rFonts w:hint="eastAsia" w:ascii="宋体" w:hAnsi="宋体" w:eastAsia="宋体" w:cs="宋体"/>
          <w:b/>
          <w:color w:val="auto"/>
          <w:highlight w:val="none"/>
        </w:rPr>
        <w:t>。</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26.1本项目的评审方法为综合评分法。</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26.2磋商小组按照“第四章 评审程序、评审方法和评审标准”规定的方法、评审因素、标准和程序对响应文件进行评审。</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26.3 商务/技术要求允许负偏离的条款数详见“供应商须知前附表”。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26.4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26.5电子交易活动的中止。采购过程中出现以下情形，导致电子交易平台无法正常运行，或者无法保证电子交易的公平、公正和安全时，采购机构可中止电子交易活动：</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（5）其他无法保证电子交易的公平、公正和安全的情况。</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26.6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w:t>
      </w:r>
      <w:r>
        <w:rPr>
          <w:rFonts w:hint="eastAsia" w:ascii="宋体" w:hAnsi="宋体" w:eastAsia="宋体" w:cs="宋体"/>
          <w:color w:val="auto"/>
          <w:kern w:val="0"/>
          <w:szCs w:val="21"/>
          <w:highlight w:val="none"/>
        </w:rPr>
        <w:t xml:space="preserve"> </w:t>
      </w:r>
      <w:r>
        <w:rPr>
          <w:rFonts w:hint="eastAsia" w:ascii="宋体" w:hAnsi="宋体" w:eastAsia="宋体" w:cs="宋体"/>
          <w:color w:val="auto"/>
          <w:szCs w:val="21"/>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27.2采购代理机构应当在</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w:t>
      </w:r>
      <w:r>
        <w:rPr>
          <w:rFonts w:hint="eastAsia" w:ascii="宋体" w:hAnsi="宋体" w:eastAsia="宋体" w:cs="宋体"/>
          <w:color w:val="auto"/>
          <w:szCs w:val="21"/>
          <w:highlight w:val="none"/>
          <w:lang w:eastAsia="zh-CN"/>
        </w:rPr>
        <w:t>重大税收违法失信主体</w:t>
      </w:r>
      <w:r>
        <w:rPr>
          <w:rFonts w:hint="eastAsia" w:ascii="宋体" w:hAnsi="宋体" w:eastAsia="宋体" w:cs="宋体"/>
          <w:color w:val="auto"/>
          <w:szCs w:val="21"/>
          <w:highlight w:val="none"/>
        </w:rPr>
        <w:t>、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110" w:name="_Hlk66782294"/>
      <w:r>
        <w:rPr>
          <w:rFonts w:hint="eastAsia" w:ascii="宋体" w:hAnsi="宋体" w:eastAsia="宋体" w:cs="宋体"/>
          <w:color w:val="auto"/>
          <w:szCs w:val="21"/>
          <w:highlight w:val="none"/>
        </w:rPr>
        <w:t>成交供应商享受《政府采购促进中小企业发展管理办法》（财库〔2020〕46号）规定的中小企业扶持政策的，采购人、采购代理机构应当随成交结果公开成交供应商的《中小企业声明函》。</w:t>
      </w:r>
      <w:bookmarkEnd w:id="110"/>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27.3出现下列情形之一的，采购人或者采购代理机构应当终止竞争性磋商采购活动，发布项目终止公告并说明原因，重新开展采购活动：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（1）因情况变化，不再符合规定的竞争性磋商采购方式适用情形的；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（2）出现影响采购公正的违法、违规行为的；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（3）除“第四章 评审程序、评审方法和评审标准”第4.3条规定的情形外，在采购过程中符合要求的供应商或者报价未超过采购预算的供应商不足3家的。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 在采购活动中因重大变故，采购任务取消的，采购人或者采购代理机构应当终止采购活动，通知所有参加采购活动的供应商，并将项目实施情况和采购任务取消原因报送本级财政部门。</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28.1 履约保证金的金额、提交方式、退付的时间和条件详见 “供应商须知前附表”。成交供应商未按规定提交履约保证金的，视为拒绝</w:t>
      </w:r>
      <w:r>
        <w:rPr>
          <w:rFonts w:hint="eastAsia" w:ascii="宋体" w:hAnsi="宋体" w:eastAsia="宋体" w:cs="宋体"/>
          <w:color w:val="auto"/>
          <w:highlight w:val="none"/>
        </w:rPr>
        <w:t>与采购人</w:t>
      </w:r>
      <w:r>
        <w:rPr>
          <w:rFonts w:hint="eastAsia" w:ascii="宋体" w:hAnsi="宋体" w:eastAsia="宋体" w:cs="宋体"/>
          <w:color w:val="auto"/>
          <w:szCs w:val="21"/>
          <w:highlight w:val="none"/>
        </w:rPr>
        <w:t>签订合同。</w:t>
      </w:r>
    </w:p>
    <w:p>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28.2在履约保证金退还日期前，若成交供应商的开户名称、开户银行、</w:t>
      </w:r>
      <w:r>
        <w:rPr>
          <w:rFonts w:hint="eastAsia" w:ascii="宋体" w:hAnsi="宋体" w:eastAsia="宋体" w:cs="宋体"/>
          <w:color w:val="auto"/>
          <w:szCs w:val="21"/>
          <w:highlight w:val="none"/>
          <w:lang w:eastAsia="zh-CN"/>
        </w:rPr>
        <w:t>账号</w:t>
      </w:r>
      <w:r>
        <w:rPr>
          <w:rFonts w:hint="eastAsia" w:ascii="宋体" w:hAnsi="宋体" w:eastAsia="宋体" w:cs="宋体"/>
          <w:color w:val="auto"/>
          <w:szCs w:val="21"/>
          <w:highlight w:val="none"/>
        </w:rPr>
        <w:t>有变动的，请以书面形式通知履约保证金收取单位，否则由此产生的后果由成交供应商自行承担。</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29.1签订电子采购合同：成交供应商领取电子成交通知书后，在</w:t>
      </w:r>
      <w:r>
        <w:rPr>
          <w:rFonts w:hint="eastAsia" w:ascii="宋体" w:hAnsi="宋体" w:eastAsia="宋体" w:cs="宋体"/>
          <w:color w:val="auto"/>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线下签订纸质合同：供应商领取成交通知书后，按“供应商须知前附表”规定向采购人出示相关证明材料，经采购人核验合格后方可签订合同。</w:t>
      </w:r>
    </w:p>
    <w:p>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29.2签订合同时间：按成交通知书规定的时间与采购人签订合同。</w:t>
      </w:r>
    </w:p>
    <w:p>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29.5采购人或成交供应商不得单方面向合同另一方提出任何磋商文件没有约定的条件或不合理的要求，作为签订合同的条件；也不得协商另行订立背离磋商文件和合同实质性内容的协议。</w:t>
      </w:r>
    </w:p>
    <w:p>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29.6如签订合同并生效后，供应商无故拒绝或延期，除按照合同条款处理外，将承担相应的法律责任。</w:t>
      </w:r>
    </w:p>
    <w:p>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pPr>
        <w:pStyle w:val="8"/>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r>
        <w:rPr>
          <w:rFonts w:hint="eastAsia" w:ascii="宋体" w:hAnsi="宋体" w:eastAsia="宋体" w:cs="宋体"/>
          <w:color w:val="auto"/>
          <w:szCs w:val="21"/>
          <w:highlight w:val="none"/>
        </w:rPr>
        <w:t>但答复的内容不得涉及商业秘密</w:t>
      </w:r>
      <w:r>
        <w:rPr>
          <w:rFonts w:hint="eastAsia" w:ascii="宋体" w:hAnsi="宋体" w:eastAsia="宋体" w:cs="宋体"/>
          <w:color w:val="auto"/>
          <w:highlight w:val="none"/>
        </w:rPr>
        <w:t>。</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。具体质疑起算时间如下：</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（1）对可以质疑的磋商文件提出质疑的，为收到磋商文件之日或者竞争性磋商公告期限届满之日；</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（2）对采购过程提出质疑的，为各采购程序环节结束之日；</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（3）对成交结果提出质疑的，为成交结果公告期限届满之日。</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31.6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32.其他内容</w:t>
      </w:r>
    </w:p>
    <w:p>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32.1代理服务收取标准及缴费账户详见“供应商须知前附表”，供应商为联合体的，可以由联合体中的一方或者多方共同交纳代理服务费。</w:t>
      </w:r>
    </w:p>
    <w:p>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32.2代理服务费收费计算标准：</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费率</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金额</w:t>
            </w:r>
          </w:p>
        </w:tc>
        <w:tc>
          <w:tcPr>
            <w:tcW w:w="1659" w:type="dxa"/>
            <w:noWrap w:val="0"/>
            <w:vAlign w:val="center"/>
          </w:tcPr>
          <w:p>
            <w:pPr>
              <w:spacing w:line="360" w:lineRule="auto"/>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货物类</w:t>
            </w:r>
          </w:p>
        </w:tc>
        <w:tc>
          <w:tcPr>
            <w:tcW w:w="1532"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服务类</w:t>
            </w:r>
          </w:p>
        </w:tc>
        <w:tc>
          <w:tcPr>
            <w:tcW w:w="1546"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100万元以下</w:t>
            </w:r>
          </w:p>
        </w:tc>
        <w:tc>
          <w:tcPr>
            <w:tcW w:w="1659"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1.5%                </w:t>
            </w:r>
          </w:p>
        </w:tc>
        <w:tc>
          <w:tcPr>
            <w:tcW w:w="1532" w:type="dxa"/>
            <w:noWrap w:val="0"/>
            <w:vAlign w:val="top"/>
          </w:tcPr>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w:t>
            </w:r>
          </w:p>
        </w:tc>
        <w:tc>
          <w:tcPr>
            <w:tcW w:w="1546" w:type="dxa"/>
            <w:noWrap w:val="0"/>
            <w:vAlign w:val="top"/>
          </w:tcPr>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100～500万元</w:t>
            </w:r>
          </w:p>
        </w:tc>
        <w:tc>
          <w:tcPr>
            <w:tcW w:w="1659" w:type="dxa"/>
            <w:noWrap w:val="0"/>
            <w:vAlign w:val="top"/>
          </w:tcPr>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1.1%                 </w:t>
            </w:r>
          </w:p>
        </w:tc>
        <w:tc>
          <w:tcPr>
            <w:tcW w:w="1532" w:type="dxa"/>
            <w:noWrap w:val="0"/>
            <w:vAlign w:val="top"/>
          </w:tcPr>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0.8%</w:t>
            </w:r>
          </w:p>
        </w:tc>
        <w:tc>
          <w:tcPr>
            <w:tcW w:w="1546" w:type="dxa"/>
            <w:noWrap w:val="0"/>
            <w:vAlign w:val="top"/>
          </w:tcPr>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500～1000万元</w:t>
            </w:r>
          </w:p>
        </w:tc>
        <w:tc>
          <w:tcPr>
            <w:tcW w:w="1659"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0.8%                </w:t>
            </w:r>
          </w:p>
        </w:tc>
        <w:tc>
          <w:tcPr>
            <w:tcW w:w="1532" w:type="dxa"/>
            <w:noWrap w:val="0"/>
            <w:vAlign w:val="top"/>
          </w:tcPr>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0.45%</w:t>
            </w:r>
          </w:p>
        </w:tc>
        <w:tc>
          <w:tcPr>
            <w:tcW w:w="1546" w:type="dxa"/>
            <w:noWrap w:val="0"/>
            <w:vAlign w:val="top"/>
          </w:tcPr>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1000～5000万元</w:t>
            </w:r>
          </w:p>
        </w:tc>
        <w:tc>
          <w:tcPr>
            <w:tcW w:w="1659" w:type="dxa"/>
            <w:noWrap w:val="0"/>
            <w:vAlign w:val="top"/>
          </w:tcPr>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0.5%                </w:t>
            </w:r>
          </w:p>
        </w:tc>
        <w:tc>
          <w:tcPr>
            <w:tcW w:w="1532" w:type="dxa"/>
            <w:noWrap w:val="0"/>
            <w:vAlign w:val="top"/>
          </w:tcPr>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0.25%</w:t>
            </w:r>
          </w:p>
        </w:tc>
        <w:tc>
          <w:tcPr>
            <w:tcW w:w="1546" w:type="dxa"/>
            <w:noWrap w:val="0"/>
            <w:vAlign w:val="top"/>
          </w:tcPr>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5000万元～1亿元</w:t>
            </w:r>
          </w:p>
        </w:tc>
        <w:tc>
          <w:tcPr>
            <w:tcW w:w="1659" w:type="dxa"/>
            <w:noWrap w:val="0"/>
            <w:vAlign w:val="top"/>
          </w:tcPr>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0.25%                 </w:t>
            </w:r>
          </w:p>
        </w:tc>
        <w:tc>
          <w:tcPr>
            <w:tcW w:w="1532" w:type="dxa"/>
            <w:noWrap w:val="0"/>
            <w:vAlign w:val="top"/>
          </w:tcPr>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0.1%</w:t>
            </w:r>
          </w:p>
        </w:tc>
        <w:tc>
          <w:tcPr>
            <w:tcW w:w="1546" w:type="dxa"/>
            <w:noWrap w:val="0"/>
            <w:vAlign w:val="top"/>
          </w:tcPr>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1～5亿元</w:t>
            </w:r>
          </w:p>
        </w:tc>
        <w:tc>
          <w:tcPr>
            <w:tcW w:w="1659" w:type="dxa"/>
            <w:noWrap w:val="0"/>
            <w:vAlign w:val="top"/>
          </w:tcPr>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1532"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c>
          <w:tcPr>
            <w:tcW w:w="1546"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5～10亿元</w:t>
            </w:r>
          </w:p>
        </w:tc>
        <w:tc>
          <w:tcPr>
            <w:tcW w:w="1659" w:type="dxa"/>
            <w:noWrap w:val="0"/>
            <w:vAlign w:val="top"/>
          </w:tcPr>
          <w:p>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c>
          <w:tcPr>
            <w:tcW w:w="1532"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0.035%</w:t>
            </w:r>
          </w:p>
        </w:tc>
        <w:tc>
          <w:tcPr>
            <w:tcW w:w="1546" w:type="dxa"/>
            <w:noWrap w:val="0"/>
            <w:vAlign w:val="top"/>
          </w:tcPr>
          <w:p>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10～50亿元</w:t>
            </w:r>
          </w:p>
        </w:tc>
        <w:tc>
          <w:tcPr>
            <w:tcW w:w="1659" w:type="dxa"/>
            <w:noWrap w:val="0"/>
            <w:vAlign w:val="top"/>
          </w:tcPr>
          <w:p>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532" w:type="dxa"/>
            <w:noWrap w:val="0"/>
            <w:vAlign w:val="top"/>
          </w:tcPr>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546" w:type="dxa"/>
            <w:noWrap w:val="0"/>
            <w:vAlign w:val="top"/>
          </w:tcPr>
          <w:p>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50～100亿元</w:t>
            </w:r>
          </w:p>
        </w:tc>
        <w:tc>
          <w:tcPr>
            <w:tcW w:w="1659"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0.006%</w:t>
            </w:r>
          </w:p>
        </w:tc>
        <w:tc>
          <w:tcPr>
            <w:tcW w:w="1532" w:type="dxa"/>
            <w:noWrap w:val="0"/>
            <w:vAlign w:val="top"/>
          </w:tcPr>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c>
          <w:tcPr>
            <w:tcW w:w="1546" w:type="dxa"/>
            <w:noWrap w:val="0"/>
            <w:vAlign w:val="top"/>
          </w:tcPr>
          <w:p>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100亿</w:t>
            </w:r>
            <w:r>
              <w:rPr>
                <w:rFonts w:hint="eastAsia" w:ascii="宋体" w:hAnsi="宋体" w:eastAsia="宋体" w:cs="宋体"/>
                <w:color w:val="auto"/>
                <w:szCs w:val="21"/>
                <w:highlight w:val="none"/>
                <w:lang w:eastAsia="zh-CN"/>
              </w:rPr>
              <w:t>元</w:t>
            </w:r>
            <w:r>
              <w:rPr>
                <w:rFonts w:hint="eastAsia" w:ascii="宋体" w:hAnsi="宋体" w:eastAsia="宋体" w:cs="宋体"/>
                <w:color w:val="auto"/>
                <w:szCs w:val="21"/>
                <w:highlight w:val="none"/>
              </w:rPr>
              <w:t>以上</w:t>
            </w:r>
          </w:p>
        </w:tc>
        <w:tc>
          <w:tcPr>
            <w:tcW w:w="1659"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0.004%</w:t>
            </w:r>
          </w:p>
        </w:tc>
        <w:tc>
          <w:tcPr>
            <w:tcW w:w="1532" w:type="dxa"/>
            <w:noWrap w:val="0"/>
            <w:vAlign w:val="top"/>
          </w:tcPr>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c>
          <w:tcPr>
            <w:tcW w:w="1546" w:type="dxa"/>
            <w:noWrap w:val="0"/>
            <w:vAlign w:val="top"/>
          </w:tcPr>
          <w:p>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r>
    </w:tbl>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注：</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（1）按本表费率计算的收费为采购代理的收费基准价格；</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（2）采购代理收费按差额定率累进法计算。</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33.需要补充的其他内容</w:t>
      </w:r>
    </w:p>
    <w:p>
      <w:pPr>
        <w:widowControl w:val="0"/>
        <w:spacing w:line="360" w:lineRule="auto"/>
        <w:ind w:firstLine="420" w:firstLineChars="200"/>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33.1本磋商文件解释规则详见“供应商须知前附表”。</w:t>
      </w:r>
    </w:p>
    <w:p>
      <w:pPr>
        <w:widowControl w:val="0"/>
        <w:spacing w:line="360" w:lineRule="auto"/>
        <w:ind w:firstLine="420" w:firstLineChars="200"/>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33.2 其他事项详见“供应商须知前附表”。</w:t>
      </w:r>
    </w:p>
    <w:p>
      <w:pPr>
        <w:widowControl w:val="0"/>
        <w:spacing w:line="360" w:lineRule="auto"/>
        <w:ind w:firstLine="420" w:firstLineChars="200"/>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33.3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pPr>
        <w:widowControl w:val="0"/>
        <w:spacing w:line="360" w:lineRule="auto"/>
        <w:ind w:firstLine="420" w:firstLineChars="200"/>
        <w:contextualSpacing/>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（1）在货物采购项目中，货物由中小企业制造，即货物由中小企业生产且使用该中小企业商号或者注册商标，不对其中涉及的工程承建商和服务的承接商作出要求；</w:t>
      </w:r>
    </w:p>
    <w:p>
      <w:pPr>
        <w:widowControl w:val="0"/>
        <w:spacing w:line="360" w:lineRule="auto"/>
        <w:ind w:firstLine="420" w:firstLineChars="200"/>
        <w:contextualSpacing/>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（2）在工程采购项目中，工程由中小企业承建，即工程施工单位为中小企业，不对其中涉及的货物的制造商和服务的承接商作出要求；</w:t>
      </w:r>
    </w:p>
    <w:p>
      <w:pPr>
        <w:widowControl w:val="0"/>
        <w:spacing w:line="360" w:lineRule="auto"/>
        <w:ind w:firstLine="420" w:firstLineChars="200"/>
        <w:contextualSpacing/>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（3）在服务采购项目中，服务由中小企业承接，即提供服务的人员为中小企业依照《中华人民共和国劳动合同法》订立劳动合同的从业人员，不对其中涉及的货物的制造商和工程承建商作出要求。</w:t>
      </w:r>
    </w:p>
    <w:p>
      <w:pPr>
        <w:widowControl w:val="0"/>
        <w:spacing w:line="360" w:lineRule="auto"/>
        <w:ind w:firstLine="420" w:firstLineChars="200"/>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pPr>
        <w:widowControl w:val="0"/>
        <w:spacing w:line="360" w:lineRule="auto"/>
        <w:ind w:firstLine="420" w:firstLineChars="200"/>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依据本磋商文件规定享受扶持政策获得政府采购合同的，小微企业不得将合同分包给大中型企业，中型企业不得将合同分包给大型企业。</w:t>
      </w:r>
    </w:p>
    <w:p>
      <w:pPr>
        <w:widowControl w:val="0"/>
        <w:spacing w:line="360" w:lineRule="auto"/>
        <w:ind w:firstLine="420" w:firstLineChars="200"/>
        <w:jc w:val="both"/>
        <w:textAlignment w:val="center"/>
        <w:rPr>
          <w:rFonts w:hint="eastAsia" w:ascii="宋体" w:hAnsi="宋体" w:eastAsia="宋体" w:cs="宋体"/>
          <w:color w:val="auto"/>
          <w:kern w:val="2"/>
          <w:sz w:val="21"/>
          <w:szCs w:val="21"/>
          <w:highlight w:val="none"/>
          <w:lang w:val="en-US" w:eastAsia="zh-CN" w:bidi="ar-SA"/>
        </w:rPr>
      </w:pPr>
    </w:p>
    <w:p>
      <w:pPr>
        <w:widowControl w:val="0"/>
        <w:spacing w:line="360" w:lineRule="auto"/>
        <w:ind w:firstLine="420" w:firstLineChars="200"/>
        <w:jc w:val="both"/>
        <w:textAlignment w:val="center"/>
        <w:rPr>
          <w:rFonts w:hint="eastAsia" w:ascii="宋体" w:hAnsi="宋体" w:eastAsia="宋体" w:cs="宋体"/>
          <w:color w:val="auto"/>
          <w:kern w:val="2"/>
          <w:sz w:val="21"/>
          <w:szCs w:val="21"/>
          <w:highlight w:val="none"/>
          <w:lang w:val="en-US" w:eastAsia="zh-CN" w:bidi="ar-SA"/>
        </w:rPr>
      </w:pPr>
    </w:p>
    <w:p>
      <w:pPr>
        <w:widowControl w:val="0"/>
        <w:spacing w:line="360" w:lineRule="auto"/>
        <w:ind w:firstLine="420" w:firstLineChars="200"/>
        <w:jc w:val="both"/>
        <w:textAlignment w:val="center"/>
        <w:rPr>
          <w:rFonts w:hint="eastAsia" w:ascii="宋体" w:hAnsi="宋体" w:eastAsia="宋体" w:cs="宋体"/>
          <w:color w:val="auto"/>
          <w:kern w:val="2"/>
          <w:sz w:val="21"/>
          <w:szCs w:val="21"/>
          <w:highlight w:val="none"/>
          <w:lang w:val="en-US" w:eastAsia="zh-CN" w:bidi="ar-SA"/>
        </w:rPr>
      </w:pPr>
    </w:p>
    <w:p>
      <w:pPr>
        <w:widowControl w:val="0"/>
        <w:spacing w:line="360" w:lineRule="auto"/>
        <w:ind w:firstLine="420" w:firstLineChars="200"/>
        <w:jc w:val="both"/>
        <w:textAlignment w:val="center"/>
        <w:rPr>
          <w:rFonts w:hint="eastAsia" w:ascii="宋体" w:hAnsi="宋体" w:eastAsia="宋体" w:cs="宋体"/>
          <w:color w:val="auto"/>
          <w:kern w:val="2"/>
          <w:sz w:val="21"/>
          <w:szCs w:val="21"/>
          <w:highlight w:val="none"/>
          <w:lang w:val="en-US" w:eastAsia="zh-CN" w:bidi="ar-SA"/>
        </w:rPr>
      </w:pPr>
    </w:p>
    <w:p>
      <w:pPr>
        <w:widowControl w:val="0"/>
        <w:spacing w:line="360" w:lineRule="auto"/>
        <w:ind w:firstLine="420" w:firstLineChars="200"/>
        <w:jc w:val="both"/>
        <w:textAlignment w:val="center"/>
        <w:rPr>
          <w:rFonts w:hint="eastAsia" w:ascii="宋体" w:hAnsi="宋体" w:eastAsia="宋体" w:cs="宋体"/>
          <w:color w:val="auto"/>
          <w:kern w:val="2"/>
          <w:sz w:val="21"/>
          <w:szCs w:val="21"/>
          <w:highlight w:val="none"/>
          <w:lang w:val="en-US" w:eastAsia="zh-CN" w:bidi="ar-SA"/>
        </w:rPr>
      </w:pPr>
    </w:p>
    <w:p>
      <w:pPr>
        <w:pStyle w:val="3"/>
        <w:spacing w:line="240" w:lineRule="auto"/>
        <w:jc w:val="center"/>
        <w:rPr>
          <w:rFonts w:hint="eastAsia" w:ascii="宋体" w:hAnsi="宋体" w:eastAsia="宋体" w:cs="宋体"/>
          <w:b/>
          <w:bCs/>
          <w:color w:val="auto"/>
          <w:highlight w:val="none"/>
        </w:rPr>
      </w:pPr>
      <w:bookmarkStart w:id="111" w:name="_Toc74323458"/>
      <w:r>
        <w:rPr>
          <w:rFonts w:hint="eastAsia" w:ascii="宋体" w:hAnsi="宋体" w:eastAsia="宋体" w:cs="宋体"/>
          <w:b/>
          <w:bCs/>
          <w:color w:val="auto"/>
          <w:highlight w:val="none"/>
        </w:rPr>
        <w:t>第三章 采购需求</w:t>
      </w:r>
      <w:bookmarkEnd w:id="111"/>
    </w:p>
    <w:p>
      <w:pPr>
        <w:spacing w:line="24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采购项目技术规格、参数及要求</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1.为落实政府采购政策需满足的要求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（1）本竞争性磋商采购文件所称中小企业必须符合《政府采购促进中小企业发展管理办法》（财库〔2020〕46号）的规定。</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2.“实质性要求”是指采购需求中带“▲”的条款或者不能负偏离的条款或者已经指明不满足按响应文件按无效处理的条款。</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3.</w:t>
      </w:r>
      <w:r>
        <w:rPr>
          <w:rFonts w:hint="eastAsia" w:ascii="宋体" w:hAnsi="宋体" w:eastAsia="宋体" w:cs="宋体"/>
          <w:color w:val="auto"/>
          <w:highlight w:val="none"/>
        </w:rPr>
        <w:t>供应商必须自行为其竞标产品侵犯他人的知识产权或者专利成果的行为承担相应法律责任。</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szCs w:val="21"/>
          <w:highlight w:val="none"/>
        </w:rPr>
        <w:t>本项目为服务类采购，无核心产品要求。</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jc w:val="left"/>
        <w:textAlignment w:val="auto"/>
        <w:rPr>
          <w:rFonts w:hint="eastAsia" w:ascii="宋体" w:hAnsi="宋体" w:eastAsia="宋体" w:cs="宋体"/>
          <w:b/>
          <w:color w:val="auto"/>
          <w:sz w:val="30"/>
          <w:szCs w:val="30"/>
          <w:highlight w:val="none"/>
        </w:rPr>
      </w:pPr>
      <w:r>
        <w:rPr>
          <w:rFonts w:hint="eastAsia" w:ascii="宋体" w:hAnsi="宋体" w:eastAsia="宋体" w:cs="宋体"/>
          <w:color w:val="auto"/>
          <w:highlight w:val="none"/>
        </w:rPr>
        <w:t>5.本项目整体所属行业：</w:t>
      </w:r>
      <w:r>
        <w:rPr>
          <w:rFonts w:hint="eastAsia" w:ascii="宋体" w:hAnsi="宋体" w:eastAsia="宋体" w:cs="宋体"/>
          <w:b/>
          <w:color w:val="auto"/>
          <w:sz w:val="30"/>
          <w:szCs w:val="30"/>
          <w:highlight w:val="none"/>
        </w:rPr>
        <w:t>其他未列明行业</w:t>
      </w:r>
    </w:p>
    <w:p>
      <w:pPr>
        <w:keepNext w:val="0"/>
        <w:keepLines w:val="0"/>
        <w:pageBreakBefore w:val="0"/>
        <w:widowControl/>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color w:val="auto"/>
          <w:sz w:val="30"/>
          <w:szCs w:val="30"/>
          <w:highlight w:val="none"/>
        </w:rPr>
      </w:pPr>
      <w:r>
        <w:rPr>
          <w:rFonts w:hint="eastAsia" w:ascii="宋体" w:hAnsi="宋体" w:cs="宋体"/>
          <w:b/>
          <w:color w:val="auto"/>
          <w:sz w:val="21"/>
          <w:szCs w:val="21"/>
          <w:highlight w:val="none"/>
          <w:lang w:val="en-US" w:eastAsia="zh-CN" w:bidi="ar"/>
        </w:rPr>
        <w:t>6</w:t>
      </w:r>
      <w:r>
        <w:rPr>
          <w:rFonts w:hint="eastAsia" w:ascii="宋体" w:hAnsi="宋体" w:cs="宋体"/>
          <w:b/>
          <w:color w:val="auto"/>
          <w:sz w:val="21"/>
          <w:szCs w:val="21"/>
          <w:highlight w:val="none"/>
          <w:lang w:bidi="ar"/>
        </w:rPr>
        <w:t>、各供应商可对所有分标进行竞标，但只允许成交1个分标,按评审顺序（1分标→2分标），已被推选为某分标第一成交候选人的，</w:t>
      </w:r>
      <w:r>
        <w:rPr>
          <w:rFonts w:hint="eastAsia" w:ascii="宋体" w:hAnsi="宋体" w:cs="宋体"/>
          <w:b/>
          <w:color w:val="auto"/>
          <w:sz w:val="21"/>
          <w:szCs w:val="21"/>
          <w:highlight w:val="none"/>
          <w:lang w:val="en-US" w:eastAsia="zh-CN" w:bidi="ar"/>
        </w:rPr>
        <w:t>可继续参与其他分标评审，但</w:t>
      </w:r>
      <w:r>
        <w:rPr>
          <w:rFonts w:hint="eastAsia" w:ascii="宋体" w:hAnsi="宋体" w:cs="宋体"/>
          <w:b/>
          <w:color w:val="auto"/>
          <w:sz w:val="21"/>
          <w:szCs w:val="21"/>
          <w:highlight w:val="none"/>
          <w:lang w:bidi="ar"/>
        </w:rPr>
        <w:t>不再推选为其他分标的成交候选人。</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u w:val="single"/>
        </w:rPr>
        <w:t xml:space="preserve"> </w:t>
      </w:r>
      <w:bookmarkStart w:id="112" w:name="OLE_LINK43"/>
      <w:r>
        <w:rPr>
          <w:rFonts w:hint="eastAsia" w:ascii="宋体" w:hAnsi="宋体" w:cs="宋体"/>
          <w:b/>
          <w:bCs w:val="0"/>
          <w:color w:val="auto"/>
          <w:szCs w:val="21"/>
          <w:highlight w:val="none"/>
          <w:u w:val="single"/>
          <w:lang w:val="en-US" w:eastAsia="zh-CN"/>
        </w:rPr>
        <w:t>1</w:t>
      </w:r>
      <w:r>
        <w:rPr>
          <w:rFonts w:hint="eastAsia" w:ascii="宋体" w:hAnsi="宋体" w:eastAsia="宋体" w:cs="宋体"/>
          <w:bCs/>
          <w:color w:val="auto"/>
          <w:szCs w:val="21"/>
          <w:highlight w:val="none"/>
          <w:u w:val="single"/>
        </w:rPr>
        <w:t xml:space="preserve"> </w:t>
      </w:r>
      <w:r>
        <w:rPr>
          <w:rFonts w:hint="eastAsia" w:ascii="宋体" w:hAnsi="宋体" w:eastAsia="宋体" w:cs="宋体"/>
          <w:b/>
          <w:color w:val="auto"/>
          <w:szCs w:val="21"/>
          <w:highlight w:val="none"/>
        </w:rPr>
        <w:t>分标      采购预算：</w:t>
      </w:r>
      <w:r>
        <w:rPr>
          <w:rFonts w:hint="eastAsia" w:ascii="宋体" w:hAnsi="宋体" w:eastAsia="宋体" w:cs="宋体"/>
          <w:b/>
          <w:bCs w:val="0"/>
          <w:color w:val="auto"/>
          <w:szCs w:val="21"/>
          <w:highlight w:val="none"/>
          <w:u w:val="single"/>
          <w:lang w:val="en-US" w:eastAsia="zh-CN"/>
        </w:rPr>
        <w:t>233.52万元</w:t>
      </w:r>
      <w:r>
        <w:rPr>
          <w:rFonts w:hint="eastAsia" w:ascii="宋体" w:hAnsi="宋体" w:eastAsia="宋体" w:cs="宋体"/>
          <w:b/>
          <w:bCs w:val="0"/>
          <w:color w:val="auto"/>
          <w:szCs w:val="21"/>
          <w:highlight w:val="none"/>
          <w:u w:val="single"/>
        </w:rPr>
        <w:t xml:space="preserve"> </w:t>
      </w:r>
    </w:p>
    <w:tbl>
      <w:tblPr>
        <w:tblStyle w:val="2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9"/>
        <w:gridCol w:w="988"/>
        <w:gridCol w:w="146"/>
        <w:gridCol w:w="711"/>
        <w:gridCol w:w="71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9720" w:type="dxa"/>
            <w:gridSpan w:val="5"/>
            <w:tcBorders>
              <w:top w:val="single" w:color="auto" w:sz="4" w:space="0"/>
              <w:left w:val="single" w:color="auto" w:sz="4" w:space="0"/>
              <w:bottom w:val="single" w:color="auto" w:sz="4" w:space="0"/>
              <w:right w:val="single" w:color="auto" w:sz="4" w:space="0"/>
            </w:tcBorders>
            <w:noWrap w:val="0"/>
            <w:vAlign w:val="center"/>
          </w:tcPr>
          <w:p>
            <w:pPr>
              <w:pStyle w:val="32"/>
              <w:spacing w:line="400" w:lineRule="exact"/>
              <w:ind w:lef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一、采购内容及技术需求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pStyle w:val="32"/>
              <w:spacing w:line="400" w:lineRule="exact"/>
              <w:ind w:lef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项号</w:t>
            </w: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pPr>
              <w:pStyle w:val="32"/>
              <w:spacing w:line="400" w:lineRule="exact"/>
              <w:ind w:left="0" w:firstLine="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服务项目</w:t>
            </w:r>
            <w:r>
              <w:rPr>
                <w:rFonts w:hint="eastAsia" w:ascii="宋体" w:hAnsi="宋体" w:cs="宋体"/>
                <w:color w:val="auto"/>
                <w:sz w:val="21"/>
                <w:szCs w:val="21"/>
                <w:highlight w:val="none"/>
                <w:lang w:eastAsia="zh-CN"/>
              </w:rPr>
              <w:t>（标的名称）</w:t>
            </w:r>
          </w:p>
        </w:tc>
        <w:tc>
          <w:tcPr>
            <w:tcW w:w="711" w:type="dxa"/>
            <w:tcBorders>
              <w:top w:val="single" w:color="auto" w:sz="4" w:space="0"/>
              <w:left w:val="single" w:color="auto" w:sz="4" w:space="0"/>
              <w:bottom w:val="single" w:color="auto" w:sz="4" w:space="0"/>
              <w:right w:val="single" w:color="auto" w:sz="4" w:space="0"/>
            </w:tcBorders>
            <w:noWrap w:val="0"/>
            <w:vAlign w:val="center"/>
          </w:tcPr>
          <w:p>
            <w:pPr>
              <w:pStyle w:val="32"/>
              <w:spacing w:line="400" w:lineRule="exact"/>
              <w:ind w:lef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7166" w:type="dxa"/>
            <w:tcBorders>
              <w:top w:val="single" w:color="auto" w:sz="4" w:space="0"/>
              <w:left w:val="single" w:color="auto" w:sz="4" w:space="0"/>
              <w:bottom w:val="single" w:color="auto" w:sz="4" w:space="0"/>
              <w:right w:val="single" w:color="auto" w:sz="4" w:space="0"/>
            </w:tcBorders>
            <w:noWrap w:val="0"/>
            <w:vAlign w:val="center"/>
          </w:tcPr>
          <w:p>
            <w:pPr>
              <w:pStyle w:val="32"/>
              <w:spacing w:line="400" w:lineRule="exact"/>
              <w:ind w:firstLine="42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服务内容及技术参数要求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pStyle w:val="15"/>
              <w:rPr>
                <w:rFonts w:hint="eastAsia" w:ascii="宋体" w:hAnsi="宋体" w:eastAsia="宋体" w:cs="宋体"/>
                <w:color w:val="auto"/>
                <w:sz w:val="21"/>
                <w:highlight w:val="none"/>
              </w:rPr>
            </w:pPr>
            <w:r>
              <w:rPr>
                <w:rFonts w:hint="eastAsia" w:ascii="宋体" w:hAnsi="宋体" w:eastAsia="宋体" w:cs="宋体"/>
                <w:color w:val="auto"/>
                <w:sz w:val="21"/>
                <w:highlight w:val="none"/>
              </w:rPr>
              <w:t>1</w:t>
            </w: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pPr>
              <w:pStyle w:val="15"/>
              <w:rPr>
                <w:rFonts w:hint="eastAsia" w:ascii="宋体" w:hAnsi="宋体" w:eastAsia="宋体" w:cs="宋体"/>
                <w:color w:val="auto"/>
                <w:sz w:val="21"/>
                <w:highlight w:val="none"/>
              </w:rPr>
            </w:pPr>
            <w:r>
              <w:rPr>
                <w:rFonts w:hint="eastAsia" w:ascii="宋体" w:hAnsi="宋体" w:eastAsia="宋体" w:cs="宋体"/>
                <w:color w:val="auto"/>
                <w:sz w:val="21"/>
                <w:highlight w:val="none"/>
              </w:rPr>
              <w:t>2025年度广西全民所有自然资源资产清查（土地、矿产、森林、草原、湿地、）</w:t>
            </w:r>
          </w:p>
        </w:tc>
        <w:tc>
          <w:tcPr>
            <w:tcW w:w="711" w:type="dxa"/>
            <w:tcBorders>
              <w:top w:val="single" w:color="auto" w:sz="4" w:space="0"/>
              <w:left w:val="single" w:color="auto" w:sz="4" w:space="0"/>
              <w:bottom w:val="single" w:color="auto" w:sz="4" w:space="0"/>
              <w:right w:val="single" w:color="auto" w:sz="4" w:space="0"/>
            </w:tcBorders>
            <w:noWrap w:val="0"/>
            <w:vAlign w:val="center"/>
          </w:tcPr>
          <w:p>
            <w:pPr>
              <w:pStyle w:val="15"/>
              <w:rPr>
                <w:rFonts w:hint="eastAsia" w:ascii="宋体" w:hAnsi="宋体" w:eastAsia="宋体" w:cs="宋体"/>
                <w:color w:val="auto"/>
                <w:sz w:val="21"/>
                <w:highlight w:val="none"/>
              </w:rPr>
            </w:pPr>
            <w:r>
              <w:rPr>
                <w:rFonts w:hint="eastAsia" w:ascii="宋体" w:hAnsi="宋体" w:eastAsia="宋体" w:cs="宋体"/>
                <w:color w:val="auto"/>
                <w:sz w:val="21"/>
                <w:highlight w:val="none"/>
              </w:rPr>
              <w:t>1项</w:t>
            </w:r>
          </w:p>
        </w:tc>
        <w:tc>
          <w:tcPr>
            <w:tcW w:w="7166" w:type="dxa"/>
            <w:tcBorders>
              <w:top w:val="single" w:color="auto" w:sz="4" w:space="0"/>
              <w:left w:val="single" w:color="auto" w:sz="4" w:space="0"/>
              <w:bottom w:val="single" w:color="auto" w:sz="4" w:space="0"/>
              <w:right w:val="single" w:color="auto" w:sz="4" w:space="0"/>
            </w:tcBorders>
            <w:noWrap w:val="0"/>
            <w:vAlign w:val="center"/>
          </w:tcPr>
          <w:p>
            <w:pPr>
              <w:pStyle w:val="15"/>
              <w:spacing w:line="360" w:lineRule="auto"/>
              <w:rPr>
                <w:rFonts w:hint="eastAsia" w:ascii="宋体" w:hAnsi="宋体" w:eastAsia="宋体" w:cs="宋体"/>
                <w:b/>
                <w:bCs w:val="0"/>
                <w:color w:val="auto"/>
                <w:sz w:val="21"/>
                <w:highlight w:val="none"/>
              </w:rPr>
            </w:pPr>
            <w:r>
              <w:rPr>
                <w:rFonts w:hint="eastAsia" w:ascii="宋体" w:hAnsi="宋体" w:eastAsia="宋体" w:cs="宋体"/>
                <w:b/>
                <w:bCs w:val="0"/>
                <w:color w:val="auto"/>
                <w:sz w:val="21"/>
                <w:highlight w:val="none"/>
              </w:rPr>
              <w:t>（一）</w:t>
            </w:r>
            <w:r>
              <w:rPr>
                <w:rFonts w:hint="eastAsia" w:hAnsi="宋体" w:cs="宋体"/>
                <w:b/>
                <w:bCs w:val="0"/>
                <w:color w:val="auto"/>
                <w:sz w:val="21"/>
                <w:highlight w:val="none"/>
                <w:lang w:val="en-US" w:eastAsia="zh-CN"/>
              </w:rPr>
              <w:t>协助完成</w:t>
            </w:r>
            <w:r>
              <w:rPr>
                <w:rFonts w:hint="eastAsia" w:ascii="宋体" w:hAnsi="宋体" w:eastAsia="宋体" w:cs="宋体"/>
                <w:b/>
                <w:bCs w:val="0"/>
                <w:color w:val="auto"/>
                <w:sz w:val="21"/>
                <w:highlight w:val="none"/>
              </w:rPr>
              <w:t>全民所有自然资源资产清查价格体系</w:t>
            </w:r>
            <w:r>
              <w:rPr>
                <w:rFonts w:hint="eastAsia" w:hAnsi="宋体" w:cs="宋体"/>
                <w:b/>
                <w:bCs w:val="0"/>
                <w:color w:val="auto"/>
                <w:sz w:val="21"/>
                <w:highlight w:val="none"/>
                <w:lang w:val="en-US" w:eastAsia="zh-CN"/>
              </w:rPr>
              <w:t>更新</w:t>
            </w:r>
            <w:r>
              <w:rPr>
                <w:rFonts w:hint="eastAsia" w:ascii="宋体" w:hAnsi="宋体" w:eastAsia="宋体" w:cs="宋体"/>
                <w:b/>
                <w:bCs w:val="0"/>
                <w:color w:val="auto"/>
                <w:sz w:val="21"/>
                <w:highlight w:val="none"/>
              </w:rPr>
              <w:t>。</w:t>
            </w:r>
          </w:p>
          <w:p>
            <w:pPr>
              <w:pStyle w:val="15"/>
              <w:spacing w:line="360" w:lineRule="auto"/>
              <w:ind w:firstLine="420" w:firstLineChars="200"/>
              <w:rPr>
                <w:rFonts w:hint="eastAsia" w:ascii="宋体" w:hAnsi="宋体" w:eastAsia="宋体" w:cs="宋体"/>
                <w:b w:val="0"/>
                <w:bCs/>
                <w:color w:val="auto"/>
                <w:sz w:val="21"/>
                <w:highlight w:val="none"/>
              </w:rPr>
            </w:pPr>
            <w:r>
              <w:rPr>
                <w:rFonts w:hint="eastAsia" w:ascii="宋体" w:hAnsi="宋体" w:eastAsia="宋体" w:cs="宋体"/>
                <w:b w:val="0"/>
                <w:bCs/>
                <w:color w:val="auto"/>
                <w:sz w:val="21"/>
                <w:highlight w:val="none"/>
              </w:rPr>
              <w:t>协助开展全民所有农用地、建设用地、矿产、森林、草原资源自治区价格体系更新所需价格信号补充采集工作，根据自然资源部反馈意见配合完成自治区级价格体系更新成果的补充完善。</w:t>
            </w:r>
          </w:p>
          <w:p>
            <w:pPr>
              <w:pStyle w:val="15"/>
              <w:spacing w:line="360" w:lineRule="auto"/>
              <w:rPr>
                <w:rFonts w:hint="eastAsia" w:ascii="宋体" w:hAnsi="宋体" w:eastAsia="宋体" w:cs="宋体"/>
                <w:b/>
                <w:bCs w:val="0"/>
                <w:color w:val="auto"/>
                <w:sz w:val="21"/>
                <w:highlight w:val="none"/>
              </w:rPr>
            </w:pPr>
            <w:r>
              <w:rPr>
                <w:rFonts w:hint="eastAsia" w:ascii="宋体" w:hAnsi="宋体" w:eastAsia="宋体" w:cs="宋体"/>
                <w:b/>
                <w:bCs w:val="0"/>
                <w:color w:val="auto"/>
                <w:sz w:val="21"/>
                <w:highlight w:val="none"/>
              </w:rPr>
              <w:t>（二）</w:t>
            </w:r>
            <w:r>
              <w:rPr>
                <w:rFonts w:hint="eastAsia" w:hAnsi="宋体" w:cs="宋体"/>
                <w:b/>
                <w:bCs w:val="0"/>
                <w:color w:val="auto"/>
                <w:sz w:val="21"/>
                <w:highlight w:val="none"/>
                <w:lang w:val="en-US" w:eastAsia="zh-CN"/>
              </w:rPr>
              <w:t>协助</w:t>
            </w:r>
            <w:r>
              <w:rPr>
                <w:rFonts w:hint="eastAsia" w:ascii="宋体" w:hAnsi="宋体" w:eastAsia="宋体" w:cs="宋体"/>
                <w:b/>
                <w:bCs w:val="0"/>
                <w:color w:val="auto"/>
                <w:sz w:val="21"/>
                <w:highlight w:val="none"/>
              </w:rPr>
              <w:t>开展全区全民所有自然资源资产</w:t>
            </w:r>
            <w:r>
              <w:rPr>
                <w:rFonts w:hint="eastAsia" w:hAnsi="宋体" w:cs="宋体"/>
                <w:b/>
                <w:bCs w:val="0"/>
                <w:color w:val="auto"/>
                <w:sz w:val="21"/>
                <w:highlight w:val="none"/>
                <w:lang w:val="en-US" w:eastAsia="zh-CN"/>
              </w:rPr>
              <w:t>实物量清查及经济价值核算</w:t>
            </w:r>
            <w:r>
              <w:rPr>
                <w:rFonts w:hint="eastAsia" w:ascii="宋体" w:hAnsi="宋体" w:eastAsia="宋体" w:cs="宋体"/>
                <w:b/>
                <w:bCs w:val="0"/>
                <w:color w:val="auto"/>
                <w:sz w:val="21"/>
                <w:highlight w:val="none"/>
              </w:rPr>
              <w:t>成果年度更新。</w:t>
            </w:r>
          </w:p>
          <w:p>
            <w:pPr>
              <w:pStyle w:val="15"/>
              <w:spacing w:line="360" w:lineRule="auto"/>
              <w:ind w:firstLine="420" w:firstLineChars="200"/>
              <w:rPr>
                <w:rFonts w:hint="eastAsia" w:ascii="宋体" w:hAnsi="宋体" w:eastAsia="宋体" w:cs="宋体"/>
                <w:b w:val="0"/>
                <w:bCs/>
                <w:color w:val="auto"/>
                <w:sz w:val="21"/>
                <w:highlight w:val="none"/>
              </w:rPr>
            </w:pPr>
            <w:r>
              <w:rPr>
                <w:rFonts w:hint="eastAsia" w:ascii="宋体" w:hAnsi="宋体" w:eastAsia="宋体" w:cs="宋体"/>
                <w:b w:val="0"/>
                <w:bCs/>
                <w:color w:val="auto"/>
                <w:sz w:val="21"/>
                <w:highlight w:val="none"/>
              </w:rPr>
              <w:t>配合完成全区全民所有土地、矿产、森林、草原、湿地资源实物量清查和经济价值核算，协助建立资产清查成果数据库。</w:t>
            </w:r>
          </w:p>
          <w:p>
            <w:pPr>
              <w:pStyle w:val="15"/>
              <w:spacing w:line="360" w:lineRule="auto"/>
              <w:rPr>
                <w:rFonts w:hint="eastAsia" w:ascii="宋体" w:hAnsi="宋体" w:cs="宋体"/>
                <w:b/>
                <w:bCs w:val="0"/>
                <w:color w:val="auto"/>
                <w:sz w:val="21"/>
                <w:highlight w:val="none"/>
                <w:lang w:val="en-US" w:eastAsia="zh-CN"/>
              </w:rPr>
            </w:pPr>
            <w:r>
              <w:rPr>
                <w:rFonts w:hint="eastAsia" w:ascii="宋体" w:hAnsi="宋体" w:cs="宋体"/>
                <w:b/>
                <w:bCs w:val="0"/>
                <w:color w:val="auto"/>
                <w:sz w:val="21"/>
                <w:highlight w:val="none"/>
                <w:lang w:eastAsia="zh-CN"/>
              </w:rPr>
              <w:t>（</w:t>
            </w:r>
            <w:r>
              <w:rPr>
                <w:rFonts w:hint="eastAsia" w:ascii="宋体" w:hAnsi="宋体" w:cs="宋体"/>
                <w:b/>
                <w:bCs w:val="0"/>
                <w:color w:val="auto"/>
                <w:sz w:val="21"/>
                <w:highlight w:val="none"/>
                <w:lang w:val="en-US" w:eastAsia="zh-CN"/>
              </w:rPr>
              <w:t>三</w:t>
            </w:r>
            <w:r>
              <w:rPr>
                <w:rFonts w:hint="eastAsia" w:ascii="宋体" w:hAnsi="宋体" w:cs="宋体"/>
                <w:b/>
                <w:bCs w:val="0"/>
                <w:color w:val="auto"/>
                <w:sz w:val="21"/>
                <w:highlight w:val="none"/>
                <w:lang w:eastAsia="zh-CN"/>
              </w:rPr>
              <w:t>）</w:t>
            </w:r>
            <w:r>
              <w:rPr>
                <w:rFonts w:hint="eastAsia" w:ascii="宋体" w:hAnsi="宋体" w:cs="宋体"/>
                <w:b/>
                <w:bCs w:val="0"/>
                <w:color w:val="auto"/>
                <w:sz w:val="21"/>
                <w:highlight w:val="none"/>
                <w:lang w:val="en-US" w:eastAsia="zh-CN"/>
              </w:rPr>
              <w:t>协助完成</w:t>
            </w:r>
            <w:r>
              <w:rPr>
                <w:rFonts w:hint="eastAsia" w:ascii="宋体" w:hAnsi="宋体" w:eastAsia="宋体" w:cs="宋体"/>
                <w:b/>
                <w:bCs w:val="0"/>
                <w:color w:val="auto"/>
                <w:sz w:val="21"/>
                <w:highlight w:val="none"/>
              </w:rPr>
              <w:t>全区全民所有自然资源资产</w:t>
            </w:r>
            <w:r>
              <w:rPr>
                <w:rFonts w:hint="eastAsia" w:ascii="宋体" w:hAnsi="宋体" w:cs="宋体"/>
                <w:b/>
                <w:bCs w:val="0"/>
                <w:color w:val="auto"/>
                <w:sz w:val="21"/>
                <w:highlight w:val="none"/>
                <w:lang w:val="en-US" w:eastAsia="zh-CN"/>
              </w:rPr>
              <w:t>使用权状况清查。</w:t>
            </w:r>
          </w:p>
          <w:p>
            <w:pPr>
              <w:pStyle w:val="15"/>
              <w:spacing w:line="360" w:lineRule="auto"/>
              <w:ind w:firstLine="420" w:firstLineChars="200"/>
              <w:rPr>
                <w:rFonts w:hint="eastAsia" w:ascii="宋体" w:hAnsi="宋体" w:cs="宋体"/>
                <w:b w:val="0"/>
                <w:bCs/>
                <w:color w:val="auto"/>
                <w:sz w:val="21"/>
                <w:highlight w:val="none"/>
                <w:lang w:val="en-US" w:eastAsia="zh-CN"/>
              </w:rPr>
            </w:pPr>
            <w:r>
              <w:rPr>
                <w:rFonts w:hint="eastAsia" w:ascii="宋体" w:hAnsi="宋体" w:cs="宋体"/>
                <w:b w:val="0"/>
                <w:bCs/>
                <w:color w:val="auto"/>
                <w:sz w:val="21"/>
                <w:highlight w:val="none"/>
                <w:lang w:val="en-US" w:eastAsia="zh-CN"/>
              </w:rPr>
              <w:t>根据不动产确权登记、地籍调查、矿业权统一配号系统数据等成果，并结合土地市场动态监测监管数据等，配合查清宗地、矿业权的使用权主体及其类型、来源、年期、权利变化、合同价款等信息，协助形成土地、矿产等资源使用权状况清查成果。</w:t>
            </w:r>
          </w:p>
          <w:p>
            <w:pPr>
              <w:pStyle w:val="15"/>
              <w:spacing w:line="360" w:lineRule="auto"/>
              <w:rPr>
                <w:rFonts w:hint="eastAsia" w:ascii="宋体" w:hAnsi="宋体" w:eastAsia="宋体" w:cs="宋体"/>
                <w:b/>
                <w:bCs w:val="0"/>
                <w:color w:val="auto"/>
                <w:sz w:val="21"/>
                <w:highlight w:val="none"/>
              </w:rPr>
            </w:pPr>
            <w:r>
              <w:rPr>
                <w:rFonts w:hint="eastAsia" w:ascii="宋体" w:hAnsi="宋体" w:eastAsia="宋体" w:cs="宋体"/>
                <w:b/>
                <w:bCs w:val="0"/>
                <w:color w:val="auto"/>
                <w:sz w:val="21"/>
                <w:highlight w:val="none"/>
              </w:rPr>
              <w:t>（</w:t>
            </w:r>
            <w:r>
              <w:rPr>
                <w:rFonts w:hint="eastAsia" w:hAnsi="宋体" w:cs="宋体"/>
                <w:b/>
                <w:bCs w:val="0"/>
                <w:color w:val="auto"/>
                <w:sz w:val="21"/>
                <w:highlight w:val="none"/>
                <w:lang w:val="en-US" w:eastAsia="zh-CN"/>
              </w:rPr>
              <w:t>四</w:t>
            </w:r>
            <w:r>
              <w:rPr>
                <w:rFonts w:hint="eastAsia" w:ascii="宋体" w:hAnsi="宋体" w:eastAsia="宋体" w:cs="宋体"/>
                <w:b/>
                <w:bCs w:val="0"/>
                <w:color w:val="auto"/>
                <w:sz w:val="21"/>
                <w:highlight w:val="none"/>
              </w:rPr>
              <w:t>）</w:t>
            </w:r>
            <w:r>
              <w:rPr>
                <w:rFonts w:hint="eastAsia" w:hAnsi="宋体" w:cs="宋体"/>
                <w:b/>
                <w:bCs w:val="0"/>
                <w:color w:val="auto"/>
                <w:sz w:val="21"/>
                <w:highlight w:val="none"/>
                <w:lang w:val="en-US" w:eastAsia="zh-CN"/>
              </w:rPr>
              <w:t>配合</w:t>
            </w:r>
            <w:r>
              <w:rPr>
                <w:rFonts w:hint="eastAsia" w:ascii="宋体" w:hAnsi="宋体" w:eastAsia="宋体" w:cs="宋体"/>
                <w:b/>
                <w:bCs w:val="0"/>
                <w:color w:val="auto"/>
                <w:sz w:val="21"/>
                <w:highlight w:val="none"/>
              </w:rPr>
              <w:t>开展国有自然资源“三资”清查。</w:t>
            </w:r>
          </w:p>
          <w:p>
            <w:pPr>
              <w:pStyle w:val="15"/>
              <w:spacing w:line="360" w:lineRule="auto"/>
              <w:ind w:firstLine="420" w:firstLineChars="200"/>
              <w:rPr>
                <w:rFonts w:hint="eastAsia" w:ascii="宋体" w:hAnsi="宋体" w:eastAsia="宋体" w:cs="宋体"/>
                <w:b/>
                <w:color w:val="auto"/>
                <w:sz w:val="21"/>
                <w:highlight w:val="none"/>
              </w:rPr>
            </w:pPr>
            <w:r>
              <w:rPr>
                <w:rFonts w:hint="eastAsia" w:ascii="宋体" w:hAnsi="宋体" w:eastAsia="宋体" w:cs="宋体"/>
                <w:b w:val="0"/>
                <w:bCs/>
                <w:color w:val="auto"/>
                <w:sz w:val="21"/>
                <w:highlight w:val="none"/>
              </w:rPr>
              <w:t>配合推进土地、矿产、林业、海洋、水利、能源等领域的可利用资源清查，对自治区本级收储土地资产进行分类，筛选可盘活利用土地资源，</w:t>
            </w:r>
            <w:r>
              <w:rPr>
                <w:rFonts w:hint="eastAsia" w:hAnsi="宋体" w:cs="宋体"/>
                <w:b w:val="0"/>
                <w:bCs/>
                <w:color w:val="auto"/>
                <w:sz w:val="21"/>
                <w:highlight w:val="none"/>
                <w:lang w:eastAsia="zh-CN"/>
              </w:rPr>
              <w:t>协助</w:t>
            </w:r>
            <w:r>
              <w:rPr>
                <w:rFonts w:hint="eastAsia" w:ascii="宋体" w:hAnsi="宋体" w:eastAsia="宋体" w:cs="宋体"/>
                <w:b w:val="0"/>
                <w:bCs/>
                <w:color w:val="auto"/>
                <w:sz w:val="21"/>
                <w:highlight w:val="none"/>
              </w:rPr>
              <w:t>建立自治区本级收储土地资产盘活台账</w:t>
            </w:r>
            <w:r>
              <w:rPr>
                <w:rFonts w:hint="eastAsia" w:hAnsi="宋体" w:cs="宋体"/>
                <w:b w:val="0"/>
                <w:bCs/>
                <w:color w:val="auto"/>
                <w:sz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720" w:type="dxa"/>
            <w:gridSpan w:val="5"/>
            <w:noWrap w:val="0"/>
            <w:vAlign w:val="center"/>
          </w:tcPr>
          <w:p>
            <w:pPr>
              <w:pStyle w:val="15"/>
              <w:rPr>
                <w:rFonts w:hint="eastAsia" w:ascii="宋体" w:hAnsi="宋体" w:eastAsia="宋体" w:cs="宋体"/>
                <w:color w:val="auto"/>
                <w:sz w:val="21"/>
                <w:highlight w:val="none"/>
              </w:rPr>
            </w:pPr>
            <w:r>
              <w:rPr>
                <w:rFonts w:hint="eastAsia" w:ascii="宋体" w:hAnsi="宋体" w:eastAsia="宋体" w:cs="宋体"/>
                <w:b/>
                <w:bCs/>
                <w:color w:val="auto"/>
                <w:sz w:val="21"/>
                <w:highlight w:val="none"/>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697" w:type="dxa"/>
            <w:gridSpan w:val="2"/>
            <w:noWrap w:val="0"/>
            <w:vAlign w:val="center"/>
          </w:tcPr>
          <w:p>
            <w:pPr>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合同签订时间</w:t>
            </w:r>
          </w:p>
        </w:tc>
        <w:tc>
          <w:tcPr>
            <w:tcW w:w="8023" w:type="dxa"/>
            <w:gridSpan w:val="3"/>
            <w:noWrap w:val="0"/>
            <w:vAlign w:val="center"/>
          </w:tcPr>
          <w:p>
            <w:pPr>
              <w:pStyle w:val="15"/>
              <w:rPr>
                <w:rFonts w:hint="eastAsia" w:ascii="宋体" w:hAnsi="宋体" w:eastAsia="宋体" w:cs="宋体"/>
                <w:color w:val="auto"/>
                <w:sz w:val="21"/>
                <w:highlight w:val="none"/>
              </w:rPr>
            </w:pPr>
            <w:r>
              <w:rPr>
                <w:rFonts w:hint="eastAsia" w:ascii="宋体" w:hAnsi="宋体" w:eastAsia="宋体" w:cs="宋体"/>
                <w:color w:val="auto"/>
                <w:sz w:val="21"/>
                <w:highlight w:val="none"/>
              </w:rPr>
              <w:t>自</w:t>
            </w:r>
            <w:r>
              <w:rPr>
                <w:rFonts w:hint="eastAsia" w:ascii="宋体" w:hAnsi="宋体" w:eastAsia="宋体" w:cs="宋体"/>
                <w:color w:val="auto"/>
                <w:sz w:val="21"/>
                <w:highlight w:val="none"/>
                <w:lang w:eastAsia="zh-CN"/>
              </w:rPr>
              <w:t>成交</w:t>
            </w:r>
            <w:r>
              <w:rPr>
                <w:rFonts w:hint="eastAsia" w:ascii="宋体" w:hAnsi="宋体" w:eastAsia="宋体" w:cs="宋体"/>
                <w:color w:val="auto"/>
                <w:sz w:val="21"/>
                <w:highlight w:val="none"/>
              </w:rPr>
              <w:t>通知书发出之日起 25日内。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697" w:type="dxa"/>
            <w:gridSpan w:val="2"/>
            <w:noWrap w:val="0"/>
            <w:vAlign w:val="center"/>
          </w:tcPr>
          <w:p>
            <w:pPr>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投标报价要求</w:t>
            </w:r>
          </w:p>
        </w:tc>
        <w:tc>
          <w:tcPr>
            <w:tcW w:w="8023" w:type="dxa"/>
            <w:gridSpan w:val="3"/>
            <w:noWrap w:val="0"/>
            <w:vAlign w:val="center"/>
          </w:tcPr>
          <w:p>
            <w:pPr>
              <w:pStyle w:val="15"/>
              <w:rPr>
                <w:rFonts w:hint="eastAsia" w:ascii="宋体" w:hAnsi="宋体" w:eastAsia="宋体" w:cs="宋体"/>
                <w:color w:val="auto"/>
                <w:sz w:val="21"/>
                <w:highlight w:val="none"/>
              </w:rPr>
            </w:pPr>
            <w:r>
              <w:rPr>
                <w:rFonts w:hint="eastAsia" w:ascii="宋体" w:hAnsi="宋体" w:eastAsia="宋体" w:cs="宋体"/>
                <w:color w:val="auto"/>
                <w:sz w:val="21"/>
                <w:highlight w:val="none"/>
              </w:rPr>
              <w:t>本项目实行总报价包干，包括完成本项目技术服务和成果要求所产生的全部费用，采购人不另行支付合同外的任何费用。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697" w:type="dxa"/>
            <w:gridSpan w:val="2"/>
            <w:noWrap w:val="0"/>
            <w:vAlign w:val="center"/>
          </w:tcPr>
          <w:p>
            <w:pPr>
              <w:snapToGrid w:val="0"/>
              <w:spacing w:line="4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服务期限</w:t>
            </w:r>
          </w:p>
        </w:tc>
        <w:tc>
          <w:tcPr>
            <w:tcW w:w="8023" w:type="dxa"/>
            <w:gridSpan w:val="3"/>
            <w:noWrap w:val="0"/>
            <w:vAlign w:val="center"/>
          </w:tcPr>
          <w:p>
            <w:pPr>
              <w:pStyle w:val="15"/>
              <w:rPr>
                <w:rFonts w:hint="eastAsia" w:ascii="宋体" w:hAnsi="宋体" w:eastAsia="宋体" w:cs="宋体"/>
                <w:color w:val="auto"/>
                <w:sz w:val="21"/>
                <w:highlight w:val="none"/>
              </w:rPr>
            </w:pPr>
            <w:r>
              <w:rPr>
                <w:rFonts w:hint="eastAsia" w:ascii="宋体" w:hAnsi="宋体" w:eastAsia="宋体" w:cs="宋体"/>
                <w:color w:val="auto"/>
                <w:sz w:val="21"/>
                <w:highlight w:val="none"/>
              </w:rPr>
              <w:t>202</w:t>
            </w:r>
            <w:r>
              <w:rPr>
                <w:rFonts w:hint="eastAsia" w:ascii="宋体" w:hAnsi="宋体" w:eastAsia="宋体" w:cs="宋体"/>
                <w:color w:val="auto"/>
                <w:sz w:val="21"/>
                <w:highlight w:val="none"/>
                <w:lang w:val="en-US" w:eastAsia="zh-CN"/>
              </w:rPr>
              <w:t>6</w:t>
            </w:r>
            <w:r>
              <w:rPr>
                <w:rFonts w:hint="eastAsia" w:ascii="宋体" w:hAnsi="宋体" w:eastAsia="宋体" w:cs="宋体"/>
                <w:color w:val="auto"/>
                <w:sz w:val="21"/>
                <w:highlight w:val="none"/>
              </w:rPr>
              <w:t>年12月31日前完成成果交付并通过验收。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697" w:type="dxa"/>
            <w:gridSpan w:val="2"/>
            <w:noWrap w:val="0"/>
            <w:vAlign w:val="center"/>
          </w:tcPr>
          <w:p>
            <w:pPr>
              <w:snapToGrid w:val="0"/>
              <w:spacing w:line="4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服务地点</w:t>
            </w:r>
          </w:p>
        </w:tc>
        <w:tc>
          <w:tcPr>
            <w:tcW w:w="8023" w:type="dxa"/>
            <w:gridSpan w:val="3"/>
            <w:noWrap w:val="0"/>
            <w:vAlign w:val="center"/>
          </w:tcPr>
          <w:p>
            <w:pPr>
              <w:pStyle w:val="15"/>
              <w:rPr>
                <w:rFonts w:hint="eastAsia" w:ascii="宋体" w:hAnsi="宋体" w:eastAsia="宋体" w:cs="宋体"/>
                <w:color w:val="auto"/>
                <w:sz w:val="21"/>
                <w:highlight w:val="none"/>
              </w:rPr>
            </w:pPr>
            <w:r>
              <w:rPr>
                <w:rFonts w:hint="eastAsia" w:ascii="宋体" w:hAnsi="宋体" w:eastAsia="宋体" w:cs="宋体"/>
                <w:color w:val="auto"/>
                <w:sz w:val="21"/>
                <w:highlight w:val="none"/>
              </w:rPr>
              <w:t>广西区内采购人指定地点。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697" w:type="dxa"/>
            <w:gridSpan w:val="2"/>
            <w:noWrap w:val="0"/>
            <w:vAlign w:val="center"/>
          </w:tcPr>
          <w:p>
            <w:pPr>
              <w:snapToGrid w:val="0"/>
              <w:spacing w:line="4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付款条件</w:t>
            </w:r>
          </w:p>
        </w:tc>
        <w:tc>
          <w:tcPr>
            <w:tcW w:w="8023" w:type="dxa"/>
            <w:gridSpan w:val="3"/>
            <w:noWrap w:val="0"/>
            <w:vAlign w:val="center"/>
          </w:tcPr>
          <w:p>
            <w:pPr>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采购人和</w:t>
            </w:r>
            <w:bookmarkStart w:id="113" w:name="OLE_LINK24"/>
            <w:r>
              <w:rPr>
                <w:rFonts w:hint="eastAsia" w:ascii="宋体" w:hAnsi="宋体" w:eastAsia="宋体" w:cs="宋体"/>
                <w:color w:val="auto"/>
                <w:szCs w:val="21"/>
                <w:highlight w:val="none"/>
              </w:rPr>
              <w:t>成交供应商</w:t>
            </w:r>
            <w:bookmarkEnd w:id="113"/>
            <w:r>
              <w:rPr>
                <w:rFonts w:hint="eastAsia" w:ascii="宋体" w:hAnsi="宋体" w:eastAsia="宋体" w:cs="宋体"/>
                <w:color w:val="auto"/>
                <w:szCs w:val="21"/>
                <w:highlight w:val="none"/>
              </w:rPr>
              <w:t>双方签署合同后的10个工作日内，采购人向成交供应商支付合同总价款的30%作为预付款；成交供应商按要求完成《广西全民所有自然资源资产清查工作方案》，</w:t>
            </w:r>
            <w:bookmarkStart w:id="114" w:name="OLE_LINK25"/>
            <w:r>
              <w:rPr>
                <w:rFonts w:hint="eastAsia" w:ascii="宋体" w:hAnsi="宋体" w:cs="宋体"/>
                <w:color w:val="auto"/>
                <w:szCs w:val="21"/>
                <w:highlight w:val="none"/>
                <w:lang w:eastAsia="zh-CN"/>
              </w:rPr>
              <w:t>且</w:t>
            </w:r>
            <w:r>
              <w:rPr>
                <w:rFonts w:hint="eastAsia" w:ascii="宋体" w:hAnsi="宋体" w:eastAsia="宋体" w:cs="宋体"/>
                <w:color w:val="auto"/>
                <w:szCs w:val="21"/>
                <w:highlight w:val="none"/>
              </w:rPr>
              <w:t>成交供应商为大中型企业的，应提供分包协议后，</w:t>
            </w:r>
            <w:bookmarkEnd w:id="114"/>
            <w:r>
              <w:rPr>
                <w:rFonts w:hint="eastAsia" w:ascii="宋体" w:hAnsi="宋体" w:eastAsia="宋体" w:cs="宋体"/>
                <w:color w:val="auto"/>
                <w:szCs w:val="21"/>
                <w:highlight w:val="none"/>
              </w:rPr>
              <w:t>并获得采购人确认后的10个工作日内，采购人向成交供应商支付合同总价款的30%；成交供应商按要求完成</w:t>
            </w:r>
            <w:r>
              <w:rPr>
                <w:rFonts w:hint="eastAsia" w:ascii="宋体" w:hAnsi="宋体" w:cs="宋体"/>
                <w:color w:val="auto"/>
                <w:szCs w:val="21"/>
                <w:highlight w:val="none"/>
                <w:lang w:val="en-US" w:eastAsia="zh-CN"/>
              </w:rPr>
              <w:t>广西全民所有自然资源资产清查价格体系更新数据库、</w:t>
            </w:r>
            <w:r>
              <w:rPr>
                <w:rFonts w:hint="eastAsia" w:ascii="宋体" w:hAnsi="宋体" w:eastAsia="宋体" w:cs="宋体"/>
                <w:color w:val="auto"/>
                <w:szCs w:val="21"/>
                <w:highlight w:val="none"/>
              </w:rPr>
              <w:t>《广西全民所有自然资源资产清查成果分析报告》初步成果，并获得采购人确认后的10个工作日内，采购人向成交供应商支付合同总价款的30%；成交供应商按要求完成</w:t>
            </w:r>
            <w:r>
              <w:rPr>
                <w:rFonts w:hint="eastAsia" w:ascii="宋体" w:hAnsi="宋体" w:eastAsia="宋体" w:cs="宋体"/>
                <w:color w:val="auto"/>
                <w:szCs w:val="21"/>
                <w:highlight w:val="none"/>
                <w:lang w:val="en-US" w:eastAsia="zh-CN"/>
              </w:rPr>
              <w:t>广西全民所有自然资源资产</w:t>
            </w:r>
            <w:r>
              <w:rPr>
                <w:rFonts w:hint="eastAsia" w:ascii="宋体" w:hAnsi="宋体" w:cs="宋体"/>
                <w:color w:val="auto"/>
                <w:szCs w:val="21"/>
                <w:highlight w:val="none"/>
                <w:lang w:val="en-US" w:eastAsia="zh-CN"/>
              </w:rPr>
              <w:t>实物量</w:t>
            </w:r>
            <w:r>
              <w:rPr>
                <w:rFonts w:hint="eastAsia" w:ascii="宋体" w:hAnsi="宋体" w:eastAsia="宋体" w:cs="宋体"/>
                <w:color w:val="auto"/>
                <w:szCs w:val="21"/>
                <w:highlight w:val="none"/>
                <w:lang w:val="en-US" w:eastAsia="zh-CN"/>
              </w:rPr>
              <w:t>清查</w:t>
            </w:r>
            <w:r>
              <w:rPr>
                <w:rFonts w:hint="eastAsia" w:ascii="宋体" w:hAnsi="宋体" w:cs="宋体"/>
                <w:color w:val="auto"/>
                <w:szCs w:val="21"/>
                <w:highlight w:val="none"/>
                <w:lang w:val="en-US" w:eastAsia="zh-CN"/>
              </w:rPr>
              <w:t>及经济价值核算</w:t>
            </w:r>
            <w:r>
              <w:rPr>
                <w:rFonts w:hint="eastAsia" w:ascii="宋体" w:hAnsi="宋体" w:eastAsia="宋体" w:cs="宋体"/>
                <w:color w:val="auto"/>
                <w:szCs w:val="21"/>
                <w:highlight w:val="none"/>
                <w:lang w:val="en-US" w:eastAsia="zh-CN"/>
              </w:rPr>
              <w:t>成果数据库</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广西全民所有自然资源资产</w:t>
            </w:r>
            <w:r>
              <w:rPr>
                <w:rFonts w:hint="eastAsia" w:ascii="宋体" w:hAnsi="宋体" w:cs="宋体"/>
                <w:color w:val="auto"/>
                <w:szCs w:val="21"/>
                <w:highlight w:val="none"/>
                <w:lang w:val="en-US" w:eastAsia="zh-CN"/>
              </w:rPr>
              <w:t>使用权状况清查</w:t>
            </w:r>
            <w:r>
              <w:rPr>
                <w:rFonts w:hint="eastAsia" w:ascii="宋体" w:hAnsi="宋体" w:eastAsia="宋体" w:cs="宋体"/>
                <w:color w:val="auto"/>
                <w:szCs w:val="21"/>
                <w:highlight w:val="none"/>
                <w:lang w:val="en-US" w:eastAsia="zh-CN"/>
              </w:rPr>
              <w:t>成果数据库</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《广西全民所有自然资源资产清查成果分析报告》</w:t>
            </w:r>
            <w:r>
              <w:rPr>
                <w:rFonts w:hint="eastAsia" w:ascii="宋体" w:hAnsi="宋体" w:cs="宋体"/>
                <w:color w:val="auto"/>
                <w:szCs w:val="21"/>
                <w:highlight w:val="none"/>
                <w:lang w:eastAsia="zh-CN"/>
              </w:rPr>
              <w:t>《</w:t>
            </w:r>
            <w:r>
              <w:rPr>
                <w:rFonts w:hint="eastAsia" w:hAnsi="宋体" w:cs="宋体"/>
                <w:b w:val="0"/>
                <w:bCs/>
                <w:color w:val="auto"/>
                <w:sz w:val="21"/>
                <w:highlight w:val="none"/>
                <w:lang w:val="en-US" w:eastAsia="zh-CN"/>
              </w:rPr>
              <w:t>2026年度广西国有自然资源清查盘活工作总结报告</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最终成果，提交采购人验收合格并移交成果数据至厅信息中心后10个工作日内，采购人向成交供应商支付合同总价款的10%。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697" w:type="dxa"/>
            <w:gridSpan w:val="2"/>
            <w:noWrap w:val="0"/>
            <w:vAlign w:val="center"/>
          </w:tcPr>
          <w:p>
            <w:pPr>
              <w:snapToGrid w:val="0"/>
              <w:spacing w:line="400" w:lineRule="exact"/>
              <w:ind w:firstLine="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预期成果要求</w:t>
            </w:r>
          </w:p>
        </w:tc>
        <w:tc>
          <w:tcPr>
            <w:tcW w:w="8023" w:type="dxa"/>
            <w:gridSpan w:val="3"/>
            <w:noWrap w:val="0"/>
            <w:vAlign w:val="center"/>
          </w:tcPr>
          <w:p>
            <w:pPr>
              <w:snapToGrid w:val="0"/>
              <w:spacing w:line="400" w:lineRule="exact"/>
              <w:rPr>
                <w:rFonts w:hint="default" w:ascii="宋体" w:hAnsi="宋体" w:eastAsia="宋体" w:cs="宋体"/>
                <w:color w:val="auto"/>
                <w:szCs w:val="21"/>
                <w:highlight w:val="none"/>
                <w:lang w:val="en-US"/>
              </w:rPr>
            </w:pPr>
            <w:r>
              <w:rPr>
                <w:rFonts w:hint="eastAsia" w:ascii="宋体" w:hAnsi="宋体" w:eastAsia="宋体" w:cs="宋体"/>
                <w:color w:val="auto"/>
                <w:szCs w:val="21"/>
                <w:highlight w:val="none"/>
                <w:lang w:val="en-US" w:eastAsia="zh-CN"/>
              </w:rPr>
              <w:t>①广西全民所有自然资源资产清查价格体系更新数据库</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②广西全民所有自然资源资产清查</w:t>
            </w:r>
            <w:r>
              <w:rPr>
                <w:rFonts w:hint="eastAsia" w:ascii="宋体" w:hAnsi="宋体" w:cs="宋体"/>
                <w:color w:val="auto"/>
                <w:szCs w:val="21"/>
                <w:highlight w:val="none"/>
                <w:lang w:val="en-US" w:eastAsia="zh-CN"/>
              </w:rPr>
              <w:t>成果分析报告；</w:t>
            </w:r>
            <w:r>
              <w:rPr>
                <w:rFonts w:hint="eastAsia" w:ascii="宋体" w:hAnsi="宋体" w:eastAsia="宋体" w:cs="宋体"/>
                <w:color w:val="auto"/>
                <w:szCs w:val="21"/>
                <w:highlight w:val="none"/>
                <w:lang w:val="en-US" w:eastAsia="zh-CN"/>
              </w:rPr>
              <w:t>③广西全民所有自然资源资产</w:t>
            </w:r>
            <w:r>
              <w:rPr>
                <w:rFonts w:hint="eastAsia" w:ascii="宋体" w:hAnsi="宋体" w:cs="宋体"/>
                <w:color w:val="auto"/>
                <w:szCs w:val="21"/>
                <w:highlight w:val="none"/>
                <w:lang w:val="en-US" w:eastAsia="zh-CN"/>
              </w:rPr>
              <w:t>实物量</w:t>
            </w:r>
            <w:r>
              <w:rPr>
                <w:rFonts w:hint="eastAsia" w:ascii="宋体" w:hAnsi="宋体" w:eastAsia="宋体" w:cs="宋体"/>
                <w:color w:val="auto"/>
                <w:szCs w:val="21"/>
                <w:highlight w:val="none"/>
                <w:lang w:val="en-US" w:eastAsia="zh-CN"/>
              </w:rPr>
              <w:t>清查</w:t>
            </w:r>
            <w:r>
              <w:rPr>
                <w:rFonts w:hint="eastAsia" w:ascii="宋体" w:hAnsi="宋体" w:cs="宋体"/>
                <w:color w:val="auto"/>
                <w:szCs w:val="21"/>
                <w:highlight w:val="none"/>
                <w:lang w:val="en-US" w:eastAsia="zh-CN"/>
              </w:rPr>
              <w:t>及经济价值核算</w:t>
            </w:r>
            <w:r>
              <w:rPr>
                <w:rFonts w:hint="eastAsia" w:ascii="宋体" w:hAnsi="宋体" w:eastAsia="宋体" w:cs="宋体"/>
                <w:color w:val="auto"/>
                <w:szCs w:val="21"/>
                <w:highlight w:val="none"/>
                <w:lang w:val="en-US" w:eastAsia="zh-CN"/>
              </w:rPr>
              <w:t>成果数据库；④广西全民所有自然资源资产</w:t>
            </w:r>
            <w:r>
              <w:rPr>
                <w:rFonts w:hint="eastAsia" w:ascii="宋体" w:hAnsi="宋体" w:cs="宋体"/>
                <w:color w:val="auto"/>
                <w:szCs w:val="21"/>
                <w:highlight w:val="none"/>
                <w:lang w:val="en-US" w:eastAsia="zh-CN"/>
              </w:rPr>
              <w:t>使用权状况清查</w:t>
            </w:r>
            <w:r>
              <w:rPr>
                <w:rFonts w:hint="eastAsia" w:ascii="宋体" w:hAnsi="宋体" w:eastAsia="宋体" w:cs="宋体"/>
                <w:color w:val="auto"/>
                <w:szCs w:val="21"/>
                <w:highlight w:val="none"/>
                <w:lang w:val="en-US" w:eastAsia="zh-CN"/>
              </w:rPr>
              <w:t>成果数据库；⑤</w:t>
            </w:r>
            <w:r>
              <w:rPr>
                <w:rFonts w:hint="eastAsia" w:ascii="宋体" w:hAnsi="宋体" w:cs="宋体"/>
                <w:b w:val="0"/>
                <w:bCs w:val="0"/>
                <w:color w:val="auto"/>
                <w:sz w:val="21"/>
                <w:szCs w:val="21"/>
                <w:highlight w:val="none"/>
                <w:lang w:val="en-US" w:eastAsia="zh-CN"/>
              </w:rPr>
              <w:t>2026年度广西国有自然资源清查盘活工作总结报告。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697" w:type="dxa"/>
            <w:gridSpan w:val="2"/>
            <w:noWrap w:val="0"/>
            <w:vAlign w:val="center"/>
          </w:tcPr>
          <w:p>
            <w:pPr>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售后服务要求</w:t>
            </w:r>
          </w:p>
        </w:tc>
        <w:tc>
          <w:tcPr>
            <w:tcW w:w="8023" w:type="dxa"/>
            <w:gridSpan w:val="3"/>
            <w:noWrap w:val="0"/>
            <w:vAlign w:val="center"/>
          </w:tcPr>
          <w:p>
            <w:pPr>
              <w:pStyle w:val="15"/>
              <w:rPr>
                <w:rFonts w:hint="eastAsia" w:ascii="宋体" w:hAnsi="宋体" w:eastAsia="宋体" w:cs="宋体"/>
                <w:color w:val="auto"/>
                <w:sz w:val="21"/>
                <w:highlight w:val="none"/>
              </w:rPr>
            </w:pPr>
            <w:r>
              <w:rPr>
                <w:rFonts w:hint="eastAsia" w:ascii="宋体" w:hAnsi="宋体" w:eastAsia="宋体" w:cs="宋体"/>
                <w:color w:val="auto"/>
                <w:sz w:val="21"/>
                <w:szCs w:val="21"/>
                <w:highlight w:val="none"/>
              </w:rPr>
              <w:t>接到采购人处理问题通知后8小时内到达采购人指定现场，24小时内提出解决方案，3个工作日内完成问题处理。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697" w:type="dxa"/>
            <w:gridSpan w:val="2"/>
            <w:noWrap w:val="0"/>
            <w:vAlign w:val="center"/>
          </w:tcPr>
          <w:p>
            <w:pPr>
              <w:spacing w:line="400" w:lineRule="exact"/>
              <w:ind w:left="-50" w:leftChars="-24"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验收要求</w:t>
            </w:r>
          </w:p>
        </w:tc>
        <w:tc>
          <w:tcPr>
            <w:tcW w:w="8023" w:type="dxa"/>
            <w:gridSpan w:val="3"/>
            <w:noWrap w:val="0"/>
            <w:vAlign w:val="center"/>
          </w:tcPr>
          <w:p>
            <w:pPr>
              <w:widowControl/>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根据国家现行相关规范标准的规定和采购需求按时完成工作内容。</w:t>
            </w:r>
          </w:p>
          <w:p>
            <w:pPr>
              <w:widowControl/>
              <w:spacing w:line="400" w:lineRule="exact"/>
              <w:jc w:val="left"/>
              <w:rPr>
                <w:rFonts w:hint="eastAsia" w:ascii="宋体" w:hAnsi="宋体" w:eastAsia="宋体" w:cs="宋体"/>
                <w:color w:val="auto"/>
                <w:sz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验收方式：由采购人组织，按相关验收依据和标准及合同条款进行。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697" w:type="dxa"/>
            <w:gridSpan w:val="2"/>
            <w:noWrap w:val="0"/>
            <w:vAlign w:val="center"/>
          </w:tcPr>
          <w:p>
            <w:pPr>
              <w:spacing w:line="400" w:lineRule="exact"/>
              <w:ind w:left="-50" w:leftChars="-24" w:firstLine="420"/>
              <w:rPr>
                <w:rFonts w:hint="eastAsia" w:ascii="宋体" w:hAnsi="宋体" w:eastAsia="宋体" w:cs="宋体"/>
                <w:color w:val="auto"/>
                <w:szCs w:val="21"/>
                <w:highlight w:val="none"/>
              </w:rPr>
            </w:pPr>
            <w:r>
              <w:rPr>
                <w:rFonts w:hint="eastAsia" w:ascii="宋体" w:hAnsi="宋体" w:eastAsia="宋体" w:cs="宋体"/>
                <w:color w:val="auto"/>
                <w:highlight w:val="none"/>
              </w:rPr>
              <w:t>知识产权</w:t>
            </w:r>
          </w:p>
        </w:tc>
        <w:tc>
          <w:tcPr>
            <w:tcW w:w="8023" w:type="dxa"/>
            <w:gridSpan w:val="3"/>
            <w:noWrap w:val="0"/>
            <w:vAlign w:val="center"/>
          </w:tcPr>
          <w:p>
            <w:pPr>
              <w:widowControl/>
              <w:spacing w:line="40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highlight w:val="none"/>
              </w:rPr>
              <w:t>采购人在中华人民共和国境内使用成交供应商提供的产品及服务时免受第三方提出的侵犯其专利权或其它知识产权的起诉。如果第三方提出侵权指控，成交供应商应承担由此而引起的一切法律责任和费用。</w:t>
            </w:r>
          </w:p>
        </w:tc>
      </w:tr>
    </w:tbl>
    <w:p>
      <w:pPr>
        <w:widowControl/>
        <w:jc w:val="left"/>
        <w:rPr>
          <w:rFonts w:hint="eastAsia" w:ascii="宋体" w:hAnsi="宋体" w:eastAsia="宋体" w:cs="宋体"/>
          <w:b/>
          <w:bCs/>
          <w:color w:val="auto"/>
          <w:sz w:val="20"/>
          <w:szCs w:val="20"/>
          <w:highlight w:val="none"/>
        </w:rPr>
      </w:pPr>
    </w:p>
    <w:p>
      <w:pPr>
        <w:widowControl/>
        <w:jc w:val="left"/>
        <w:rPr>
          <w:rFonts w:hint="eastAsia" w:ascii="宋体" w:hAnsi="宋体" w:eastAsia="宋体" w:cs="宋体"/>
          <w:b/>
          <w:bCs/>
          <w:color w:val="auto"/>
          <w:sz w:val="20"/>
          <w:szCs w:val="20"/>
          <w:highlight w:val="none"/>
        </w:rPr>
      </w:pPr>
    </w:p>
    <w:p>
      <w:pPr>
        <w:widowControl/>
        <w:jc w:val="left"/>
        <w:outlineLvl w:val="0"/>
        <w:rPr>
          <w:rFonts w:hint="eastAsia" w:ascii="宋体" w:hAnsi="宋体" w:eastAsia="宋体" w:cs="宋体"/>
          <w:b/>
          <w:bCs w:val="0"/>
          <w:color w:val="auto"/>
          <w:szCs w:val="21"/>
          <w:highlight w:val="none"/>
          <w:u w:val="single"/>
        </w:rPr>
      </w:pPr>
      <w:r>
        <w:rPr>
          <w:rFonts w:hint="eastAsia" w:ascii="宋体" w:hAnsi="宋体" w:cs="宋体"/>
          <w:b/>
          <w:bCs w:val="0"/>
          <w:color w:val="auto"/>
          <w:szCs w:val="21"/>
          <w:highlight w:val="none"/>
          <w:u w:val="single"/>
          <w:lang w:val="en-US" w:eastAsia="zh-CN"/>
        </w:rPr>
        <w:t>2</w:t>
      </w:r>
      <w:r>
        <w:rPr>
          <w:rFonts w:hint="eastAsia" w:ascii="宋体" w:hAnsi="宋体" w:eastAsia="宋体" w:cs="宋体"/>
          <w:bCs/>
          <w:color w:val="auto"/>
          <w:szCs w:val="21"/>
          <w:highlight w:val="none"/>
          <w:u w:val="single"/>
        </w:rPr>
        <w:t xml:space="preserve"> </w:t>
      </w:r>
      <w:r>
        <w:rPr>
          <w:rFonts w:hint="eastAsia" w:ascii="宋体" w:hAnsi="宋体" w:eastAsia="宋体" w:cs="宋体"/>
          <w:b/>
          <w:color w:val="auto"/>
          <w:szCs w:val="21"/>
          <w:highlight w:val="none"/>
        </w:rPr>
        <w:t>分标      采购预算：</w:t>
      </w:r>
      <w:r>
        <w:rPr>
          <w:rFonts w:hint="eastAsia" w:ascii="宋体" w:hAnsi="宋体" w:eastAsia="宋体" w:cs="宋体"/>
          <w:b/>
          <w:bCs w:val="0"/>
          <w:color w:val="auto"/>
          <w:szCs w:val="21"/>
          <w:highlight w:val="none"/>
          <w:u w:val="single"/>
          <w:lang w:val="en-US" w:eastAsia="zh-CN"/>
        </w:rPr>
        <w:t>41.76万元</w:t>
      </w:r>
      <w:r>
        <w:rPr>
          <w:rFonts w:hint="eastAsia" w:ascii="宋体" w:hAnsi="宋体" w:eastAsia="宋体" w:cs="宋体"/>
          <w:b/>
          <w:bCs w:val="0"/>
          <w:color w:val="auto"/>
          <w:szCs w:val="21"/>
          <w:highlight w:val="none"/>
          <w:u w:val="single"/>
        </w:rPr>
        <w:t xml:space="preserve"> </w:t>
      </w:r>
    </w:p>
    <w:tbl>
      <w:tblPr>
        <w:tblStyle w:val="23"/>
        <w:tblW w:w="972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9"/>
        <w:gridCol w:w="988"/>
        <w:gridCol w:w="146"/>
        <w:gridCol w:w="711"/>
        <w:gridCol w:w="71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9720" w:type="dxa"/>
            <w:gridSpan w:val="5"/>
            <w:tcBorders>
              <w:top w:val="single" w:color="auto" w:sz="4" w:space="0"/>
              <w:left w:val="single" w:color="auto" w:sz="4" w:space="0"/>
              <w:bottom w:val="single" w:color="auto" w:sz="4" w:space="0"/>
              <w:right w:val="single" w:color="auto" w:sz="4" w:space="0"/>
            </w:tcBorders>
            <w:noWrap w:val="0"/>
            <w:vAlign w:val="center"/>
          </w:tcPr>
          <w:p>
            <w:pPr>
              <w:pStyle w:val="32"/>
              <w:spacing w:line="400" w:lineRule="exact"/>
              <w:ind w:lef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一、采购内容及技术需求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pStyle w:val="32"/>
              <w:spacing w:line="400" w:lineRule="exact"/>
              <w:ind w:lef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项号</w:t>
            </w: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pPr>
              <w:pStyle w:val="32"/>
              <w:spacing w:line="400" w:lineRule="exact"/>
              <w:ind w:left="0" w:firstLine="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服务项目</w:t>
            </w:r>
            <w:r>
              <w:rPr>
                <w:rFonts w:hint="eastAsia" w:ascii="宋体" w:hAnsi="宋体" w:cs="宋体"/>
                <w:color w:val="auto"/>
                <w:sz w:val="21"/>
                <w:szCs w:val="21"/>
                <w:highlight w:val="none"/>
                <w:lang w:eastAsia="zh-CN"/>
              </w:rPr>
              <w:t>（标的名称））</w:t>
            </w:r>
          </w:p>
        </w:tc>
        <w:tc>
          <w:tcPr>
            <w:tcW w:w="711" w:type="dxa"/>
            <w:tcBorders>
              <w:top w:val="single" w:color="auto" w:sz="4" w:space="0"/>
              <w:left w:val="single" w:color="auto" w:sz="4" w:space="0"/>
              <w:bottom w:val="single" w:color="auto" w:sz="4" w:space="0"/>
              <w:right w:val="single" w:color="auto" w:sz="4" w:space="0"/>
            </w:tcBorders>
            <w:noWrap w:val="0"/>
            <w:vAlign w:val="center"/>
          </w:tcPr>
          <w:p>
            <w:pPr>
              <w:pStyle w:val="32"/>
              <w:spacing w:line="400" w:lineRule="exact"/>
              <w:ind w:lef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7166" w:type="dxa"/>
            <w:tcBorders>
              <w:top w:val="single" w:color="auto" w:sz="4" w:space="0"/>
              <w:left w:val="single" w:color="auto" w:sz="4" w:space="0"/>
              <w:bottom w:val="single" w:color="auto" w:sz="4" w:space="0"/>
              <w:right w:val="single" w:color="auto" w:sz="4" w:space="0"/>
            </w:tcBorders>
            <w:noWrap w:val="0"/>
            <w:vAlign w:val="center"/>
          </w:tcPr>
          <w:p>
            <w:pPr>
              <w:pStyle w:val="32"/>
              <w:spacing w:line="400" w:lineRule="exact"/>
              <w:ind w:firstLine="42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服务内容及技术参数要求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pStyle w:val="15"/>
              <w:rPr>
                <w:rFonts w:hint="eastAsia" w:ascii="宋体" w:hAnsi="宋体" w:eastAsia="宋体" w:cs="宋体"/>
                <w:color w:val="auto"/>
                <w:sz w:val="21"/>
                <w:highlight w:val="none"/>
              </w:rPr>
            </w:pPr>
            <w:r>
              <w:rPr>
                <w:rFonts w:hint="eastAsia" w:ascii="宋体" w:hAnsi="宋体" w:eastAsia="宋体" w:cs="宋体"/>
                <w:color w:val="auto"/>
                <w:sz w:val="21"/>
                <w:highlight w:val="none"/>
              </w:rPr>
              <w:t>1</w:t>
            </w: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pPr>
              <w:pStyle w:val="15"/>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广西全民所有自然资源资产清查成果质量监督评价</w:t>
            </w:r>
          </w:p>
        </w:tc>
        <w:tc>
          <w:tcPr>
            <w:tcW w:w="711" w:type="dxa"/>
            <w:tcBorders>
              <w:top w:val="single" w:color="auto" w:sz="4" w:space="0"/>
              <w:left w:val="single" w:color="auto" w:sz="4" w:space="0"/>
              <w:bottom w:val="single" w:color="auto" w:sz="4" w:space="0"/>
              <w:right w:val="single" w:color="auto" w:sz="4" w:space="0"/>
            </w:tcBorders>
            <w:noWrap w:val="0"/>
            <w:vAlign w:val="center"/>
          </w:tcPr>
          <w:p>
            <w:pPr>
              <w:pStyle w:val="15"/>
              <w:rPr>
                <w:rFonts w:hint="eastAsia" w:ascii="宋体" w:hAnsi="宋体" w:eastAsia="宋体" w:cs="宋体"/>
                <w:color w:val="auto"/>
                <w:sz w:val="21"/>
                <w:highlight w:val="none"/>
              </w:rPr>
            </w:pPr>
            <w:r>
              <w:rPr>
                <w:rFonts w:hint="eastAsia" w:ascii="宋体" w:hAnsi="宋体" w:eastAsia="宋体" w:cs="宋体"/>
                <w:color w:val="auto"/>
                <w:sz w:val="21"/>
                <w:highlight w:val="none"/>
              </w:rPr>
              <w:t>1项</w:t>
            </w:r>
          </w:p>
        </w:tc>
        <w:tc>
          <w:tcPr>
            <w:tcW w:w="7166" w:type="dxa"/>
            <w:tcBorders>
              <w:top w:val="single" w:color="auto" w:sz="4" w:space="0"/>
              <w:left w:val="single" w:color="auto" w:sz="4" w:space="0"/>
              <w:bottom w:val="single" w:color="auto" w:sz="4" w:space="0"/>
              <w:right w:val="single" w:color="auto" w:sz="4" w:space="0"/>
            </w:tcBorders>
            <w:noWrap w:val="0"/>
            <w:vAlign w:val="center"/>
          </w:tcPr>
          <w:p>
            <w:pPr>
              <w:pStyle w:val="15"/>
              <w:spacing w:line="360" w:lineRule="auto"/>
              <w:ind w:firstLine="420" w:firstLineChars="200"/>
              <w:rPr>
                <w:rFonts w:hint="eastAsia" w:ascii="宋体" w:hAnsi="宋体" w:eastAsia="宋体" w:cs="宋体"/>
                <w:b w:val="0"/>
                <w:bCs/>
                <w:color w:val="auto"/>
                <w:sz w:val="21"/>
                <w:highlight w:val="none"/>
              </w:rPr>
            </w:pPr>
            <w:r>
              <w:rPr>
                <w:rFonts w:hint="eastAsia" w:ascii="宋体" w:hAnsi="宋体" w:eastAsia="宋体" w:cs="宋体"/>
                <w:color w:val="auto"/>
                <w:kern w:val="2"/>
                <w:sz w:val="21"/>
                <w:szCs w:val="24"/>
                <w:highlight w:val="none"/>
                <w:lang w:val="en-US" w:eastAsia="zh-CN" w:bidi="ar-SA"/>
              </w:rPr>
              <w:t>协助完成全区111个县（市、区）的全民所有自然资源资产清查成果过程质量检查及成果质检核查，提升资产清查成果质量。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9720" w:type="dxa"/>
            <w:gridSpan w:val="5"/>
            <w:noWrap w:val="0"/>
            <w:vAlign w:val="center"/>
          </w:tcPr>
          <w:p>
            <w:pPr>
              <w:pStyle w:val="15"/>
              <w:rPr>
                <w:rFonts w:hint="eastAsia" w:ascii="宋体" w:hAnsi="宋体" w:eastAsia="宋体" w:cs="宋体"/>
                <w:color w:val="auto"/>
                <w:sz w:val="21"/>
                <w:highlight w:val="none"/>
              </w:rPr>
            </w:pPr>
            <w:r>
              <w:rPr>
                <w:rFonts w:hint="eastAsia" w:ascii="宋体" w:hAnsi="宋体" w:eastAsia="宋体" w:cs="宋体"/>
                <w:color w:val="auto"/>
                <w:sz w:val="21"/>
                <w:highlight w:val="none"/>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697" w:type="dxa"/>
            <w:gridSpan w:val="2"/>
            <w:noWrap w:val="0"/>
            <w:vAlign w:val="center"/>
          </w:tcPr>
          <w:p>
            <w:pPr>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合同签订时间</w:t>
            </w:r>
          </w:p>
        </w:tc>
        <w:tc>
          <w:tcPr>
            <w:tcW w:w="8023" w:type="dxa"/>
            <w:gridSpan w:val="3"/>
            <w:noWrap w:val="0"/>
            <w:vAlign w:val="center"/>
          </w:tcPr>
          <w:p>
            <w:pPr>
              <w:pStyle w:val="15"/>
              <w:rPr>
                <w:rFonts w:hint="eastAsia" w:ascii="宋体" w:hAnsi="宋体" w:eastAsia="宋体" w:cs="宋体"/>
                <w:color w:val="auto"/>
                <w:sz w:val="21"/>
                <w:highlight w:val="none"/>
              </w:rPr>
            </w:pPr>
            <w:r>
              <w:rPr>
                <w:rFonts w:hint="eastAsia" w:ascii="宋体" w:hAnsi="宋体" w:eastAsia="宋体" w:cs="宋体"/>
                <w:color w:val="auto"/>
                <w:sz w:val="21"/>
                <w:highlight w:val="none"/>
              </w:rPr>
              <w:t>自</w:t>
            </w:r>
            <w:r>
              <w:rPr>
                <w:rFonts w:hint="eastAsia" w:ascii="宋体" w:hAnsi="宋体" w:eastAsia="宋体" w:cs="宋体"/>
                <w:color w:val="auto"/>
                <w:sz w:val="21"/>
                <w:highlight w:val="none"/>
                <w:lang w:eastAsia="zh-CN"/>
              </w:rPr>
              <w:t>成交</w:t>
            </w:r>
            <w:r>
              <w:rPr>
                <w:rFonts w:hint="eastAsia" w:ascii="宋体" w:hAnsi="宋体" w:eastAsia="宋体" w:cs="宋体"/>
                <w:color w:val="auto"/>
                <w:sz w:val="21"/>
                <w:highlight w:val="none"/>
              </w:rPr>
              <w:t>通知书发出之日起 25日内。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697" w:type="dxa"/>
            <w:gridSpan w:val="2"/>
            <w:noWrap w:val="0"/>
            <w:vAlign w:val="center"/>
          </w:tcPr>
          <w:p>
            <w:pPr>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投标报价要求</w:t>
            </w:r>
          </w:p>
        </w:tc>
        <w:tc>
          <w:tcPr>
            <w:tcW w:w="8023" w:type="dxa"/>
            <w:gridSpan w:val="3"/>
            <w:noWrap w:val="0"/>
            <w:vAlign w:val="center"/>
          </w:tcPr>
          <w:p>
            <w:pPr>
              <w:pStyle w:val="15"/>
              <w:rPr>
                <w:rFonts w:hint="eastAsia" w:ascii="宋体" w:hAnsi="宋体" w:eastAsia="宋体" w:cs="宋体"/>
                <w:color w:val="auto"/>
                <w:sz w:val="21"/>
                <w:highlight w:val="none"/>
              </w:rPr>
            </w:pPr>
            <w:r>
              <w:rPr>
                <w:rFonts w:hint="eastAsia" w:ascii="宋体" w:hAnsi="宋体" w:eastAsia="宋体" w:cs="宋体"/>
                <w:color w:val="auto"/>
                <w:sz w:val="21"/>
                <w:highlight w:val="none"/>
              </w:rPr>
              <w:t>本项目实行总报价包干，包括完成本项目技术服务和成果要求所产生的全部费用，采购人不另行支付合同外的任何费用。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697" w:type="dxa"/>
            <w:gridSpan w:val="2"/>
            <w:noWrap w:val="0"/>
            <w:vAlign w:val="center"/>
          </w:tcPr>
          <w:p>
            <w:pPr>
              <w:snapToGrid w:val="0"/>
              <w:spacing w:line="4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服务期限</w:t>
            </w:r>
          </w:p>
        </w:tc>
        <w:tc>
          <w:tcPr>
            <w:tcW w:w="8023" w:type="dxa"/>
            <w:gridSpan w:val="3"/>
            <w:noWrap w:val="0"/>
            <w:vAlign w:val="center"/>
          </w:tcPr>
          <w:p>
            <w:pPr>
              <w:pStyle w:val="15"/>
              <w:rPr>
                <w:rFonts w:hint="eastAsia" w:ascii="宋体" w:hAnsi="宋体" w:eastAsia="宋体" w:cs="宋体"/>
                <w:color w:val="auto"/>
                <w:sz w:val="21"/>
                <w:highlight w:val="none"/>
              </w:rPr>
            </w:pPr>
            <w:r>
              <w:rPr>
                <w:rFonts w:hint="eastAsia" w:ascii="宋体" w:hAnsi="宋体" w:eastAsia="宋体" w:cs="宋体"/>
                <w:color w:val="auto"/>
                <w:sz w:val="21"/>
                <w:highlight w:val="none"/>
              </w:rPr>
              <w:t>202</w:t>
            </w:r>
            <w:r>
              <w:rPr>
                <w:rFonts w:hint="eastAsia" w:ascii="宋体" w:hAnsi="宋体" w:eastAsia="宋体" w:cs="宋体"/>
                <w:color w:val="auto"/>
                <w:sz w:val="21"/>
                <w:highlight w:val="none"/>
                <w:lang w:val="en-US" w:eastAsia="zh-CN"/>
              </w:rPr>
              <w:t>6</w:t>
            </w:r>
            <w:r>
              <w:rPr>
                <w:rFonts w:hint="eastAsia" w:ascii="宋体" w:hAnsi="宋体" w:eastAsia="宋体" w:cs="宋体"/>
                <w:color w:val="auto"/>
                <w:sz w:val="21"/>
                <w:highlight w:val="none"/>
              </w:rPr>
              <w:t>年12月31日前完成成果交付并通过验收。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697" w:type="dxa"/>
            <w:gridSpan w:val="2"/>
            <w:noWrap w:val="0"/>
            <w:vAlign w:val="center"/>
          </w:tcPr>
          <w:p>
            <w:pPr>
              <w:snapToGrid w:val="0"/>
              <w:spacing w:line="4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服务地点</w:t>
            </w:r>
          </w:p>
        </w:tc>
        <w:tc>
          <w:tcPr>
            <w:tcW w:w="8023" w:type="dxa"/>
            <w:gridSpan w:val="3"/>
            <w:noWrap w:val="0"/>
            <w:vAlign w:val="center"/>
          </w:tcPr>
          <w:p>
            <w:pPr>
              <w:pStyle w:val="15"/>
              <w:rPr>
                <w:rFonts w:hint="eastAsia" w:ascii="宋体" w:hAnsi="宋体" w:eastAsia="宋体" w:cs="宋体"/>
                <w:color w:val="auto"/>
                <w:sz w:val="21"/>
                <w:highlight w:val="none"/>
              </w:rPr>
            </w:pPr>
            <w:r>
              <w:rPr>
                <w:rFonts w:hint="eastAsia" w:ascii="宋体" w:hAnsi="宋体" w:eastAsia="宋体" w:cs="宋体"/>
                <w:color w:val="auto"/>
                <w:sz w:val="21"/>
                <w:highlight w:val="none"/>
              </w:rPr>
              <w:t>广西区内采购人指定地点。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697" w:type="dxa"/>
            <w:gridSpan w:val="2"/>
            <w:noWrap w:val="0"/>
            <w:vAlign w:val="center"/>
          </w:tcPr>
          <w:p>
            <w:pPr>
              <w:snapToGrid w:val="0"/>
              <w:spacing w:line="4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付款条件</w:t>
            </w:r>
          </w:p>
        </w:tc>
        <w:tc>
          <w:tcPr>
            <w:tcW w:w="8023" w:type="dxa"/>
            <w:gridSpan w:val="3"/>
            <w:noWrap w:val="0"/>
            <w:vAlign w:val="center"/>
          </w:tcPr>
          <w:p>
            <w:pPr>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采购人和成交供应商双方签署合同后的10个工作日内，采购人向成交供应商支付合同总价款的30%</w:t>
            </w:r>
            <w:r>
              <w:rPr>
                <w:rFonts w:hint="eastAsia" w:ascii="宋体" w:hAnsi="宋体" w:eastAsia="宋体" w:cs="宋体"/>
                <w:color w:val="auto"/>
                <w:szCs w:val="21"/>
                <w:highlight w:val="none"/>
                <w:lang w:eastAsia="zh-CN"/>
              </w:rPr>
              <w:t>作为预付款</w:t>
            </w:r>
            <w:r>
              <w:rPr>
                <w:rFonts w:hint="eastAsia" w:ascii="宋体" w:hAnsi="宋体" w:eastAsia="宋体" w:cs="宋体"/>
                <w:color w:val="auto"/>
                <w:szCs w:val="21"/>
                <w:highlight w:val="none"/>
              </w:rPr>
              <w:t>；成交供应商按要求完成202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年度全民所有自然资源资产清查质量检查工作方案，并获得采购人确认后的10个工作日内，采购人向成交供应商支付合同总价款的30%；成交供应商按要求完成202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年度全民所有自然资源资产清查过程成果质量检查工作报告，并获得采购人确认后的10个工作日内，采购人向成交供应商支付合同总价款的30%；成交供应商按要求完成202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年度全民所有自然资源资产清查成果质量检查工作报告，将质量检查矢量数据和相关报告提交采购人验收合格后10个工作日内，采购人向成交供应商支付合同总价款的10%。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697" w:type="dxa"/>
            <w:gridSpan w:val="2"/>
            <w:noWrap w:val="0"/>
            <w:vAlign w:val="center"/>
          </w:tcPr>
          <w:p>
            <w:pPr>
              <w:snapToGrid w:val="0"/>
              <w:spacing w:line="400" w:lineRule="exact"/>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预期成果要求</w:t>
            </w:r>
          </w:p>
        </w:tc>
        <w:tc>
          <w:tcPr>
            <w:tcW w:w="8023" w:type="dxa"/>
            <w:gridSpan w:val="3"/>
            <w:noWrap w:val="0"/>
            <w:vAlign w:val="center"/>
          </w:tcPr>
          <w:p>
            <w:pPr>
              <w:snapToGrid w:val="0"/>
              <w:spacing w:line="400" w:lineRule="exact"/>
              <w:rPr>
                <w:rFonts w:hint="default" w:ascii="宋体" w:hAnsi="宋体" w:eastAsia="宋体" w:cs="宋体"/>
                <w:color w:val="auto"/>
                <w:szCs w:val="21"/>
                <w:highlight w:val="none"/>
                <w:lang w:val="en-US"/>
              </w:rPr>
            </w:pPr>
            <w:r>
              <w:rPr>
                <w:rFonts w:hint="eastAsia" w:ascii="宋体" w:hAnsi="宋体" w:eastAsia="宋体" w:cs="宋体"/>
                <w:color w:val="auto"/>
                <w:szCs w:val="21"/>
                <w:highlight w:val="none"/>
                <w:lang w:val="en-US" w:eastAsia="zh-CN"/>
              </w:rPr>
              <w:t>2026年度全民所有自然资源资产清查成果质量检查工作报告</w:t>
            </w:r>
            <w:r>
              <w:rPr>
                <w:rFonts w:hint="eastAsia" w:ascii="宋体" w:hAnsi="宋体" w:cs="宋体"/>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697" w:type="dxa"/>
            <w:gridSpan w:val="2"/>
            <w:noWrap w:val="0"/>
            <w:vAlign w:val="center"/>
          </w:tcPr>
          <w:p>
            <w:pPr>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售后服务要求</w:t>
            </w:r>
          </w:p>
        </w:tc>
        <w:tc>
          <w:tcPr>
            <w:tcW w:w="8023" w:type="dxa"/>
            <w:gridSpan w:val="3"/>
            <w:noWrap w:val="0"/>
            <w:vAlign w:val="center"/>
          </w:tcPr>
          <w:p>
            <w:pPr>
              <w:pStyle w:val="15"/>
              <w:rPr>
                <w:rFonts w:hint="eastAsia" w:ascii="宋体" w:hAnsi="宋体" w:eastAsia="宋体" w:cs="宋体"/>
                <w:color w:val="auto"/>
                <w:sz w:val="21"/>
                <w:highlight w:val="none"/>
              </w:rPr>
            </w:pPr>
            <w:r>
              <w:rPr>
                <w:rFonts w:hint="eastAsia" w:ascii="宋体" w:hAnsi="宋体" w:eastAsia="宋体" w:cs="宋体"/>
                <w:color w:val="auto"/>
                <w:sz w:val="21"/>
                <w:szCs w:val="21"/>
                <w:highlight w:val="none"/>
              </w:rPr>
              <w:t>接到采购人处理问题通知后8小时内到达采购人指定现场，24小时内提出解决方案，3个工作日内完成问题处理。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697" w:type="dxa"/>
            <w:gridSpan w:val="2"/>
            <w:noWrap w:val="0"/>
            <w:vAlign w:val="center"/>
          </w:tcPr>
          <w:p>
            <w:pPr>
              <w:spacing w:line="400" w:lineRule="exact"/>
              <w:ind w:left="-50" w:leftChars="-24"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验收要求</w:t>
            </w:r>
          </w:p>
        </w:tc>
        <w:tc>
          <w:tcPr>
            <w:tcW w:w="8023" w:type="dxa"/>
            <w:gridSpan w:val="3"/>
            <w:noWrap w:val="0"/>
            <w:vAlign w:val="center"/>
          </w:tcPr>
          <w:p>
            <w:pPr>
              <w:widowControl/>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根据国家现行相关规范标准的规定和采购需求按时完成工作内容。</w:t>
            </w:r>
          </w:p>
          <w:p>
            <w:pPr>
              <w:widowControl/>
              <w:spacing w:line="400" w:lineRule="exact"/>
              <w:jc w:val="left"/>
              <w:rPr>
                <w:rFonts w:hint="eastAsia" w:ascii="宋体" w:hAnsi="宋体" w:eastAsia="宋体" w:cs="宋体"/>
                <w:color w:val="auto"/>
                <w:sz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验收方式：由采购人组织，按相关验收依据和标准及合同条款进行。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697" w:type="dxa"/>
            <w:gridSpan w:val="2"/>
            <w:noWrap w:val="0"/>
            <w:vAlign w:val="center"/>
          </w:tcPr>
          <w:p>
            <w:pPr>
              <w:spacing w:line="400" w:lineRule="exact"/>
              <w:ind w:left="-50" w:leftChars="-24" w:firstLine="420"/>
              <w:rPr>
                <w:rFonts w:hint="eastAsia" w:ascii="宋体" w:hAnsi="宋体" w:eastAsia="宋体" w:cs="宋体"/>
                <w:color w:val="auto"/>
                <w:szCs w:val="21"/>
                <w:highlight w:val="none"/>
              </w:rPr>
            </w:pPr>
            <w:r>
              <w:rPr>
                <w:rFonts w:hint="eastAsia" w:ascii="宋体" w:hAnsi="宋体" w:eastAsia="宋体" w:cs="宋体"/>
                <w:color w:val="auto"/>
                <w:highlight w:val="none"/>
              </w:rPr>
              <w:t>知识产权</w:t>
            </w:r>
          </w:p>
        </w:tc>
        <w:tc>
          <w:tcPr>
            <w:tcW w:w="8023" w:type="dxa"/>
            <w:gridSpan w:val="3"/>
            <w:noWrap w:val="0"/>
            <w:vAlign w:val="center"/>
          </w:tcPr>
          <w:p>
            <w:pPr>
              <w:widowControl/>
              <w:spacing w:line="40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highlight w:val="none"/>
              </w:rPr>
              <w:t>采购人在中华人民共和国境内使用成交供应商提供的产品及服务时免受第三方提出的侵犯其专利权或其它知识产权的起诉。如果第三方提出侵权指控，成交供应商应承担由此而引起的一切法律责任和费用。</w:t>
            </w:r>
          </w:p>
        </w:tc>
      </w:tr>
    </w:tbl>
    <w:p>
      <w:pPr>
        <w:widowControl/>
        <w:jc w:val="left"/>
        <w:rPr>
          <w:rFonts w:hint="eastAsia" w:ascii="宋体" w:hAnsi="宋体" w:eastAsia="宋体" w:cs="宋体"/>
          <w:b/>
          <w:bCs/>
          <w:color w:val="auto"/>
          <w:sz w:val="20"/>
          <w:szCs w:val="20"/>
          <w:highlight w:val="none"/>
        </w:rPr>
      </w:pPr>
    </w:p>
    <w:bookmarkEnd w:id="112"/>
    <w:p>
      <w:pPr>
        <w:widowControl/>
        <w:jc w:val="left"/>
        <w:outlineLvl w:val="0"/>
        <w:rPr>
          <w:rFonts w:hint="eastAsia" w:ascii="宋体" w:hAnsi="宋体" w:eastAsia="宋体" w:cs="宋体"/>
          <w:b/>
          <w:bCs w:val="0"/>
          <w:color w:val="auto"/>
          <w:szCs w:val="21"/>
          <w:highlight w:val="none"/>
          <w:u w:val="single"/>
        </w:rPr>
      </w:pPr>
    </w:p>
    <w:p>
      <w:pPr>
        <w:widowControl/>
        <w:jc w:val="left"/>
        <w:rPr>
          <w:rFonts w:hint="eastAsia" w:ascii="宋体" w:hAnsi="宋体" w:eastAsia="宋体" w:cs="宋体"/>
          <w:b/>
          <w:bCs/>
          <w:color w:val="auto"/>
          <w:sz w:val="20"/>
          <w:szCs w:val="20"/>
          <w:highlight w:val="none"/>
        </w:rPr>
        <w:sectPr>
          <w:footerReference r:id="rId9" w:type="default"/>
          <w:pgSz w:w="11906" w:h="16838"/>
          <w:pgMar w:top="1134" w:right="1020" w:bottom="1134" w:left="1020" w:header="720" w:footer="720" w:gutter="0"/>
          <w:pgNumType w:fmt="decimal"/>
          <w:cols w:space="720" w:num="1"/>
          <w:docGrid w:type="lines" w:linePitch="331" w:charSpace="0"/>
        </w:sectPr>
      </w:pPr>
      <w:r>
        <w:rPr>
          <w:rFonts w:hint="eastAsia" w:ascii="宋体" w:hAnsi="宋体" w:eastAsia="宋体" w:cs="宋体"/>
          <w:b/>
          <w:bCs/>
          <w:color w:val="auto"/>
          <w:sz w:val="20"/>
          <w:szCs w:val="20"/>
          <w:highlight w:val="none"/>
        </w:rPr>
        <w:br w:type="page"/>
      </w:r>
      <w:bookmarkStart w:id="115" w:name="_Toc74323459"/>
    </w:p>
    <w:p>
      <w:pPr>
        <w:widowControl/>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附件1：</w:t>
      </w:r>
    </w:p>
    <w:p>
      <w:pPr>
        <w:shd w:val="clear" w:color="auto" w:fill="auto"/>
        <w:spacing w:line="528"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中小微企业划型标准</w:t>
      </w:r>
    </w:p>
    <w:tbl>
      <w:tblPr>
        <w:tblStyle w:val="23"/>
        <w:tblW w:w="9052" w:type="dxa"/>
        <w:jc w:val="center"/>
        <w:tblLayout w:type="fixed"/>
        <w:tblCellMar>
          <w:top w:w="0" w:type="dxa"/>
          <w:left w:w="108" w:type="dxa"/>
          <w:bottom w:w="0" w:type="dxa"/>
          <w:right w:w="108" w:type="dxa"/>
        </w:tblCellMar>
      </w:tblPr>
      <w:tblGrid>
        <w:gridCol w:w="1904"/>
        <w:gridCol w:w="1384"/>
        <w:gridCol w:w="913"/>
        <w:gridCol w:w="1966"/>
        <w:gridCol w:w="1743"/>
        <w:gridCol w:w="1142"/>
      </w:tblGrid>
      <w:tr>
        <w:tblPrEx>
          <w:tblCellMar>
            <w:top w:w="0" w:type="dxa"/>
            <w:left w:w="108" w:type="dxa"/>
            <w:bottom w:w="0" w:type="dxa"/>
            <w:right w:w="108" w:type="dxa"/>
          </w:tblCellMar>
        </w:tblPrEx>
        <w:trPr>
          <w:trHeight w:val="285" w:hRule="atLeast"/>
          <w:jc w:val="center"/>
        </w:trPr>
        <w:tc>
          <w:tcPr>
            <w:tcW w:w="1904"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384" w:type="dxa"/>
            <w:tcBorders>
              <w:top w:val="single" w:color="auto" w:sz="4" w:space="0"/>
              <w:left w:val="nil"/>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913" w:type="dxa"/>
            <w:tcBorders>
              <w:top w:val="single" w:color="auto" w:sz="4" w:space="0"/>
              <w:left w:val="nil"/>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966" w:type="dxa"/>
            <w:tcBorders>
              <w:top w:val="single" w:color="auto" w:sz="4" w:space="0"/>
              <w:left w:val="nil"/>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43" w:type="dxa"/>
            <w:tcBorders>
              <w:top w:val="single" w:color="auto" w:sz="4" w:space="0"/>
              <w:left w:val="nil"/>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42" w:type="dxa"/>
            <w:tcBorders>
              <w:top w:val="single" w:color="auto" w:sz="4" w:space="0"/>
              <w:left w:val="nil"/>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tblPrEx>
          <w:tblCellMar>
            <w:top w:w="0" w:type="dxa"/>
            <w:left w:w="108" w:type="dxa"/>
            <w:bottom w:w="0" w:type="dxa"/>
            <w:right w:w="108" w:type="dxa"/>
          </w:tblCellMar>
        </w:tblPrEx>
        <w:trPr>
          <w:trHeight w:val="225" w:hRule="atLeast"/>
          <w:jc w:val="center"/>
        </w:trPr>
        <w:tc>
          <w:tcPr>
            <w:tcW w:w="1904" w:type="dxa"/>
            <w:tcBorders>
              <w:top w:val="nil"/>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农、林、牧、渔</w:t>
            </w:r>
          </w:p>
        </w:tc>
        <w:tc>
          <w:tcPr>
            <w:tcW w:w="1384"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500≤Y＜20000</w:t>
            </w:r>
          </w:p>
        </w:tc>
        <w:tc>
          <w:tcPr>
            <w:tcW w:w="1743"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50≤Y＜500</w:t>
            </w:r>
          </w:p>
        </w:tc>
        <w:tc>
          <w:tcPr>
            <w:tcW w:w="1142"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Y＜50</w:t>
            </w:r>
          </w:p>
        </w:tc>
      </w:tr>
      <w:tr>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工业</w:t>
            </w:r>
          </w:p>
        </w:tc>
        <w:tc>
          <w:tcPr>
            <w:tcW w:w="1384"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300≤X＜1000</w:t>
            </w:r>
          </w:p>
        </w:tc>
        <w:tc>
          <w:tcPr>
            <w:tcW w:w="1743"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20≤X＜300</w:t>
            </w:r>
          </w:p>
        </w:tc>
        <w:tc>
          <w:tcPr>
            <w:tcW w:w="1142"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X＜20</w:t>
            </w:r>
          </w:p>
        </w:tc>
      </w:tr>
      <w:tr>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2000≤Y＜40000</w:t>
            </w:r>
          </w:p>
        </w:tc>
        <w:tc>
          <w:tcPr>
            <w:tcW w:w="1743"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300≤Y＜2000</w:t>
            </w:r>
          </w:p>
        </w:tc>
        <w:tc>
          <w:tcPr>
            <w:tcW w:w="1142"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Y＜300</w:t>
            </w:r>
          </w:p>
        </w:tc>
      </w:tr>
      <w:tr>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建筑业</w:t>
            </w:r>
          </w:p>
        </w:tc>
        <w:tc>
          <w:tcPr>
            <w:tcW w:w="1384"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6000≤Y＜80000</w:t>
            </w:r>
          </w:p>
        </w:tc>
        <w:tc>
          <w:tcPr>
            <w:tcW w:w="1743"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300≤Y＜6000</w:t>
            </w:r>
          </w:p>
        </w:tc>
        <w:tc>
          <w:tcPr>
            <w:tcW w:w="1142"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Y＜300</w:t>
            </w:r>
          </w:p>
        </w:tc>
      </w:tr>
      <w:tr>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资产总额（Z）</w:t>
            </w:r>
          </w:p>
        </w:tc>
        <w:tc>
          <w:tcPr>
            <w:tcW w:w="913" w:type="dxa"/>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5000≤Z＜80000</w:t>
            </w:r>
          </w:p>
        </w:tc>
        <w:tc>
          <w:tcPr>
            <w:tcW w:w="1743"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300≤Z＜5000</w:t>
            </w:r>
          </w:p>
        </w:tc>
        <w:tc>
          <w:tcPr>
            <w:tcW w:w="1142"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Z＜300</w:t>
            </w:r>
          </w:p>
        </w:tc>
      </w:tr>
      <w:tr>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批发业</w:t>
            </w:r>
          </w:p>
        </w:tc>
        <w:tc>
          <w:tcPr>
            <w:tcW w:w="1384"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20≤X＜200</w:t>
            </w:r>
          </w:p>
        </w:tc>
        <w:tc>
          <w:tcPr>
            <w:tcW w:w="1743"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5≤X＜20</w:t>
            </w:r>
          </w:p>
        </w:tc>
        <w:tc>
          <w:tcPr>
            <w:tcW w:w="1142"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X＜5</w:t>
            </w:r>
          </w:p>
        </w:tc>
      </w:tr>
      <w:tr>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5000≤Y＜40000</w:t>
            </w:r>
          </w:p>
        </w:tc>
        <w:tc>
          <w:tcPr>
            <w:tcW w:w="1743"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1000≤Y＜5000</w:t>
            </w:r>
          </w:p>
        </w:tc>
        <w:tc>
          <w:tcPr>
            <w:tcW w:w="1142"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Y＜1000</w:t>
            </w:r>
          </w:p>
        </w:tc>
      </w:tr>
      <w:tr>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零售业</w:t>
            </w:r>
          </w:p>
        </w:tc>
        <w:tc>
          <w:tcPr>
            <w:tcW w:w="1384"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50≤X＜300</w:t>
            </w:r>
          </w:p>
        </w:tc>
        <w:tc>
          <w:tcPr>
            <w:tcW w:w="1743"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10≤X＜50</w:t>
            </w:r>
          </w:p>
        </w:tc>
        <w:tc>
          <w:tcPr>
            <w:tcW w:w="1142"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w:t>
            </w:r>
          </w:p>
        </w:tc>
      </w:tr>
      <w:tr>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500≤Y＜20000</w:t>
            </w:r>
          </w:p>
        </w:tc>
        <w:tc>
          <w:tcPr>
            <w:tcW w:w="1743"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100≤Y＜500</w:t>
            </w:r>
          </w:p>
        </w:tc>
        <w:tc>
          <w:tcPr>
            <w:tcW w:w="1142"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Y＜100</w:t>
            </w:r>
          </w:p>
        </w:tc>
      </w:tr>
      <w:tr>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交通运输业</w:t>
            </w:r>
          </w:p>
        </w:tc>
        <w:tc>
          <w:tcPr>
            <w:tcW w:w="1384"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300≤X＜1000</w:t>
            </w:r>
          </w:p>
        </w:tc>
        <w:tc>
          <w:tcPr>
            <w:tcW w:w="1743"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20≤X＜300</w:t>
            </w:r>
          </w:p>
        </w:tc>
        <w:tc>
          <w:tcPr>
            <w:tcW w:w="1142"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X＜20</w:t>
            </w:r>
          </w:p>
        </w:tc>
      </w:tr>
      <w:tr>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3000≤Y＜30000</w:t>
            </w:r>
          </w:p>
        </w:tc>
        <w:tc>
          <w:tcPr>
            <w:tcW w:w="1743"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200≤Y＜3000</w:t>
            </w:r>
          </w:p>
        </w:tc>
        <w:tc>
          <w:tcPr>
            <w:tcW w:w="1142"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Y＜200</w:t>
            </w:r>
          </w:p>
        </w:tc>
      </w:tr>
      <w:tr>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仓储业</w:t>
            </w:r>
          </w:p>
        </w:tc>
        <w:tc>
          <w:tcPr>
            <w:tcW w:w="1384"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100≤X＜200</w:t>
            </w:r>
          </w:p>
        </w:tc>
        <w:tc>
          <w:tcPr>
            <w:tcW w:w="1743"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20≤X＜100</w:t>
            </w:r>
          </w:p>
        </w:tc>
        <w:tc>
          <w:tcPr>
            <w:tcW w:w="1142"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X＜20</w:t>
            </w:r>
          </w:p>
        </w:tc>
      </w:tr>
      <w:tr>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1000≤Y＜30000</w:t>
            </w:r>
          </w:p>
        </w:tc>
        <w:tc>
          <w:tcPr>
            <w:tcW w:w="1743"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100≤Y＜1000</w:t>
            </w:r>
          </w:p>
        </w:tc>
        <w:tc>
          <w:tcPr>
            <w:tcW w:w="1142"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Y＜100</w:t>
            </w:r>
          </w:p>
        </w:tc>
      </w:tr>
      <w:tr>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邮政业</w:t>
            </w:r>
          </w:p>
        </w:tc>
        <w:tc>
          <w:tcPr>
            <w:tcW w:w="1384"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300≤X＜1000</w:t>
            </w:r>
          </w:p>
        </w:tc>
        <w:tc>
          <w:tcPr>
            <w:tcW w:w="1743"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20≤X＜300</w:t>
            </w:r>
          </w:p>
        </w:tc>
        <w:tc>
          <w:tcPr>
            <w:tcW w:w="1142"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X＜20</w:t>
            </w:r>
          </w:p>
        </w:tc>
      </w:tr>
      <w:tr>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2000≤Y＜30000</w:t>
            </w:r>
          </w:p>
        </w:tc>
        <w:tc>
          <w:tcPr>
            <w:tcW w:w="1743"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100≤Y＜2000</w:t>
            </w:r>
          </w:p>
        </w:tc>
        <w:tc>
          <w:tcPr>
            <w:tcW w:w="1142"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Y＜100</w:t>
            </w:r>
          </w:p>
        </w:tc>
      </w:tr>
      <w:tr>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住宿业</w:t>
            </w:r>
          </w:p>
        </w:tc>
        <w:tc>
          <w:tcPr>
            <w:tcW w:w="1384"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100≤X＜300</w:t>
            </w:r>
          </w:p>
        </w:tc>
        <w:tc>
          <w:tcPr>
            <w:tcW w:w="1743"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10≤X＜100</w:t>
            </w:r>
          </w:p>
        </w:tc>
        <w:tc>
          <w:tcPr>
            <w:tcW w:w="1142"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w:t>
            </w:r>
          </w:p>
        </w:tc>
      </w:tr>
      <w:tr>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2000≤Y＜10000</w:t>
            </w:r>
          </w:p>
        </w:tc>
        <w:tc>
          <w:tcPr>
            <w:tcW w:w="1743"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100≤Y＜2000</w:t>
            </w:r>
          </w:p>
        </w:tc>
        <w:tc>
          <w:tcPr>
            <w:tcW w:w="1142"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Y＜100</w:t>
            </w:r>
          </w:p>
        </w:tc>
      </w:tr>
      <w:tr>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餐饮业</w:t>
            </w:r>
          </w:p>
        </w:tc>
        <w:tc>
          <w:tcPr>
            <w:tcW w:w="1384"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100≤X＜300</w:t>
            </w:r>
          </w:p>
        </w:tc>
        <w:tc>
          <w:tcPr>
            <w:tcW w:w="1743"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10≤X＜100</w:t>
            </w:r>
          </w:p>
        </w:tc>
        <w:tc>
          <w:tcPr>
            <w:tcW w:w="1142"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w:t>
            </w:r>
          </w:p>
        </w:tc>
      </w:tr>
      <w:tr>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2000≤Y＜10000</w:t>
            </w:r>
          </w:p>
        </w:tc>
        <w:tc>
          <w:tcPr>
            <w:tcW w:w="1743"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100≤Y＜2000</w:t>
            </w:r>
          </w:p>
        </w:tc>
        <w:tc>
          <w:tcPr>
            <w:tcW w:w="1142"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Y＜100</w:t>
            </w:r>
          </w:p>
        </w:tc>
      </w:tr>
      <w:tr>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信息传输业</w:t>
            </w:r>
          </w:p>
        </w:tc>
        <w:tc>
          <w:tcPr>
            <w:tcW w:w="1384"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100≤X＜2000</w:t>
            </w:r>
          </w:p>
        </w:tc>
        <w:tc>
          <w:tcPr>
            <w:tcW w:w="1743"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10≤X＜100</w:t>
            </w:r>
          </w:p>
        </w:tc>
        <w:tc>
          <w:tcPr>
            <w:tcW w:w="1142"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w:t>
            </w:r>
          </w:p>
        </w:tc>
      </w:tr>
      <w:tr>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1000≤Y＜100000</w:t>
            </w:r>
          </w:p>
        </w:tc>
        <w:tc>
          <w:tcPr>
            <w:tcW w:w="1743"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100≤Y＜1000</w:t>
            </w:r>
          </w:p>
        </w:tc>
        <w:tc>
          <w:tcPr>
            <w:tcW w:w="1142"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Y＜100</w:t>
            </w:r>
          </w:p>
        </w:tc>
      </w:tr>
      <w:tr>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软件和信息技术服务业</w:t>
            </w:r>
          </w:p>
        </w:tc>
        <w:tc>
          <w:tcPr>
            <w:tcW w:w="1384"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100≤X＜300</w:t>
            </w:r>
          </w:p>
        </w:tc>
        <w:tc>
          <w:tcPr>
            <w:tcW w:w="1743"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10≤X＜100</w:t>
            </w:r>
          </w:p>
        </w:tc>
        <w:tc>
          <w:tcPr>
            <w:tcW w:w="1142"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w:t>
            </w:r>
          </w:p>
        </w:tc>
      </w:tr>
      <w:tr>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1000≤Y＜10000</w:t>
            </w:r>
          </w:p>
        </w:tc>
        <w:tc>
          <w:tcPr>
            <w:tcW w:w="1743"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50≤Y＜1000</w:t>
            </w:r>
          </w:p>
        </w:tc>
        <w:tc>
          <w:tcPr>
            <w:tcW w:w="1142"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Y＜50</w:t>
            </w:r>
          </w:p>
        </w:tc>
      </w:tr>
      <w:tr>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房地产开发经营</w:t>
            </w:r>
          </w:p>
        </w:tc>
        <w:tc>
          <w:tcPr>
            <w:tcW w:w="1384"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1000≤Y＜200000</w:t>
            </w:r>
          </w:p>
        </w:tc>
        <w:tc>
          <w:tcPr>
            <w:tcW w:w="1743"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100≤X＜1000</w:t>
            </w:r>
          </w:p>
        </w:tc>
        <w:tc>
          <w:tcPr>
            <w:tcW w:w="1142"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X＜100</w:t>
            </w:r>
          </w:p>
        </w:tc>
      </w:tr>
      <w:tr>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资产总额（Z）</w:t>
            </w:r>
          </w:p>
        </w:tc>
        <w:tc>
          <w:tcPr>
            <w:tcW w:w="913" w:type="dxa"/>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5000≤Z＜10000</w:t>
            </w:r>
          </w:p>
        </w:tc>
        <w:tc>
          <w:tcPr>
            <w:tcW w:w="1743"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2000≤Y＜5000</w:t>
            </w:r>
          </w:p>
        </w:tc>
        <w:tc>
          <w:tcPr>
            <w:tcW w:w="1142"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Y＜2000</w:t>
            </w:r>
          </w:p>
        </w:tc>
      </w:tr>
      <w:tr>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物业管理</w:t>
            </w:r>
          </w:p>
        </w:tc>
        <w:tc>
          <w:tcPr>
            <w:tcW w:w="1384"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300≤X＜1000</w:t>
            </w:r>
          </w:p>
        </w:tc>
        <w:tc>
          <w:tcPr>
            <w:tcW w:w="1743"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100≤X＜300</w:t>
            </w:r>
          </w:p>
        </w:tc>
        <w:tc>
          <w:tcPr>
            <w:tcW w:w="1142"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X＜100</w:t>
            </w:r>
          </w:p>
        </w:tc>
      </w:tr>
      <w:tr>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1000≤Y＜5000</w:t>
            </w:r>
          </w:p>
        </w:tc>
        <w:tc>
          <w:tcPr>
            <w:tcW w:w="1743"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500≤Y＜1000</w:t>
            </w:r>
          </w:p>
        </w:tc>
        <w:tc>
          <w:tcPr>
            <w:tcW w:w="1142"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Y＜500</w:t>
            </w:r>
          </w:p>
        </w:tc>
      </w:tr>
      <w:tr>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租赁和商务服务业</w:t>
            </w:r>
          </w:p>
        </w:tc>
        <w:tc>
          <w:tcPr>
            <w:tcW w:w="1384"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100≤X＜300</w:t>
            </w:r>
          </w:p>
        </w:tc>
        <w:tc>
          <w:tcPr>
            <w:tcW w:w="1743"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10≤X＜100</w:t>
            </w:r>
          </w:p>
        </w:tc>
        <w:tc>
          <w:tcPr>
            <w:tcW w:w="1142"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w:t>
            </w:r>
          </w:p>
        </w:tc>
      </w:tr>
      <w:tr>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资产总额（Z）</w:t>
            </w:r>
          </w:p>
        </w:tc>
        <w:tc>
          <w:tcPr>
            <w:tcW w:w="913" w:type="dxa"/>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8000≤Z＜120000</w:t>
            </w:r>
          </w:p>
        </w:tc>
        <w:tc>
          <w:tcPr>
            <w:tcW w:w="1743"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100≤Z＜8000</w:t>
            </w:r>
          </w:p>
        </w:tc>
        <w:tc>
          <w:tcPr>
            <w:tcW w:w="1142"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Y＜100</w:t>
            </w:r>
          </w:p>
        </w:tc>
      </w:tr>
      <w:tr>
        <w:tblPrEx>
          <w:tblCellMar>
            <w:top w:w="0" w:type="dxa"/>
            <w:left w:w="108" w:type="dxa"/>
            <w:bottom w:w="0" w:type="dxa"/>
            <w:right w:w="108" w:type="dxa"/>
          </w:tblCellMar>
        </w:tblPrEx>
        <w:trPr>
          <w:trHeight w:val="225" w:hRule="atLeast"/>
          <w:jc w:val="center"/>
        </w:trPr>
        <w:tc>
          <w:tcPr>
            <w:tcW w:w="1904" w:type="dxa"/>
            <w:tcBorders>
              <w:top w:val="nil"/>
              <w:left w:val="single" w:color="auto" w:sz="4" w:space="0"/>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其他未列明行业</w:t>
            </w:r>
          </w:p>
        </w:tc>
        <w:tc>
          <w:tcPr>
            <w:tcW w:w="1384"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noWrap w:val="0"/>
            <w:vAlign w:val="center"/>
          </w:tcPr>
          <w:p>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100≤X＜300</w:t>
            </w:r>
          </w:p>
        </w:tc>
        <w:tc>
          <w:tcPr>
            <w:tcW w:w="1743"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10≤X＜100</w:t>
            </w:r>
          </w:p>
        </w:tc>
        <w:tc>
          <w:tcPr>
            <w:tcW w:w="1142" w:type="dxa"/>
            <w:tcBorders>
              <w:top w:val="nil"/>
              <w:left w:val="nil"/>
              <w:bottom w:val="single" w:color="auto" w:sz="4" w:space="0"/>
              <w:right w:val="single" w:color="auto" w:sz="4" w:space="0"/>
            </w:tcBorders>
            <w:noWrap w:val="0"/>
            <w:vAlign w:val="center"/>
          </w:tcPr>
          <w:p>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w:t>
            </w:r>
          </w:p>
        </w:tc>
      </w:tr>
    </w:tbl>
    <w:p>
      <w:pPr>
        <w:shd w:val="clear" w:color="auto" w:fill="auto"/>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pPr>
        <w:shd w:val="clear" w:color="auto" w:fill="auto"/>
        <w:spacing w:line="560" w:lineRule="exact"/>
        <w:ind w:firstLine="500" w:firstLineChars="250"/>
        <w:rPr>
          <w:rFonts w:hint="eastAsia" w:ascii="宋体" w:hAnsi="宋体" w:eastAsia="宋体" w:cs="宋体"/>
          <w:color w:val="auto"/>
          <w:kern w:val="0"/>
          <w:sz w:val="20"/>
          <w:szCs w:val="21"/>
          <w:highlight w:val="none"/>
        </w:rPr>
        <w:sectPr>
          <w:pgSz w:w="11906" w:h="16838"/>
          <w:pgMar w:top="1134" w:right="1020" w:bottom="1134" w:left="1020" w:header="720" w:footer="720" w:gutter="0"/>
          <w:pgNumType w:fmt="decimal"/>
          <w:cols w:space="720" w:num="1"/>
          <w:docGrid w:type="lines" w:linePitch="331" w:charSpace="0"/>
        </w:sectPr>
      </w:pPr>
    </w:p>
    <w:p>
      <w:pPr>
        <w:pStyle w:val="3"/>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第四章  评审程序、评审方法和评审标准</w:t>
      </w:r>
      <w:bookmarkEnd w:id="115"/>
    </w:p>
    <w:p>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一、评审程序和评审方法</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1.资格审查</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1.1响应文件开启后，磋商小组依法对供应商的资格证明文件进行审查。</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r>
        <w:rPr>
          <w:rFonts w:hint="eastAsia" w:ascii="宋体" w:hAnsi="宋体" w:eastAsia="宋体" w:cs="宋体"/>
          <w:color w:val="auto"/>
          <w:highlight w:val="none"/>
        </w:rPr>
        <w:t>磋商小组</w:t>
      </w:r>
      <w:r>
        <w:rPr>
          <w:rFonts w:hint="eastAsia" w:ascii="宋体" w:hAnsi="宋体" w:eastAsia="宋体" w:cs="宋体"/>
          <w:color w:val="auto"/>
          <w:szCs w:val="21"/>
          <w:highlight w:val="none"/>
        </w:rPr>
        <w:t>在资格审查结束前，对供应商进行信用查询。</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“信用中国”网站(www.creditchina.gov.cn)、中国政府采购网(www.ccgp.gov.cn)链接入口。</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（3）查询记录和证据留存方式：在查询网站中直接查询，截图另存为电子文档作为评审资料保存。</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（4）信用信息使用规则：对在“信用中国”网站（www.creditchina.gov.cn） 、中国政府采购网（www.ccgp.gov.cn）被列入失信被执行人、</w:t>
      </w:r>
      <w:r>
        <w:rPr>
          <w:rFonts w:hint="eastAsia" w:ascii="宋体" w:hAnsi="宋体" w:eastAsia="宋体" w:cs="宋体"/>
          <w:color w:val="auto"/>
          <w:szCs w:val="21"/>
          <w:highlight w:val="none"/>
          <w:lang w:eastAsia="zh-CN"/>
        </w:rPr>
        <w:t>重大税收违法失信主体</w:t>
      </w:r>
      <w:r>
        <w:rPr>
          <w:rFonts w:hint="eastAsia" w:ascii="宋体" w:hAnsi="宋体" w:eastAsia="宋体" w:cs="宋体"/>
          <w:color w:val="auto"/>
          <w:szCs w:val="21"/>
          <w:highlight w:val="none"/>
        </w:rPr>
        <w:t>、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被列入失信被执行人、</w:t>
      </w:r>
      <w:r>
        <w:rPr>
          <w:rFonts w:hint="eastAsia" w:ascii="宋体" w:hAnsi="宋体" w:eastAsia="宋体" w:cs="宋体"/>
          <w:color w:val="auto"/>
          <w:szCs w:val="21"/>
          <w:highlight w:val="none"/>
          <w:lang w:eastAsia="zh-CN"/>
        </w:rPr>
        <w:t>重大税收违法失信主体</w:t>
      </w:r>
      <w:r>
        <w:rPr>
          <w:rFonts w:hint="eastAsia" w:ascii="宋体" w:hAnsi="宋体" w:eastAsia="宋体" w:cs="宋体"/>
          <w:color w:val="auto"/>
          <w:szCs w:val="21"/>
          <w:highlight w:val="none"/>
        </w:rPr>
        <w:t>、政府采购严重违法失信行为记录名单及其他不符合《中华人民共和国政府采购法》第二十二条规定条件的供应商）的，视同联合体存在不良信用记录。</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1.2资格审查标准为本磋商文件中载明对供应商资格要求的条件。资格审查采用合格制，凡符合磋商文件规定的供应商资格要求的响应文件均通过资格审查。</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1.3供应商有下列情形之一的，资格审查不通过，其响应文件按无效响应处理：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（2）未按磋商文件规定的方式获取本磋商文件的供应商；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（3）响应文件的资格证明文件缺少任一项“供应商须知前附表”资格证明文件规定的“必须提供”的文件资料的；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（4）响应文件中的资格证明文件出现任一项不符合“供应商须知前附表”资格证明文件规定的“必须提供”的文件资料要求或者无效的；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（5）同一合同项下的不同供应商，单位负责人为同一人或者存在直接控股、管理关系的；为本项目提供过整体设计、规范编制或者项目管理、监理、检测等服务的供应商，再参加该采购项目的其他采购活动的。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1.4通过资格审查的合格供应商不足3家的，不得进入符合性审查环节，采购人或者采购代理机构应当重新开展采购活动。</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2.符合性审查</w:t>
      </w:r>
    </w:p>
    <w:p>
      <w:pPr>
        <w:spacing w:line="360" w:lineRule="auto"/>
        <w:ind w:firstLine="420" w:firstLineChars="200"/>
        <w:rPr>
          <w:rFonts w:hint="eastAsia" w:ascii="宋体" w:hAnsi="宋体" w:eastAsia="宋体" w:cs="宋体"/>
          <w:color w:val="auto"/>
          <w:szCs w:val="21"/>
          <w:highlight w:val="none"/>
        </w:rPr>
      </w:pPr>
      <w:bookmarkStart w:id="116" w:name="_Hlk42528882"/>
      <w:r>
        <w:rPr>
          <w:rFonts w:hint="eastAsia" w:ascii="宋体" w:hAnsi="宋体" w:eastAsia="宋体" w:cs="宋体"/>
          <w:color w:val="auto"/>
          <w:szCs w:val="21"/>
          <w:highlight w:val="none"/>
        </w:rPr>
        <w:t>2.1由磋商小组对通过资格审查的合格供应商的响应文件的竞标报价、商务、技术等实质性要求进行符合性审查，以确定其是否满足磋商文件的实质性要求。</w:t>
      </w:r>
    </w:p>
    <w:bookmarkEnd w:id="116"/>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2.3磋商小组要求供应商澄清、说明或者更正响应文件应当以电子澄清函形式作出。供应商的澄清、说明或者更正应当</w:t>
      </w:r>
      <w:r>
        <w:rPr>
          <w:rFonts w:hint="eastAsia" w:ascii="宋体" w:hAnsi="宋体" w:eastAsia="宋体" w:cs="宋体"/>
          <w:color w:val="auto"/>
          <w:szCs w:val="21"/>
          <w:highlight w:val="none"/>
          <w:lang w:eastAsia="zh-CN"/>
        </w:rPr>
        <w:t>以</w:t>
      </w:r>
      <w:r>
        <w:rPr>
          <w:rFonts w:hint="eastAsia" w:ascii="宋体" w:hAnsi="宋体" w:eastAsia="宋体" w:cs="宋体"/>
          <w:color w:val="auto"/>
          <w:szCs w:val="21"/>
          <w:highlight w:val="none"/>
        </w:rPr>
        <w:t>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ascii="宋体" w:hAnsi="宋体" w:eastAsia="宋体" w:cs="宋体"/>
          <w:color w:val="auto"/>
          <w:highlight w:val="none"/>
        </w:rPr>
        <w:t>签章</w:t>
      </w:r>
      <w:r>
        <w:rPr>
          <w:rFonts w:hint="eastAsia" w:ascii="宋体" w:hAnsi="宋体" w:eastAsia="宋体" w:cs="宋体"/>
          <w:color w:val="auto"/>
          <w:spacing w:val="-6"/>
          <w:szCs w:val="21"/>
          <w:highlight w:val="none"/>
        </w:rPr>
        <w:t>。</w:t>
      </w:r>
    </w:p>
    <w:p>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2.4</w:t>
      </w:r>
      <w:r>
        <w:rPr>
          <w:rFonts w:hint="eastAsia" w:ascii="宋体" w:hAnsi="宋体" w:eastAsia="宋体" w:cs="宋体"/>
          <w:color w:val="auto"/>
          <w:szCs w:val="21"/>
          <w:highlight w:val="none"/>
        </w:rPr>
        <w:t xml:space="preserve">首次响应文件报价出现前后不一致的，按照下列规定修正：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2.5商务技术报价评审</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在评审时，如发现下列情形之一的，将被视为响应文件无效处理：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2）委托代理人未能出具有效身份证或者出具的身份证与授权委托书中的信息不符的；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3）提交的磋商保证金无效的或者未按照磋商文件的规定提交磋商保证金；</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5）商务要求允许负偏离的条款数超过“供应商须知前附表”规定项数的；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6）未对竞标有效期作出响应或者响应文件承诺的竞标有效期不满足磋商文件要求；</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7）响应文件的实质性内容未使用中文表述、使用计量单位不符合磋商文件要求；</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8）响应文件中的文件资料因填写不齐全或者内容虚假或者出现其他情形而导致被磋商小组认定无效；</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9）响应文件含有采购人不能接受的附加条件；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10）属于“供应商须知正文”第7.5条情形；</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11）技术要求允许负偏离的条款数超过“供应商须知前附表”规定项数；</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12）虚假竞标，或者出现其他情形而导致被磋商小组认定无效；</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bookmarkStart w:id="117" w:name="_Hlk71704147"/>
      <w:r>
        <w:rPr>
          <w:rFonts w:hint="eastAsia" w:ascii="宋体" w:hAnsi="宋体" w:eastAsia="宋体" w:cs="宋体"/>
          <w:color w:val="auto"/>
          <w:szCs w:val="21"/>
          <w:highlight w:val="none"/>
        </w:rPr>
        <w:t>磋商文件未载明允许提供备选（替代）竞标方案或明确不允许提供备选（替代）竞标方案时，供应商提供了备选（替代）竞标方案的；</w:t>
      </w:r>
      <w:bookmarkEnd w:id="117"/>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14）响应文件标注的项目名称或者项目编号与磋商文件标注的项目名称或者项目编号不一致的；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r>
        <w:rPr>
          <w:rFonts w:hint="eastAsia" w:ascii="宋体" w:hAnsi="宋体" w:eastAsia="宋体" w:cs="宋体"/>
          <w:b/>
          <w:color w:val="auto"/>
          <w:szCs w:val="21"/>
          <w:highlight w:val="none"/>
        </w:rPr>
        <w:t>竞争性磋商文件明确不允许分包，响应文件拟分包的；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16）未响应磋商文件实质性要求；</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17）法律、法规和磋商文件规定的其他无效情形。</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响应文件未提供“供应商须知前附表” 中规定的“</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4）竞标报价（包含首次报价、最后报价）超过所竞标分标规定的采购预算金额或者最高限价的（如本项目公布了最高限价）；</w:t>
      </w:r>
      <w:bookmarkStart w:id="118" w:name="_Hlk42596405"/>
      <w:r>
        <w:rPr>
          <w:rFonts w:hint="eastAsia" w:ascii="宋体" w:hAnsi="宋体" w:eastAsia="宋体" w:cs="宋体"/>
          <w:color w:val="auto"/>
          <w:szCs w:val="21"/>
          <w:highlight w:val="none"/>
        </w:rPr>
        <w:t>竞标报价（包含首次报价、最后报价）</w:t>
      </w:r>
      <w:bookmarkEnd w:id="118"/>
      <w:bookmarkStart w:id="119" w:name="_Hlk42596276"/>
      <w:r>
        <w:rPr>
          <w:rFonts w:hint="eastAsia" w:ascii="宋体" w:hAnsi="宋体" w:eastAsia="宋体" w:cs="宋体"/>
          <w:color w:val="auto"/>
          <w:szCs w:val="21"/>
          <w:highlight w:val="none"/>
        </w:rPr>
        <w:t>超过磋商文件分项采购预算金额或者最高限价的</w:t>
      </w:r>
      <w:bookmarkEnd w:id="119"/>
      <w:r>
        <w:rPr>
          <w:rFonts w:hint="eastAsia" w:ascii="宋体" w:hAnsi="宋体" w:eastAsia="宋体" w:cs="宋体"/>
          <w:color w:val="auto"/>
          <w:szCs w:val="21"/>
          <w:highlight w:val="none"/>
        </w:rPr>
        <w:t>（如本项目公布了最高限价）；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6）响应文件响应的标的数量及单位与竞争性磋商采购文件要求实质性不一致的。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2.7通过符合性审查的合格供应商不足3家的，不得进入磋商环节，采购人或者采购代理机构应当重新开展采购活动。</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3.磋商程序</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3.1磋商小组</w:t>
      </w:r>
      <w:r>
        <w:rPr>
          <w:rFonts w:hint="eastAsia" w:ascii="宋体" w:hAnsi="宋体" w:eastAsia="宋体" w:cs="宋体"/>
          <w:color w:val="auto"/>
          <w:szCs w:val="21"/>
          <w:highlight w:val="none"/>
        </w:rPr>
        <w:t>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3.3对磋商文件作出的实质性变动是磋商文件的有效组成部分，由磋商小组及时以电子澄清函形式同时通知所有参加磋商的供应商。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3.4供应商必须按照磋商文件的变动情况和磋商小组的要求以回函的形式重新提交响应文件，并加盖电子签章。参加磋商的供应商未在规定时间内重新提交响应文件的，视同退出磋商，其响应文件按无效处理。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3.6采购代理机构对磋商过程和重要磋商内容进行记录。</w:t>
      </w:r>
    </w:p>
    <w:p>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3.7</w:t>
      </w:r>
      <w:r>
        <w:rPr>
          <w:rFonts w:hint="eastAsia" w:ascii="宋体" w:hAnsi="宋体" w:eastAsia="宋体" w:cs="宋体"/>
          <w:color w:val="auto"/>
          <w:highlight w:val="none"/>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3.8除</w:t>
      </w:r>
      <w:r>
        <w:rPr>
          <w:rFonts w:hint="eastAsia" w:ascii="宋体" w:hAnsi="宋体" w:eastAsia="宋体" w:cs="宋体"/>
          <w:color w:val="auto"/>
          <w:highlight w:val="none"/>
        </w:rPr>
        <w:t>本章第3.7条情形外，</w:t>
      </w:r>
      <w:r>
        <w:rPr>
          <w:rFonts w:hint="eastAsia" w:ascii="宋体" w:hAnsi="宋体" w:eastAsia="宋体" w:cs="宋体"/>
          <w:color w:val="auto"/>
          <w:szCs w:val="21"/>
          <w:highlight w:val="none"/>
        </w:rPr>
        <w:t>对磋商过程提交的响应文件进行有效性、完整性和响应程度审查，通过审查的合格供应商不足3家的，采购人或者采购代理机构应当重新开展采购活动。</w:t>
      </w:r>
    </w:p>
    <w:p>
      <w:pPr>
        <w:spacing w:line="360" w:lineRule="auto"/>
        <w:ind w:firstLine="482" w:firstLineChars="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4. 最后报价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4.1磋商文件能够详细列明采购标的的技术、服务要求的，磋商结束后，磋商小组应当要求所有继续参加磋商的供应商在规定时间内在“</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开标大厅提交最后报价，除本章第4.3条外，提交最后报价的供应商不得少于3家，否则必须重新采购。</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开标大厅提交最后报价。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 最后报价是供应商响应文件的有效组成部分。符合《政府采购竞争性磋商采购方式管理暂行办法》（财库〔2014〕214号）第三条第四项“市场竞争不充分的科研项目，以及需要扶持的科技成果转化项目”和</w:t>
      </w:r>
      <w:r>
        <w:rPr>
          <w:rFonts w:hint="eastAsia" w:ascii="宋体" w:hAnsi="宋体" w:eastAsia="宋体" w:cs="宋体"/>
          <w:color w:val="auto"/>
          <w:highlight w:val="none"/>
        </w:rPr>
        <w:t>本章第3.7条情形的，</w:t>
      </w:r>
      <w:r>
        <w:rPr>
          <w:rFonts w:hint="eastAsia" w:ascii="宋体" w:hAnsi="宋体" w:eastAsia="宋体" w:cs="宋体"/>
          <w:color w:val="auto"/>
          <w:szCs w:val="21"/>
          <w:highlight w:val="none"/>
        </w:rPr>
        <w:t>提交最后报价的供应商可以为2家。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4.4已经提交响应文件的供应商，在提交最后报价之前，可以根据磋商情况退出磋商，退出磋商的供应商的响应文件按无效响应处理。采购人、采购代理机构将退还退出磋商的供应商的保证金。</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4.5供应商未在规定时间内提交最后报价的，视同退出磋商，其响应文件按无效处理。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4.6最后报价统一开启后，磋商小组对最后报价进行有效性、完整性和响应程度的审查。</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4.7最后报价出现前后不一致的，按照本章第2.4条的规定修正。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4.8修正后的报价出现下列情形的，按无效响应处理：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（2）经供应商确认修正后的竞标报价（包含首次报价、最后报价）超过所竞标分标规定的采购预算金额或者最高限价的（如本项目公布了最高限价）；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（3）经供应商确认修正后的竞标报价（包含首次报价、最后报价）超过分项采购预算金额或者最高限价的（如本项目公布了最高限价）。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4.9经供应商确认修正后的最后报价作为评审及签订合同的依据。</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4.11最后报价结束后，磋商小组不得再与供应商进行任何形式的商谈。</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5.比较与评价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5.1评审方法：综合评分法。</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5.2经磋商确定最终采购需求和提交最后报价的供应商后，由磋商小组采用综合评分法对提交最后报价的供应商的响应文件和最后报价进行综合评分。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5.3评审时，磋商小组各成员应当独立对每个有效响应的文件进行评价、打分，然后汇总每个供应商每项评分因素的得分。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5.4评审价为供应商的最后报价进行政策性扣除后的价格，评审价只是作为评审时使用。最终成交供应商的成交金额等于最后报价（如有修正，以确认修正后的最后报价为准）。</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5.5由磋商小组根据综合评分情况，按照评审得分由高到低顺序推荐3名以上成交候选供应商，并编写评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hd w:val="clear" w:color="auto" w:fill="auto"/>
        <w:snapToGrid w:val="0"/>
        <w:spacing w:line="360" w:lineRule="auto"/>
        <w:ind w:firstLine="422" w:firstLineChars="200"/>
        <w:rPr>
          <w:rFonts w:hint="eastAsia"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lang w:val="en-US" w:eastAsia="zh-CN"/>
        </w:rPr>
        <w:t>5.7根据财政部《关于推动解决政府采购异常低价问题的通知》（财库〔2026〕2号），政府采购评审中出现下列情形之一的，磋商小组应当启动异常低价投标审查程序：</w:t>
      </w:r>
    </w:p>
    <w:p>
      <w:pPr>
        <w:shd w:val="clear" w:color="auto" w:fill="auto"/>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①最后报价低于全部通过符合性审查供应商最后报价平均值50%的，即最后报价&lt;全部通过符合性审查供应商最后报价平均值×50%； </w:t>
      </w:r>
    </w:p>
    <w:p>
      <w:pPr>
        <w:shd w:val="clear" w:color="auto" w:fill="auto"/>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②最后报价低于通过符合性审查的次低报价供应商最后报价50%的，即最后报价&lt;通过符合性审查的次低报价供应商最后报价×50%； </w:t>
      </w:r>
    </w:p>
    <w:p>
      <w:pPr>
        <w:shd w:val="clear" w:color="auto" w:fill="auto"/>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③最后报价低于采购项目最高限价50%的，即最后报价&lt;采购项目最高限价×50%； </w:t>
      </w:r>
    </w:p>
    <w:p>
      <w:pPr>
        <w:shd w:val="clear" w:color="auto" w:fill="auto"/>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④磋商小组基于专业判断，认为供应商报价过低，有可能影响产品质量或者不能诚信履约的其他情形。 </w:t>
      </w:r>
    </w:p>
    <w:p>
      <w:pPr>
        <w:shd w:val="clear" w:color="auto" w:fill="auto"/>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相关法律法规对供应商报价有规定的，从其规定。 </w:t>
      </w:r>
    </w:p>
    <w:p>
      <w:pPr>
        <w:shd w:val="clear" w:color="auto" w:fill="auto"/>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磋商小组启动异常低价投标审查后，属于前述第①项至第④项情形的，应当要求相关供应商在评审现场合理的时间内对磋商报价作出解释，提供项目具体成本测算等与报价合理性相关的书面说明及必要的证明材料，包括但不限于原材料成本、人工成本、制造费用等，给予相关供应商的合理时间一般不少于30分钟。其中，属于第③项情形，供应商已随投标文件一并提交相关书面说明及必要的证明材料的，在评审现场可不再重复提交。 </w:t>
      </w:r>
    </w:p>
    <w:p>
      <w:pPr>
        <w:shd w:val="clear" w:color="auto" w:fill="auto"/>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磋商小组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磋商小组应当将其作为无效投标处理。 </w:t>
      </w:r>
    </w:p>
    <w:p>
      <w:pPr>
        <w:shd w:val="clear" w:color="auto" w:fill="auto"/>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人、采购代理机构应当为磋商小组在评审现场及时获取同类项目中标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 </w:t>
      </w:r>
    </w:p>
    <w:p>
      <w:pPr>
        <w:shd w:val="clear" w:color="auto" w:fill="auto"/>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异常低价投标审查的启动原因、审查意见和审查结果应当在评审报告中记录，并随供应商提供的相关书面说明及证明材料，以及磋商小组有关互联网浏览、查询历史一并归档。</w:t>
      </w:r>
    </w:p>
    <w:p>
      <w:pPr>
        <w:pStyle w:val="28"/>
        <w:rPr>
          <w:rFonts w:hint="eastAsia" w:ascii="宋体" w:hAnsi="宋体" w:eastAsia="宋体" w:cs="宋体"/>
          <w:color w:val="auto"/>
          <w:highlight w:val="none"/>
        </w:rPr>
      </w:pPr>
    </w:p>
    <w:p>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二、评审标准</w:t>
      </w:r>
    </w:p>
    <w:p>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bCs w:val="0"/>
          <w:color w:val="auto"/>
          <w:szCs w:val="21"/>
          <w:highlight w:val="none"/>
          <w:lang w:val="en-US" w:eastAsia="zh-CN"/>
        </w:rPr>
        <w:t>1.评审依据</w:t>
      </w:r>
      <w:r>
        <w:rPr>
          <w:rFonts w:hint="eastAsia" w:ascii="宋体" w:hAnsi="宋体" w:eastAsia="宋体" w:cs="宋体"/>
          <w:b/>
          <w:bCs w:val="0"/>
          <w:color w:val="auto"/>
          <w:szCs w:val="21"/>
          <w:highlight w:val="none"/>
        </w:rPr>
        <w:t>：</w:t>
      </w:r>
      <w:r>
        <w:rPr>
          <w:rFonts w:hint="eastAsia" w:ascii="宋体" w:hAnsi="宋体" w:eastAsia="宋体" w:cs="宋体"/>
          <w:bCs/>
          <w:color w:val="auto"/>
          <w:szCs w:val="21"/>
          <w:highlight w:val="none"/>
        </w:rPr>
        <w:t>磋商小组将以磋商响应文件为评审依据，对供应商的报价、技术、商务等方面内容按百分制打分。（计分方法按四舍五入取至百分位）</w:t>
      </w:r>
    </w:p>
    <w:p>
      <w:pPr>
        <w:snapToGrid w:val="0"/>
        <w:spacing w:before="156" w:beforeLines="50" w:after="156" w:afterLines="50"/>
        <w:ind w:left="0" w:firstLine="0"/>
        <w:outlineLvl w:val="1"/>
        <w:rPr>
          <w:rFonts w:ascii="宋体" w:hAnsi="宋体" w:cs="宋体"/>
          <w:b/>
          <w:color w:val="auto"/>
          <w:sz w:val="24"/>
          <w:highlight w:val="none"/>
        </w:rPr>
      </w:pPr>
      <w:r>
        <w:rPr>
          <w:rFonts w:hint="eastAsia" w:ascii="宋体" w:hAnsi="宋体" w:cs="宋体"/>
          <w:b/>
          <w:color w:val="auto"/>
          <w:sz w:val="24"/>
          <w:highlight w:val="none"/>
          <w:lang w:val="en-US" w:eastAsia="zh-CN"/>
        </w:rPr>
        <w:t>标项一</w:t>
      </w:r>
      <w:r>
        <w:rPr>
          <w:rFonts w:hint="eastAsia" w:ascii="宋体" w:hAnsi="宋体" w:cs="宋体"/>
          <w:b/>
          <w:color w:val="auto"/>
          <w:sz w:val="24"/>
          <w:highlight w:val="none"/>
        </w:rPr>
        <w:t>：</w:t>
      </w:r>
    </w:p>
    <w:tbl>
      <w:tblPr>
        <w:tblStyle w:val="23"/>
        <w:tblW w:w="0" w:type="auto"/>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2"/>
        <w:gridCol w:w="1000"/>
        <w:gridCol w:w="1291"/>
        <w:gridCol w:w="62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评审因素</w:t>
            </w:r>
          </w:p>
        </w:tc>
        <w:tc>
          <w:tcPr>
            <w:tcW w:w="6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评标标准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价格分（满分15分）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竞标报价（满分15分）</w:t>
            </w:r>
          </w:p>
        </w:tc>
        <w:tc>
          <w:tcPr>
            <w:tcW w:w="6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2"/>
              </w:numPr>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本分标为预留30%专门面向</w:t>
            </w:r>
            <w:r>
              <w:rPr>
                <w:rFonts w:hint="eastAsia" w:ascii="宋体" w:hAnsi="宋体" w:cs="宋体"/>
                <w:i w:val="0"/>
                <w:iCs w:val="0"/>
                <w:color w:val="auto"/>
                <w:kern w:val="0"/>
                <w:sz w:val="21"/>
                <w:szCs w:val="21"/>
                <w:highlight w:val="none"/>
                <w:u w:val="none"/>
                <w:lang w:val="en-US" w:eastAsia="zh-CN" w:bidi="ar"/>
              </w:rPr>
              <w:t>中小</w:t>
            </w:r>
            <w:r>
              <w:rPr>
                <w:rFonts w:hint="eastAsia" w:ascii="宋体" w:hAnsi="宋体" w:eastAsia="宋体" w:cs="宋体"/>
                <w:i w:val="0"/>
                <w:iCs w:val="0"/>
                <w:color w:val="auto"/>
                <w:kern w:val="0"/>
                <w:sz w:val="21"/>
                <w:szCs w:val="21"/>
                <w:highlight w:val="none"/>
                <w:u w:val="none"/>
                <w:lang w:val="en-US" w:eastAsia="zh-CN" w:bidi="ar"/>
              </w:rPr>
              <w:t>企业采购，不执行政策价格扣除，评审价=响应报价。</w:t>
            </w:r>
          </w:p>
          <w:p>
            <w:pPr>
              <w:keepNext w:val="0"/>
              <w:keepLines w:val="0"/>
              <w:widowControl/>
              <w:numPr>
                <w:ilvl w:val="0"/>
                <w:numId w:val="2"/>
              </w:numPr>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竞标报价分采用低价优先法计算，满足磋商文件要求且评审价最低的评审报价为评审基准价，基准价得分为15分。</w:t>
            </w:r>
          </w:p>
          <w:p>
            <w:pPr>
              <w:keepNext w:val="0"/>
              <w:keepLines w:val="0"/>
              <w:widowControl/>
              <w:numPr>
                <w:ilvl w:val="0"/>
                <w:numId w:val="2"/>
              </w:numPr>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某有效供应商价格分=基准价/某有效供应商评审报价×15分。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技术分     （满分6</w:t>
            </w:r>
            <w:r>
              <w:rPr>
                <w:rFonts w:hint="eastAsia" w:ascii="宋体" w:hAnsi="宋体" w:cs="宋体"/>
                <w:b/>
                <w:bCs/>
                <w:i w:val="0"/>
                <w:iCs w:val="0"/>
                <w:color w:val="auto"/>
                <w:kern w:val="0"/>
                <w:sz w:val="21"/>
                <w:szCs w:val="21"/>
                <w:highlight w:val="none"/>
                <w:u w:val="none"/>
                <w:lang w:val="en-US" w:eastAsia="zh-CN" w:bidi="ar"/>
              </w:rPr>
              <w:t>9</w:t>
            </w:r>
            <w:r>
              <w:rPr>
                <w:rFonts w:hint="eastAsia" w:ascii="宋体" w:hAnsi="宋体" w:eastAsia="宋体" w:cs="宋体"/>
                <w:b/>
                <w:bCs/>
                <w:i w:val="0"/>
                <w:iCs w:val="0"/>
                <w:color w:val="auto"/>
                <w:kern w:val="0"/>
                <w:sz w:val="21"/>
                <w:szCs w:val="21"/>
                <w:highlight w:val="none"/>
                <w:u w:val="none"/>
                <w:lang w:val="en-US" w:eastAsia="zh-CN" w:bidi="ar"/>
              </w:rPr>
              <w:t>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(1)项目技术设计方案（主观分，满分30分）</w:t>
            </w:r>
          </w:p>
        </w:tc>
        <w:tc>
          <w:tcPr>
            <w:tcW w:w="6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一档（20分）：结合项目工作要求编制技术方案，含工作内容、工作方法、技术路线、进度计划安排等，满足项目基本需要。</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二档（25分）：在满足上一档的基础上，对项目服务要求进行全面分析，具有详细技术路线方法，列出工作的难点和重点，提出针对性的保障措施。</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三档（30分）：在满足上一档的基础上，结合国家和自治区全民所有自然资源资产清查工作的目标任务，编制项目优化的合理化建议和改进措施。</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注：不符合最低入档条件的按不入档计0分处理。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(2)项目质量保障措施（主观分，满分15分）</w:t>
            </w:r>
          </w:p>
        </w:tc>
        <w:tc>
          <w:tcPr>
            <w:tcW w:w="6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一档（5分）：方案能结合本项目具体工作任务和目标，编制质量保证措施，有专门的质检把关流程，具体的质量管理制度和措施，有明确的内部质量管理奖罚措施。</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二档（10分）：在满足上一档的基础上，实行过程质量检查制度和三级检查制度，编制有保密管理制度和措施，有技术培训、质量意识和保密意识教育。</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三档（15分）：在满足上一档的基础上，对项目工作任务目标进行分析，列出质量保障工作的难点和重点，编制合理化建议。</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注：不符合最低入档条件的按不入档计0分处理。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(3)拟投入本项目人员（</w:t>
            </w:r>
            <w:r>
              <w:rPr>
                <w:rFonts w:hint="eastAsia" w:ascii="宋体" w:hAnsi="宋体" w:eastAsia="宋体" w:cs="宋体"/>
                <w:b/>
                <w:bCs/>
                <w:color w:val="auto"/>
                <w:kern w:val="0"/>
                <w:szCs w:val="21"/>
                <w:highlight w:val="none"/>
                <w:u w:val="none"/>
                <w:lang w:bidi="ar"/>
              </w:rPr>
              <w:t>客观分</w:t>
            </w:r>
            <w:r>
              <w:rPr>
                <w:rFonts w:hint="eastAsia" w:ascii="宋体" w:hAnsi="宋体" w:eastAsia="宋体" w:cs="宋体"/>
                <w:b/>
                <w:bCs/>
                <w:color w:val="auto"/>
                <w:kern w:val="0"/>
                <w:szCs w:val="21"/>
                <w:highlight w:val="none"/>
                <w:u w:val="none"/>
                <w:lang w:eastAsia="zh-CN" w:bidi="ar"/>
              </w:rPr>
              <w:t>，</w:t>
            </w:r>
            <w:r>
              <w:rPr>
                <w:rFonts w:hint="eastAsia" w:ascii="宋体" w:hAnsi="宋体" w:eastAsia="宋体" w:cs="宋体"/>
                <w:b/>
                <w:bCs/>
                <w:i w:val="0"/>
                <w:iCs w:val="0"/>
                <w:color w:val="auto"/>
                <w:kern w:val="0"/>
                <w:sz w:val="21"/>
                <w:szCs w:val="21"/>
                <w:highlight w:val="none"/>
                <w:u w:val="none"/>
                <w:lang w:val="en-US" w:eastAsia="zh-CN" w:bidi="ar"/>
              </w:rPr>
              <w:t>满分2</w:t>
            </w:r>
            <w:r>
              <w:rPr>
                <w:rFonts w:hint="eastAsia" w:ascii="宋体" w:hAnsi="宋体" w:cs="宋体"/>
                <w:b/>
                <w:bCs/>
                <w:i w:val="0"/>
                <w:iCs w:val="0"/>
                <w:color w:val="auto"/>
                <w:kern w:val="0"/>
                <w:sz w:val="21"/>
                <w:szCs w:val="21"/>
                <w:highlight w:val="none"/>
                <w:u w:val="none"/>
                <w:lang w:val="en-US" w:eastAsia="zh-CN" w:bidi="ar"/>
              </w:rPr>
              <w:t>4</w:t>
            </w:r>
            <w:r>
              <w:rPr>
                <w:rFonts w:hint="eastAsia" w:ascii="宋体" w:hAnsi="宋体" w:eastAsia="宋体" w:cs="宋体"/>
                <w:b/>
                <w:bCs/>
                <w:i w:val="0"/>
                <w:iCs w:val="0"/>
                <w:color w:val="auto"/>
                <w:kern w:val="0"/>
                <w:sz w:val="21"/>
                <w:szCs w:val="21"/>
                <w:highlight w:val="none"/>
                <w:u w:val="none"/>
                <w:lang w:val="en-US" w:eastAsia="zh-CN" w:bidi="ar"/>
              </w:rPr>
              <w:t>分）</w:t>
            </w:r>
          </w:p>
        </w:tc>
        <w:tc>
          <w:tcPr>
            <w:tcW w:w="6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（1）项目负责人具备生态环境或土地管理或土地工程与技术或国土空间规划或地质矿产或采矿工程等专业（以职称证上的专业为准）技术职称的：正高级得3分，副高级得2分，中级得1分，满分3分。</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拟投入的其他技术人员中，具备生态环境或土地管理或土地工程与技术或国土空间规划或地质矿产或采矿工程等专业（以职称证上的专业为准）技术职称的，副高级或以上职称每人得1分，中级职称每人得0.5分。满分12分。</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（3）拟投入人员中具有涉密人员培训证书的，每有1人加</w:t>
            </w:r>
            <w:r>
              <w:rPr>
                <w:rFonts w:hint="eastAsia" w:ascii="宋体" w:hAnsi="宋体" w:cs="宋体"/>
                <w:i w:val="0"/>
                <w:iCs w:val="0"/>
                <w:color w:val="auto"/>
                <w:kern w:val="0"/>
                <w:sz w:val="21"/>
                <w:szCs w:val="21"/>
                <w:highlight w:val="none"/>
                <w:u w:val="none"/>
                <w:lang w:val="en-US" w:eastAsia="zh-CN" w:bidi="ar"/>
              </w:rPr>
              <w:t xml:space="preserve"> 1</w:t>
            </w:r>
            <w:r>
              <w:rPr>
                <w:rFonts w:hint="eastAsia" w:ascii="宋体" w:hAnsi="宋体" w:eastAsia="宋体" w:cs="宋体"/>
                <w:i w:val="0"/>
                <w:iCs w:val="0"/>
                <w:color w:val="auto"/>
                <w:kern w:val="0"/>
                <w:sz w:val="21"/>
                <w:szCs w:val="21"/>
                <w:highlight w:val="none"/>
                <w:u w:val="none"/>
                <w:lang w:val="en-US" w:eastAsia="zh-CN" w:bidi="ar"/>
              </w:rPr>
              <w:t>分。满分</w:t>
            </w: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分。</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（4）拟投入人员中具有有效的资产评估师或土地估价师或矿业权评估师执业（职业）资格证书的，每有1人</w:t>
            </w:r>
            <w:r>
              <w:rPr>
                <w:rFonts w:hint="eastAsia" w:ascii="宋体" w:hAnsi="宋体" w:cs="宋体"/>
                <w:i w:val="0"/>
                <w:iCs w:val="0"/>
                <w:color w:val="auto"/>
                <w:kern w:val="0"/>
                <w:sz w:val="21"/>
                <w:szCs w:val="21"/>
                <w:highlight w:val="none"/>
                <w:u w:val="none"/>
                <w:lang w:val="en-US" w:eastAsia="zh-CN" w:bidi="ar"/>
              </w:rPr>
              <w:t>加 1</w:t>
            </w:r>
            <w:r>
              <w:rPr>
                <w:rFonts w:hint="eastAsia" w:ascii="宋体" w:hAnsi="宋体" w:eastAsia="宋体" w:cs="宋体"/>
                <w:i w:val="0"/>
                <w:iCs w:val="0"/>
                <w:color w:val="auto"/>
                <w:kern w:val="0"/>
                <w:sz w:val="21"/>
                <w:szCs w:val="21"/>
                <w:highlight w:val="none"/>
                <w:u w:val="none"/>
                <w:lang w:val="en-US" w:eastAsia="zh-CN" w:bidi="ar"/>
              </w:rPr>
              <w:t>分。满分</w:t>
            </w: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分。</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（注：响应文件中需提供项目拟投入人员的职称证书、涉密人员培训证书、执业（职业）资格证书复印件加盖供应商公章，并提供以上人员在职证明材料复印件（如社保</w:t>
            </w:r>
            <w:r>
              <w:rPr>
                <w:rFonts w:hint="eastAsia" w:ascii="宋体" w:hAnsi="宋体" w:cs="宋体"/>
                <w:b/>
                <w:bCs/>
                <w:i w:val="0"/>
                <w:iCs w:val="0"/>
                <w:color w:val="auto"/>
                <w:kern w:val="0"/>
                <w:sz w:val="21"/>
                <w:szCs w:val="21"/>
                <w:highlight w:val="none"/>
                <w:u w:val="none"/>
                <w:lang w:val="en-US" w:eastAsia="zh-CN" w:bidi="ar"/>
              </w:rPr>
              <w:t>或</w:t>
            </w:r>
            <w:r>
              <w:rPr>
                <w:rFonts w:hint="eastAsia" w:ascii="宋体" w:hAnsi="宋体" w:eastAsia="宋体" w:cs="宋体"/>
                <w:b/>
                <w:bCs/>
                <w:i w:val="0"/>
                <w:iCs w:val="0"/>
                <w:color w:val="auto"/>
                <w:kern w:val="0"/>
                <w:sz w:val="21"/>
                <w:szCs w:val="21"/>
                <w:highlight w:val="none"/>
                <w:u w:val="none"/>
                <w:lang w:val="en-US" w:eastAsia="zh-CN" w:bidi="ar"/>
              </w:rPr>
              <w:t>劳动合同等）并加盖供应商公章，否则不得分）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商务分（满分</w:t>
            </w:r>
            <w:r>
              <w:rPr>
                <w:rFonts w:hint="eastAsia" w:ascii="宋体" w:hAnsi="宋体" w:cs="宋体"/>
                <w:b/>
                <w:bCs/>
                <w:i w:val="0"/>
                <w:iCs w:val="0"/>
                <w:color w:val="auto"/>
                <w:kern w:val="0"/>
                <w:sz w:val="21"/>
                <w:szCs w:val="21"/>
                <w:highlight w:val="none"/>
                <w:u w:val="none"/>
                <w:lang w:val="en-US" w:eastAsia="zh-CN" w:bidi="ar"/>
              </w:rPr>
              <w:t>16</w:t>
            </w:r>
            <w:r>
              <w:rPr>
                <w:rFonts w:hint="eastAsia" w:ascii="宋体" w:hAnsi="宋体" w:eastAsia="宋体" w:cs="宋体"/>
                <w:b/>
                <w:bCs/>
                <w:i w:val="0"/>
                <w:iCs w:val="0"/>
                <w:color w:val="auto"/>
                <w:kern w:val="0"/>
                <w:sz w:val="21"/>
                <w:szCs w:val="21"/>
                <w:highlight w:val="none"/>
                <w:u w:val="none"/>
                <w:lang w:val="en-US" w:eastAsia="zh-CN" w:bidi="ar"/>
              </w:rPr>
              <w:t>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企业能力分（</w:t>
            </w:r>
            <w:r>
              <w:rPr>
                <w:rFonts w:hint="eastAsia" w:ascii="宋体" w:hAnsi="宋体" w:eastAsia="宋体" w:cs="宋体"/>
                <w:b/>
                <w:bCs/>
                <w:color w:val="auto"/>
                <w:kern w:val="0"/>
                <w:szCs w:val="21"/>
                <w:highlight w:val="none"/>
                <w:u w:val="none"/>
                <w:lang w:bidi="ar"/>
              </w:rPr>
              <w:t>客观分</w:t>
            </w:r>
            <w:r>
              <w:rPr>
                <w:rFonts w:hint="eastAsia" w:ascii="宋体" w:hAnsi="宋体" w:eastAsia="宋体" w:cs="宋体"/>
                <w:b/>
                <w:bCs/>
                <w:color w:val="auto"/>
                <w:kern w:val="0"/>
                <w:szCs w:val="21"/>
                <w:highlight w:val="none"/>
                <w:u w:val="none"/>
                <w:lang w:eastAsia="zh-CN" w:bidi="ar"/>
              </w:rPr>
              <w:t>，</w:t>
            </w:r>
            <w:r>
              <w:rPr>
                <w:rFonts w:hint="eastAsia" w:ascii="宋体" w:hAnsi="宋体" w:eastAsia="宋体" w:cs="宋体"/>
                <w:b/>
                <w:bCs/>
                <w:i w:val="0"/>
                <w:iCs w:val="0"/>
                <w:color w:val="auto"/>
                <w:kern w:val="0"/>
                <w:sz w:val="21"/>
                <w:szCs w:val="21"/>
                <w:highlight w:val="none"/>
                <w:u w:val="none"/>
                <w:lang w:val="en-US" w:eastAsia="zh-CN" w:bidi="ar"/>
              </w:rPr>
              <w:t>满分1</w:t>
            </w:r>
            <w:r>
              <w:rPr>
                <w:rFonts w:hint="eastAsia" w:ascii="宋体" w:hAnsi="宋体" w:cs="宋体"/>
                <w:b/>
                <w:bCs/>
                <w:i w:val="0"/>
                <w:iCs w:val="0"/>
                <w:color w:val="auto"/>
                <w:kern w:val="0"/>
                <w:sz w:val="21"/>
                <w:szCs w:val="21"/>
                <w:highlight w:val="none"/>
                <w:u w:val="none"/>
                <w:lang w:val="en-US" w:eastAsia="zh-CN" w:bidi="ar"/>
              </w:rPr>
              <w:t>3</w:t>
            </w:r>
            <w:r>
              <w:rPr>
                <w:rFonts w:hint="eastAsia" w:ascii="宋体" w:hAnsi="宋体" w:eastAsia="宋体" w:cs="宋体"/>
                <w:b/>
                <w:bCs/>
                <w:i w:val="0"/>
                <w:iCs w:val="0"/>
                <w:color w:val="auto"/>
                <w:kern w:val="0"/>
                <w:sz w:val="21"/>
                <w:szCs w:val="21"/>
                <w:highlight w:val="none"/>
                <w:u w:val="none"/>
                <w:lang w:val="en-US" w:eastAsia="zh-CN" w:bidi="ar"/>
              </w:rPr>
              <w:t>分）</w:t>
            </w:r>
          </w:p>
        </w:tc>
        <w:tc>
          <w:tcPr>
            <w:tcW w:w="6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（1）竞标供应商或其单位人员在202</w:t>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年1月1日以来承担的</w:t>
            </w:r>
            <w:r>
              <w:rPr>
                <w:rFonts w:hint="eastAsia" w:ascii="宋体" w:hAnsi="宋体" w:cs="宋体"/>
                <w:i w:val="0"/>
                <w:iCs w:val="0"/>
                <w:color w:val="auto"/>
                <w:kern w:val="0"/>
                <w:sz w:val="21"/>
                <w:szCs w:val="21"/>
                <w:highlight w:val="none"/>
                <w:u w:val="none"/>
                <w:lang w:val="en-US" w:eastAsia="zh-CN" w:bidi="ar"/>
              </w:rPr>
              <w:t>自然资源领域</w:t>
            </w:r>
            <w:r>
              <w:rPr>
                <w:rFonts w:hint="eastAsia" w:ascii="宋体" w:hAnsi="宋体" w:eastAsia="宋体" w:cs="宋体"/>
                <w:i w:val="0"/>
                <w:iCs w:val="0"/>
                <w:color w:val="auto"/>
                <w:kern w:val="0"/>
                <w:sz w:val="21"/>
                <w:szCs w:val="21"/>
                <w:highlight w:val="none"/>
                <w:u w:val="none"/>
                <w:lang w:val="en-US" w:eastAsia="zh-CN" w:bidi="ar"/>
              </w:rPr>
              <w:t>项目获得过省部级（由省/自治区人民政府或国家部委颁发）奖项的，每个得1分，满分</w:t>
            </w:r>
            <w:r>
              <w:rPr>
                <w:rFonts w:hint="eastAsia" w:ascii="宋体" w:hAnsi="宋体" w:cs="宋体"/>
                <w:i w:val="0"/>
                <w:iCs w:val="0"/>
                <w:color w:val="auto"/>
                <w:kern w:val="0"/>
                <w:sz w:val="21"/>
                <w:szCs w:val="21"/>
                <w:highlight w:val="none"/>
                <w:u w:val="none"/>
                <w:lang w:val="en-US" w:eastAsia="zh-CN" w:bidi="ar"/>
              </w:rPr>
              <w:t>10</w:t>
            </w:r>
            <w:r>
              <w:rPr>
                <w:rFonts w:hint="eastAsia" w:ascii="宋体" w:hAnsi="宋体" w:eastAsia="宋体" w:cs="宋体"/>
                <w:i w:val="0"/>
                <w:iCs w:val="0"/>
                <w:color w:val="auto"/>
                <w:kern w:val="0"/>
                <w:sz w:val="21"/>
                <w:szCs w:val="21"/>
                <w:highlight w:val="none"/>
                <w:u w:val="none"/>
                <w:lang w:val="en-US" w:eastAsia="zh-CN" w:bidi="ar"/>
              </w:rPr>
              <w:t>分。由各级行业协会/学会颁发的奖项不予计分。</w:t>
            </w:r>
            <w:r>
              <w:rPr>
                <w:rFonts w:hint="eastAsia" w:ascii="宋体" w:hAnsi="宋体" w:eastAsia="宋体" w:cs="宋体"/>
                <w:b/>
                <w:bCs/>
                <w:i w:val="0"/>
                <w:iCs w:val="0"/>
                <w:color w:val="auto"/>
                <w:kern w:val="0"/>
                <w:sz w:val="21"/>
                <w:szCs w:val="21"/>
                <w:highlight w:val="none"/>
                <w:u w:val="none"/>
                <w:lang w:val="en-US" w:eastAsia="zh-CN" w:bidi="ar"/>
              </w:rPr>
              <w:t>（注：响应文件中需提供获奖证明材料复印件加盖供应商公章；单位人员还需提供以上人员在职证明材料（如社保</w:t>
            </w:r>
            <w:r>
              <w:rPr>
                <w:rFonts w:hint="eastAsia" w:ascii="宋体" w:hAnsi="宋体" w:cs="宋体"/>
                <w:b/>
                <w:bCs/>
                <w:i w:val="0"/>
                <w:iCs w:val="0"/>
                <w:color w:val="auto"/>
                <w:kern w:val="0"/>
                <w:sz w:val="21"/>
                <w:szCs w:val="21"/>
                <w:highlight w:val="none"/>
                <w:u w:val="none"/>
                <w:lang w:val="en-US" w:eastAsia="zh-CN" w:bidi="ar"/>
              </w:rPr>
              <w:t>或</w:t>
            </w:r>
            <w:r>
              <w:rPr>
                <w:rFonts w:hint="eastAsia" w:ascii="宋体" w:hAnsi="宋体" w:eastAsia="宋体" w:cs="宋体"/>
                <w:b/>
                <w:bCs/>
                <w:i w:val="0"/>
                <w:iCs w:val="0"/>
                <w:color w:val="auto"/>
                <w:kern w:val="0"/>
                <w:sz w:val="21"/>
                <w:szCs w:val="21"/>
                <w:highlight w:val="none"/>
                <w:u w:val="none"/>
                <w:lang w:val="en-US" w:eastAsia="zh-CN" w:bidi="ar"/>
              </w:rPr>
              <w:t>劳动合同等）复印件并加盖供应商公章，否则不得分）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1"/>
                <w:szCs w:val="21"/>
                <w:highlight w:val="none"/>
                <w:u w:val="none"/>
              </w:rPr>
            </w:pPr>
          </w:p>
        </w:tc>
        <w:tc>
          <w:tcPr>
            <w:tcW w:w="6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Style w:val="36"/>
                <w:rFonts w:ascii="宋体" w:hAnsi="宋体" w:eastAsia="宋体" w:cs="宋体"/>
                <w:color w:val="auto"/>
                <w:sz w:val="21"/>
                <w:szCs w:val="21"/>
                <w:highlight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竞标供应商</w:t>
            </w:r>
            <w:r>
              <w:rPr>
                <w:rStyle w:val="36"/>
                <w:rFonts w:ascii="宋体" w:hAnsi="宋体" w:eastAsia="宋体" w:cs="宋体"/>
                <w:color w:val="auto"/>
                <w:sz w:val="21"/>
                <w:szCs w:val="21"/>
                <w:highlight w:val="none"/>
                <w:lang w:val="en-US" w:eastAsia="zh-CN" w:bidi="ar"/>
              </w:rPr>
              <w:t>具有质量管理体系认证、环境管理体系认证和职业健康安全管理体系认证证书的，每提供一个得</w:t>
            </w:r>
            <w:r>
              <w:rPr>
                <w:rStyle w:val="37"/>
                <w:rFonts w:hint="eastAsia" w:ascii="宋体" w:hAnsi="宋体" w:eastAsia="宋体" w:cs="宋体"/>
                <w:color w:val="auto"/>
                <w:sz w:val="21"/>
                <w:szCs w:val="21"/>
                <w:highlight w:val="none"/>
                <w:lang w:val="en-US" w:eastAsia="zh-CN" w:bidi="ar"/>
              </w:rPr>
              <w:t>1</w:t>
            </w:r>
            <w:r>
              <w:rPr>
                <w:rStyle w:val="36"/>
                <w:rFonts w:ascii="宋体" w:hAnsi="宋体" w:eastAsia="宋体" w:cs="宋体"/>
                <w:color w:val="auto"/>
                <w:sz w:val="21"/>
                <w:szCs w:val="21"/>
                <w:highlight w:val="none"/>
                <w:lang w:val="en-US" w:eastAsia="zh-CN" w:bidi="ar"/>
              </w:rPr>
              <w:t>分，满分</w:t>
            </w:r>
            <w:r>
              <w:rPr>
                <w:rStyle w:val="37"/>
                <w:rFonts w:hint="eastAsia" w:ascii="宋体" w:hAnsi="宋体" w:eastAsia="宋体" w:cs="宋体"/>
                <w:color w:val="auto"/>
                <w:sz w:val="21"/>
                <w:szCs w:val="21"/>
                <w:highlight w:val="none"/>
                <w:lang w:val="en-US" w:eastAsia="zh-CN" w:bidi="ar"/>
              </w:rPr>
              <w:t>3</w:t>
            </w:r>
            <w:r>
              <w:rPr>
                <w:rStyle w:val="36"/>
                <w:rFonts w:ascii="宋体" w:hAnsi="宋体" w:eastAsia="宋体" w:cs="宋体"/>
                <w:color w:val="auto"/>
                <w:sz w:val="21"/>
                <w:szCs w:val="21"/>
                <w:highlight w:val="none"/>
                <w:lang w:val="en-US" w:eastAsia="zh-CN" w:bidi="ar"/>
              </w:rPr>
              <w:t>分。</w:t>
            </w:r>
            <w:r>
              <w:rPr>
                <w:rFonts w:hint="eastAsia" w:ascii="宋体" w:hAnsi="宋体" w:eastAsia="宋体" w:cs="宋体"/>
                <w:b/>
                <w:bCs/>
                <w:i w:val="0"/>
                <w:iCs w:val="0"/>
                <w:color w:val="auto"/>
                <w:kern w:val="0"/>
                <w:sz w:val="21"/>
                <w:szCs w:val="21"/>
                <w:highlight w:val="none"/>
                <w:u w:val="none"/>
                <w:lang w:val="en-US" w:eastAsia="zh-CN" w:bidi="ar"/>
              </w:rPr>
              <w:t>（注：响应文件中需提供有效证书复印件加盖供应商公章，否则不得分）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业绩分（</w:t>
            </w:r>
            <w:r>
              <w:rPr>
                <w:rFonts w:hint="eastAsia" w:ascii="宋体" w:hAnsi="宋体" w:eastAsia="宋体" w:cs="宋体"/>
                <w:b/>
                <w:bCs/>
                <w:color w:val="auto"/>
                <w:kern w:val="0"/>
                <w:szCs w:val="21"/>
                <w:highlight w:val="none"/>
                <w:u w:val="none"/>
                <w:lang w:bidi="ar"/>
              </w:rPr>
              <w:t>客观分</w:t>
            </w:r>
            <w:r>
              <w:rPr>
                <w:rFonts w:hint="eastAsia" w:ascii="宋体" w:hAnsi="宋体" w:eastAsia="宋体" w:cs="宋体"/>
                <w:b/>
                <w:bCs/>
                <w:color w:val="auto"/>
                <w:kern w:val="0"/>
                <w:szCs w:val="21"/>
                <w:highlight w:val="none"/>
                <w:u w:val="none"/>
                <w:lang w:eastAsia="zh-CN" w:bidi="ar"/>
              </w:rPr>
              <w:t>，</w:t>
            </w:r>
            <w:r>
              <w:rPr>
                <w:rFonts w:hint="eastAsia" w:ascii="宋体" w:hAnsi="宋体" w:eastAsia="宋体" w:cs="宋体"/>
                <w:b/>
                <w:bCs/>
                <w:i w:val="0"/>
                <w:iCs w:val="0"/>
                <w:color w:val="auto"/>
                <w:kern w:val="0"/>
                <w:sz w:val="21"/>
                <w:szCs w:val="21"/>
                <w:highlight w:val="none"/>
                <w:u w:val="none"/>
                <w:lang w:val="en-US" w:eastAsia="zh-CN" w:bidi="ar"/>
              </w:rPr>
              <w:t>满分</w:t>
            </w:r>
            <w:r>
              <w:rPr>
                <w:rFonts w:hint="eastAsia" w:ascii="宋体" w:hAnsi="宋体" w:cs="宋体"/>
                <w:b/>
                <w:bCs/>
                <w:i w:val="0"/>
                <w:iCs w:val="0"/>
                <w:color w:val="auto"/>
                <w:kern w:val="0"/>
                <w:sz w:val="21"/>
                <w:szCs w:val="21"/>
                <w:highlight w:val="none"/>
                <w:u w:val="none"/>
                <w:lang w:val="en-US" w:eastAsia="zh-CN" w:bidi="ar"/>
              </w:rPr>
              <w:t>3</w:t>
            </w:r>
            <w:r>
              <w:rPr>
                <w:rFonts w:hint="eastAsia" w:ascii="宋体" w:hAnsi="宋体" w:eastAsia="宋体" w:cs="宋体"/>
                <w:b/>
                <w:bCs/>
                <w:i w:val="0"/>
                <w:iCs w:val="0"/>
                <w:color w:val="auto"/>
                <w:kern w:val="0"/>
                <w:sz w:val="21"/>
                <w:szCs w:val="21"/>
                <w:highlight w:val="none"/>
                <w:u w:val="none"/>
                <w:lang w:val="en-US" w:eastAsia="zh-CN" w:bidi="ar"/>
              </w:rPr>
              <w:t>分）</w:t>
            </w:r>
          </w:p>
        </w:tc>
        <w:tc>
          <w:tcPr>
            <w:tcW w:w="623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r>
              <w:rPr>
                <w:rStyle w:val="36"/>
                <w:rFonts w:ascii="宋体" w:hAnsi="宋体" w:eastAsia="宋体" w:cs="宋体"/>
                <w:color w:val="auto"/>
                <w:sz w:val="21"/>
                <w:szCs w:val="21"/>
                <w:highlight w:val="none"/>
                <w:lang w:val="en-US" w:eastAsia="zh-CN" w:bidi="ar"/>
              </w:rPr>
              <w:t>2022年1月1日以来，</w:t>
            </w:r>
            <w:r>
              <w:rPr>
                <w:rFonts w:hint="eastAsia" w:ascii="宋体" w:hAnsi="宋体" w:eastAsia="宋体" w:cs="宋体"/>
                <w:i w:val="0"/>
                <w:iCs w:val="0"/>
                <w:color w:val="auto"/>
                <w:kern w:val="0"/>
                <w:sz w:val="21"/>
                <w:szCs w:val="21"/>
                <w:highlight w:val="none"/>
                <w:u w:val="none"/>
                <w:lang w:val="en-US" w:eastAsia="zh-CN" w:bidi="ar"/>
              </w:rPr>
              <w:t>竞标供应商</w:t>
            </w:r>
            <w:r>
              <w:rPr>
                <w:rStyle w:val="36"/>
                <w:rFonts w:ascii="宋体" w:hAnsi="宋体" w:eastAsia="宋体" w:cs="宋体"/>
                <w:color w:val="auto"/>
                <w:sz w:val="21"/>
                <w:szCs w:val="21"/>
                <w:highlight w:val="none"/>
                <w:lang w:val="en-US" w:eastAsia="zh-CN" w:bidi="ar"/>
              </w:rPr>
              <w:t>承担过自然资源资产清查类技术服务项目的，每个得1分，满分</w:t>
            </w:r>
            <w:r>
              <w:rPr>
                <w:rStyle w:val="36"/>
                <w:rFonts w:hint="eastAsia" w:ascii="宋体" w:hAnsi="宋体" w:cs="宋体"/>
                <w:color w:val="auto"/>
                <w:sz w:val="21"/>
                <w:szCs w:val="21"/>
                <w:highlight w:val="none"/>
                <w:lang w:val="en-US" w:eastAsia="zh-CN" w:bidi="ar"/>
              </w:rPr>
              <w:t>3</w:t>
            </w:r>
            <w:r>
              <w:rPr>
                <w:rStyle w:val="36"/>
                <w:rFonts w:ascii="宋体" w:hAnsi="宋体" w:eastAsia="宋体" w:cs="宋体"/>
                <w:color w:val="auto"/>
                <w:sz w:val="21"/>
                <w:szCs w:val="21"/>
                <w:highlight w:val="none"/>
                <w:lang w:val="en-US" w:eastAsia="zh-CN" w:bidi="ar"/>
              </w:rPr>
              <w:t>分。</w:t>
            </w:r>
            <w:r>
              <w:rPr>
                <w:rStyle w:val="38"/>
                <w:rFonts w:ascii="宋体" w:hAnsi="宋体" w:eastAsia="宋体" w:cs="宋体"/>
                <w:color w:val="auto"/>
                <w:sz w:val="21"/>
                <w:szCs w:val="21"/>
                <w:highlight w:val="none"/>
                <w:lang w:val="en-US" w:eastAsia="zh-CN" w:bidi="ar"/>
              </w:rPr>
              <w:t>（注：</w:t>
            </w:r>
            <w:r>
              <w:rPr>
                <w:rStyle w:val="38"/>
                <w:rFonts w:hint="eastAsia" w:ascii="宋体" w:hAnsi="宋体" w:eastAsia="宋体" w:cs="宋体"/>
                <w:color w:val="auto"/>
                <w:sz w:val="21"/>
                <w:szCs w:val="21"/>
                <w:highlight w:val="none"/>
                <w:lang w:val="en-US" w:eastAsia="zh-CN" w:bidi="ar"/>
              </w:rPr>
              <w:t>响应</w:t>
            </w:r>
            <w:r>
              <w:rPr>
                <w:rStyle w:val="38"/>
                <w:rFonts w:ascii="宋体" w:hAnsi="宋体" w:eastAsia="宋体" w:cs="宋体"/>
                <w:color w:val="auto"/>
                <w:sz w:val="21"/>
                <w:szCs w:val="21"/>
                <w:highlight w:val="none"/>
                <w:lang w:val="en-US" w:eastAsia="zh-CN" w:bidi="ar"/>
              </w:rPr>
              <w:t>文件中需附中标/成交通知书或合同复印件加盖</w:t>
            </w:r>
            <w:r>
              <w:rPr>
                <w:rStyle w:val="38"/>
                <w:rFonts w:hint="eastAsia" w:ascii="宋体" w:hAnsi="宋体" w:eastAsia="宋体" w:cs="宋体"/>
                <w:color w:val="auto"/>
                <w:sz w:val="21"/>
                <w:szCs w:val="21"/>
                <w:highlight w:val="none"/>
                <w:lang w:val="en-US" w:eastAsia="zh-CN" w:bidi="ar"/>
              </w:rPr>
              <w:t>供应商</w:t>
            </w:r>
            <w:r>
              <w:rPr>
                <w:rStyle w:val="38"/>
                <w:rFonts w:ascii="宋体" w:hAnsi="宋体" w:eastAsia="宋体" w:cs="宋体"/>
                <w:color w:val="auto"/>
                <w:sz w:val="21"/>
                <w:szCs w:val="21"/>
                <w:highlight w:val="none"/>
                <w:lang w:val="en-US" w:eastAsia="zh-CN" w:bidi="ar"/>
              </w:rPr>
              <w:t>公章，否则不得分）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1"/>
                <w:szCs w:val="21"/>
                <w:highlight w:val="none"/>
                <w:u w:val="none"/>
              </w:rPr>
            </w:pPr>
          </w:p>
        </w:tc>
        <w:tc>
          <w:tcPr>
            <w:tcW w:w="623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8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总得分=1+2+3</w:t>
            </w:r>
          </w:p>
        </w:tc>
      </w:tr>
    </w:tbl>
    <w:p>
      <w:pPr>
        <w:spacing w:line="360" w:lineRule="auto"/>
        <w:ind w:firstLine="420" w:firstLineChars="200"/>
        <w:rPr>
          <w:rFonts w:hint="eastAsia" w:ascii="宋体" w:hAnsi="宋体" w:cs="宋体"/>
          <w:bCs/>
          <w:color w:val="auto"/>
          <w:szCs w:val="21"/>
          <w:highlight w:val="none"/>
          <w:lang w:val="en-US" w:eastAsia="zh-CN"/>
        </w:rPr>
      </w:pPr>
    </w:p>
    <w:p>
      <w:pPr>
        <w:spacing w:line="360" w:lineRule="auto"/>
        <w:ind w:firstLine="420" w:firstLineChars="200"/>
        <w:rPr>
          <w:rFonts w:hint="eastAsia" w:ascii="宋体" w:hAnsi="宋体" w:eastAsia="宋体" w:cs="宋体"/>
          <w:color w:val="auto"/>
          <w:highlight w:val="none"/>
        </w:rPr>
      </w:pPr>
      <w:r>
        <w:rPr>
          <w:rFonts w:hint="eastAsia" w:ascii="宋体" w:hAnsi="宋体" w:cs="宋体"/>
          <w:bCs/>
          <w:color w:val="auto"/>
          <w:szCs w:val="21"/>
          <w:highlight w:val="none"/>
          <w:lang w:val="en-US" w:eastAsia="zh-CN"/>
        </w:rPr>
        <w:t>2</w:t>
      </w:r>
      <w:r>
        <w:rPr>
          <w:rFonts w:hint="eastAsia" w:ascii="宋体" w:hAnsi="宋体" w:eastAsia="宋体" w:cs="宋体"/>
          <w:bCs/>
          <w:color w:val="auto"/>
          <w:szCs w:val="21"/>
          <w:highlight w:val="none"/>
        </w:rPr>
        <w:t>.由磋商小组根据综合评分情况，按照评审得分由高到低顺序推荐3名成交候选供应商，并编写评审报告，</w:t>
      </w:r>
      <w:r>
        <w:rPr>
          <w:rFonts w:hint="eastAsia" w:ascii="宋体" w:hAnsi="宋体" w:eastAsia="宋体" w:cs="宋体"/>
          <w:color w:val="auto"/>
          <w:highlight w:val="none"/>
        </w:rPr>
        <w:t>评审报告通过电子交易平台向采购人、采购代理机构提交。</w:t>
      </w:r>
      <w:r>
        <w:rPr>
          <w:rFonts w:hint="eastAsia" w:ascii="宋体" w:hAnsi="宋体" w:eastAsia="宋体" w:cs="宋体"/>
          <w:bCs/>
          <w:color w:val="auto"/>
          <w:szCs w:val="21"/>
          <w:highlight w:val="none"/>
        </w:rPr>
        <w:t>符合本章第4.3条情形的，可以推荐2家成交候选供应商。评审得分相同的，按照最后报价（不计算价格折扣）由低到高的顺序推荐。评审得分且最后报价（不计算价格折扣）相同的，按照技术分由高到低顺序推荐。评审得分、最后报价（不计算价格折扣）、技术得分均相同的，由磋商小组随机抽取推荐。</w:t>
      </w:r>
    </w:p>
    <w:p>
      <w:pPr>
        <w:snapToGrid w:val="0"/>
        <w:spacing w:before="156" w:beforeLines="50" w:after="156" w:afterLines="50"/>
        <w:ind w:left="0" w:firstLine="0"/>
        <w:outlineLvl w:val="1"/>
        <w:rPr>
          <w:rFonts w:hint="eastAsia" w:ascii="宋体" w:hAnsi="宋体" w:cs="宋体"/>
          <w:b/>
          <w:color w:val="auto"/>
          <w:sz w:val="24"/>
          <w:highlight w:val="none"/>
        </w:rPr>
      </w:pPr>
    </w:p>
    <w:p>
      <w:pPr>
        <w:snapToGrid w:val="0"/>
        <w:spacing w:before="156" w:beforeLines="50" w:after="156" w:afterLines="50"/>
        <w:ind w:left="0" w:firstLine="0"/>
        <w:outlineLvl w:val="1"/>
        <w:rPr>
          <w:rFonts w:ascii="宋体" w:hAnsi="宋体" w:cs="宋体"/>
          <w:b/>
          <w:color w:val="auto"/>
          <w:sz w:val="24"/>
          <w:highlight w:val="none"/>
        </w:rPr>
      </w:pPr>
      <w:r>
        <w:rPr>
          <w:rFonts w:hint="eastAsia" w:ascii="宋体" w:hAnsi="宋体" w:cs="宋体"/>
          <w:b/>
          <w:color w:val="auto"/>
          <w:sz w:val="24"/>
          <w:highlight w:val="none"/>
          <w:lang w:val="en-US" w:eastAsia="zh-CN"/>
        </w:rPr>
        <w:t>标项二</w:t>
      </w:r>
      <w:r>
        <w:rPr>
          <w:rFonts w:hint="eastAsia" w:ascii="宋体" w:hAnsi="宋体" w:cs="宋体"/>
          <w:b/>
          <w:color w:val="auto"/>
          <w:sz w:val="24"/>
          <w:highlight w:val="none"/>
        </w:rPr>
        <w:t>：</w:t>
      </w:r>
    </w:p>
    <w:tbl>
      <w:tblPr>
        <w:tblStyle w:val="23"/>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959"/>
        <w:gridCol w:w="7419"/>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959" w:type="dxa"/>
            <w:vAlign w:val="center"/>
          </w:tcPr>
          <w:p>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评分类型</w:t>
            </w:r>
          </w:p>
        </w:tc>
        <w:tc>
          <w:tcPr>
            <w:tcW w:w="7419" w:type="dxa"/>
            <w:vAlign w:val="center"/>
          </w:tcPr>
          <w:p>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评分标准</w:t>
            </w:r>
          </w:p>
        </w:tc>
        <w:tc>
          <w:tcPr>
            <w:tcW w:w="934" w:type="dxa"/>
            <w:vAlign w:val="center"/>
          </w:tcPr>
          <w:p>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1</w:t>
            </w:r>
          </w:p>
        </w:tc>
        <w:tc>
          <w:tcPr>
            <w:tcW w:w="959" w:type="dxa"/>
            <w:vAlign w:val="center"/>
          </w:tcPr>
          <w:p>
            <w:pPr>
              <w:adjustRightInd w:val="0"/>
              <w:jc w:val="center"/>
              <w:textAlignment w:val="baseline"/>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竞标</w:t>
            </w:r>
            <w:r>
              <w:rPr>
                <w:rFonts w:hint="eastAsia" w:ascii="宋体" w:hAnsi="宋体" w:eastAsia="宋体" w:cs="宋体"/>
                <w:b/>
                <w:bCs/>
                <w:color w:val="auto"/>
                <w:szCs w:val="21"/>
                <w:highlight w:val="none"/>
              </w:rPr>
              <w:t>报价</w:t>
            </w:r>
          </w:p>
        </w:tc>
        <w:tc>
          <w:tcPr>
            <w:tcW w:w="7419" w:type="dxa"/>
            <w:vAlign w:val="center"/>
          </w:tcPr>
          <w:p>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本分标为预留30%专门面向</w:t>
            </w:r>
            <w:r>
              <w:rPr>
                <w:rFonts w:hint="eastAsia" w:ascii="宋体" w:hAnsi="宋体" w:cs="宋体"/>
                <w:i w:val="0"/>
                <w:iCs w:val="0"/>
                <w:color w:val="auto"/>
                <w:kern w:val="0"/>
                <w:sz w:val="21"/>
                <w:szCs w:val="21"/>
                <w:highlight w:val="none"/>
                <w:u w:val="none"/>
                <w:lang w:val="en-US" w:eastAsia="zh-CN" w:bidi="ar"/>
              </w:rPr>
              <w:t>中小</w:t>
            </w:r>
            <w:r>
              <w:rPr>
                <w:rFonts w:hint="eastAsia" w:ascii="宋体" w:hAnsi="宋体" w:eastAsia="宋体" w:cs="宋体"/>
                <w:i w:val="0"/>
                <w:iCs w:val="0"/>
                <w:color w:val="auto"/>
                <w:kern w:val="0"/>
                <w:sz w:val="21"/>
                <w:szCs w:val="21"/>
                <w:highlight w:val="none"/>
                <w:u w:val="none"/>
                <w:lang w:val="en-US" w:eastAsia="zh-CN" w:bidi="ar"/>
              </w:rPr>
              <w:t>企业采购，不执行政策价格扣除，评审价=响应报价。</w:t>
            </w:r>
          </w:p>
          <w:p>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竞标报价分采用低价优先法计算，满足磋商文件要求且评审价最低的评审报价为评审基准价，基准价得分为15分。</w:t>
            </w:r>
          </w:p>
          <w:p>
            <w:pPr>
              <w:pStyle w:val="21"/>
              <w:ind w:left="0" w:leftChars="0" w:firstLine="0" w:firstLineChars="0"/>
              <w:rPr>
                <w:rFonts w:hint="eastAsia"/>
                <w:color w:val="auto"/>
                <w:sz w:val="21"/>
                <w:szCs w:val="21"/>
                <w:highlight w:val="none"/>
              </w:rPr>
            </w:pPr>
            <w:r>
              <w:rPr>
                <w:rFonts w:hint="eastAsia" w:ascii="宋体" w:hAnsi="宋体" w:eastAsia="宋体" w:cs="宋体"/>
                <w:i w:val="0"/>
                <w:iCs w:val="0"/>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 xml:space="preserve">某有效供应商价格分=基准价/某有效供应商评审报价×15分。  </w:t>
            </w:r>
          </w:p>
          <w:p>
            <w:pPr>
              <w:snapToGrid w:val="0"/>
              <w:spacing w:line="360" w:lineRule="auto"/>
              <w:rPr>
                <w:rFonts w:hint="eastAsia" w:ascii="宋体" w:hAnsi="宋体" w:eastAsia="宋体" w:cs="宋体"/>
                <w:bCs/>
                <w:color w:val="auto"/>
                <w:szCs w:val="21"/>
                <w:highlight w:val="none"/>
              </w:rPr>
            </w:pPr>
          </w:p>
        </w:tc>
        <w:tc>
          <w:tcPr>
            <w:tcW w:w="934" w:type="dxa"/>
            <w:vAlign w:val="center"/>
          </w:tcPr>
          <w:p>
            <w:pPr>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2</w:t>
            </w:r>
          </w:p>
        </w:tc>
        <w:tc>
          <w:tcPr>
            <w:tcW w:w="959" w:type="dxa"/>
            <w:vAlign w:val="center"/>
          </w:tcPr>
          <w:p>
            <w:pPr>
              <w:adjustRightInd w:val="0"/>
              <w:jc w:val="center"/>
              <w:textAlignment w:val="baseline"/>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技术（</w:t>
            </w:r>
            <w:r>
              <w:rPr>
                <w:rFonts w:hint="eastAsia" w:ascii="宋体" w:hAnsi="宋体" w:eastAsia="宋体" w:cs="宋体"/>
                <w:b/>
                <w:bCs/>
                <w:color w:val="auto"/>
                <w:szCs w:val="21"/>
                <w:highlight w:val="none"/>
                <w:lang w:val="en-US" w:eastAsia="zh-CN"/>
              </w:rPr>
              <w:t>主</w:t>
            </w:r>
            <w:r>
              <w:rPr>
                <w:rFonts w:hint="eastAsia" w:ascii="宋体" w:hAnsi="宋体" w:eastAsia="宋体" w:cs="宋体"/>
                <w:b/>
                <w:bCs/>
                <w:color w:val="auto"/>
                <w:szCs w:val="21"/>
                <w:highlight w:val="none"/>
              </w:rPr>
              <w:t>观分）</w:t>
            </w:r>
          </w:p>
        </w:tc>
        <w:tc>
          <w:tcPr>
            <w:tcW w:w="7419" w:type="dxa"/>
            <w:vAlign w:val="center"/>
          </w:tcPr>
          <w:p>
            <w:pPr>
              <w:spacing w:line="360" w:lineRule="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（1）服务方案</w:t>
            </w:r>
            <w:r>
              <w:rPr>
                <w:rFonts w:hint="eastAsia" w:ascii="宋体" w:hAnsi="宋体" w:eastAsia="宋体" w:cs="宋体"/>
                <w:b/>
                <w:bCs/>
                <w:color w:val="auto"/>
                <w:szCs w:val="21"/>
                <w:highlight w:val="none"/>
                <w:lang w:eastAsia="zh-CN"/>
              </w:rPr>
              <w:t>：</w:t>
            </w:r>
          </w:p>
          <w:p>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①质量体系建设及成果质量监督评价服务方案（满分</w:t>
            </w: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szCs w:val="21"/>
                <w:highlight w:val="none"/>
              </w:rPr>
              <w:t>0分）</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一档（</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分）：服务方案内容简单；仅有服务承诺、保密措施内容。</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二档（</w:t>
            </w:r>
            <w:r>
              <w:rPr>
                <w:rFonts w:hint="eastAsia" w:ascii="宋体" w:hAnsi="宋体" w:eastAsia="宋体" w:cs="宋体"/>
                <w:color w:val="auto"/>
                <w:szCs w:val="21"/>
                <w:highlight w:val="none"/>
                <w:lang w:val="en-US" w:eastAsia="zh-CN"/>
              </w:rPr>
              <w:t>20</w:t>
            </w:r>
            <w:r>
              <w:rPr>
                <w:rFonts w:hint="eastAsia" w:ascii="宋体" w:hAnsi="宋体" w:eastAsia="宋体" w:cs="宋体"/>
                <w:color w:val="auto"/>
                <w:szCs w:val="21"/>
                <w:highlight w:val="none"/>
              </w:rPr>
              <w:t>分）：服务方案中包括服务承诺、现场技术支持、保密措施等内容说明；项目组织机构、人员配置及安排有具体描述；有成果质量控制技术手段或方法的具体说明</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提供简单的工作计划，进度符合服务期要求。</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三档（</w:t>
            </w:r>
            <w:r>
              <w:rPr>
                <w:rFonts w:hint="eastAsia" w:ascii="宋体" w:hAnsi="宋体" w:eastAsia="宋体" w:cs="宋体"/>
                <w:color w:val="auto"/>
                <w:szCs w:val="21"/>
                <w:highlight w:val="none"/>
                <w:lang w:val="en-US" w:eastAsia="zh-CN"/>
              </w:rPr>
              <w:t>25</w:t>
            </w:r>
            <w:r>
              <w:rPr>
                <w:rFonts w:hint="eastAsia" w:ascii="宋体" w:hAnsi="宋体" w:eastAsia="宋体" w:cs="宋体"/>
                <w:color w:val="auto"/>
                <w:szCs w:val="21"/>
                <w:highlight w:val="none"/>
              </w:rPr>
              <w:t>分）：满足二档基础上，对项目工作目标、工作内容、工作重点理解透彻，引用的标准规范现势性符合要求，技术流程科学合理，组织实施安排妥当，方案具体</w:t>
            </w:r>
            <w:r>
              <w:rPr>
                <w:rFonts w:hint="eastAsia" w:ascii="宋体" w:hAnsi="宋体" w:eastAsia="宋体" w:cs="宋体"/>
                <w:color w:val="auto"/>
                <w:szCs w:val="21"/>
                <w:highlight w:val="none"/>
                <w:lang w:val="en-US" w:eastAsia="zh-CN"/>
              </w:rPr>
              <w:t>且有</w:t>
            </w:r>
            <w:r>
              <w:rPr>
                <w:rFonts w:hint="eastAsia" w:ascii="宋体" w:hAnsi="宋体" w:eastAsia="宋体" w:cs="宋体"/>
                <w:color w:val="auto"/>
                <w:szCs w:val="21"/>
                <w:highlight w:val="none"/>
              </w:rPr>
              <w:t>可操作性</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能提供详细的工作计划，进度符合项目需求，并制定有相应控制措施。</w:t>
            </w:r>
          </w:p>
          <w:p>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四档（</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分）：满足三档的基础上，准确把握本项目技术重点、难点，结合项目实际情况，能提供应急服务预案及预防措施、处理办法；完全满足并优于招标文件要求并提供书面承诺，针对本项目提供专门的后续技术服务支持</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提供详细工作计划，进度符合项目需求，并针对项目制定了相应的进度控制措施，进度控制措施满足服务要求，且科学合理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能提供快速的技术服务响应（列明具体响应时间），并提供技术服务联系人姓名、电话、详细地址等信息</w:t>
            </w:r>
            <w:r>
              <w:rPr>
                <w:rFonts w:hint="eastAsia" w:ascii="宋体" w:hAnsi="宋体" w:eastAsia="宋体" w:cs="宋体"/>
                <w:color w:val="auto"/>
                <w:szCs w:val="21"/>
                <w:highlight w:val="none"/>
                <w:lang w:eastAsia="zh-CN"/>
              </w:rPr>
              <w:t>。</w:t>
            </w:r>
          </w:p>
          <w:p>
            <w:pPr>
              <w:spacing w:line="360" w:lineRule="auto"/>
              <w:rPr>
                <w:rFonts w:hint="eastAsia" w:ascii="宋体" w:hAnsi="宋体" w:eastAsia="宋体" w:cs="宋体"/>
                <w:color w:val="auto"/>
                <w:szCs w:val="21"/>
                <w:highlight w:val="none"/>
                <w:lang w:eastAsia="zh-CN"/>
              </w:rPr>
            </w:pPr>
            <w:r>
              <w:rPr>
                <w:rFonts w:hint="eastAsia" w:ascii="宋体" w:hAnsi="宋体" w:eastAsia="宋体" w:cs="宋体"/>
                <w:b/>
                <w:bCs/>
                <w:i w:val="0"/>
                <w:iCs w:val="0"/>
                <w:color w:val="auto"/>
                <w:kern w:val="0"/>
                <w:sz w:val="21"/>
                <w:szCs w:val="21"/>
                <w:highlight w:val="none"/>
                <w:u w:val="none"/>
                <w:lang w:val="en-US" w:eastAsia="zh-CN" w:bidi="ar"/>
              </w:rPr>
              <w:t>注：不符合最低入档条件的按不入档计0分处理。</w:t>
            </w:r>
          </w:p>
        </w:tc>
        <w:tc>
          <w:tcPr>
            <w:tcW w:w="934" w:type="dxa"/>
            <w:vAlign w:val="center"/>
          </w:tcPr>
          <w:p>
            <w:pPr>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3</w:t>
            </w:r>
          </w:p>
        </w:tc>
        <w:tc>
          <w:tcPr>
            <w:tcW w:w="959" w:type="dxa"/>
            <w:vAlign w:val="center"/>
          </w:tcPr>
          <w:p>
            <w:pPr>
              <w:adjustRightInd w:val="0"/>
              <w:jc w:val="center"/>
              <w:textAlignment w:val="baseline"/>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技术（</w:t>
            </w:r>
            <w:r>
              <w:rPr>
                <w:rFonts w:hint="eastAsia" w:ascii="宋体" w:hAnsi="宋体" w:eastAsia="宋体" w:cs="宋体"/>
                <w:b/>
                <w:bCs/>
                <w:color w:val="auto"/>
                <w:szCs w:val="21"/>
                <w:highlight w:val="none"/>
                <w:lang w:val="en-US" w:eastAsia="zh-CN"/>
              </w:rPr>
              <w:t>主</w:t>
            </w:r>
            <w:r>
              <w:rPr>
                <w:rFonts w:hint="eastAsia" w:ascii="宋体" w:hAnsi="宋体" w:eastAsia="宋体" w:cs="宋体"/>
                <w:b/>
                <w:bCs/>
                <w:color w:val="auto"/>
                <w:szCs w:val="21"/>
                <w:highlight w:val="none"/>
              </w:rPr>
              <w:t>观分）</w:t>
            </w:r>
          </w:p>
        </w:tc>
        <w:tc>
          <w:tcPr>
            <w:tcW w:w="7419" w:type="dxa"/>
            <w:vAlign w:val="center"/>
          </w:tcPr>
          <w:p>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（1）服务方案：</w:t>
            </w:r>
          </w:p>
          <w:p>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②质量保证措施（满分15分）</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一档（5分）：投标人建立有质量管理体系并文件化（质量手册、程序文件、作业指导书、记录表格等），并有明确的质量方针和目标，岗位职责明确，质量保证措施内容具体，满足服务要求。</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二档（10分）：满足一档基础上，针对服务要求提供详细的质量保障措施并具有及时的数据检查、质量控制以及反馈纠错措施；具有安全保证机制，措施合理。</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档（15分）：满足二档基础上，提供具有提升服务质量的保障措施；具有及时的数据检查、质量控制以及反馈纠错措施；具有切实有效的安全保证机制，完全满足服务要求，措施合理且对项目重点、难点有针对性。</w:t>
            </w:r>
          </w:p>
          <w:p>
            <w:pPr>
              <w:spacing w:line="360" w:lineRule="auto"/>
              <w:rPr>
                <w:rFonts w:hint="eastAsia" w:ascii="宋体" w:hAnsi="宋体" w:eastAsia="宋体" w:cs="宋体"/>
                <w:color w:val="auto"/>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注：不符合最低入档条件的按不入档计0分处理。</w:t>
            </w:r>
          </w:p>
        </w:tc>
        <w:tc>
          <w:tcPr>
            <w:tcW w:w="934" w:type="dxa"/>
            <w:vAlign w:val="center"/>
          </w:tcPr>
          <w:p>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pPr>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val="en-US" w:eastAsia="zh-CN"/>
              </w:rPr>
              <w:t>4</w:t>
            </w:r>
          </w:p>
        </w:tc>
        <w:tc>
          <w:tcPr>
            <w:tcW w:w="959" w:type="dxa"/>
            <w:vAlign w:val="center"/>
          </w:tcPr>
          <w:p>
            <w:pPr>
              <w:jc w:val="center"/>
              <w:rPr>
                <w:rFonts w:hint="eastAsia" w:ascii="宋体" w:hAnsi="宋体" w:eastAsia="宋体" w:cs="宋体"/>
                <w:bCs/>
                <w:color w:val="auto"/>
                <w:szCs w:val="21"/>
                <w:highlight w:val="none"/>
              </w:rPr>
            </w:pPr>
            <w:r>
              <w:rPr>
                <w:rFonts w:hint="eastAsia" w:ascii="宋体" w:hAnsi="宋体" w:eastAsia="宋体" w:cs="宋体"/>
                <w:b/>
                <w:bCs/>
                <w:color w:val="auto"/>
                <w:szCs w:val="21"/>
                <w:highlight w:val="none"/>
              </w:rPr>
              <w:t>技术（客观分）</w:t>
            </w:r>
          </w:p>
        </w:tc>
        <w:tc>
          <w:tcPr>
            <w:tcW w:w="7419" w:type="dxa"/>
            <w:vAlign w:val="center"/>
          </w:tcPr>
          <w:p>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（2）人员投入情况（满分20分）</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1）投入本项目负责人具备正高级职称得</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分，副高级职称得</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分。</w:t>
            </w:r>
          </w:p>
          <w:p>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）投入本项目其他技术人员（不含项目负责人）</w:t>
            </w:r>
            <w:r>
              <w:rPr>
                <w:rFonts w:hint="eastAsia" w:ascii="宋体" w:hAnsi="宋体" w:eastAsia="宋体" w:cs="宋体"/>
                <w:bCs/>
                <w:color w:val="auto"/>
                <w:kern w:val="0"/>
                <w:szCs w:val="21"/>
                <w:highlight w:val="none"/>
              </w:rPr>
              <w:t>具有</w:t>
            </w:r>
            <w:r>
              <w:rPr>
                <w:rFonts w:hint="eastAsia" w:ascii="宋体" w:hAnsi="宋体" w:eastAsia="宋体" w:cs="宋体"/>
                <w:bCs/>
                <w:color w:val="auto"/>
                <w:kern w:val="0"/>
                <w:szCs w:val="21"/>
                <w:highlight w:val="none"/>
                <w:lang w:eastAsia="zh-CN"/>
              </w:rPr>
              <w:t>副</w:t>
            </w:r>
            <w:r>
              <w:rPr>
                <w:rFonts w:hint="eastAsia" w:ascii="宋体" w:hAnsi="宋体" w:eastAsia="宋体" w:cs="宋体"/>
                <w:bCs/>
                <w:color w:val="auto"/>
                <w:kern w:val="0"/>
                <w:szCs w:val="21"/>
                <w:highlight w:val="none"/>
              </w:rPr>
              <w:t>高级工程师（或以上）职称的</w:t>
            </w:r>
            <w:r>
              <w:rPr>
                <w:rFonts w:hint="eastAsia" w:ascii="宋体" w:hAnsi="宋体" w:eastAsia="宋体" w:cs="宋体"/>
                <w:color w:val="auto"/>
                <w:szCs w:val="21"/>
                <w:highlight w:val="none"/>
              </w:rPr>
              <w:t>，每人得</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分，最多得</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分。</w:t>
            </w:r>
          </w:p>
          <w:p>
            <w:pPr>
              <w:spacing w:line="360" w:lineRule="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投入本项目其他技术人员（不含项目负责人）具有中级工程师（或以上）职称的，每人得</w:t>
            </w:r>
            <w:r>
              <w:rPr>
                <w:rFonts w:hint="eastAsia" w:ascii="宋体" w:hAnsi="宋体" w:eastAsia="宋体" w:cs="宋体"/>
                <w:color w:val="auto"/>
                <w:szCs w:val="21"/>
                <w:highlight w:val="none"/>
                <w:lang w:val="en-US" w:eastAsia="zh-CN"/>
              </w:rPr>
              <w:t>0.5</w:t>
            </w:r>
            <w:r>
              <w:rPr>
                <w:rFonts w:hint="eastAsia" w:ascii="宋体" w:hAnsi="宋体" w:eastAsia="宋体" w:cs="宋体"/>
                <w:color w:val="auto"/>
                <w:szCs w:val="21"/>
                <w:highlight w:val="none"/>
              </w:rPr>
              <w:t>分，最多得</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分。</w:t>
            </w:r>
          </w:p>
          <w:p>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）投入</w:t>
            </w:r>
            <w:r>
              <w:rPr>
                <w:rFonts w:hint="eastAsia" w:ascii="宋体" w:hAnsi="宋体" w:eastAsia="宋体" w:cs="宋体"/>
                <w:color w:val="auto"/>
                <w:szCs w:val="21"/>
                <w:highlight w:val="none"/>
                <w:lang w:val="en-US" w:eastAsia="zh-CN"/>
              </w:rPr>
              <w:t>本项目</w:t>
            </w:r>
            <w:r>
              <w:rPr>
                <w:rFonts w:hint="eastAsia" w:ascii="宋体" w:hAnsi="宋体" w:eastAsia="宋体" w:cs="宋体"/>
                <w:color w:val="auto"/>
                <w:szCs w:val="21"/>
                <w:highlight w:val="none"/>
              </w:rPr>
              <w:t>服务人员具有测绘成果涉密管理人员岗位培训证书的，每人得</w:t>
            </w:r>
            <w:r>
              <w:rPr>
                <w:rFonts w:hint="eastAsia" w:ascii="宋体" w:hAnsi="宋体" w:eastAsia="宋体" w:cs="宋体"/>
                <w:color w:val="auto"/>
                <w:szCs w:val="21"/>
                <w:highlight w:val="none"/>
                <w:lang w:val="en-US" w:eastAsia="zh-CN"/>
              </w:rPr>
              <w:t>0.5</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val="en-US" w:eastAsia="zh-CN"/>
              </w:rPr>
              <w:t>满分3</w:t>
            </w:r>
            <w:r>
              <w:rPr>
                <w:rFonts w:hint="eastAsia" w:ascii="宋体" w:hAnsi="宋体" w:eastAsia="宋体" w:cs="宋体"/>
                <w:color w:val="auto"/>
                <w:szCs w:val="21"/>
                <w:highlight w:val="none"/>
              </w:rPr>
              <w:t>分。</w:t>
            </w:r>
          </w:p>
          <w:p>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（注：以上须提供人员相关证书证明材料复印件，及</w:t>
            </w:r>
            <w:r>
              <w:rPr>
                <w:rFonts w:hint="eastAsia" w:ascii="宋体" w:hAnsi="宋体" w:cs="宋体"/>
                <w:b/>
                <w:bCs/>
                <w:color w:val="auto"/>
                <w:szCs w:val="21"/>
                <w:highlight w:val="none"/>
              </w:rPr>
              <w:t>提供以上人员在职证明材料复印件（如社保</w:t>
            </w:r>
            <w:r>
              <w:rPr>
                <w:rFonts w:hint="eastAsia" w:ascii="宋体" w:hAnsi="宋体" w:cs="宋体"/>
                <w:b/>
                <w:bCs/>
                <w:color w:val="auto"/>
                <w:szCs w:val="21"/>
                <w:highlight w:val="none"/>
                <w:lang w:val="en-US" w:eastAsia="zh-CN"/>
              </w:rPr>
              <w:t>或</w:t>
            </w:r>
            <w:r>
              <w:rPr>
                <w:rFonts w:hint="eastAsia" w:ascii="宋体" w:hAnsi="宋体" w:cs="宋体"/>
                <w:b/>
                <w:bCs/>
                <w:color w:val="auto"/>
                <w:szCs w:val="21"/>
                <w:highlight w:val="none"/>
              </w:rPr>
              <w:t>劳动合同等）并加盖供应商公章</w:t>
            </w:r>
            <w:r>
              <w:rPr>
                <w:rFonts w:hint="eastAsia" w:ascii="宋体" w:hAnsi="宋体" w:eastAsia="宋体" w:cs="宋体"/>
                <w:b/>
                <w:bCs/>
                <w:color w:val="auto"/>
                <w:szCs w:val="21"/>
                <w:highlight w:val="none"/>
              </w:rPr>
              <w:t xml:space="preserve">。证明材料不齐全或不符合要求的，该人员不予计算） </w:t>
            </w:r>
          </w:p>
        </w:tc>
        <w:tc>
          <w:tcPr>
            <w:tcW w:w="934" w:type="dxa"/>
            <w:vAlign w:val="center"/>
          </w:tcPr>
          <w:p>
            <w:pPr>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pPr>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val="en-US" w:eastAsia="zh-CN"/>
              </w:rPr>
              <w:t>5</w:t>
            </w:r>
          </w:p>
        </w:tc>
        <w:tc>
          <w:tcPr>
            <w:tcW w:w="959" w:type="dxa"/>
            <w:vAlign w:val="center"/>
          </w:tcPr>
          <w:p>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商务（客观分）</w:t>
            </w:r>
          </w:p>
        </w:tc>
        <w:tc>
          <w:tcPr>
            <w:tcW w:w="7419" w:type="dxa"/>
          </w:tcPr>
          <w:p>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（1）与本项目相关的业绩和经验（满分</w:t>
            </w:r>
            <w:r>
              <w:rPr>
                <w:rFonts w:hint="eastAsia" w:ascii="宋体" w:hAnsi="宋体" w:eastAsia="宋体" w:cs="宋体"/>
                <w:b/>
                <w:bCs/>
                <w:color w:val="auto"/>
                <w:szCs w:val="21"/>
                <w:highlight w:val="none"/>
                <w:lang w:val="en-US" w:eastAsia="zh-CN"/>
              </w:rPr>
              <w:t>15</w:t>
            </w:r>
            <w:r>
              <w:rPr>
                <w:rFonts w:hint="eastAsia" w:ascii="宋体" w:hAnsi="宋体" w:eastAsia="宋体" w:cs="宋体"/>
                <w:b/>
                <w:bCs/>
                <w:color w:val="auto"/>
                <w:szCs w:val="21"/>
                <w:highlight w:val="none"/>
              </w:rPr>
              <w:t>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201</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年以来开展</w:t>
            </w:r>
            <w:r>
              <w:rPr>
                <w:rFonts w:hint="eastAsia" w:ascii="宋体" w:hAnsi="宋体" w:eastAsia="宋体" w:cs="宋体"/>
                <w:color w:val="auto"/>
                <w:szCs w:val="21"/>
                <w:highlight w:val="none"/>
                <w:lang w:val="en-US" w:eastAsia="zh-CN"/>
              </w:rPr>
              <w:t>过类似项目或</w:t>
            </w:r>
            <w:r>
              <w:rPr>
                <w:rFonts w:hint="eastAsia" w:ascii="宋体" w:hAnsi="宋体" w:eastAsia="宋体" w:cs="宋体"/>
                <w:color w:val="auto"/>
                <w:szCs w:val="21"/>
                <w:highlight w:val="none"/>
              </w:rPr>
              <w:t>测绘类相关项目成果检查验收或过程检查的，每个得</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分，满分</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分。</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（注：需提供中标（成交）通知书或合同复印件</w:t>
            </w:r>
            <w:r>
              <w:rPr>
                <w:rFonts w:hint="eastAsia" w:ascii="宋体" w:hAnsi="宋体" w:eastAsia="宋体" w:cs="宋体"/>
                <w:color w:val="auto"/>
                <w:szCs w:val="21"/>
                <w:highlight w:val="none"/>
                <w:lang w:val="en-US" w:eastAsia="zh-CN"/>
              </w:rPr>
              <w:t>或</w:t>
            </w:r>
            <w:r>
              <w:rPr>
                <w:rFonts w:hint="eastAsia" w:ascii="宋体" w:hAnsi="宋体" w:eastAsia="宋体" w:cs="宋体"/>
                <w:color w:val="auto"/>
                <w:szCs w:val="21"/>
                <w:highlight w:val="none"/>
              </w:rPr>
              <w:t>上级部门的任务通知书作为证明材料）</w:t>
            </w:r>
          </w:p>
        </w:tc>
        <w:tc>
          <w:tcPr>
            <w:tcW w:w="934" w:type="dxa"/>
            <w:vAlign w:val="center"/>
          </w:tcPr>
          <w:p>
            <w:pPr>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pPr>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val="en-US" w:eastAsia="zh-CN"/>
              </w:rPr>
              <w:t>6</w:t>
            </w:r>
          </w:p>
        </w:tc>
        <w:tc>
          <w:tcPr>
            <w:tcW w:w="959" w:type="dxa"/>
            <w:vAlign w:val="center"/>
          </w:tcPr>
          <w:p>
            <w:pPr>
              <w:adjustRightInd w:val="0"/>
              <w:jc w:val="center"/>
              <w:textAlignment w:val="baseline"/>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商务（客观分）</w:t>
            </w:r>
          </w:p>
        </w:tc>
        <w:tc>
          <w:tcPr>
            <w:tcW w:w="7419" w:type="dxa"/>
          </w:tcPr>
          <w:p>
            <w:pPr>
              <w:spacing w:line="360" w:lineRule="auto"/>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（2）获得的</w:t>
            </w:r>
            <w:r>
              <w:rPr>
                <w:rFonts w:hint="eastAsia" w:ascii="宋体" w:hAnsi="宋体" w:eastAsia="宋体" w:cs="宋体"/>
                <w:b/>
                <w:bCs/>
                <w:color w:val="auto"/>
                <w:szCs w:val="21"/>
                <w:highlight w:val="none"/>
                <w:lang w:val="en-US" w:eastAsia="zh-CN"/>
              </w:rPr>
              <w:t>信誉</w:t>
            </w:r>
            <w:r>
              <w:rPr>
                <w:rFonts w:hint="eastAsia" w:ascii="宋体" w:hAnsi="宋体" w:eastAsia="宋体" w:cs="宋体"/>
                <w:b/>
                <w:bCs/>
                <w:color w:val="auto"/>
                <w:szCs w:val="21"/>
                <w:highlight w:val="none"/>
              </w:rPr>
              <w:t>（满分</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分）</w:t>
            </w:r>
          </w:p>
          <w:p>
            <w:pPr>
              <w:spacing w:line="360" w:lineRule="auto"/>
              <w:ind w:firstLine="210" w:firstLineChars="100"/>
              <w:outlineLvl w:val="9"/>
              <w:rPr>
                <w:rFonts w:hint="eastAsia" w:ascii="宋体" w:hAnsi="宋体" w:eastAsia="宋体" w:cs="宋体"/>
                <w:bCs/>
                <w:color w:val="auto"/>
                <w:szCs w:val="21"/>
                <w:highlight w:val="none"/>
              </w:rPr>
            </w:pPr>
            <w:r>
              <w:rPr>
                <w:rFonts w:hint="eastAsia" w:ascii="宋体" w:hAnsi="宋体" w:eastAsia="宋体" w:cs="宋体"/>
                <w:bCs/>
                <w:color w:val="auto"/>
                <w:kern w:val="0"/>
                <w:szCs w:val="21"/>
                <w:highlight w:val="none"/>
                <w:lang w:val="en-US" w:eastAsia="zh-CN"/>
              </w:rPr>
              <w:t>1)</w:t>
            </w:r>
            <w:r>
              <w:rPr>
                <w:rFonts w:hint="eastAsia" w:ascii="宋体" w:hAnsi="宋体" w:eastAsia="宋体" w:cs="宋体"/>
                <w:color w:val="auto"/>
                <w:szCs w:val="21"/>
                <w:highlight w:val="none"/>
                <w:lang w:val="en-US" w:eastAsia="zh-CN"/>
              </w:rPr>
              <w:t>供应商</w:t>
            </w:r>
            <w:r>
              <w:rPr>
                <w:rFonts w:hint="eastAsia" w:ascii="宋体" w:hAnsi="宋体" w:eastAsia="宋体" w:cs="宋体"/>
                <w:bCs/>
                <w:color w:val="auto"/>
                <w:szCs w:val="21"/>
                <w:highlight w:val="none"/>
              </w:rPr>
              <w:t>提供20</w:t>
            </w:r>
            <w:r>
              <w:rPr>
                <w:rFonts w:hint="eastAsia" w:ascii="宋体" w:hAnsi="宋体" w:eastAsia="宋体" w:cs="宋体"/>
                <w:bCs/>
                <w:color w:val="auto"/>
                <w:szCs w:val="21"/>
                <w:highlight w:val="none"/>
                <w:lang w:val="en-US" w:eastAsia="zh-CN"/>
              </w:rPr>
              <w:t>19</w:t>
            </w:r>
            <w:r>
              <w:rPr>
                <w:rFonts w:hint="eastAsia" w:ascii="宋体" w:hAnsi="宋体" w:eastAsia="宋体" w:cs="宋体"/>
                <w:bCs/>
                <w:color w:val="auto"/>
                <w:szCs w:val="21"/>
                <w:highlight w:val="none"/>
              </w:rPr>
              <w:t>年以来获得的省部级（或以上）科学技术成果登记证书，每份得1分，满分</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分；</w:t>
            </w:r>
          </w:p>
          <w:p>
            <w:pPr>
              <w:spacing w:line="360" w:lineRule="auto"/>
              <w:ind w:firstLine="210" w:firstLineChars="100"/>
              <w:outlineLvl w:val="9"/>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2)</w:t>
            </w:r>
            <w:r>
              <w:rPr>
                <w:rFonts w:hint="eastAsia" w:ascii="宋体" w:hAnsi="宋体" w:eastAsia="宋体" w:cs="宋体"/>
                <w:color w:val="auto"/>
                <w:szCs w:val="21"/>
                <w:highlight w:val="none"/>
                <w:lang w:val="en-US" w:eastAsia="zh-CN"/>
              </w:rPr>
              <w:t>供应商</w:t>
            </w:r>
            <w:r>
              <w:rPr>
                <w:rFonts w:hint="eastAsia" w:ascii="宋体" w:hAnsi="宋体" w:eastAsia="宋体" w:cs="宋体"/>
                <w:bCs/>
                <w:color w:val="auto"/>
                <w:szCs w:val="21"/>
                <w:highlight w:val="none"/>
              </w:rPr>
              <w:t>提供20</w:t>
            </w:r>
            <w:r>
              <w:rPr>
                <w:rFonts w:hint="eastAsia" w:ascii="宋体" w:hAnsi="宋体" w:eastAsia="宋体" w:cs="宋体"/>
                <w:bCs/>
                <w:color w:val="auto"/>
                <w:szCs w:val="21"/>
                <w:highlight w:val="none"/>
                <w:lang w:val="en-US" w:eastAsia="zh-CN"/>
              </w:rPr>
              <w:t>19</w:t>
            </w:r>
            <w:r>
              <w:rPr>
                <w:rFonts w:hint="eastAsia" w:ascii="宋体" w:hAnsi="宋体" w:eastAsia="宋体" w:cs="宋体"/>
                <w:bCs/>
                <w:color w:val="auto"/>
                <w:szCs w:val="21"/>
                <w:highlight w:val="none"/>
              </w:rPr>
              <w:t>年以来获得的省部级（或以上）</w:t>
            </w:r>
            <w:r>
              <w:rPr>
                <w:rFonts w:hint="eastAsia" w:ascii="宋体" w:hAnsi="宋体" w:eastAsia="宋体" w:cs="宋体"/>
                <w:bCs/>
                <w:color w:val="auto"/>
                <w:szCs w:val="21"/>
                <w:highlight w:val="none"/>
                <w:lang w:val="en-US" w:eastAsia="zh-CN"/>
              </w:rPr>
              <w:t>计算机软件著作权</w:t>
            </w:r>
            <w:r>
              <w:rPr>
                <w:rFonts w:hint="eastAsia" w:ascii="宋体" w:hAnsi="宋体" w:eastAsia="宋体" w:cs="宋体"/>
                <w:bCs/>
                <w:color w:val="auto"/>
                <w:szCs w:val="21"/>
                <w:highlight w:val="none"/>
              </w:rPr>
              <w:t>登记证书，每份得</w:t>
            </w:r>
            <w:r>
              <w:rPr>
                <w:rFonts w:hint="eastAsia" w:ascii="宋体" w:hAnsi="宋体" w:eastAsia="宋体" w:cs="宋体"/>
                <w:bCs/>
                <w:color w:val="auto"/>
                <w:szCs w:val="21"/>
                <w:highlight w:val="none"/>
                <w:lang w:val="en-US" w:eastAsia="zh-CN"/>
              </w:rPr>
              <w:t>0.5</w:t>
            </w:r>
            <w:r>
              <w:rPr>
                <w:rFonts w:hint="eastAsia" w:ascii="宋体" w:hAnsi="宋体" w:eastAsia="宋体" w:cs="宋体"/>
                <w:bCs/>
                <w:color w:val="auto"/>
                <w:szCs w:val="21"/>
                <w:highlight w:val="none"/>
              </w:rPr>
              <w:t>分，满分</w:t>
            </w: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rPr>
              <w:t>分；</w:t>
            </w:r>
          </w:p>
          <w:p>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注：</w:t>
            </w:r>
            <w:r>
              <w:rPr>
                <w:rFonts w:hint="eastAsia" w:ascii="宋体" w:hAnsi="宋体" w:eastAsia="宋体" w:cs="宋体"/>
                <w:color w:val="auto"/>
                <w:szCs w:val="21"/>
                <w:highlight w:val="none"/>
              </w:rPr>
              <w:t>须提供加盖公章的证明材料复印件，不提供不得分）</w:t>
            </w:r>
          </w:p>
        </w:tc>
        <w:tc>
          <w:tcPr>
            <w:tcW w:w="934" w:type="dxa"/>
            <w:vAlign w:val="center"/>
          </w:tcPr>
          <w:p>
            <w:pPr>
              <w:jc w:val="center"/>
              <w:rPr>
                <w:rFonts w:hint="eastAsia" w:ascii="宋体" w:hAnsi="宋体" w:eastAsia="宋体" w:cs="宋体"/>
                <w:color w:val="auto"/>
                <w:szCs w:val="21"/>
                <w:highlight w:val="none"/>
                <w:lang w:eastAsia="zh-CN"/>
              </w:rPr>
            </w:pPr>
            <w:r>
              <w:rPr>
                <w:rFonts w:hint="eastAsia" w:ascii="宋体" w:hAnsi="宋体" w:eastAsia="宋体" w:cs="宋体"/>
                <w:bCs/>
                <w:color w:val="auto"/>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854" w:type="dxa"/>
            <w:gridSpan w:val="4"/>
            <w:vAlign w:val="center"/>
          </w:tcPr>
          <w:p>
            <w:pPr>
              <w:jc w:val="both"/>
              <w:rPr>
                <w:rFonts w:hint="default" w:ascii="宋体" w:hAnsi="宋体" w:eastAsia="宋体" w:cs="宋体"/>
                <w:bCs/>
                <w:color w:val="auto"/>
                <w:szCs w:val="21"/>
                <w:highlight w:val="no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总得分=1+2+3+4+5+6</w:t>
            </w:r>
          </w:p>
        </w:tc>
      </w:tr>
    </w:tbl>
    <w:p>
      <w:pPr>
        <w:rPr>
          <w:rFonts w:hint="eastAsia" w:ascii="宋体" w:hAnsi="宋体" w:eastAsia="宋体" w:cs="宋体"/>
          <w:color w:val="auto"/>
          <w:highlight w:val="none"/>
        </w:rPr>
      </w:pPr>
    </w:p>
    <w:p>
      <w:pPr>
        <w:spacing w:line="360" w:lineRule="auto"/>
        <w:ind w:firstLine="420" w:firstLineChars="200"/>
        <w:rPr>
          <w:rFonts w:hint="eastAsia" w:ascii="宋体" w:hAnsi="宋体" w:eastAsia="宋体" w:cs="宋体"/>
          <w:color w:val="auto"/>
          <w:highlight w:val="none"/>
        </w:rPr>
      </w:pPr>
      <w:r>
        <w:rPr>
          <w:rFonts w:hint="eastAsia" w:ascii="宋体" w:hAnsi="宋体" w:cs="宋体"/>
          <w:bCs/>
          <w:color w:val="auto"/>
          <w:szCs w:val="21"/>
          <w:highlight w:val="none"/>
          <w:lang w:val="en-US" w:eastAsia="zh-CN"/>
        </w:rPr>
        <w:t>2</w:t>
      </w:r>
      <w:r>
        <w:rPr>
          <w:rFonts w:hint="eastAsia" w:ascii="宋体" w:hAnsi="宋体" w:eastAsia="宋体" w:cs="宋体"/>
          <w:bCs/>
          <w:color w:val="auto"/>
          <w:szCs w:val="21"/>
          <w:highlight w:val="none"/>
        </w:rPr>
        <w:t>.由磋商小组根据综合评分情况，按照评审得分由高到低顺序推荐3名成交候选供应商，并编写评审报告，</w:t>
      </w:r>
      <w:r>
        <w:rPr>
          <w:rFonts w:hint="eastAsia" w:ascii="宋体" w:hAnsi="宋体" w:eastAsia="宋体" w:cs="宋体"/>
          <w:color w:val="auto"/>
          <w:highlight w:val="none"/>
        </w:rPr>
        <w:t>评审报告通过电子交易平台向采购人、采购代理机构提交。</w:t>
      </w:r>
      <w:r>
        <w:rPr>
          <w:rFonts w:hint="eastAsia" w:ascii="宋体" w:hAnsi="宋体" w:eastAsia="宋体" w:cs="宋体"/>
          <w:bCs/>
          <w:color w:val="auto"/>
          <w:szCs w:val="21"/>
          <w:highlight w:val="none"/>
        </w:rPr>
        <w:t>符合本章第4.3条情形的，可以推荐2家成交候选供应商。评审得分相同的，按照最后报价（不计算价格折扣）由低到高的顺序推荐。评审得分且最后报价（不计算价格折扣）相同的，按照技术分由高到低顺序推荐。评审得分、最后报价（不计算价格折扣）、技术得分均相同的，由磋商小组随机抽取推荐。</w:t>
      </w: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spacing w:line="240" w:lineRule="atLeast"/>
        <w:rPr>
          <w:rFonts w:hint="eastAsia" w:ascii="宋体" w:hAnsi="宋体" w:eastAsia="宋体" w:cs="宋体"/>
          <w:b/>
          <w:color w:val="auto"/>
          <w:sz w:val="32"/>
          <w:szCs w:val="32"/>
          <w:highlight w:val="none"/>
        </w:rPr>
        <w:sectPr>
          <w:headerReference r:id="rId10" w:type="default"/>
          <w:footerReference r:id="rId11" w:type="default"/>
          <w:pgSz w:w="11910" w:h="16840"/>
          <w:pgMar w:top="1340" w:right="1500" w:bottom="280" w:left="1680" w:header="720" w:footer="567" w:gutter="0"/>
          <w:pgNumType w:fmt="decimal"/>
          <w:cols w:space="720" w:num="1"/>
        </w:sectPr>
      </w:pPr>
    </w:p>
    <w:p>
      <w:pPr>
        <w:pStyle w:val="3"/>
        <w:jc w:val="center"/>
        <w:rPr>
          <w:rFonts w:hint="eastAsia" w:ascii="宋体" w:hAnsi="宋体" w:eastAsia="宋体" w:cs="宋体"/>
          <w:b/>
          <w:bCs/>
          <w:color w:val="auto"/>
          <w:highlight w:val="none"/>
        </w:rPr>
      </w:pPr>
      <w:bookmarkStart w:id="120" w:name="_Toc74323460"/>
    </w:p>
    <w:p>
      <w:pPr>
        <w:pStyle w:val="3"/>
        <w:jc w:val="center"/>
        <w:rPr>
          <w:rFonts w:hint="eastAsia" w:ascii="宋体" w:hAnsi="宋体" w:eastAsia="宋体" w:cs="宋体"/>
          <w:b/>
          <w:bCs/>
          <w:color w:val="auto"/>
          <w:highlight w:val="none"/>
        </w:rPr>
      </w:pPr>
    </w:p>
    <w:p>
      <w:pPr>
        <w:pStyle w:val="3"/>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第五章 响应文件格式</w:t>
      </w:r>
      <w:bookmarkEnd w:id="120"/>
    </w:p>
    <w:p>
      <w:pPr>
        <w:spacing w:line="240" w:lineRule="atLeast"/>
        <w:rPr>
          <w:rFonts w:hint="eastAsia" w:ascii="宋体" w:hAnsi="宋体" w:eastAsia="宋体" w:cs="宋体"/>
          <w:b/>
          <w:color w:val="auto"/>
          <w:sz w:val="32"/>
          <w:szCs w:val="32"/>
          <w:highlight w:val="none"/>
        </w:rPr>
        <w:sectPr>
          <w:pgSz w:w="11910" w:h="16840"/>
          <w:pgMar w:top="1340" w:right="1500" w:bottom="280" w:left="1680" w:header="720" w:footer="567" w:gutter="0"/>
          <w:pgNumType w:fmt="decimal"/>
          <w:cols w:space="720" w:num="1"/>
        </w:sectPr>
      </w:pPr>
    </w:p>
    <w:p>
      <w:pPr>
        <w:rPr>
          <w:rFonts w:hint="eastAsia" w:ascii="宋体" w:hAnsi="宋体" w:eastAsia="宋体" w:cs="宋体"/>
          <w:b/>
          <w:color w:val="auto"/>
          <w:sz w:val="32"/>
          <w:szCs w:val="32"/>
          <w:highlight w:val="none"/>
        </w:rPr>
      </w:pPr>
      <w:bookmarkStart w:id="121" w:name="_Toc31728084"/>
      <w:bookmarkStart w:id="122" w:name="_Toc71366186"/>
      <w:bookmarkStart w:id="123" w:name="_Toc31723070"/>
      <w:bookmarkStart w:id="124" w:name="_Toc35611516"/>
      <w:bookmarkStart w:id="125" w:name="_Toc44229899"/>
      <w:bookmarkStart w:id="126" w:name="_Toc35611438"/>
      <w:r>
        <w:rPr>
          <w:rFonts w:hint="eastAsia" w:ascii="宋体" w:hAnsi="宋体" w:eastAsia="宋体" w:cs="宋体"/>
          <w:b/>
          <w:color w:val="auto"/>
          <w:sz w:val="32"/>
          <w:szCs w:val="32"/>
          <w:highlight w:val="none"/>
        </w:rPr>
        <w:t>一、资格证明文件格式</w:t>
      </w:r>
      <w:bookmarkEnd w:id="121"/>
      <w:bookmarkEnd w:id="122"/>
      <w:bookmarkEnd w:id="123"/>
      <w:bookmarkEnd w:id="124"/>
      <w:bookmarkEnd w:id="125"/>
      <w:bookmarkEnd w:id="126"/>
    </w:p>
    <w:p>
      <w:pPr>
        <w:snapToGrid w:val="0"/>
        <w:spacing w:before="156" w:beforeLines="50" w:after="50"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rPr>
        <w:t>1.资格证明文件封面格式：</w:t>
      </w:r>
      <w:r>
        <w:rPr>
          <w:rFonts w:hint="eastAsia" w:ascii="宋体" w:hAnsi="宋体" w:eastAsia="宋体" w:cs="宋体"/>
          <w:b/>
          <w:color w:val="auto"/>
          <w:sz w:val="24"/>
          <w:highlight w:val="none"/>
        </w:rPr>
        <w:t xml:space="preserve"> </w:t>
      </w:r>
    </w:p>
    <w:p>
      <w:pPr>
        <w:snapToGrid w:val="0"/>
        <w:spacing w:before="156" w:beforeLines="50" w:after="50"/>
        <w:jc w:val="center"/>
        <w:rPr>
          <w:rFonts w:hint="eastAsia" w:ascii="宋体" w:hAnsi="宋体" w:eastAsia="宋体" w:cs="宋体"/>
          <w:color w:val="auto"/>
          <w:sz w:val="44"/>
          <w:szCs w:val="44"/>
          <w:highlight w:val="none"/>
        </w:rPr>
      </w:pPr>
    </w:p>
    <w:p>
      <w:pPr>
        <w:snapToGrid w:val="0"/>
        <w:spacing w:before="156" w:beforeLines="50" w:after="50"/>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电 子 响 应 文 件</w:t>
      </w:r>
    </w:p>
    <w:p>
      <w:pPr>
        <w:snapToGrid w:val="0"/>
        <w:spacing w:before="156" w:beforeLines="50" w:after="50"/>
        <w:rPr>
          <w:rFonts w:hint="eastAsia" w:ascii="宋体" w:hAnsi="宋体" w:eastAsia="宋体" w:cs="宋体"/>
          <w:color w:val="auto"/>
          <w:sz w:val="24"/>
          <w:szCs w:val="20"/>
          <w:highlight w:val="none"/>
        </w:rPr>
      </w:pPr>
    </w:p>
    <w:p>
      <w:pPr>
        <w:snapToGrid w:val="0"/>
        <w:spacing w:before="156"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w:t>
      </w:r>
    </w:p>
    <w:p>
      <w:pPr>
        <w:snapToGrid w:val="0"/>
        <w:spacing w:before="156" w:beforeLines="50" w:after="50"/>
        <w:rPr>
          <w:rFonts w:hint="eastAsia" w:ascii="宋体" w:hAnsi="宋体" w:eastAsia="宋体" w:cs="宋体"/>
          <w:bCs/>
          <w:color w:val="auto"/>
          <w:sz w:val="24"/>
          <w:szCs w:val="20"/>
          <w:highlight w:val="none"/>
        </w:rPr>
      </w:pPr>
    </w:p>
    <w:p>
      <w:pPr>
        <w:snapToGrid w:val="0"/>
        <w:spacing w:before="156" w:beforeLines="50" w:after="50"/>
        <w:rPr>
          <w:rFonts w:hint="eastAsia" w:ascii="宋体" w:hAnsi="宋体" w:eastAsia="宋体" w:cs="宋体"/>
          <w:bCs/>
          <w:color w:val="auto"/>
          <w:sz w:val="24"/>
          <w:szCs w:val="20"/>
          <w:highlight w:val="none"/>
        </w:rPr>
      </w:pPr>
    </w:p>
    <w:p>
      <w:pPr>
        <w:snapToGrid w:val="0"/>
        <w:spacing w:before="156" w:beforeLines="50" w:after="50"/>
        <w:rPr>
          <w:rFonts w:hint="eastAsia" w:ascii="宋体" w:hAnsi="宋体" w:eastAsia="宋体" w:cs="宋体"/>
          <w:bCs/>
          <w:color w:val="auto"/>
          <w:sz w:val="24"/>
          <w:szCs w:val="20"/>
          <w:highlight w:val="none"/>
        </w:rPr>
      </w:pPr>
    </w:p>
    <w:p>
      <w:pPr>
        <w:snapToGrid w:val="0"/>
        <w:spacing w:before="156" w:beforeLines="50" w:after="50"/>
        <w:rPr>
          <w:rFonts w:hint="eastAsia" w:ascii="宋体" w:hAnsi="宋体" w:eastAsia="宋体" w:cs="宋体"/>
          <w:bCs/>
          <w:color w:val="auto"/>
          <w:sz w:val="24"/>
          <w:szCs w:val="20"/>
          <w:highlight w:val="none"/>
        </w:rPr>
      </w:pPr>
    </w:p>
    <w:p>
      <w:pPr>
        <w:snapToGrid w:val="0"/>
        <w:spacing w:before="156" w:beforeLines="50" w:after="50"/>
        <w:rPr>
          <w:rFonts w:hint="eastAsia" w:ascii="宋体" w:hAnsi="宋体" w:eastAsia="宋体" w:cs="宋体"/>
          <w:bCs/>
          <w:color w:val="auto"/>
          <w:sz w:val="24"/>
          <w:szCs w:val="20"/>
          <w:highlight w:val="none"/>
        </w:rPr>
      </w:pPr>
    </w:p>
    <w:p>
      <w:pPr>
        <w:snapToGrid w:val="0"/>
        <w:spacing w:before="156"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pPr>
        <w:snapToGrid w:val="0"/>
        <w:spacing w:before="156" w:beforeLines="50" w:after="50"/>
        <w:ind w:firstLine="720" w:firstLineChars="225"/>
        <w:rPr>
          <w:rFonts w:hint="eastAsia" w:ascii="宋体" w:hAnsi="宋体" w:eastAsia="宋体" w:cs="宋体"/>
          <w:bCs/>
          <w:color w:val="auto"/>
          <w:sz w:val="32"/>
          <w:szCs w:val="32"/>
          <w:highlight w:val="none"/>
        </w:rPr>
      </w:pPr>
    </w:p>
    <w:p>
      <w:pPr>
        <w:snapToGrid w:val="0"/>
        <w:spacing w:before="156"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pPr>
        <w:snapToGrid w:val="0"/>
        <w:spacing w:before="156"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pPr>
        <w:snapToGrid w:val="0"/>
        <w:spacing w:before="156"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pPr>
        <w:snapToGrid w:val="0"/>
        <w:spacing w:before="156" w:beforeLines="50" w:after="50"/>
        <w:ind w:firstLine="720" w:firstLineChars="225"/>
        <w:rPr>
          <w:rFonts w:hint="eastAsia" w:ascii="宋体" w:hAnsi="宋体" w:eastAsia="宋体" w:cs="宋体"/>
          <w:bCs/>
          <w:color w:val="auto"/>
          <w:sz w:val="32"/>
          <w:szCs w:val="32"/>
          <w:highlight w:val="none"/>
        </w:rPr>
      </w:pPr>
    </w:p>
    <w:p>
      <w:pPr>
        <w:pStyle w:val="8"/>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pPr>
        <w:snapToGrid w:val="0"/>
        <w:spacing w:before="156" w:beforeLines="50" w:after="50"/>
        <w:ind w:firstLine="640" w:firstLineChars="200"/>
        <w:rPr>
          <w:rFonts w:hint="eastAsia" w:ascii="宋体" w:hAnsi="宋体" w:eastAsia="宋体" w:cs="宋体"/>
          <w:bCs/>
          <w:color w:val="auto"/>
          <w:sz w:val="32"/>
          <w:szCs w:val="32"/>
          <w:highlight w:val="none"/>
        </w:rPr>
      </w:pPr>
    </w:p>
    <w:p>
      <w:pPr>
        <w:pStyle w:val="8"/>
        <w:snapToGrid w:val="0"/>
        <w:spacing w:before="50" w:after="50"/>
        <w:ind w:firstLine="720" w:firstLineChars="225"/>
        <w:rPr>
          <w:rFonts w:hint="eastAsia" w:ascii="宋体" w:hAnsi="宋体" w:eastAsia="宋体" w:cs="宋体"/>
          <w:bCs/>
          <w:color w:val="auto"/>
          <w:sz w:val="32"/>
          <w:szCs w:val="32"/>
          <w:highlight w:val="none"/>
        </w:rPr>
      </w:pPr>
    </w:p>
    <w:p>
      <w:pPr>
        <w:pStyle w:val="8"/>
        <w:snapToGrid w:val="0"/>
        <w:spacing w:before="50" w:after="50"/>
        <w:ind w:firstLine="720" w:firstLineChars="225"/>
        <w:rPr>
          <w:rFonts w:hint="eastAsia" w:ascii="宋体" w:hAnsi="宋体" w:eastAsia="宋体" w:cs="宋体"/>
          <w:bCs/>
          <w:color w:val="auto"/>
          <w:sz w:val="32"/>
          <w:szCs w:val="32"/>
          <w:highlight w:val="none"/>
        </w:rPr>
      </w:pPr>
    </w:p>
    <w:p>
      <w:pPr>
        <w:pStyle w:val="8"/>
        <w:snapToGrid w:val="0"/>
        <w:spacing w:before="50" w:after="50"/>
        <w:ind w:firstLine="1280" w:firstLineChars="400"/>
        <w:rPr>
          <w:rFonts w:hint="eastAsia" w:ascii="宋体" w:hAnsi="宋体" w:eastAsia="宋体" w:cs="宋体"/>
          <w:bCs/>
          <w:color w:val="auto"/>
          <w:sz w:val="32"/>
          <w:szCs w:val="32"/>
          <w:highlight w:val="none"/>
        </w:rPr>
      </w:pPr>
    </w:p>
    <w:p>
      <w:pPr>
        <w:snapToGrid w:val="0"/>
        <w:spacing w:before="156"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pPr>
        <w:snapToGrid w:val="0"/>
        <w:spacing w:before="156" w:beforeLines="50" w:after="50" w:line="360" w:lineRule="auto"/>
        <w:ind w:left="142"/>
        <w:jc w:val="left"/>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2.资格证明文件目录</w:t>
      </w:r>
    </w:p>
    <w:p>
      <w:pPr>
        <w:snapToGrid w:val="0"/>
        <w:spacing w:before="156" w:beforeLines="50" w:after="50" w:line="360" w:lineRule="auto"/>
        <w:ind w:firstLine="645"/>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根据磋商文件第二章供应商须知前附表12.1.1规定及供应商提供的材料自行编写目录（部分格式后附）。</w:t>
      </w:r>
    </w:p>
    <w:p>
      <w:pPr>
        <w:snapToGrid w:val="0"/>
        <w:spacing w:before="156" w:beforeLines="50" w:after="5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 </w:t>
      </w:r>
    </w:p>
    <w:p>
      <w:pPr>
        <w:spacing w:line="300" w:lineRule="auto"/>
        <w:rPr>
          <w:rFonts w:hint="eastAsia" w:ascii="宋体" w:hAnsi="宋体" w:eastAsia="宋体" w:cs="宋体"/>
          <w:color w:val="auto"/>
          <w:szCs w:val="21"/>
          <w:highlight w:val="none"/>
        </w:rPr>
      </w:pPr>
    </w:p>
    <w:p>
      <w:pPr>
        <w:spacing w:line="300" w:lineRule="auto"/>
        <w:rPr>
          <w:rFonts w:hint="eastAsia" w:ascii="宋体" w:hAnsi="宋体" w:eastAsia="宋体" w:cs="宋体"/>
          <w:color w:val="auto"/>
          <w:szCs w:val="21"/>
          <w:highlight w:val="none"/>
        </w:rPr>
      </w:pPr>
    </w:p>
    <w:p>
      <w:pPr>
        <w:spacing w:line="300" w:lineRule="auto"/>
        <w:rPr>
          <w:rFonts w:hint="eastAsia" w:ascii="宋体" w:hAnsi="宋体" w:eastAsia="宋体" w:cs="宋体"/>
          <w:color w:val="auto"/>
          <w:szCs w:val="21"/>
          <w:highlight w:val="none"/>
        </w:rPr>
      </w:pPr>
    </w:p>
    <w:p>
      <w:pPr>
        <w:spacing w:line="300" w:lineRule="auto"/>
        <w:rPr>
          <w:rFonts w:hint="eastAsia" w:ascii="宋体" w:hAnsi="宋体" w:eastAsia="宋体" w:cs="宋体"/>
          <w:color w:val="auto"/>
          <w:szCs w:val="21"/>
          <w:highlight w:val="none"/>
        </w:rPr>
      </w:pPr>
    </w:p>
    <w:p>
      <w:pPr>
        <w:spacing w:line="300" w:lineRule="auto"/>
        <w:rPr>
          <w:rFonts w:hint="eastAsia" w:ascii="宋体" w:hAnsi="宋体" w:eastAsia="宋体" w:cs="宋体"/>
          <w:color w:val="auto"/>
          <w:szCs w:val="21"/>
          <w:highlight w:val="none"/>
        </w:rPr>
      </w:pPr>
    </w:p>
    <w:p>
      <w:pPr>
        <w:spacing w:line="300" w:lineRule="auto"/>
        <w:rPr>
          <w:rFonts w:hint="eastAsia" w:ascii="宋体" w:hAnsi="宋体" w:eastAsia="宋体" w:cs="宋体"/>
          <w:color w:val="auto"/>
          <w:szCs w:val="21"/>
          <w:highlight w:val="none"/>
        </w:rPr>
      </w:pPr>
    </w:p>
    <w:p>
      <w:pPr>
        <w:spacing w:line="300" w:lineRule="auto"/>
        <w:rPr>
          <w:rFonts w:hint="eastAsia" w:ascii="宋体" w:hAnsi="宋体" w:eastAsia="宋体" w:cs="宋体"/>
          <w:color w:val="auto"/>
          <w:szCs w:val="21"/>
          <w:highlight w:val="none"/>
        </w:rPr>
      </w:pPr>
    </w:p>
    <w:p>
      <w:pPr>
        <w:spacing w:line="300" w:lineRule="auto"/>
        <w:rPr>
          <w:rFonts w:hint="eastAsia" w:ascii="宋体" w:hAnsi="宋体" w:eastAsia="宋体" w:cs="宋体"/>
          <w:color w:val="auto"/>
          <w:szCs w:val="21"/>
          <w:highlight w:val="none"/>
        </w:rPr>
      </w:pPr>
    </w:p>
    <w:p>
      <w:pPr>
        <w:spacing w:line="300" w:lineRule="auto"/>
        <w:rPr>
          <w:rFonts w:hint="eastAsia" w:ascii="宋体" w:hAnsi="宋体" w:eastAsia="宋体" w:cs="宋体"/>
          <w:color w:val="auto"/>
          <w:szCs w:val="21"/>
          <w:highlight w:val="none"/>
        </w:rPr>
      </w:pPr>
    </w:p>
    <w:p>
      <w:pPr>
        <w:spacing w:line="300" w:lineRule="auto"/>
        <w:rPr>
          <w:rFonts w:hint="eastAsia" w:ascii="宋体" w:hAnsi="宋体" w:eastAsia="宋体" w:cs="宋体"/>
          <w:color w:val="auto"/>
          <w:szCs w:val="21"/>
          <w:highlight w:val="none"/>
        </w:rPr>
      </w:pPr>
    </w:p>
    <w:p>
      <w:pPr>
        <w:spacing w:line="300" w:lineRule="auto"/>
        <w:rPr>
          <w:rFonts w:hint="eastAsia" w:ascii="宋体" w:hAnsi="宋体" w:eastAsia="宋体" w:cs="宋体"/>
          <w:color w:val="auto"/>
          <w:szCs w:val="21"/>
          <w:highlight w:val="none"/>
        </w:rPr>
      </w:pPr>
    </w:p>
    <w:p>
      <w:pPr>
        <w:spacing w:line="300" w:lineRule="auto"/>
        <w:rPr>
          <w:rFonts w:hint="eastAsia" w:ascii="宋体" w:hAnsi="宋体" w:eastAsia="宋体" w:cs="宋体"/>
          <w:color w:val="auto"/>
          <w:szCs w:val="21"/>
          <w:highlight w:val="none"/>
        </w:rPr>
      </w:pPr>
    </w:p>
    <w:p>
      <w:pPr>
        <w:spacing w:line="300" w:lineRule="auto"/>
        <w:rPr>
          <w:rFonts w:hint="eastAsia" w:ascii="宋体" w:hAnsi="宋体" w:eastAsia="宋体" w:cs="宋体"/>
          <w:color w:val="auto"/>
          <w:szCs w:val="21"/>
          <w:highlight w:val="none"/>
        </w:rPr>
      </w:pPr>
    </w:p>
    <w:p>
      <w:pPr>
        <w:spacing w:line="300" w:lineRule="auto"/>
        <w:rPr>
          <w:rFonts w:hint="eastAsia" w:ascii="宋体" w:hAnsi="宋体" w:eastAsia="宋体" w:cs="宋体"/>
          <w:color w:val="auto"/>
          <w:szCs w:val="21"/>
          <w:highlight w:val="none"/>
        </w:rPr>
      </w:pPr>
    </w:p>
    <w:p>
      <w:pPr>
        <w:spacing w:line="300" w:lineRule="auto"/>
        <w:rPr>
          <w:rFonts w:hint="eastAsia" w:ascii="宋体" w:hAnsi="宋体" w:eastAsia="宋体" w:cs="宋体"/>
          <w:color w:val="auto"/>
          <w:szCs w:val="21"/>
          <w:highlight w:val="none"/>
        </w:rPr>
      </w:pPr>
    </w:p>
    <w:p>
      <w:pPr>
        <w:spacing w:line="3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r>
        <w:rPr>
          <w:rFonts w:hint="eastAsia" w:ascii="宋体" w:hAnsi="宋体" w:eastAsia="宋体" w:cs="宋体"/>
          <w:color w:val="auto"/>
          <w:szCs w:val="21"/>
          <w:highlight w:val="none"/>
        </w:rPr>
        <w:t xml:space="preserve"> </w:t>
      </w:r>
    </w:p>
    <w:p>
      <w:pPr>
        <w:wordWrap w:val="0"/>
        <w:spacing w:before="156" w:beforeLines="50" w:after="50" w:line="320" w:lineRule="exact"/>
        <w:ind w:right="482" w:firstLine="210" w:firstLineChars="100"/>
        <w:contextualSpacing/>
        <w:jc w:val="center"/>
        <w:rPr>
          <w:rFonts w:hint="eastAsia" w:ascii="宋体" w:hAnsi="宋体" w:eastAsia="宋体" w:cs="宋体"/>
          <w:color w:val="auto"/>
          <w:szCs w:val="21"/>
          <w:highlight w:val="none"/>
        </w:rPr>
      </w:pPr>
    </w:p>
    <w:p>
      <w:pPr>
        <w:spacing w:line="36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供应商直接控股、管理关系信息表</w:t>
      </w:r>
    </w:p>
    <w:p>
      <w:pPr>
        <w:snapToGrid w:val="0"/>
        <w:spacing w:before="156" w:beforeLines="50" w:after="50" w:line="360" w:lineRule="auto"/>
        <w:jc w:val="center"/>
        <w:rPr>
          <w:rFonts w:hint="eastAsia" w:ascii="宋体" w:hAnsi="宋体" w:eastAsia="宋体" w:cs="宋体"/>
          <w:b/>
          <w:color w:val="auto"/>
          <w:sz w:val="24"/>
          <w:highlight w:val="none"/>
        </w:rPr>
      </w:pPr>
    </w:p>
    <w:p>
      <w:pPr>
        <w:spacing w:line="360" w:lineRule="auto"/>
        <w:contextualSpacing/>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供应商直接控股股东信息表</w:t>
      </w:r>
    </w:p>
    <w:p>
      <w:pPr>
        <w:spacing w:line="360" w:lineRule="auto"/>
        <w:contextualSpacing/>
        <w:jc w:val="center"/>
        <w:rPr>
          <w:rFonts w:hint="eastAsia" w:ascii="宋体" w:hAnsi="宋体" w:eastAsia="宋体" w:cs="宋体"/>
          <w:b/>
          <w:color w:val="auto"/>
          <w:sz w:val="24"/>
          <w:highlight w:val="none"/>
        </w:rPr>
      </w:pPr>
    </w:p>
    <w:tbl>
      <w:tblPr>
        <w:tblStyle w:val="23"/>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p>
        </w:tc>
      </w:tr>
      <w:tr>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p>
        </w:tc>
      </w:tr>
      <w:tr>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p>
        </w:tc>
      </w:tr>
      <w:tr>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p>
        </w:tc>
      </w:tr>
    </w:tbl>
    <w:p>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pPr>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2.本表所指的控股关系仅限于直接控股关系，不包括间接的控股关系。公司实际控制人与公司之间的关系不属于本表所指的直接控股关系。</w:t>
      </w:r>
    </w:p>
    <w:p>
      <w:pPr>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3.供应商不存在直接控股股东的，则在“直接控股股东名称”填“无”。</w:t>
      </w:r>
    </w:p>
    <w:p>
      <w:pPr>
        <w:spacing w:line="360" w:lineRule="auto"/>
        <w:ind w:firstLine="420" w:firstLineChars="200"/>
        <w:contextualSpacing/>
        <w:jc w:val="left"/>
        <w:rPr>
          <w:rFonts w:hint="eastAsia" w:ascii="宋体" w:hAnsi="宋体" w:eastAsia="宋体" w:cs="宋体"/>
          <w:color w:val="auto"/>
          <w:szCs w:val="21"/>
          <w:highlight w:val="none"/>
        </w:rPr>
      </w:pPr>
    </w:p>
    <w:p>
      <w:pPr>
        <w:spacing w:line="360" w:lineRule="auto"/>
        <w:ind w:firstLine="560" w:firstLineChars="200"/>
        <w:contextualSpacing/>
        <w:jc w:val="left"/>
        <w:rPr>
          <w:rFonts w:hint="eastAsia" w:ascii="宋体" w:hAnsi="宋体" w:eastAsia="宋体" w:cs="宋体"/>
          <w:color w:val="auto"/>
          <w:sz w:val="28"/>
          <w:szCs w:val="28"/>
          <w:highlight w:val="none"/>
        </w:rPr>
      </w:pPr>
    </w:p>
    <w:p>
      <w:pPr>
        <w:spacing w:line="360" w:lineRule="auto"/>
        <w:ind w:right="480"/>
        <w:contextualSpacing/>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法定代表人或者委托代理人（签字</w:t>
      </w:r>
      <w:r>
        <w:rPr>
          <w:rFonts w:hint="eastAsia" w:ascii="宋体" w:hAnsi="宋体" w:cs="宋体"/>
          <w:color w:val="auto"/>
          <w:sz w:val="24"/>
          <w:highlight w:val="none"/>
          <w:lang w:val="en-US" w:eastAsia="zh-CN"/>
        </w:rPr>
        <w:t>或者盖章</w:t>
      </w:r>
      <w:r>
        <w:rPr>
          <w:rFonts w:hint="eastAsia" w:ascii="宋体" w:hAnsi="宋体" w:eastAsia="宋体" w:cs="宋体"/>
          <w:color w:val="auto"/>
          <w:sz w:val="24"/>
          <w:highlight w:val="none"/>
        </w:rPr>
        <w:t>或者电子签名）：</w:t>
      </w:r>
      <w:r>
        <w:rPr>
          <w:rFonts w:hint="eastAsia" w:ascii="宋体" w:hAnsi="宋体" w:eastAsia="宋体" w:cs="宋体"/>
          <w:color w:val="auto"/>
          <w:sz w:val="24"/>
          <w:highlight w:val="none"/>
          <w:u w:val="single"/>
        </w:rPr>
        <w:t xml:space="preserve">                    </w:t>
      </w:r>
    </w:p>
    <w:p>
      <w:pPr>
        <w:spacing w:line="360" w:lineRule="auto"/>
        <w:ind w:right="480" w:firstLine="3000" w:firstLineChars="125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供应商（电子签章）： </w:t>
      </w:r>
      <w:r>
        <w:rPr>
          <w:rFonts w:hint="eastAsia" w:ascii="宋体" w:hAnsi="宋体" w:eastAsia="宋体" w:cs="宋体"/>
          <w:color w:val="auto"/>
          <w:sz w:val="24"/>
          <w:highlight w:val="none"/>
          <w:u w:val="single"/>
        </w:rPr>
        <w:t xml:space="preserve">                              </w:t>
      </w:r>
    </w:p>
    <w:p>
      <w:pPr>
        <w:spacing w:line="360" w:lineRule="auto"/>
        <w:ind w:firstLine="480" w:firstLineChars="200"/>
        <w:contextualSpacing/>
        <w:jc w:val="right"/>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年    月    日</w:t>
      </w:r>
    </w:p>
    <w:p>
      <w:pPr>
        <w:snapToGrid w:val="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spacing w:line="32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供应商直接管理关系信息表</w:t>
      </w:r>
    </w:p>
    <w:p>
      <w:pPr>
        <w:snapToGrid w:val="0"/>
        <w:spacing w:line="360" w:lineRule="auto"/>
        <w:jc w:val="center"/>
        <w:rPr>
          <w:rFonts w:hint="eastAsia" w:ascii="宋体" w:hAnsi="宋体" w:eastAsia="宋体" w:cs="宋体"/>
          <w:b/>
          <w:color w:val="auto"/>
          <w:sz w:val="24"/>
          <w:highlight w:val="none"/>
        </w:rPr>
      </w:pPr>
    </w:p>
    <w:tbl>
      <w:tblPr>
        <w:tblStyle w:val="23"/>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p>
        </w:tc>
      </w:tr>
      <w:tr>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p>
        </w:tc>
      </w:tr>
      <w:tr>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p>
        </w:tc>
      </w:tr>
      <w:tr>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p>
        </w:tc>
      </w:tr>
    </w:tbl>
    <w:p>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pPr>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1.管理关系：是指不具有出资持股关系的其他单位之间存在的管理与被管理关系，如一些上下级关系的事业单位和团体组织。</w:t>
      </w:r>
    </w:p>
    <w:p>
      <w:pPr>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pacing w:val="-6"/>
          <w:sz w:val="24"/>
          <w:highlight w:val="none"/>
        </w:rPr>
        <w:t>本表所指的管理关系仅限于直接管理关系，不包括间接的管理关系。</w:t>
      </w:r>
    </w:p>
    <w:p>
      <w:pPr>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3.供应商不存在直接管理关系的，则在“直接管理关系单位名称”填“无”。</w:t>
      </w:r>
    </w:p>
    <w:p>
      <w:pPr>
        <w:spacing w:line="360" w:lineRule="auto"/>
        <w:contextualSpacing/>
        <w:jc w:val="left"/>
        <w:rPr>
          <w:rFonts w:hint="eastAsia" w:ascii="宋体" w:hAnsi="宋体" w:eastAsia="宋体" w:cs="宋体"/>
          <w:color w:val="auto"/>
          <w:sz w:val="28"/>
          <w:szCs w:val="28"/>
          <w:highlight w:val="none"/>
        </w:rPr>
      </w:pPr>
    </w:p>
    <w:p>
      <w:pPr>
        <w:spacing w:line="360" w:lineRule="auto"/>
        <w:contextualSpacing/>
        <w:jc w:val="left"/>
        <w:rPr>
          <w:rFonts w:hint="eastAsia" w:ascii="宋体" w:hAnsi="宋体" w:eastAsia="宋体" w:cs="宋体"/>
          <w:color w:val="auto"/>
          <w:sz w:val="28"/>
          <w:szCs w:val="28"/>
          <w:highlight w:val="none"/>
        </w:rPr>
      </w:pPr>
    </w:p>
    <w:p>
      <w:pPr>
        <w:spacing w:line="360" w:lineRule="auto"/>
        <w:contextualSpacing/>
        <w:jc w:val="left"/>
        <w:rPr>
          <w:rFonts w:hint="eastAsia" w:ascii="宋体" w:hAnsi="宋体" w:eastAsia="宋体" w:cs="宋体"/>
          <w:color w:val="auto"/>
          <w:sz w:val="28"/>
          <w:szCs w:val="28"/>
          <w:highlight w:val="none"/>
        </w:rPr>
      </w:pPr>
    </w:p>
    <w:p>
      <w:pPr>
        <w:spacing w:line="360" w:lineRule="auto"/>
        <w:contextualSpacing/>
        <w:jc w:val="left"/>
        <w:rPr>
          <w:rFonts w:hint="eastAsia" w:ascii="宋体" w:hAnsi="宋体" w:eastAsia="宋体" w:cs="宋体"/>
          <w:color w:val="auto"/>
          <w:sz w:val="28"/>
          <w:szCs w:val="28"/>
          <w:highlight w:val="none"/>
        </w:rPr>
      </w:pPr>
    </w:p>
    <w:p>
      <w:pPr>
        <w:spacing w:line="360" w:lineRule="auto"/>
        <w:contextualSpacing/>
        <w:jc w:val="left"/>
        <w:rPr>
          <w:rFonts w:hint="eastAsia" w:ascii="宋体" w:hAnsi="宋体" w:eastAsia="宋体" w:cs="宋体"/>
          <w:color w:val="auto"/>
          <w:sz w:val="28"/>
          <w:szCs w:val="28"/>
          <w:highlight w:val="none"/>
        </w:rPr>
      </w:pPr>
    </w:p>
    <w:p>
      <w:pPr>
        <w:spacing w:line="360" w:lineRule="auto"/>
        <w:contextualSpacing/>
        <w:jc w:val="left"/>
        <w:rPr>
          <w:rFonts w:hint="eastAsia" w:ascii="宋体" w:hAnsi="宋体" w:eastAsia="宋体" w:cs="宋体"/>
          <w:color w:val="auto"/>
          <w:sz w:val="28"/>
          <w:szCs w:val="28"/>
          <w:highlight w:val="none"/>
        </w:rPr>
      </w:pPr>
    </w:p>
    <w:p>
      <w:pPr>
        <w:spacing w:line="360" w:lineRule="auto"/>
        <w:ind w:right="480"/>
        <w:contextualSpacing/>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法定代表人或者委托代理人（签字</w:t>
      </w:r>
      <w:r>
        <w:rPr>
          <w:rFonts w:hint="eastAsia" w:ascii="宋体" w:hAnsi="宋体" w:cs="宋体"/>
          <w:color w:val="auto"/>
          <w:sz w:val="24"/>
          <w:highlight w:val="none"/>
          <w:lang w:val="en-US" w:eastAsia="zh-CN"/>
        </w:rPr>
        <w:t>或者盖章</w:t>
      </w:r>
      <w:r>
        <w:rPr>
          <w:rFonts w:hint="eastAsia" w:ascii="宋体" w:hAnsi="宋体" w:eastAsia="宋体" w:cs="宋体"/>
          <w:color w:val="auto"/>
          <w:sz w:val="24"/>
          <w:highlight w:val="none"/>
        </w:rPr>
        <w:t>或者电子签名）：</w:t>
      </w:r>
      <w:r>
        <w:rPr>
          <w:rFonts w:hint="eastAsia" w:ascii="宋体" w:hAnsi="宋体" w:eastAsia="宋体" w:cs="宋体"/>
          <w:color w:val="auto"/>
          <w:sz w:val="24"/>
          <w:highlight w:val="none"/>
          <w:u w:val="single"/>
        </w:rPr>
        <w:t xml:space="preserve">                   </w:t>
      </w:r>
    </w:p>
    <w:p>
      <w:pPr>
        <w:spacing w:line="360" w:lineRule="auto"/>
        <w:ind w:right="480" w:firstLine="3360" w:firstLineChars="14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供应商（电子签章）：</w:t>
      </w:r>
      <w:r>
        <w:rPr>
          <w:rFonts w:hint="eastAsia" w:ascii="宋体" w:hAnsi="宋体" w:eastAsia="宋体" w:cs="宋体"/>
          <w:color w:val="auto"/>
          <w:sz w:val="24"/>
          <w:highlight w:val="none"/>
          <w:u w:val="single"/>
        </w:rPr>
        <w:t xml:space="preserve">                </w:t>
      </w:r>
    </w:p>
    <w:p>
      <w:pPr>
        <w:spacing w:line="360" w:lineRule="auto"/>
        <w:ind w:firstLine="480" w:firstLineChars="200"/>
        <w:contextualSpacing/>
        <w:jc w:val="left"/>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 xml:space="preserve">                                        年    月    日</w:t>
      </w:r>
    </w:p>
    <w:p>
      <w:pPr>
        <w:spacing w:line="320" w:lineRule="exact"/>
        <w:jc w:val="center"/>
        <w:rPr>
          <w:rFonts w:hint="eastAsia" w:ascii="宋体" w:hAnsi="宋体" w:eastAsia="宋体" w:cs="宋体"/>
          <w:b/>
          <w:color w:val="auto"/>
          <w:sz w:val="32"/>
          <w:szCs w:val="32"/>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color w:val="auto"/>
          <w:sz w:val="32"/>
          <w:szCs w:val="32"/>
          <w:highlight w:val="none"/>
        </w:rPr>
        <w:t>竞标声明</w:t>
      </w:r>
    </w:p>
    <w:p>
      <w:pPr>
        <w:spacing w:line="320" w:lineRule="exact"/>
        <w:jc w:val="center"/>
        <w:rPr>
          <w:rFonts w:hint="eastAsia" w:ascii="宋体" w:hAnsi="宋体" w:eastAsia="宋体" w:cs="宋体"/>
          <w:color w:val="auto"/>
          <w:sz w:val="24"/>
          <w:szCs w:val="20"/>
          <w:highlight w:val="none"/>
        </w:rPr>
      </w:pPr>
    </w:p>
    <w:p>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（项目名称）</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分标：</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项目的竞标，为便于贵方公正、择优地确定成交供应商及其竞标产品和服务，我方就本次竞标有关事项郑重声明如下：</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2.我方不是为本次采购项目提供整体设计、规范编制或者项目管理、监理、检测等服务的供应商。</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（1）将按磋商文件的约定履行合同责任和义务；</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（2）已详细审查全部磋商文件，包括澄清或者更正公告（如有）；</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（3）同意提供按照贵方可能要求的与磋商有关的一切数据或者资料；</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（4）响应磋商文件规定的竞标有效期。</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4.我方承诺符合《中华人民共和国政府采购法》第二十二条规定：</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（1）具有独立承担民事责任的能力；</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（2）具有良好的商业信誉和健全的财务会计制度；</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（3）具有履行合同所必需的设备和专业技术能力；</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（4）有依法缴纳税收和社会保障资金的良好记录；</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（5）参加政府采购活动前三年内，在经营活动中没有重大违法记录；</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（6）法律、行政法规规定的其他条件。</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w:t>
      </w:r>
      <w:r>
        <w:rPr>
          <w:rFonts w:hint="eastAsia" w:ascii="宋体" w:hAnsi="宋体" w:eastAsia="宋体" w:cs="宋体"/>
          <w:color w:val="auto"/>
          <w:sz w:val="24"/>
          <w:highlight w:val="none"/>
          <w:lang w:eastAsia="zh-CN"/>
        </w:rPr>
        <w:t>重大税收违法失信主体</w:t>
      </w:r>
      <w:r>
        <w:rPr>
          <w:rFonts w:hint="eastAsia" w:ascii="宋体" w:hAnsi="宋体" w:eastAsia="宋体" w:cs="宋体"/>
          <w:color w:val="auto"/>
          <w:sz w:val="24"/>
          <w:highlight w:val="none"/>
        </w:rPr>
        <w:t>、政府采购严重违法失信行为记录名单，完全符合《中华人民共和国政府采购法》第二十二条规定的供应商资格条件，我方对此声明负全部法律责任。</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内容中</w:t>
      </w:r>
      <w:r>
        <w:rPr>
          <w:rFonts w:hint="eastAsia" w:ascii="宋体" w:hAnsi="宋体" w:eastAsia="宋体" w:cs="宋体"/>
          <w:color w:val="auto"/>
          <w:sz w:val="24"/>
          <w:highlight w:val="none"/>
        </w:rPr>
        <w:t>未</w:t>
      </w:r>
      <w:r>
        <w:rPr>
          <w:rFonts w:hint="eastAsia" w:ascii="宋体" w:hAnsi="宋体" w:eastAsia="宋体" w:cs="宋体"/>
          <w:color w:val="auto"/>
          <w:kern w:val="0"/>
          <w:sz w:val="24"/>
          <w:highlight w:val="none"/>
        </w:rPr>
        <w:t>涉及商业秘密；</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涉及商业秘密的内容有：</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p>
    <w:p>
      <w:pPr>
        <w:widowControl w:val="0"/>
        <w:spacing w:line="360" w:lineRule="auto"/>
        <w:ind w:firstLine="480" w:firstLineChars="200"/>
        <w:contextualSpacing/>
        <w:jc w:val="both"/>
        <w:rPr>
          <w:rFonts w:hint="eastAsia" w:ascii="宋体" w:hAnsi="宋体" w:eastAsia="宋体" w:cs="宋体"/>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lang w:val="en-US" w:eastAsia="zh-CN" w:bidi="ar-SA"/>
        </w:rPr>
        <w:t>7.与本磋商有关的一切正式往来信函请寄：</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邮政编号：</w:t>
      </w:r>
      <w:r>
        <w:rPr>
          <w:rFonts w:hint="eastAsia" w:ascii="宋体" w:hAnsi="宋体" w:eastAsia="宋体" w:cs="宋体"/>
          <w:color w:val="auto"/>
          <w:kern w:val="0"/>
          <w:sz w:val="24"/>
          <w:szCs w:val="24"/>
          <w:highlight w:val="none"/>
          <w:u w:val="single"/>
          <w:lang w:val="en-US" w:eastAsia="zh-CN" w:bidi="ar-SA"/>
        </w:rPr>
        <w:t xml:space="preserve">        </w:t>
      </w:r>
    </w:p>
    <w:p>
      <w:pPr>
        <w:widowControl w:val="0"/>
        <w:spacing w:line="360" w:lineRule="auto"/>
        <w:ind w:firstLine="480" w:firstLineChars="200"/>
        <w:contextualSpacing/>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电话/传真：</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 xml:space="preserve"> 电子邮箱：</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 xml:space="preserve">    </w:t>
      </w:r>
    </w:p>
    <w:p>
      <w:pPr>
        <w:pStyle w:val="14"/>
        <w:tabs>
          <w:tab w:val="left" w:pos="939"/>
        </w:tabs>
        <w:spacing w:line="360" w:lineRule="auto"/>
        <w:ind w:left="141" w:leftChars="67"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账号：</w:t>
      </w:r>
      <w:r>
        <w:rPr>
          <w:rFonts w:hint="eastAsia" w:ascii="宋体" w:hAnsi="宋体" w:eastAsia="宋体" w:cs="宋体"/>
          <w:color w:val="auto"/>
          <w:sz w:val="24"/>
          <w:highlight w:val="none"/>
          <w:u w:val="single"/>
        </w:rPr>
        <w:t xml:space="preserve">                               </w:t>
      </w:r>
    </w:p>
    <w:p>
      <w:pPr>
        <w:pStyle w:val="14"/>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8.以上事项如有虚假或者隐瞒，我方愿意承担一切后果，并不再寻求任何旨在减轻或者免除法律责任的辩解。</w:t>
      </w:r>
    </w:p>
    <w:p>
      <w:pPr>
        <w:pStyle w:val="14"/>
        <w:tabs>
          <w:tab w:val="left" w:pos="939"/>
        </w:tabs>
        <w:spacing w:line="360" w:lineRule="auto"/>
        <w:ind w:left="141" w:leftChars="67"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pPr>
        <w:spacing w:line="360" w:lineRule="auto"/>
        <w:contextualSpacing/>
        <w:jc w:val="left"/>
        <w:rPr>
          <w:rFonts w:hint="eastAsia" w:ascii="宋体" w:hAnsi="宋体" w:eastAsia="宋体" w:cs="宋体"/>
          <w:color w:val="auto"/>
          <w:szCs w:val="21"/>
          <w:highlight w:val="none"/>
        </w:rPr>
      </w:pPr>
    </w:p>
    <w:p>
      <w:pPr>
        <w:spacing w:line="360" w:lineRule="auto"/>
        <w:ind w:firstLine="1575" w:firstLineChars="750"/>
        <w:contextualSpacing/>
        <w:rPr>
          <w:rFonts w:hint="eastAsia" w:ascii="宋体" w:hAnsi="宋体" w:eastAsia="宋体" w:cs="宋体"/>
          <w:color w:val="auto"/>
          <w:highlight w:val="none"/>
        </w:rPr>
      </w:pPr>
      <w:r>
        <w:rPr>
          <w:rFonts w:hint="eastAsia" w:ascii="宋体" w:hAnsi="宋体" w:eastAsia="宋体" w:cs="宋体"/>
          <w:color w:val="auto"/>
          <w:highlight w:val="none"/>
        </w:rPr>
        <w:t>法定代表人（</w:t>
      </w:r>
      <w:r>
        <w:rPr>
          <w:rFonts w:hint="eastAsia" w:ascii="宋体" w:hAnsi="宋体" w:eastAsia="宋体" w:cs="宋体"/>
          <w:color w:val="auto"/>
          <w:sz w:val="24"/>
          <w:highlight w:val="none"/>
        </w:rPr>
        <w:t>签字或者盖章或者电子签名</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pPr>
        <w:spacing w:line="360" w:lineRule="auto"/>
        <w:ind w:firstLine="3780" w:firstLineChars="1800"/>
        <w:contextualSpacing/>
        <w:rPr>
          <w:rFonts w:hint="eastAsia" w:ascii="宋体" w:hAnsi="宋体" w:eastAsia="宋体" w:cs="宋体"/>
          <w:color w:val="auto"/>
          <w:szCs w:val="21"/>
          <w:highlight w:val="none"/>
          <w:u w:val="single"/>
        </w:rPr>
      </w:pPr>
      <w:r>
        <w:rPr>
          <w:rFonts w:hint="eastAsia" w:ascii="宋体" w:hAnsi="宋体" w:eastAsia="宋体" w:cs="宋体"/>
          <w:color w:val="auto"/>
          <w:highlight w:val="none"/>
        </w:rPr>
        <w:t>供应商（电子签章）：</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szCs w:val="21"/>
          <w:highlight w:val="none"/>
        </w:rPr>
        <w:t xml:space="preserve">    </w:t>
      </w:r>
    </w:p>
    <w:p>
      <w:pPr>
        <w:pStyle w:val="14"/>
        <w:tabs>
          <w:tab w:val="left" w:pos="939"/>
        </w:tabs>
        <w:spacing w:line="360" w:lineRule="auto"/>
        <w:ind w:left="0" w:leftChars="0" w:firstLine="420" w:firstLineChars="200"/>
        <w:rPr>
          <w:rFonts w:hint="eastAsia" w:ascii="宋体" w:hAnsi="宋体" w:eastAsia="宋体" w:cs="宋体"/>
          <w:color w:val="auto"/>
          <w:highlight w:val="none"/>
        </w:rPr>
        <w:sectPr>
          <w:pgSz w:w="11910" w:h="16840"/>
          <w:pgMar w:top="1340" w:right="1500" w:bottom="280" w:left="1680" w:header="720" w:footer="567" w:gutter="0"/>
          <w:pgNumType w:fmt="decimal"/>
          <w:cols w:space="720" w:num="1"/>
        </w:sectPr>
      </w:pPr>
      <w:r>
        <w:rPr>
          <w:rFonts w:hint="eastAsia" w:ascii="宋体" w:hAnsi="宋体" w:eastAsia="宋体" w:cs="宋体"/>
          <w:color w:val="auto"/>
          <w:szCs w:val="21"/>
          <w:highlight w:val="none"/>
        </w:rPr>
        <w:t xml:space="preserve">                                                        </w:t>
      </w:r>
      <w:r>
        <w:rPr>
          <w:rFonts w:hint="eastAsia" w:ascii="宋体" w:hAnsi="宋体" w:eastAsia="宋体" w:cs="宋体"/>
          <w:color w:val="auto"/>
          <w:highlight w:val="none"/>
        </w:rPr>
        <w:t xml:space="preserve"> 年    月    日</w:t>
      </w:r>
    </w:p>
    <w:p>
      <w:pPr>
        <w:jc w:val="left"/>
        <w:rPr>
          <w:rFonts w:hint="eastAsia" w:ascii="方正小标宋简体" w:hAnsi="方正小标宋简体" w:eastAsia="方正小标宋简体" w:cs="方正小标宋简体"/>
          <w:color w:val="auto"/>
          <w:sz w:val="44"/>
          <w:szCs w:val="44"/>
          <w:highlight w:val="none"/>
        </w:rPr>
      </w:pPr>
      <w:bookmarkStart w:id="127" w:name="_Toc71365926"/>
      <w:r>
        <w:rPr>
          <w:rFonts w:hint="eastAsia" w:ascii="宋体" w:hAnsi="宋体" w:eastAsia="宋体" w:cs="宋体"/>
          <w:b/>
          <w:bCs/>
          <w:color w:val="auto"/>
          <w:sz w:val="30"/>
          <w:szCs w:val="30"/>
          <w:highlight w:val="none"/>
          <w:lang w:val="en-US" w:eastAsia="zh-CN"/>
        </w:rPr>
        <w:t>竞标供应商</w:t>
      </w:r>
      <w:r>
        <w:rPr>
          <w:rFonts w:hint="eastAsia" w:ascii="宋体" w:hAnsi="宋体" w:eastAsia="宋体" w:cs="宋体"/>
          <w:b/>
          <w:bCs/>
          <w:color w:val="auto"/>
          <w:sz w:val="30"/>
          <w:szCs w:val="30"/>
          <w:highlight w:val="none"/>
          <w:lang w:eastAsia="zh-CN"/>
        </w:rPr>
        <w:t>为</w:t>
      </w:r>
      <w:r>
        <w:rPr>
          <w:rFonts w:hint="eastAsia" w:ascii="宋体" w:hAnsi="宋体" w:cs="宋体"/>
          <w:b/>
          <w:bCs/>
          <w:color w:val="auto"/>
          <w:sz w:val="30"/>
          <w:szCs w:val="30"/>
          <w:highlight w:val="none"/>
          <w:lang w:val="en-US" w:eastAsia="zh-CN"/>
        </w:rPr>
        <w:t>中小</w:t>
      </w:r>
      <w:r>
        <w:rPr>
          <w:rFonts w:hint="eastAsia" w:ascii="宋体" w:hAnsi="宋体" w:eastAsia="宋体" w:cs="宋体"/>
          <w:b/>
          <w:bCs/>
          <w:color w:val="auto"/>
          <w:sz w:val="30"/>
          <w:szCs w:val="30"/>
          <w:highlight w:val="none"/>
          <w:lang w:val="en-US" w:eastAsia="zh-CN"/>
        </w:rPr>
        <w:t>企业承接时必须</w:t>
      </w:r>
      <w:r>
        <w:rPr>
          <w:rFonts w:hint="eastAsia" w:ascii="宋体" w:hAnsi="宋体" w:eastAsia="宋体" w:cs="宋体"/>
          <w:b/>
          <w:bCs/>
          <w:color w:val="auto"/>
          <w:sz w:val="30"/>
          <w:szCs w:val="30"/>
          <w:highlight w:val="none"/>
        </w:rPr>
        <w:t>提供的资格证明材料</w:t>
      </w:r>
    </w:p>
    <w:p>
      <w:pPr>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中小企业声明函（服务）</w:t>
      </w:r>
      <w:bookmarkEnd w:id="127"/>
    </w:p>
    <w:p>
      <w:pPr>
        <w:spacing w:before="2" w:line="500" w:lineRule="exact"/>
        <w:ind w:firstLine="708" w:firstLineChars="294"/>
        <w:rPr>
          <w:rFonts w:ascii="宋体" w:hAnsi="宋体" w:cs="宋体"/>
          <w:b/>
          <w:bCs/>
          <w:color w:val="auto"/>
          <w:sz w:val="24"/>
          <w:highlight w:val="none"/>
        </w:rPr>
      </w:pPr>
    </w:p>
    <w:p>
      <w:pPr>
        <w:pStyle w:val="2"/>
        <w:spacing w:line="500" w:lineRule="exact"/>
        <w:ind w:right="142" w:firstLine="705" w:firstLineChars="294"/>
        <w:rPr>
          <w:rFonts w:ascii="宋体" w:hAnsi="宋体"/>
          <w:color w:val="auto"/>
          <w:sz w:val="24"/>
          <w:highlight w:val="none"/>
        </w:rPr>
      </w:pPr>
      <w:r>
        <w:rPr>
          <w:rFonts w:ascii="宋体" w:hAnsi="宋体"/>
          <w:color w:val="auto"/>
          <w:sz w:val="24"/>
          <w:highlight w:val="none"/>
        </w:rPr>
        <w:t>本公司（联合体）郑重声明，根据《政府采购促进中小企业发展管理办法》（财库﹝2020﹞46号）的规定，本公司（联合体）参加</w:t>
      </w:r>
      <w:r>
        <w:rPr>
          <w:rFonts w:ascii="宋体" w:hAnsi="宋体"/>
          <w:color w:val="auto"/>
          <w:sz w:val="24"/>
          <w:highlight w:val="none"/>
          <w:u w:val="single"/>
        </w:rPr>
        <w:t>（单位名称）</w:t>
      </w:r>
      <w:r>
        <w:rPr>
          <w:rFonts w:ascii="宋体" w:hAnsi="宋体"/>
          <w:color w:val="auto"/>
          <w:sz w:val="24"/>
          <w:highlight w:val="none"/>
        </w:rPr>
        <w:t>的</w:t>
      </w:r>
      <w:r>
        <w:rPr>
          <w:rFonts w:ascii="宋体" w:hAnsi="宋体"/>
          <w:color w:val="auto"/>
          <w:sz w:val="24"/>
          <w:highlight w:val="none"/>
          <w:u w:val="single"/>
        </w:rPr>
        <w:t>（项目名称）</w:t>
      </w:r>
      <w:r>
        <w:rPr>
          <w:rFonts w:ascii="宋体" w:hAnsi="宋体"/>
          <w:color w:val="auto"/>
          <w:sz w:val="24"/>
          <w:highlight w:val="none"/>
        </w:rPr>
        <w:t>采购活动，</w:t>
      </w:r>
      <w:r>
        <w:rPr>
          <w:rFonts w:hint="eastAsia" w:ascii="宋体" w:hAnsi="宋体"/>
          <w:color w:val="auto"/>
          <w:sz w:val="24"/>
          <w:highlight w:val="none"/>
        </w:rPr>
        <w:t>服务全部</w:t>
      </w:r>
      <w:r>
        <w:rPr>
          <w:rFonts w:hint="eastAsia" w:ascii="宋体" w:hAnsi="宋体"/>
          <w:color w:val="auto"/>
          <w:sz w:val="24"/>
          <w:highlight w:val="none"/>
          <w:lang w:val="en-US" w:eastAsia="zh-CN"/>
        </w:rPr>
        <w:t>或部分</w:t>
      </w:r>
      <w:r>
        <w:rPr>
          <w:rFonts w:hint="eastAsia" w:ascii="宋体" w:hAnsi="宋体"/>
          <w:color w:val="auto"/>
          <w:sz w:val="24"/>
          <w:highlight w:val="none"/>
        </w:rPr>
        <w:t>由符合政策要求的中小企业承接。相关企业（含联合体中的中小企业、签订分包意向协议的中小企业）的具体情况如下：</w:t>
      </w:r>
    </w:p>
    <w:p>
      <w:pPr>
        <w:tabs>
          <w:tab w:val="left" w:pos="1384"/>
          <w:tab w:val="left" w:pos="4562"/>
          <w:tab w:val="left" w:pos="6803"/>
        </w:tabs>
        <w:spacing w:before="13" w:line="500" w:lineRule="exact"/>
        <w:ind w:right="142" w:firstLine="772" w:firstLineChars="322"/>
        <w:rPr>
          <w:rFonts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w:t>
      </w:r>
      <w:r>
        <w:rPr>
          <w:rFonts w:ascii="宋体" w:hAnsi="宋体"/>
          <w:color w:val="auto"/>
          <w:sz w:val="24"/>
          <w:highlight w:val="none"/>
          <w:u w:val="single"/>
        </w:rPr>
        <w:t>业）</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pPr>
        <w:tabs>
          <w:tab w:val="left" w:pos="1065"/>
          <w:tab w:val="left" w:pos="4262"/>
          <w:tab w:val="left" w:pos="6477"/>
        </w:tabs>
        <w:spacing w:before="20" w:line="500" w:lineRule="exact"/>
        <w:ind w:right="84" w:firstLine="772" w:firstLineChars="322"/>
        <w:rPr>
          <w:rFonts w:ascii="宋体" w:hAnsi="宋体"/>
          <w:color w:val="auto"/>
          <w:sz w:val="24"/>
          <w:highlight w:val="none"/>
          <w:u w:val="singl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行业</w:t>
      </w:r>
      <w:r>
        <w:rPr>
          <w:rFonts w:ascii="宋体" w:hAnsi="宋体"/>
          <w:color w:val="auto"/>
          <w:sz w:val="24"/>
          <w:highlight w:val="none"/>
          <w:u w:val="single"/>
        </w:rPr>
        <w:t>）</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pPr>
        <w:pStyle w:val="2"/>
        <w:spacing w:before="34" w:line="500" w:lineRule="exact"/>
        <w:ind w:right="142" w:firstLine="705" w:firstLineChars="294"/>
        <w:rPr>
          <w:rFonts w:ascii="宋体" w:hAnsi="宋体"/>
          <w:color w:val="auto"/>
          <w:sz w:val="24"/>
          <w:highlight w:val="none"/>
        </w:rPr>
      </w:pPr>
      <w:r>
        <w:rPr>
          <w:rFonts w:ascii="宋体" w:hAnsi="宋体"/>
          <w:color w:val="auto"/>
          <w:sz w:val="24"/>
          <w:highlight w:val="none"/>
        </w:rPr>
        <w:t xml:space="preserve">…… </w:t>
      </w:r>
    </w:p>
    <w:p>
      <w:pPr>
        <w:pStyle w:val="2"/>
        <w:spacing w:before="34" w:line="500" w:lineRule="exact"/>
        <w:ind w:right="142" w:firstLine="705" w:firstLineChars="294"/>
        <w:rPr>
          <w:rFonts w:ascii="宋体" w:hAnsi="宋体"/>
          <w:color w:val="auto"/>
          <w:sz w:val="24"/>
          <w:highlight w:val="none"/>
        </w:rPr>
      </w:pPr>
      <w:r>
        <w:rPr>
          <w:rFonts w:ascii="宋体" w:hAnsi="宋体"/>
          <w:color w:val="auto"/>
          <w:sz w:val="24"/>
          <w:highlight w:val="none"/>
        </w:rPr>
        <w:t>以上企业，不属于大企业的分支机构，不存在控股股东为大企业的情形，也不存在与大企业的负责人为同一人的情形。</w:t>
      </w:r>
    </w:p>
    <w:p>
      <w:pPr>
        <w:pStyle w:val="2"/>
        <w:spacing w:before="25" w:line="500" w:lineRule="exact"/>
        <w:ind w:right="142" w:firstLine="705" w:firstLineChars="294"/>
        <w:rPr>
          <w:rFonts w:ascii="宋体" w:hAnsi="宋体"/>
          <w:color w:val="auto"/>
          <w:sz w:val="24"/>
          <w:highlight w:val="none"/>
        </w:rPr>
      </w:pPr>
      <w:r>
        <w:rPr>
          <w:rFonts w:ascii="宋体" w:hAnsi="宋体"/>
          <w:color w:val="auto"/>
          <w:sz w:val="24"/>
          <w:highlight w:val="none"/>
        </w:rPr>
        <w:t>本企业对上述声明内容的真实性负责。如有虚假，将依法承担相应责任。</w:t>
      </w:r>
    </w:p>
    <w:p>
      <w:pPr>
        <w:pStyle w:val="2"/>
        <w:spacing w:before="56" w:line="500" w:lineRule="exact"/>
        <w:ind w:right="1808" w:firstLine="705" w:firstLineChars="294"/>
        <w:rPr>
          <w:rFonts w:hint="eastAsia" w:ascii="宋体" w:hAnsi="宋体"/>
          <w:color w:val="auto"/>
          <w:sz w:val="24"/>
          <w:highlight w:val="none"/>
        </w:rPr>
      </w:pPr>
    </w:p>
    <w:p>
      <w:pPr>
        <w:pStyle w:val="2"/>
        <w:spacing w:before="56" w:line="500" w:lineRule="exact"/>
        <w:ind w:right="650" w:firstLine="5625" w:firstLineChars="2344"/>
        <w:rPr>
          <w:rFonts w:ascii="宋体" w:hAnsi="宋体"/>
          <w:color w:val="auto"/>
          <w:sz w:val="24"/>
          <w:highlight w:val="none"/>
        </w:rPr>
      </w:pPr>
      <w:r>
        <w:rPr>
          <w:rFonts w:ascii="宋体" w:hAnsi="宋体"/>
          <w:color w:val="auto"/>
          <w:sz w:val="24"/>
          <w:highlight w:val="none"/>
        </w:rPr>
        <w:t>企业名称（</w:t>
      </w:r>
      <w:r>
        <w:rPr>
          <w:rFonts w:hint="eastAsia" w:ascii="宋体" w:hAnsi="宋体"/>
          <w:color w:val="auto"/>
          <w:sz w:val="24"/>
          <w:highlight w:val="none"/>
          <w:lang w:val="en-US" w:eastAsia="zh-CN"/>
        </w:rPr>
        <w:t>盖章</w:t>
      </w:r>
      <w:r>
        <w:rPr>
          <w:rFonts w:ascii="宋体" w:hAnsi="宋体"/>
          <w:color w:val="auto"/>
          <w:sz w:val="24"/>
          <w:highlight w:val="none"/>
        </w:rPr>
        <w:t xml:space="preserve">）： </w:t>
      </w:r>
    </w:p>
    <w:p>
      <w:pPr>
        <w:pStyle w:val="2"/>
        <w:spacing w:before="56" w:line="500" w:lineRule="exact"/>
        <w:ind w:right="1808" w:firstLine="5625" w:firstLineChars="2344"/>
        <w:rPr>
          <w:rFonts w:ascii="宋体" w:hAnsi="宋体"/>
          <w:color w:val="auto"/>
          <w:sz w:val="24"/>
          <w:highlight w:val="none"/>
        </w:rPr>
      </w:pPr>
      <w:r>
        <w:rPr>
          <w:rFonts w:ascii="宋体" w:hAnsi="宋体"/>
          <w:color w:val="auto"/>
          <w:sz w:val="24"/>
          <w:highlight w:val="none"/>
        </w:rPr>
        <w:t>日 期：</w:t>
      </w:r>
    </w:p>
    <w:p>
      <w:pPr>
        <w:spacing w:line="520" w:lineRule="exact"/>
        <w:jc w:val="left"/>
        <w:rPr>
          <w:rFonts w:hint="eastAsia" w:ascii="宋体" w:hAnsi="宋体" w:cs="仿宋_GB2312"/>
          <w:color w:val="auto"/>
          <w:sz w:val="24"/>
          <w:highlight w:val="none"/>
        </w:rPr>
      </w:pPr>
      <w:r>
        <w:rPr>
          <w:rFonts w:hint="eastAsia" w:ascii="宋体" w:hAnsi="宋体" w:cs="仿宋_GB2312"/>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pPr>
        <w:spacing w:line="520" w:lineRule="exact"/>
        <w:jc w:val="center"/>
        <w:rPr>
          <w:rFonts w:hint="eastAsia" w:ascii="仿宋_GB2312" w:hAnsi="仿宋_GB2312" w:eastAsia="仿宋_GB2312" w:cs="仿宋_GB2312"/>
          <w:color w:val="auto"/>
          <w:sz w:val="32"/>
          <w:szCs w:val="32"/>
          <w:highlight w:val="none"/>
        </w:rPr>
      </w:pPr>
      <w:r>
        <w:rPr>
          <w:rFonts w:ascii="宋体" w:hAnsi="宋体"/>
          <w:color w:val="auto"/>
          <w:sz w:val="24"/>
          <w:highlight w:val="none"/>
        </w:rPr>
        <w:br w:type="page"/>
      </w:r>
      <w:r>
        <w:rPr>
          <w:rFonts w:hint="eastAsia" w:ascii="方正小标宋简体" w:hAnsi="方正小标宋简体" w:eastAsia="方正小标宋简体" w:cs="方正小标宋简体"/>
          <w:color w:val="auto"/>
          <w:sz w:val="44"/>
          <w:szCs w:val="44"/>
          <w:highlight w:val="none"/>
        </w:rPr>
        <w:t>残疾人福利性单位声明函</w:t>
      </w:r>
    </w:p>
    <w:p>
      <w:pPr>
        <w:spacing w:line="360" w:lineRule="auto"/>
        <w:contextualSpacing/>
        <w:rPr>
          <w:rFonts w:hint="eastAsia" w:ascii="仿宋_GB2312" w:hAnsi="仿宋_GB2312" w:eastAsia="仿宋_GB2312" w:cs="仿宋_GB2312"/>
          <w:color w:val="auto"/>
          <w:sz w:val="32"/>
          <w:szCs w:val="32"/>
          <w:highlight w:val="none"/>
        </w:rPr>
      </w:pPr>
    </w:p>
    <w:p>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单位的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本单位对上述声明的真实性负责。如有虚假，将依法承担相应责任。</w:t>
      </w:r>
    </w:p>
    <w:p>
      <w:pPr>
        <w:spacing w:line="360" w:lineRule="auto"/>
        <w:contextualSpacing/>
        <w:rPr>
          <w:rFonts w:hint="eastAsia" w:ascii="宋体" w:hAnsi="宋体" w:cs="仿宋_GB2312"/>
          <w:color w:val="auto"/>
          <w:sz w:val="24"/>
          <w:highlight w:val="none"/>
        </w:rPr>
      </w:pPr>
    </w:p>
    <w:p>
      <w:pPr>
        <w:spacing w:line="360" w:lineRule="auto"/>
        <w:contextualSpacing/>
        <w:rPr>
          <w:rFonts w:hint="eastAsia" w:ascii="宋体" w:hAnsi="宋体" w:cs="仿宋_GB2312"/>
          <w:color w:val="auto"/>
          <w:sz w:val="24"/>
          <w:highlight w:val="none"/>
        </w:rPr>
      </w:pPr>
    </w:p>
    <w:p>
      <w:pPr>
        <w:spacing w:line="360" w:lineRule="auto"/>
        <w:contextualSpacing/>
        <w:rPr>
          <w:rFonts w:hint="eastAsia" w:ascii="宋体" w:hAnsi="宋体" w:cs="仿宋_GB2312"/>
          <w:color w:val="auto"/>
          <w:sz w:val="24"/>
          <w:highlight w:val="none"/>
        </w:rPr>
      </w:pPr>
    </w:p>
    <w:p>
      <w:pPr>
        <w:spacing w:line="360" w:lineRule="auto"/>
        <w:ind w:firstLine="2400" w:firstLineChars="1000"/>
        <w:contextualSpacing/>
        <w:rPr>
          <w:rFonts w:hint="eastAsia" w:ascii="宋体" w:hAnsi="宋体" w:cs="仿宋_GB2312"/>
          <w:color w:val="auto"/>
          <w:sz w:val="24"/>
          <w:highlight w:val="none"/>
        </w:rPr>
      </w:pPr>
      <w:r>
        <w:rPr>
          <w:rFonts w:hint="eastAsia" w:ascii="宋体" w:hAnsi="宋体" w:cs="仿宋_GB2312"/>
          <w:color w:val="auto"/>
          <w:sz w:val="24"/>
          <w:highlight w:val="none"/>
        </w:rPr>
        <w:t>单位名称（盖章）：</w:t>
      </w:r>
    </w:p>
    <w:p>
      <w:pPr>
        <w:spacing w:line="360" w:lineRule="auto"/>
        <w:ind w:firstLine="3600" w:firstLineChars="1500"/>
        <w:contextualSpacing/>
        <w:rPr>
          <w:rFonts w:hint="eastAsia" w:ascii="宋体" w:hAnsi="宋体" w:cs="仿宋_GB2312"/>
          <w:color w:val="auto"/>
          <w:sz w:val="24"/>
          <w:highlight w:val="none"/>
        </w:rPr>
      </w:pPr>
      <w:r>
        <w:rPr>
          <w:rFonts w:hint="eastAsia" w:ascii="宋体" w:hAnsi="宋体" w:cs="仿宋_GB2312"/>
          <w:color w:val="auto"/>
          <w:sz w:val="24"/>
          <w:highlight w:val="none"/>
        </w:rPr>
        <w:t>日  期：</w:t>
      </w:r>
    </w:p>
    <w:p>
      <w:pPr>
        <w:spacing w:line="360" w:lineRule="auto"/>
        <w:contextualSpacing/>
        <w:rPr>
          <w:rFonts w:hint="eastAsia" w:ascii="宋体" w:hAnsi="宋体" w:cs="仿宋_GB2312"/>
          <w:color w:val="auto"/>
          <w:sz w:val="24"/>
          <w:highlight w:val="none"/>
        </w:rPr>
      </w:pPr>
    </w:p>
    <w:p>
      <w:pPr>
        <w:spacing w:line="360" w:lineRule="auto"/>
        <w:contextualSpacing/>
        <w:rPr>
          <w:rFonts w:hint="eastAsia" w:ascii="宋体" w:hAnsi="宋体" w:cs="仿宋_GB2312"/>
          <w:color w:val="auto"/>
          <w:sz w:val="24"/>
          <w:highlight w:val="none"/>
        </w:rPr>
      </w:pPr>
    </w:p>
    <w:p>
      <w:pPr>
        <w:spacing w:line="360" w:lineRule="auto"/>
        <w:contextualSpacing/>
        <w:rPr>
          <w:rFonts w:hint="eastAsia" w:ascii="宋体" w:hAnsi="宋体" w:cs="仿宋_GB2312"/>
          <w:color w:val="auto"/>
          <w:sz w:val="24"/>
          <w:highlight w:val="none"/>
        </w:rPr>
      </w:pPr>
    </w:p>
    <w:p>
      <w:pPr>
        <w:pStyle w:val="8"/>
        <w:overflowPunct w:val="0"/>
        <w:spacing w:line="360" w:lineRule="auto"/>
        <w:ind w:firstLine="0"/>
        <w:contextualSpacing/>
        <w:rPr>
          <w:rFonts w:hint="eastAsia" w:ascii="宋体" w:hAnsi="宋体" w:cs="仿宋_GB2312"/>
          <w:color w:val="auto"/>
          <w:sz w:val="24"/>
          <w:szCs w:val="24"/>
          <w:highlight w:val="none"/>
        </w:rPr>
      </w:pPr>
      <w:r>
        <w:rPr>
          <w:rFonts w:hint="eastAsia" w:ascii="宋体" w:hAnsi="宋体" w:cs="仿宋_GB2312"/>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pPr>
        <w:spacing w:line="360" w:lineRule="auto"/>
        <w:ind w:right="480" w:firstLine="240" w:firstLineChars="100"/>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 xml:space="preserve"> </w:t>
      </w:r>
    </w:p>
    <w:p>
      <w:pPr>
        <w:spacing w:line="360" w:lineRule="auto"/>
        <w:ind w:right="480" w:firstLine="240" w:firstLineChars="100"/>
        <w:contextualSpacing/>
        <w:jc w:val="center"/>
        <w:rPr>
          <w:rFonts w:ascii="宋体" w:hAnsi="宋体"/>
          <w:b/>
          <w:bCs/>
          <w:color w:val="auto"/>
          <w:sz w:val="32"/>
          <w:szCs w:val="32"/>
          <w:highlight w:val="none"/>
        </w:rPr>
      </w:pPr>
      <w:r>
        <w:rPr>
          <w:rFonts w:hint="eastAsia" w:ascii="宋体" w:hAnsi="宋体" w:cs="仿宋_GB2312"/>
          <w:color w:val="auto"/>
          <w:sz w:val="24"/>
          <w:highlight w:val="none"/>
        </w:rPr>
        <w:t xml:space="preserve">                                                年  </w:t>
      </w:r>
      <w:r>
        <w:rPr>
          <w:rFonts w:hint="eastAsia" w:ascii="宋体" w:hAnsi="宋体" w:cs="仿宋_GB2312"/>
          <w:color w:val="auto"/>
          <w:sz w:val="24"/>
          <w:highlight w:val="none"/>
        </w:rPr>
        <w:tab/>
      </w:r>
      <w:r>
        <w:rPr>
          <w:rFonts w:hint="eastAsia" w:ascii="宋体" w:hAnsi="宋体" w:cs="仿宋_GB2312"/>
          <w:color w:val="auto"/>
          <w:sz w:val="24"/>
          <w:highlight w:val="none"/>
        </w:rPr>
        <w:t xml:space="preserve">月  </w:t>
      </w:r>
      <w:r>
        <w:rPr>
          <w:rFonts w:hint="eastAsia" w:ascii="宋体" w:hAnsi="宋体" w:cs="仿宋_GB2312"/>
          <w:color w:val="auto"/>
          <w:sz w:val="24"/>
          <w:highlight w:val="none"/>
        </w:rPr>
        <w:tab/>
      </w:r>
      <w:r>
        <w:rPr>
          <w:rFonts w:hint="eastAsia" w:ascii="宋体" w:hAnsi="宋体" w:cs="仿宋_GB2312"/>
          <w:color w:val="auto"/>
          <w:sz w:val="24"/>
          <w:highlight w:val="none"/>
        </w:rPr>
        <w:t>日</w:t>
      </w:r>
    </w:p>
    <w:p>
      <w:pPr>
        <w:spacing w:line="360" w:lineRule="auto"/>
        <w:ind w:right="-817" w:rightChars="-389"/>
        <w:contextualSpacing/>
        <w:rPr>
          <w:rFonts w:hint="eastAsia" w:ascii="宋体" w:hAnsi="宋体" w:eastAsia="宋体" w:cs="宋体"/>
          <w:b/>
          <w:bCs/>
          <w:color w:val="auto"/>
          <w:sz w:val="32"/>
          <w:szCs w:val="32"/>
          <w:highlight w:val="none"/>
          <w:lang w:val="en-US" w:eastAsia="zh-CN"/>
        </w:rPr>
        <w:sectPr>
          <w:pgSz w:w="11910" w:h="16840"/>
          <w:pgMar w:top="1340" w:right="1500" w:bottom="280" w:left="1680" w:header="720" w:footer="567" w:gutter="0"/>
          <w:pgNumType w:fmt="decimal"/>
          <w:cols w:space="720" w:num="1"/>
        </w:sectPr>
      </w:pPr>
    </w:p>
    <w:p>
      <w:pPr>
        <w:pStyle w:val="8"/>
        <w:overflowPunct w:val="0"/>
        <w:spacing w:line="520" w:lineRule="exact"/>
        <w:ind w:firstLine="0"/>
        <w:jc w:val="left"/>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lang w:val="en-US" w:eastAsia="zh-CN"/>
        </w:rPr>
        <w:t>标项一：竞标供应商</w:t>
      </w:r>
      <w:r>
        <w:rPr>
          <w:rFonts w:hint="eastAsia" w:ascii="宋体" w:hAnsi="宋体" w:eastAsia="宋体" w:cs="宋体"/>
          <w:b/>
          <w:bCs/>
          <w:color w:val="auto"/>
          <w:sz w:val="30"/>
          <w:szCs w:val="30"/>
          <w:highlight w:val="none"/>
          <w:lang w:eastAsia="zh-CN"/>
        </w:rPr>
        <w:t>为</w:t>
      </w:r>
      <w:r>
        <w:rPr>
          <w:rFonts w:hint="eastAsia" w:ascii="宋体" w:hAnsi="宋体" w:eastAsia="宋体" w:cs="宋体"/>
          <w:b/>
          <w:bCs/>
          <w:color w:val="auto"/>
          <w:sz w:val="30"/>
          <w:szCs w:val="30"/>
          <w:highlight w:val="none"/>
          <w:lang w:val="en-US" w:eastAsia="zh-CN"/>
        </w:rPr>
        <w:t>非</w:t>
      </w:r>
      <w:r>
        <w:rPr>
          <w:rFonts w:hint="eastAsia" w:ascii="宋体" w:hAnsi="宋体" w:cs="宋体"/>
          <w:b/>
          <w:bCs/>
          <w:color w:val="auto"/>
          <w:sz w:val="30"/>
          <w:szCs w:val="30"/>
          <w:highlight w:val="none"/>
          <w:lang w:val="en-US" w:eastAsia="zh-CN"/>
        </w:rPr>
        <w:t>小微</w:t>
      </w:r>
      <w:r>
        <w:rPr>
          <w:rFonts w:hint="eastAsia" w:ascii="宋体" w:hAnsi="宋体" w:eastAsia="宋体" w:cs="宋体"/>
          <w:b/>
          <w:bCs/>
          <w:color w:val="auto"/>
          <w:sz w:val="30"/>
          <w:szCs w:val="30"/>
          <w:highlight w:val="none"/>
          <w:lang w:val="en-US" w:eastAsia="zh-CN"/>
        </w:rPr>
        <w:t>企业或监狱企业或残疾人福利性单位承接时必须</w:t>
      </w:r>
      <w:r>
        <w:rPr>
          <w:rFonts w:hint="eastAsia" w:ascii="宋体" w:hAnsi="宋体" w:eastAsia="宋体" w:cs="宋体"/>
          <w:b/>
          <w:bCs/>
          <w:color w:val="auto"/>
          <w:sz w:val="30"/>
          <w:szCs w:val="30"/>
          <w:highlight w:val="none"/>
          <w:lang w:eastAsia="zh-CN"/>
        </w:rPr>
        <w:t>提供的资格证明材料：</w:t>
      </w:r>
    </w:p>
    <w:p>
      <w:pPr>
        <w:snapToGrid w:val="0"/>
        <w:spacing w:line="360" w:lineRule="auto"/>
        <w:jc w:val="center"/>
        <w:rPr>
          <w:rFonts w:hint="eastAsia" w:ascii="宋体" w:hAnsi="宋体" w:eastAsia="宋体" w:cs="宋体"/>
          <w:b/>
          <w:color w:val="auto"/>
          <w:sz w:val="32"/>
          <w:szCs w:val="32"/>
          <w:highlight w:val="none"/>
        </w:rPr>
      </w:pPr>
    </w:p>
    <w:p>
      <w:pPr>
        <w:snapToGrid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1、</w:t>
      </w:r>
      <w:r>
        <w:rPr>
          <w:rFonts w:hint="eastAsia" w:ascii="宋体" w:hAnsi="宋体" w:eastAsia="宋体" w:cs="宋体"/>
          <w:b/>
          <w:color w:val="auto"/>
          <w:sz w:val="32"/>
          <w:szCs w:val="32"/>
          <w:highlight w:val="none"/>
        </w:rPr>
        <w:t>分包意向协议（如有）</w:t>
      </w:r>
    </w:p>
    <w:p>
      <w:pPr>
        <w:spacing w:line="520" w:lineRule="exact"/>
        <w:rPr>
          <w:rFonts w:hint="eastAsia" w:ascii="宋体" w:hAnsi="宋体" w:eastAsia="宋体" w:cs="宋体"/>
          <w:color w:val="auto"/>
          <w:szCs w:val="21"/>
          <w:highlight w:val="none"/>
        </w:rPr>
      </w:pPr>
      <w:bookmarkStart w:id="128" w:name="OLE_LINK16"/>
      <w:r>
        <w:rPr>
          <w:rFonts w:hint="eastAsia" w:ascii="宋体" w:hAnsi="宋体" w:eastAsia="宋体" w:cs="宋体"/>
          <w:color w:val="auto"/>
          <w:szCs w:val="21"/>
          <w:highlight w:val="none"/>
        </w:rPr>
        <w:t>甲方</w:t>
      </w:r>
      <w:bookmarkEnd w:id="128"/>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分包企业</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：____________________（</w:t>
      </w:r>
      <w:r>
        <w:rPr>
          <w:rFonts w:hint="eastAsia" w:ascii="宋体" w:hAnsi="宋体" w:eastAsia="宋体" w:cs="宋体"/>
          <w:color w:val="auto"/>
          <w:szCs w:val="21"/>
          <w:highlight w:val="none"/>
          <w:lang w:eastAsia="zh-CN"/>
        </w:rPr>
        <w:t>竞标人</w:t>
      </w:r>
      <w:r>
        <w:rPr>
          <w:rFonts w:hint="eastAsia" w:ascii="宋体" w:hAnsi="宋体" w:eastAsia="宋体" w:cs="宋体"/>
          <w:color w:val="auto"/>
          <w:szCs w:val="21"/>
          <w:highlight w:val="none"/>
        </w:rPr>
        <w:t>）</w:t>
      </w:r>
    </w:p>
    <w:p>
      <w:pPr>
        <w:spacing w:line="520" w:lineRule="exact"/>
        <w:rPr>
          <w:rFonts w:hint="eastAsia" w:ascii="宋体" w:hAnsi="宋体" w:eastAsia="宋体" w:cs="宋体"/>
          <w:color w:val="auto"/>
          <w:szCs w:val="21"/>
          <w:highlight w:val="none"/>
        </w:rPr>
      </w:pPr>
      <w:bookmarkStart w:id="129" w:name="OLE_LINK17"/>
      <w:r>
        <w:rPr>
          <w:rFonts w:hint="eastAsia" w:ascii="宋体" w:hAnsi="宋体" w:eastAsia="宋体" w:cs="宋体"/>
          <w:color w:val="auto"/>
          <w:szCs w:val="21"/>
          <w:highlight w:val="none"/>
        </w:rPr>
        <w:t>乙</w:t>
      </w:r>
      <w:bookmarkEnd w:id="129"/>
      <w:r>
        <w:rPr>
          <w:rFonts w:hint="eastAsia" w:ascii="宋体" w:hAnsi="宋体" w:eastAsia="宋体" w:cs="宋体"/>
          <w:color w:val="auto"/>
          <w:szCs w:val="21"/>
          <w:highlight w:val="none"/>
        </w:rPr>
        <w:t>方</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接收分包企业</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：________________</w:t>
      </w:r>
    </w:p>
    <w:p>
      <w:pPr>
        <w:spacing w:line="5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甲、乙双方本着精诚合作、平等互利的原则，经友好协商，就相关合作事宜，达成如下协议，双方共同遵守：</w:t>
      </w:r>
    </w:p>
    <w:p>
      <w:pPr>
        <w:spacing w:line="5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第一条 分包范围和分包金额</w:t>
      </w:r>
    </w:p>
    <w:p>
      <w:pPr>
        <w:spacing w:line="5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因分包企业参加</w:t>
      </w:r>
      <w:r>
        <w:rPr>
          <w:rFonts w:hint="eastAsia" w:ascii="宋体" w:hAnsi="宋体" w:eastAsia="宋体" w:cs="宋体"/>
          <w:color w:val="auto"/>
          <w:szCs w:val="21"/>
          <w:highlight w:val="none"/>
          <w:u w:val="single"/>
        </w:rPr>
        <w:t xml:space="preserve">    （单位名称）    </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u w:val="single"/>
        </w:rPr>
        <w:t xml:space="preserve">   （项目名称）  </w:t>
      </w:r>
      <w:r>
        <w:rPr>
          <w:rFonts w:hint="eastAsia" w:ascii="宋体" w:hAnsi="宋体" w:eastAsia="宋体" w:cs="宋体"/>
          <w:color w:val="auto"/>
          <w:szCs w:val="21"/>
          <w:highlight w:val="none"/>
        </w:rPr>
        <w:t>采购活动，现分包企业、接收分包企业就如果分包企业获得</w:t>
      </w:r>
      <w:r>
        <w:rPr>
          <w:rFonts w:hint="eastAsia" w:ascii="宋体" w:hAnsi="宋体" w:eastAsia="宋体" w:cs="宋体"/>
          <w:color w:val="auto"/>
          <w:szCs w:val="21"/>
          <w:highlight w:val="none"/>
          <w:u w:val="single"/>
        </w:rPr>
        <w:t xml:space="preserve">    （项目名称）   </w:t>
      </w:r>
      <w:r>
        <w:rPr>
          <w:rFonts w:hint="eastAsia" w:ascii="宋体" w:hAnsi="宋体" w:eastAsia="宋体" w:cs="宋体"/>
          <w:color w:val="auto"/>
          <w:szCs w:val="21"/>
          <w:highlight w:val="none"/>
        </w:rPr>
        <w:t xml:space="preserve">合同后的分包事项达成以下分包意向协议： </w:t>
      </w:r>
    </w:p>
    <w:p>
      <w:pPr>
        <w:spacing w:line="5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1、项目</w:t>
      </w:r>
      <w:r>
        <w:rPr>
          <w:rFonts w:hint="eastAsia" w:ascii="宋体" w:hAnsi="宋体" w:cs="宋体"/>
          <w:color w:val="auto"/>
          <w:szCs w:val="21"/>
          <w:highlight w:val="none"/>
          <w:lang w:val="en-US" w:eastAsia="zh-CN"/>
        </w:rPr>
        <w:t>采购合同</w:t>
      </w:r>
      <w:r>
        <w:rPr>
          <w:rFonts w:hint="eastAsia" w:ascii="宋体" w:hAnsi="宋体" w:eastAsia="宋体" w:cs="宋体"/>
          <w:color w:val="auto"/>
          <w:szCs w:val="21"/>
          <w:highlight w:val="none"/>
        </w:rPr>
        <w:t>金额的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分包给</w:t>
      </w:r>
      <w:r>
        <w:rPr>
          <w:rFonts w:hint="eastAsia" w:ascii="宋体" w:hAnsi="宋体" w:eastAsia="宋体" w:cs="宋体"/>
          <w:color w:val="auto"/>
          <w:szCs w:val="21"/>
          <w:highlight w:val="none"/>
          <w:u w:val="single"/>
        </w:rPr>
        <w:t xml:space="preserve">  （接收分包企业名称）  </w:t>
      </w:r>
      <w:r>
        <w:rPr>
          <w:rFonts w:hint="eastAsia" w:ascii="宋体" w:hAnsi="宋体" w:eastAsia="宋体" w:cs="宋体"/>
          <w:color w:val="auto"/>
          <w:szCs w:val="21"/>
          <w:highlight w:val="none"/>
        </w:rPr>
        <w:t>，该企业属于</w:t>
      </w:r>
      <w:r>
        <w:rPr>
          <w:rFonts w:hint="eastAsia" w:ascii="宋体" w:hAnsi="宋体" w:eastAsia="宋体" w:cs="宋体"/>
          <w:color w:val="auto"/>
          <w:szCs w:val="21"/>
          <w:highlight w:val="none"/>
          <w:u w:val="single"/>
        </w:rPr>
        <w:t xml:space="preserve">  （小型企业、微型企业）  </w:t>
      </w:r>
      <w:r>
        <w:rPr>
          <w:rFonts w:hint="eastAsia" w:ascii="宋体" w:hAnsi="宋体" w:eastAsia="宋体" w:cs="宋体"/>
          <w:color w:val="auto"/>
          <w:szCs w:val="21"/>
          <w:highlight w:val="none"/>
        </w:rPr>
        <w:t>；</w:t>
      </w:r>
    </w:p>
    <w:p>
      <w:pPr>
        <w:spacing w:line="5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2、项目</w:t>
      </w:r>
      <w:r>
        <w:rPr>
          <w:rFonts w:hint="eastAsia" w:ascii="宋体" w:hAnsi="宋体" w:cs="宋体"/>
          <w:color w:val="auto"/>
          <w:szCs w:val="21"/>
          <w:highlight w:val="none"/>
          <w:lang w:val="en-US" w:eastAsia="zh-CN"/>
        </w:rPr>
        <w:t>采购合同</w:t>
      </w:r>
      <w:r>
        <w:rPr>
          <w:rFonts w:hint="eastAsia" w:ascii="宋体" w:hAnsi="宋体" w:eastAsia="宋体" w:cs="宋体"/>
          <w:color w:val="auto"/>
          <w:szCs w:val="21"/>
          <w:highlight w:val="none"/>
        </w:rPr>
        <w:t>金额的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分包给</w:t>
      </w:r>
      <w:r>
        <w:rPr>
          <w:rFonts w:hint="eastAsia" w:ascii="宋体" w:hAnsi="宋体" w:eastAsia="宋体" w:cs="宋体"/>
          <w:color w:val="auto"/>
          <w:szCs w:val="21"/>
          <w:highlight w:val="none"/>
          <w:u w:val="single"/>
        </w:rPr>
        <w:t xml:space="preserve">  （接收分包企业名称）  </w:t>
      </w:r>
      <w:r>
        <w:rPr>
          <w:rFonts w:hint="eastAsia" w:ascii="宋体" w:hAnsi="宋体" w:eastAsia="宋体" w:cs="宋体"/>
          <w:color w:val="auto"/>
          <w:szCs w:val="21"/>
          <w:highlight w:val="none"/>
        </w:rPr>
        <w:t>，该企业属于</w:t>
      </w:r>
      <w:r>
        <w:rPr>
          <w:rFonts w:hint="eastAsia" w:ascii="宋体" w:hAnsi="宋体" w:eastAsia="宋体" w:cs="宋体"/>
          <w:color w:val="auto"/>
          <w:szCs w:val="21"/>
          <w:highlight w:val="none"/>
          <w:u w:val="single"/>
        </w:rPr>
        <w:t xml:space="preserve">  （小型企业、微型企业）  </w:t>
      </w:r>
      <w:r>
        <w:rPr>
          <w:rFonts w:hint="eastAsia" w:ascii="宋体" w:hAnsi="宋体" w:eastAsia="宋体" w:cs="宋体"/>
          <w:color w:val="auto"/>
          <w:szCs w:val="21"/>
          <w:highlight w:val="none"/>
        </w:rPr>
        <w:t>；</w:t>
      </w:r>
    </w:p>
    <w:p>
      <w:pPr>
        <w:spacing w:line="520" w:lineRule="exact"/>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接受分包合同的</w:t>
      </w:r>
      <w:r>
        <w:rPr>
          <w:rFonts w:hint="eastAsia" w:ascii="宋体" w:hAnsi="宋体" w:cs="宋体"/>
          <w:color w:val="auto"/>
          <w:szCs w:val="21"/>
          <w:highlight w:val="none"/>
          <w:lang w:val="en-US" w:eastAsia="zh-CN"/>
        </w:rPr>
        <w:t>中小</w:t>
      </w:r>
      <w:r>
        <w:rPr>
          <w:rFonts w:hint="eastAsia" w:ascii="宋体" w:hAnsi="宋体" w:eastAsia="宋体" w:cs="宋体"/>
          <w:color w:val="auto"/>
          <w:szCs w:val="21"/>
          <w:highlight w:val="none"/>
        </w:rPr>
        <w:t>企业和分包企业之间不存在直接控股、管理关系。</w:t>
      </w:r>
    </w:p>
    <w:p>
      <w:pPr>
        <w:spacing w:line="360" w:lineRule="auto"/>
        <w:ind w:firstLine="420" w:firstLineChars="200"/>
        <w:rPr>
          <w:rFonts w:ascii="Calibri" w:hAnsi="Calibri"/>
          <w:color w:val="auto"/>
          <w:sz w:val="21"/>
          <w:szCs w:val="21"/>
          <w:highlight w:val="none"/>
        </w:rPr>
      </w:pPr>
      <w:r>
        <w:rPr>
          <w:rFonts w:hint="eastAsia" w:ascii="Calibri" w:hAnsi="Calibri"/>
          <w:color w:val="auto"/>
          <w:sz w:val="21"/>
          <w:szCs w:val="21"/>
          <w:highlight w:val="none"/>
        </w:rPr>
        <w:t>第二条 分包期限</w:t>
      </w:r>
    </w:p>
    <w:p>
      <w:pPr>
        <w:spacing w:line="360" w:lineRule="auto"/>
        <w:ind w:firstLine="420" w:firstLineChars="200"/>
        <w:rPr>
          <w:rFonts w:ascii="Calibri" w:hAnsi="Calibri"/>
          <w:color w:val="auto"/>
          <w:sz w:val="21"/>
          <w:szCs w:val="21"/>
          <w:highlight w:val="none"/>
        </w:rPr>
      </w:pPr>
      <w:r>
        <w:rPr>
          <w:rFonts w:hint="eastAsia" w:ascii="Calibri" w:hAnsi="Calibri"/>
          <w:color w:val="auto"/>
          <w:sz w:val="21"/>
          <w:szCs w:val="21"/>
          <w:highlight w:val="none"/>
        </w:rPr>
        <w:t>自甲乙双方协议签订即日起至</w:t>
      </w:r>
      <w:r>
        <w:rPr>
          <w:rFonts w:hint="eastAsia" w:ascii="Calibri" w:hAnsi="Calibri"/>
          <w:color w:val="auto"/>
          <w:sz w:val="21"/>
          <w:szCs w:val="21"/>
          <w:highlight w:val="none"/>
          <w:u w:val="single"/>
        </w:rPr>
        <w:t xml:space="preserve">       </w:t>
      </w:r>
      <w:r>
        <w:rPr>
          <w:rFonts w:hint="eastAsia" w:ascii="Calibri" w:hAnsi="Calibri"/>
          <w:color w:val="auto"/>
          <w:sz w:val="21"/>
          <w:szCs w:val="21"/>
          <w:highlight w:val="none"/>
        </w:rPr>
        <w:t>止。</w:t>
      </w:r>
    </w:p>
    <w:p>
      <w:pPr>
        <w:spacing w:line="360" w:lineRule="auto"/>
        <w:ind w:firstLine="420" w:firstLineChars="200"/>
        <w:rPr>
          <w:rFonts w:ascii="Calibri" w:hAnsi="Calibri"/>
          <w:color w:val="auto"/>
          <w:sz w:val="21"/>
          <w:szCs w:val="21"/>
          <w:highlight w:val="none"/>
        </w:rPr>
      </w:pPr>
      <w:r>
        <w:rPr>
          <w:rFonts w:hint="eastAsia" w:ascii="Calibri" w:hAnsi="Calibri"/>
          <w:color w:val="auto"/>
          <w:sz w:val="21"/>
          <w:szCs w:val="21"/>
          <w:highlight w:val="none"/>
        </w:rPr>
        <w:t>第三条 付款方式</w:t>
      </w:r>
    </w:p>
    <w:p>
      <w:pPr>
        <w:spacing w:line="360" w:lineRule="auto"/>
        <w:ind w:firstLine="420" w:firstLineChars="200"/>
        <w:rPr>
          <w:rFonts w:ascii="Calibri" w:hAnsi="Calibri"/>
          <w:color w:val="auto"/>
          <w:sz w:val="21"/>
          <w:szCs w:val="21"/>
          <w:highlight w:val="none"/>
          <w:u w:val="single"/>
        </w:rPr>
      </w:pPr>
      <w:r>
        <w:rPr>
          <w:rFonts w:hint="eastAsia" w:ascii="Calibri" w:hAnsi="Calibri"/>
          <w:color w:val="auto"/>
          <w:sz w:val="21"/>
          <w:szCs w:val="21"/>
          <w:highlight w:val="none"/>
          <w:u w:val="single"/>
        </w:rPr>
        <w:t xml:space="preserve">    </w:t>
      </w:r>
      <w:r>
        <w:rPr>
          <w:rFonts w:hint="eastAsia" w:ascii="Calibri" w:hAnsi="Calibri"/>
          <w:color w:val="auto"/>
          <w:sz w:val="21"/>
          <w:szCs w:val="21"/>
          <w:highlight w:val="none"/>
          <w:u w:val="single"/>
          <w:lang w:val="en-US" w:eastAsia="zh-CN"/>
        </w:rPr>
        <w:t xml:space="preserve">               </w:t>
      </w:r>
      <w:r>
        <w:rPr>
          <w:rFonts w:hint="eastAsia" w:ascii="Calibri" w:hAnsi="Calibri"/>
          <w:color w:val="auto"/>
          <w:sz w:val="21"/>
          <w:szCs w:val="21"/>
          <w:highlight w:val="none"/>
          <w:u w:val="single"/>
        </w:rPr>
        <w:t xml:space="preserve"> </w:t>
      </w:r>
    </w:p>
    <w:p>
      <w:pPr>
        <w:spacing w:line="360" w:lineRule="auto"/>
        <w:ind w:firstLine="420" w:firstLineChars="200"/>
        <w:rPr>
          <w:rFonts w:ascii="Calibri" w:hAnsi="Calibri"/>
          <w:color w:val="auto"/>
          <w:sz w:val="21"/>
          <w:szCs w:val="21"/>
          <w:highlight w:val="none"/>
        </w:rPr>
      </w:pPr>
      <w:r>
        <w:rPr>
          <w:rFonts w:hint="eastAsia" w:ascii="Calibri" w:hAnsi="Calibri"/>
          <w:color w:val="auto"/>
          <w:sz w:val="21"/>
          <w:szCs w:val="21"/>
          <w:highlight w:val="none"/>
        </w:rPr>
        <w:t>第四条 服务质量及验收</w:t>
      </w:r>
    </w:p>
    <w:p>
      <w:pPr>
        <w:spacing w:line="360" w:lineRule="auto"/>
        <w:ind w:firstLine="420" w:firstLineChars="200"/>
        <w:rPr>
          <w:rFonts w:ascii="Calibri" w:hAnsi="Calibri"/>
          <w:color w:val="auto"/>
          <w:sz w:val="21"/>
          <w:szCs w:val="21"/>
          <w:highlight w:val="none"/>
        </w:rPr>
      </w:pPr>
      <w:r>
        <w:rPr>
          <w:rFonts w:hint="eastAsia" w:ascii="Calibri" w:hAnsi="Calibri"/>
          <w:color w:val="auto"/>
          <w:sz w:val="21"/>
          <w:szCs w:val="21"/>
          <w:highlight w:val="none"/>
        </w:rPr>
        <w:t>1.严格执行国家、地方及行业相关验收标准及规范。</w:t>
      </w:r>
    </w:p>
    <w:p>
      <w:pPr>
        <w:spacing w:line="360" w:lineRule="auto"/>
        <w:ind w:firstLine="420" w:firstLineChars="200"/>
        <w:rPr>
          <w:rFonts w:ascii="Calibri" w:hAnsi="Calibri"/>
          <w:color w:val="auto"/>
          <w:sz w:val="21"/>
          <w:szCs w:val="21"/>
          <w:highlight w:val="none"/>
        </w:rPr>
      </w:pPr>
      <w:r>
        <w:rPr>
          <w:rFonts w:hint="eastAsia" w:ascii="Calibri" w:hAnsi="Calibri"/>
          <w:color w:val="auto"/>
          <w:sz w:val="21"/>
          <w:szCs w:val="21"/>
          <w:highlight w:val="none"/>
        </w:rPr>
        <w:t>2.成果质量必须符合</w:t>
      </w:r>
      <w:r>
        <w:rPr>
          <w:rFonts w:hint="eastAsia" w:ascii="Calibri" w:hAnsi="Calibri"/>
          <w:color w:val="auto"/>
          <w:sz w:val="21"/>
          <w:szCs w:val="21"/>
          <w:highlight w:val="none"/>
          <w:lang w:val="en-US" w:eastAsia="zh-CN"/>
        </w:rPr>
        <w:t>采购文件</w:t>
      </w:r>
      <w:r>
        <w:rPr>
          <w:rFonts w:hint="eastAsia" w:ascii="Calibri" w:hAnsi="Calibri"/>
          <w:color w:val="auto"/>
          <w:sz w:val="21"/>
          <w:szCs w:val="21"/>
          <w:highlight w:val="none"/>
        </w:rPr>
        <w:t>的要求，满足国家和广西实施方案、技术方案、规程、细则等文件的要求。</w:t>
      </w:r>
    </w:p>
    <w:p>
      <w:pPr>
        <w:spacing w:line="360" w:lineRule="auto"/>
        <w:ind w:firstLine="420" w:firstLineChars="200"/>
        <w:rPr>
          <w:rFonts w:ascii="Calibri" w:hAnsi="Calibri"/>
          <w:color w:val="auto"/>
          <w:sz w:val="21"/>
          <w:szCs w:val="21"/>
          <w:highlight w:val="none"/>
        </w:rPr>
      </w:pPr>
      <w:r>
        <w:rPr>
          <w:rFonts w:hint="eastAsia" w:ascii="Calibri" w:hAnsi="Calibri"/>
          <w:color w:val="auto"/>
          <w:sz w:val="21"/>
          <w:szCs w:val="21"/>
          <w:highlight w:val="none"/>
        </w:rPr>
        <w:t>第五条 甲乙双方的权利和义务</w:t>
      </w:r>
    </w:p>
    <w:p>
      <w:pPr>
        <w:spacing w:line="360" w:lineRule="auto"/>
        <w:rPr>
          <w:rFonts w:ascii="Calibri" w:hAnsi="Calibri"/>
          <w:color w:val="auto"/>
          <w:sz w:val="21"/>
          <w:szCs w:val="21"/>
          <w:highlight w:val="none"/>
        </w:rPr>
      </w:pPr>
      <w:r>
        <w:rPr>
          <w:rFonts w:hint="eastAsia" w:ascii="Calibri" w:hAnsi="Calibri"/>
          <w:color w:val="auto"/>
          <w:sz w:val="21"/>
          <w:szCs w:val="21"/>
          <w:highlight w:val="none"/>
        </w:rPr>
        <w:t xml:space="preserve">    1.甲方的权利和义务</w:t>
      </w:r>
    </w:p>
    <w:p>
      <w:pPr>
        <w:spacing w:line="360" w:lineRule="auto"/>
        <w:ind w:firstLine="420" w:firstLineChars="200"/>
        <w:rPr>
          <w:rFonts w:ascii="Calibri" w:hAnsi="Calibri"/>
          <w:color w:val="auto"/>
          <w:sz w:val="21"/>
          <w:szCs w:val="21"/>
          <w:highlight w:val="none"/>
        </w:rPr>
      </w:pPr>
      <w:r>
        <w:rPr>
          <w:rFonts w:hint="eastAsia" w:ascii="Calibri" w:hAnsi="Calibri"/>
          <w:color w:val="auto"/>
          <w:sz w:val="21"/>
          <w:szCs w:val="21"/>
          <w:highlight w:val="none"/>
        </w:rPr>
        <w:t>（1）按时提供相关资料。</w:t>
      </w:r>
    </w:p>
    <w:p>
      <w:pPr>
        <w:spacing w:line="360" w:lineRule="auto"/>
        <w:ind w:firstLine="420" w:firstLineChars="200"/>
        <w:rPr>
          <w:rFonts w:ascii="Calibri" w:hAnsi="Calibri"/>
          <w:color w:val="auto"/>
          <w:sz w:val="21"/>
          <w:szCs w:val="21"/>
          <w:highlight w:val="none"/>
        </w:rPr>
      </w:pPr>
      <w:r>
        <w:rPr>
          <w:rFonts w:hint="eastAsia" w:ascii="Calibri" w:hAnsi="Calibri"/>
          <w:color w:val="auto"/>
          <w:sz w:val="21"/>
          <w:szCs w:val="21"/>
          <w:highlight w:val="none"/>
        </w:rPr>
        <w:t>（2）负责向乙方提供技术文件和技术要求。</w:t>
      </w:r>
    </w:p>
    <w:p>
      <w:pPr>
        <w:spacing w:line="360" w:lineRule="auto"/>
        <w:ind w:firstLine="420" w:firstLineChars="200"/>
        <w:rPr>
          <w:rFonts w:ascii="Calibri" w:hAnsi="Calibri"/>
          <w:color w:val="auto"/>
          <w:sz w:val="21"/>
          <w:szCs w:val="21"/>
          <w:highlight w:val="none"/>
        </w:rPr>
      </w:pPr>
      <w:r>
        <w:rPr>
          <w:rFonts w:hint="eastAsia" w:ascii="Calibri" w:hAnsi="Calibri"/>
          <w:color w:val="auto"/>
          <w:sz w:val="21"/>
          <w:szCs w:val="21"/>
          <w:highlight w:val="none"/>
        </w:rPr>
        <w:t>（3）负责技术交底工作，对服务过程和质量进行监督。</w:t>
      </w:r>
    </w:p>
    <w:p>
      <w:pPr>
        <w:spacing w:line="360" w:lineRule="auto"/>
        <w:ind w:firstLine="420" w:firstLineChars="200"/>
        <w:rPr>
          <w:rFonts w:ascii="Calibri" w:hAnsi="Calibri"/>
          <w:color w:val="auto"/>
          <w:sz w:val="21"/>
          <w:szCs w:val="21"/>
          <w:highlight w:val="none"/>
        </w:rPr>
      </w:pPr>
      <w:r>
        <w:rPr>
          <w:rFonts w:hint="eastAsia" w:ascii="Calibri" w:hAnsi="Calibri"/>
          <w:color w:val="auto"/>
          <w:sz w:val="21"/>
          <w:szCs w:val="21"/>
          <w:highlight w:val="none"/>
        </w:rPr>
        <w:t>（4）及时办理结算及付款。</w:t>
      </w:r>
    </w:p>
    <w:p>
      <w:pPr>
        <w:spacing w:line="360" w:lineRule="auto"/>
        <w:ind w:firstLine="420" w:firstLineChars="200"/>
        <w:rPr>
          <w:rFonts w:ascii="Calibri" w:hAnsi="Calibri"/>
          <w:color w:val="auto"/>
          <w:sz w:val="21"/>
          <w:szCs w:val="21"/>
          <w:highlight w:val="none"/>
        </w:rPr>
      </w:pPr>
      <w:r>
        <w:rPr>
          <w:rFonts w:hint="eastAsia" w:ascii="Calibri" w:hAnsi="Calibri"/>
          <w:color w:val="auto"/>
          <w:sz w:val="21"/>
          <w:szCs w:val="21"/>
          <w:highlight w:val="none"/>
        </w:rPr>
        <w:t>2.乙方的权利和义务</w:t>
      </w:r>
    </w:p>
    <w:p>
      <w:pPr>
        <w:spacing w:line="360" w:lineRule="auto"/>
        <w:ind w:firstLine="420" w:firstLineChars="200"/>
        <w:rPr>
          <w:rFonts w:ascii="Calibri" w:hAnsi="Calibri"/>
          <w:color w:val="auto"/>
          <w:sz w:val="21"/>
          <w:szCs w:val="21"/>
          <w:highlight w:val="none"/>
        </w:rPr>
      </w:pPr>
      <w:r>
        <w:rPr>
          <w:rFonts w:hint="eastAsia" w:ascii="Calibri" w:hAnsi="Calibri"/>
          <w:color w:val="auto"/>
          <w:sz w:val="21"/>
          <w:szCs w:val="21"/>
          <w:highlight w:val="none"/>
        </w:rPr>
        <w:t>（1）乙方服务期间应遵守国家的法律法规，自觉遵守甲方的规章制度，配合甲方管理人员的安排。</w:t>
      </w:r>
    </w:p>
    <w:p>
      <w:pPr>
        <w:spacing w:line="360" w:lineRule="auto"/>
        <w:rPr>
          <w:rFonts w:ascii="Calibri" w:hAnsi="Calibri"/>
          <w:color w:val="auto"/>
          <w:sz w:val="21"/>
          <w:szCs w:val="21"/>
          <w:highlight w:val="none"/>
        </w:rPr>
      </w:pPr>
      <w:r>
        <w:rPr>
          <w:rFonts w:hint="eastAsia" w:ascii="Calibri" w:hAnsi="Calibri"/>
          <w:color w:val="auto"/>
          <w:sz w:val="21"/>
          <w:szCs w:val="21"/>
          <w:highlight w:val="none"/>
        </w:rPr>
        <w:t xml:space="preserve">    （2）乙方必须根据甲方要求按时、按质、按量地完成相关作业。</w:t>
      </w:r>
    </w:p>
    <w:p>
      <w:pPr>
        <w:spacing w:line="360" w:lineRule="auto"/>
        <w:ind w:firstLine="420" w:firstLineChars="200"/>
        <w:rPr>
          <w:rFonts w:ascii="Calibri" w:hAnsi="Calibri"/>
          <w:color w:val="auto"/>
          <w:sz w:val="21"/>
          <w:szCs w:val="21"/>
          <w:highlight w:val="none"/>
        </w:rPr>
      </w:pPr>
      <w:r>
        <w:rPr>
          <w:rFonts w:hint="eastAsia" w:ascii="Calibri" w:hAnsi="Calibri"/>
          <w:color w:val="auto"/>
          <w:sz w:val="21"/>
          <w:szCs w:val="21"/>
          <w:highlight w:val="none"/>
        </w:rPr>
        <w:t>（3）甲方有权根据乙方服务内容及质量提出合理建议，乙方需积极与甲方进行协商，并根据协商结果作相应调整。</w:t>
      </w:r>
    </w:p>
    <w:p>
      <w:pPr>
        <w:spacing w:line="360" w:lineRule="auto"/>
        <w:ind w:firstLine="420" w:firstLineChars="200"/>
        <w:rPr>
          <w:rFonts w:ascii="Calibri" w:hAnsi="Calibri"/>
          <w:color w:val="auto"/>
          <w:sz w:val="21"/>
          <w:szCs w:val="21"/>
          <w:highlight w:val="none"/>
        </w:rPr>
      </w:pPr>
      <w:r>
        <w:rPr>
          <w:rFonts w:hint="eastAsia" w:ascii="Calibri" w:hAnsi="Calibri"/>
          <w:color w:val="auto"/>
          <w:sz w:val="21"/>
          <w:szCs w:val="21"/>
          <w:highlight w:val="none"/>
        </w:rPr>
        <w:t>（4）乙方应负责服务期间所有材料的看护及设备保管维护。</w:t>
      </w:r>
    </w:p>
    <w:p>
      <w:pPr>
        <w:spacing w:line="360" w:lineRule="auto"/>
        <w:ind w:firstLine="420" w:firstLineChars="200"/>
        <w:rPr>
          <w:rFonts w:ascii="Calibri" w:hAnsi="Calibri"/>
          <w:color w:val="auto"/>
          <w:sz w:val="21"/>
          <w:szCs w:val="21"/>
          <w:highlight w:val="none"/>
        </w:rPr>
      </w:pPr>
      <w:r>
        <w:rPr>
          <w:rFonts w:hint="eastAsia" w:ascii="Calibri" w:hAnsi="Calibri"/>
          <w:color w:val="auto"/>
          <w:sz w:val="21"/>
          <w:szCs w:val="21"/>
          <w:highlight w:val="none"/>
        </w:rPr>
        <w:t>（5）乙方负责承担因该项目服务期间发生的所有安全事故及一切后果。</w:t>
      </w:r>
    </w:p>
    <w:p>
      <w:pPr>
        <w:spacing w:line="360" w:lineRule="auto"/>
        <w:ind w:firstLine="420" w:firstLineChars="200"/>
        <w:rPr>
          <w:rFonts w:ascii="Calibri" w:hAnsi="Calibri"/>
          <w:color w:val="auto"/>
          <w:sz w:val="21"/>
          <w:szCs w:val="21"/>
          <w:highlight w:val="none"/>
        </w:rPr>
      </w:pPr>
      <w:r>
        <w:rPr>
          <w:rFonts w:hint="eastAsia" w:ascii="Calibri" w:hAnsi="Calibri"/>
          <w:color w:val="auto"/>
          <w:sz w:val="21"/>
          <w:szCs w:val="21"/>
          <w:highlight w:val="none"/>
        </w:rPr>
        <w:t>（6）乙方负责处理服务质保期期间发生服务质量问题。</w:t>
      </w:r>
    </w:p>
    <w:p>
      <w:pPr>
        <w:spacing w:line="360" w:lineRule="auto"/>
        <w:ind w:firstLine="420" w:firstLineChars="200"/>
        <w:rPr>
          <w:rFonts w:ascii="Calibri" w:hAnsi="Calibri"/>
          <w:color w:val="auto"/>
          <w:sz w:val="21"/>
          <w:szCs w:val="21"/>
          <w:highlight w:val="none"/>
        </w:rPr>
      </w:pPr>
      <w:r>
        <w:rPr>
          <w:rFonts w:hint="eastAsia" w:ascii="Calibri" w:hAnsi="Calibri"/>
          <w:color w:val="auto"/>
          <w:sz w:val="21"/>
          <w:szCs w:val="21"/>
          <w:highlight w:val="none"/>
        </w:rPr>
        <w:t>第六条 违约责任</w:t>
      </w:r>
    </w:p>
    <w:p>
      <w:pPr>
        <w:spacing w:line="360" w:lineRule="auto"/>
        <w:ind w:firstLine="420" w:firstLineChars="200"/>
        <w:rPr>
          <w:rFonts w:ascii="Calibri" w:hAnsi="Calibri"/>
          <w:color w:val="auto"/>
          <w:sz w:val="21"/>
          <w:szCs w:val="21"/>
          <w:highlight w:val="none"/>
        </w:rPr>
      </w:pPr>
      <w:r>
        <w:rPr>
          <w:rFonts w:hint="eastAsia" w:ascii="Calibri" w:hAnsi="Calibri"/>
          <w:color w:val="auto"/>
          <w:sz w:val="21"/>
          <w:szCs w:val="21"/>
          <w:highlight w:val="none"/>
        </w:rPr>
        <w:t>1.乙方未能按本协议规定时间如期完成服务内容的属违约，应给予甲方经济赔偿，赔偿金额按中华人民共和国民法典有关规定执行。</w:t>
      </w:r>
    </w:p>
    <w:p>
      <w:pPr>
        <w:spacing w:line="360" w:lineRule="auto"/>
        <w:ind w:firstLine="420" w:firstLineChars="200"/>
        <w:rPr>
          <w:rFonts w:ascii="Calibri" w:hAnsi="Calibri"/>
          <w:color w:val="auto"/>
          <w:sz w:val="21"/>
          <w:szCs w:val="21"/>
          <w:highlight w:val="none"/>
        </w:rPr>
      </w:pPr>
      <w:r>
        <w:rPr>
          <w:rFonts w:hint="eastAsia" w:ascii="Calibri" w:hAnsi="Calibri"/>
          <w:color w:val="auto"/>
          <w:sz w:val="21"/>
          <w:szCs w:val="21"/>
          <w:highlight w:val="none"/>
        </w:rPr>
        <w:t>2.若甲方未能够按期付款，则按《中华人民共和国民法典》规定给乙方</w:t>
      </w:r>
      <w:r>
        <w:rPr>
          <w:rFonts w:hint="eastAsia" w:ascii="Calibri" w:hAnsi="Calibri"/>
          <w:color w:val="auto"/>
          <w:sz w:val="21"/>
          <w:szCs w:val="21"/>
          <w:highlight w:val="none"/>
          <w:u w:val="single"/>
        </w:rPr>
        <w:t xml:space="preserve">   </w:t>
      </w:r>
      <w:r>
        <w:rPr>
          <w:rFonts w:hint="eastAsia" w:ascii="Calibri" w:hAnsi="Calibri"/>
          <w:color w:val="auto"/>
          <w:sz w:val="21"/>
          <w:szCs w:val="21"/>
          <w:highlight w:val="none"/>
        </w:rPr>
        <w:t>%违约金。</w:t>
      </w:r>
    </w:p>
    <w:p>
      <w:pPr>
        <w:spacing w:line="360" w:lineRule="auto"/>
        <w:ind w:firstLine="420" w:firstLineChars="200"/>
        <w:rPr>
          <w:rFonts w:ascii="Calibri" w:hAnsi="Calibri"/>
          <w:color w:val="auto"/>
          <w:sz w:val="21"/>
          <w:szCs w:val="21"/>
          <w:highlight w:val="none"/>
        </w:rPr>
      </w:pPr>
      <w:r>
        <w:rPr>
          <w:rFonts w:hint="eastAsia" w:ascii="Calibri" w:hAnsi="Calibri"/>
          <w:color w:val="auto"/>
          <w:sz w:val="21"/>
          <w:szCs w:val="21"/>
          <w:highlight w:val="none"/>
        </w:rPr>
        <w:t>3.本协议委托内容确定以及费用总额、中止、解除和提前终止需双方书面确认。如任何一方违约，违约方须赔偿对方。</w:t>
      </w:r>
    </w:p>
    <w:p>
      <w:pPr>
        <w:spacing w:line="360" w:lineRule="auto"/>
        <w:ind w:firstLine="420" w:firstLineChars="200"/>
        <w:rPr>
          <w:rFonts w:ascii="Calibri" w:hAnsi="Calibri"/>
          <w:color w:val="auto"/>
          <w:sz w:val="21"/>
          <w:szCs w:val="21"/>
          <w:highlight w:val="none"/>
        </w:rPr>
      </w:pPr>
      <w:r>
        <w:rPr>
          <w:rFonts w:hint="eastAsia" w:ascii="Calibri" w:hAnsi="Calibri"/>
          <w:color w:val="auto"/>
          <w:sz w:val="21"/>
          <w:szCs w:val="21"/>
          <w:highlight w:val="none"/>
        </w:rPr>
        <w:t>第七条 其它</w:t>
      </w:r>
    </w:p>
    <w:p>
      <w:pPr>
        <w:spacing w:line="360" w:lineRule="auto"/>
        <w:ind w:firstLine="420" w:firstLineChars="200"/>
        <w:rPr>
          <w:rFonts w:ascii="Calibri" w:hAnsi="Calibri"/>
          <w:color w:val="auto"/>
          <w:sz w:val="21"/>
          <w:szCs w:val="21"/>
          <w:highlight w:val="none"/>
        </w:rPr>
      </w:pPr>
      <w:r>
        <w:rPr>
          <w:rFonts w:hint="eastAsia" w:ascii="Calibri" w:hAnsi="Calibri"/>
          <w:color w:val="auto"/>
          <w:sz w:val="21"/>
          <w:szCs w:val="21"/>
          <w:highlight w:val="none"/>
        </w:rPr>
        <w:t>1.本协议一式</w:t>
      </w:r>
      <w:r>
        <w:rPr>
          <w:rFonts w:hint="eastAsia" w:ascii="Calibri" w:hAnsi="Calibri"/>
          <w:color w:val="auto"/>
          <w:sz w:val="21"/>
          <w:szCs w:val="21"/>
          <w:highlight w:val="none"/>
          <w:u w:val="single"/>
        </w:rPr>
        <w:t xml:space="preserve">  </w:t>
      </w:r>
      <w:r>
        <w:rPr>
          <w:rFonts w:hint="eastAsia" w:ascii="Calibri" w:hAnsi="Calibri"/>
          <w:color w:val="auto"/>
          <w:sz w:val="21"/>
          <w:szCs w:val="21"/>
          <w:highlight w:val="none"/>
        </w:rPr>
        <w:t>份，甲乙双方各执</w:t>
      </w:r>
      <w:r>
        <w:rPr>
          <w:rFonts w:hint="eastAsia" w:ascii="Calibri" w:hAnsi="Calibri"/>
          <w:color w:val="auto"/>
          <w:sz w:val="21"/>
          <w:szCs w:val="21"/>
          <w:highlight w:val="none"/>
          <w:u w:val="single"/>
        </w:rPr>
        <w:t xml:space="preserve">  </w:t>
      </w:r>
      <w:r>
        <w:rPr>
          <w:rFonts w:hint="eastAsia" w:ascii="Calibri" w:hAnsi="Calibri"/>
          <w:color w:val="auto"/>
          <w:sz w:val="21"/>
          <w:szCs w:val="21"/>
          <w:highlight w:val="none"/>
        </w:rPr>
        <w:t>份。均具有同等法律效力。</w:t>
      </w:r>
    </w:p>
    <w:p>
      <w:pPr>
        <w:spacing w:line="360" w:lineRule="auto"/>
        <w:ind w:firstLine="420" w:firstLineChars="200"/>
        <w:rPr>
          <w:rFonts w:ascii="Calibri" w:hAnsi="Calibri"/>
          <w:color w:val="auto"/>
          <w:sz w:val="21"/>
          <w:szCs w:val="21"/>
          <w:highlight w:val="none"/>
        </w:rPr>
      </w:pPr>
      <w:r>
        <w:rPr>
          <w:rFonts w:hint="eastAsia" w:ascii="Calibri" w:hAnsi="Calibri"/>
          <w:color w:val="auto"/>
          <w:sz w:val="21"/>
          <w:szCs w:val="21"/>
          <w:highlight w:val="none"/>
        </w:rPr>
        <w:t>2.本协议中未尽事宜，双方协商解决，并另行签定补充协议。</w:t>
      </w:r>
    </w:p>
    <w:p>
      <w:pPr>
        <w:spacing w:line="360" w:lineRule="auto"/>
        <w:ind w:firstLine="420" w:firstLineChars="200"/>
        <w:rPr>
          <w:rFonts w:ascii="Calibri" w:hAnsi="Calibri"/>
          <w:color w:val="auto"/>
          <w:sz w:val="21"/>
          <w:szCs w:val="21"/>
          <w:highlight w:val="none"/>
        </w:rPr>
      </w:pPr>
      <w:r>
        <w:rPr>
          <w:rFonts w:hint="eastAsia" w:ascii="Calibri" w:hAnsi="Calibri"/>
          <w:color w:val="auto"/>
          <w:sz w:val="21"/>
          <w:szCs w:val="21"/>
          <w:highlight w:val="none"/>
        </w:rPr>
        <w:t>3.本协议经双方法定代表人或授权代表签字（或盖章）并加盖单位公章或合同专用章后生效。</w:t>
      </w:r>
    </w:p>
    <w:p>
      <w:pPr>
        <w:spacing w:line="520" w:lineRule="exact"/>
        <w:rPr>
          <w:rFonts w:hint="eastAsia" w:ascii="宋体" w:hAnsi="宋体" w:eastAsia="宋体" w:cs="宋体"/>
          <w:color w:val="auto"/>
          <w:szCs w:val="21"/>
          <w:highlight w:val="none"/>
        </w:rPr>
      </w:pPr>
    </w:p>
    <w:p>
      <w:pPr>
        <w:spacing w:line="5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分包企业</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名称（盖章）：            乙方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接收分包企业</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名称（盖章）： </w:t>
      </w:r>
    </w:p>
    <w:p>
      <w:pPr>
        <w:spacing w:line="520" w:lineRule="exact"/>
        <w:rPr>
          <w:rFonts w:hint="eastAsia" w:ascii="宋体" w:hAnsi="宋体" w:eastAsia="宋体" w:cs="宋体"/>
          <w:color w:val="auto"/>
          <w:szCs w:val="21"/>
          <w:highlight w:val="none"/>
          <w:lang w:val="en-US" w:eastAsia="zh-CN"/>
        </w:rPr>
      </w:pPr>
      <w:r>
        <w:rPr>
          <w:rFonts w:hint="eastAsia" w:ascii="Calibri" w:hAnsi="Calibri"/>
          <w:color w:val="auto"/>
          <w:sz w:val="21"/>
          <w:szCs w:val="21"/>
          <w:highlight w:val="none"/>
        </w:rPr>
        <w:t>法定代表人或授权代表签字（或盖章）</w:t>
      </w:r>
      <w:r>
        <w:rPr>
          <w:rFonts w:hint="eastAsia" w:ascii="Calibri" w:hAnsi="Calibri"/>
          <w:color w:val="auto"/>
          <w:sz w:val="21"/>
          <w:szCs w:val="21"/>
          <w:highlight w:val="none"/>
          <w:lang w:eastAsia="zh-CN"/>
        </w:rPr>
        <w:t>：</w:t>
      </w:r>
      <w:r>
        <w:rPr>
          <w:rFonts w:hint="eastAsia" w:ascii="Calibri" w:hAnsi="Calibri"/>
          <w:color w:val="auto"/>
          <w:sz w:val="21"/>
          <w:szCs w:val="21"/>
          <w:highlight w:val="none"/>
          <w:lang w:val="en-US" w:eastAsia="zh-CN"/>
        </w:rPr>
        <w:t xml:space="preserve">      </w:t>
      </w:r>
      <w:r>
        <w:rPr>
          <w:rFonts w:hint="eastAsia" w:ascii="Calibri" w:hAnsi="Calibri"/>
          <w:color w:val="auto"/>
          <w:sz w:val="21"/>
          <w:szCs w:val="21"/>
          <w:highlight w:val="none"/>
        </w:rPr>
        <w:t>法定代表人或授权代表签字（或盖章）</w:t>
      </w:r>
      <w:r>
        <w:rPr>
          <w:rFonts w:hint="eastAsia" w:ascii="Calibri" w:hAnsi="Calibri"/>
          <w:color w:val="auto"/>
          <w:sz w:val="21"/>
          <w:szCs w:val="21"/>
          <w:highlight w:val="none"/>
          <w:lang w:eastAsia="zh-CN"/>
        </w:rPr>
        <w:t>：</w:t>
      </w:r>
    </w:p>
    <w:p>
      <w:pPr>
        <w:spacing w:line="5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日期：                                 日期： </w:t>
      </w:r>
    </w:p>
    <w:p>
      <w:pPr>
        <w:spacing w:line="360" w:lineRule="auto"/>
        <w:ind w:right="420" w:firstLine="422" w:firstLineChars="200"/>
        <w:rPr>
          <w:rFonts w:hint="eastAsia" w:ascii="宋体" w:hAnsi="宋体" w:eastAsia="宋体" w:cs="宋体"/>
          <w:b/>
          <w:bCs/>
          <w:color w:val="auto"/>
          <w:szCs w:val="21"/>
          <w:highlight w:val="none"/>
        </w:rPr>
      </w:pPr>
    </w:p>
    <w:p>
      <w:pPr>
        <w:pStyle w:val="2"/>
        <w:rPr>
          <w:rFonts w:hint="eastAsia" w:ascii="宋体" w:hAnsi="宋体" w:eastAsia="宋体" w:cs="宋体"/>
          <w:b/>
          <w:bCs/>
          <w:color w:val="auto"/>
          <w:szCs w:val="21"/>
          <w:highlight w:val="none"/>
        </w:rPr>
      </w:pPr>
    </w:p>
    <w:p>
      <w:pPr>
        <w:pStyle w:val="2"/>
        <w:rPr>
          <w:rFonts w:hint="eastAsia" w:ascii="宋体" w:hAnsi="宋体" w:eastAsia="宋体" w:cs="宋体"/>
          <w:b/>
          <w:bCs/>
          <w:color w:val="auto"/>
          <w:szCs w:val="21"/>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b/>
          <w:bCs/>
          <w:color w:val="auto"/>
          <w:szCs w:val="21"/>
          <w:highlight w:val="none"/>
        </w:rPr>
      </w:pPr>
    </w:p>
    <w:p>
      <w:pPr>
        <w:snapToGrid w:val="0"/>
        <w:spacing w:line="360" w:lineRule="auto"/>
        <w:jc w:val="center"/>
        <w:rPr>
          <w:rFonts w:hint="eastAsia" w:ascii="宋体" w:hAnsi="宋体" w:eastAsia="宋体" w:cs="宋体"/>
          <w:b/>
          <w:color w:val="auto"/>
          <w:sz w:val="32"/>
          <w:szCs w:val="32"/>
          <w:highlight w:val="none"/>
        </w:rPr>
      </w:pPr>
      <w:bookmarkStart w:id="130" w:name="OLE_LINK10"/>
      <w:r>
        <w:rPr>
          <w:rFonts w:hint="eastAsia" w:ascii="宋体" w:hAnsi="宋体" w:eastAsia="宋体" w:cs="宋体"/>
          <w:b/>
          <w:color w:val="auto"/>
          <w:sz w:val="32"/>
          <w:szCs w:val="32"/>
          <w:highlight w:val="none"/>
          <w:lang w:val="en-US" w:eastAsia="zh-CN"/>
        </w:rPr>
        <w:t>2、</w:t>
      </w:r>
      <w:r>
        <w:rPr>
          <w:rFonts w:hint="eastAsia" w:ascii="宋体" w:hAnsi="宋体" w:eastAsia="宋体" w:cs="宋体"/>
          <w:b/>
          <w:color w:val="auto"/>
          <w:sz w:val="32"/>
          <w:szCs w:val="32"/>
          <w:highlight w:val="none"/>
        </w:rPr>
        <w:t>分包承诺书（如有</w:t>
      </w:r>
      <w:r>
        <w:rPr>
          <w:rFonts w:hint="eastAsia" w:ascii="宋体" w:hAnsi="宋体" w:cs="宋体"/>
          <w:b/>
          <w:color w:val="auto"/>
          <w:sz w:val="32"/>
          <w:szCs w:val="32"/>
          <w:highlight w:val="none"/>
          <w:lang w:eastAsia="zh-CN"/>
        </w:rPr>
        <w:t>，适用于大型企业</w:t>
      </w:r>
      <w:r>
        <w:rPr>
          <w:rFonts w:hint="eastAsia" w:ascii="宋体" w:hAnsi="宋体" w:eastAsia="宋体" w:cs="宋体"/>
          <w:b/>
          <w:color w:val="auto"/>
          <w:sz w:val="32"/>
          <w:szCs w:val="32"/>
          <w:highlight w:val="none"/>
        </w:rPr>
        <w:t>）</w:t>
      </w:r>
    </w:p>
    <w:p>
      <w:pPr>
        <w:spacing w:line="520" w:lineRule="exact"/>
        <w:rPr>
          <w:rFonts w:hint="eastAsia" w:ascii="宋体" w:hAnsi="宋体" w:eastAsia="宋体" w:cs="宋体"/>
          <w:color w:val="auto"/>
          <w:sz w:val="28"/>
          <w:szCs w:val="28"/>
          <w:highlight w:val="none"/>
        </w:rPr>
      </w:pPr>
    </w:p>
    <w:p>
      <w:pPr>
        <w:spacing w:line="5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（采购人名称）</w:t>
      </w:r>
      <w:r>
        <w:rPr>
          <w:rFonts w:hint="eastAsia" w:ascii="宋体" w:hAnsi="宋体" w:eastAsia="宋体" w:cs="宋体"/>
          <w:color w:val="auto"/>
          <w:szCs w:val="21"/>
          <w:highlight w:val="none"/>
        </w:rPr>
        <w:t>：</w:t>
      </w:r>
    </w:p>
    <w:p>
      <w:pPr>
        <w:spacing w:line="5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我公司承诺严格按照《政府采购促进中小企业发展管理办法》（财库[2020]46号）规定，并作出以下承诺：</w:t>
      </w:r>
    </w:p>
    <w:p>
      <w:pPr>
        <w:spacing w:line="5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我公司为</w:t>
      </w:r>
      <w:r>
        <w:rPr>
          <w:rFonts w:hint="eastAsia" w:ascii="宋体" w:hAnsi="宋体" w:cs="宋体"/>
          <w:color w:val="auto"/>
          <w:szCs w:val="21"/>
          <w:highlight w:val="none"/>
          <w:lang w:eastAsia="zh-CN"/>
        </w:rPr>
        <w:t>（</w:t>
      </w:r>
      <w:bookmarkStart w:id="131" w:name="OLE_LINK9"/>
      <w:r>
        <w:rPr>
          <w:rFonts w:hint="eastAsia" w:ascii="宋体" w:hAnsi="宋体" w:eastAsia="宋体" w:cs="宋体"/>
          <w:color w:val="FF0000"/>
          <w:szCs w:val="21"/>
          <w:highlight w:val="none"/>
          <w:u w:val="single"/>
        </w:rPr>
        <w:t>大型企业</w:t>
      </w:r>
      <w:bookmarkEnd w:id="131"/>
      <w:r>
        <w:rPr>
          <w:rFonts w:hint="eastAsia" w:ascii="宋体" w:hAnsi="宋体" w:cs="宋体"/>
          <w:color w:val="FF0000"/>
          <w:szCs w:val="21"/>
          <w:highlight w:val="none"/>
          <w:u w:val="single"/>
          <w:lang w:eastAsia="zh-CN"/>
        </w:rPr>
        <w:t>）</w:t>
      </w:r>
      <w:r>
        <w:rPr>
          <w:rFonts w:hint="eastAsia" w:ascii="宋体" w:hAnsi="宋体" w:eastAsia="宋体" w:cs="宋体"/>
          <w:color w:val="auto"/>
          <w:szCs w:val="21"/>
          <w:highlight w:val="none"/>
        </w:rPr>
        <w:t>，承诺将不低于本采购</w:t>
      </w:r>
      <w:r>
        <w:rPr>
          <w:rFonts w:hint="eastAsia" w:ascii="宋体" w:hAnsi="宋体" w:cs="宋体"/>
          <w:color w:val="auto"/>
          <w:szCs w:val="21"/>
          <w:highlight w:val="none"/>
          <w:lang w:val="en-US" w:eastAsia="zh-CN"/>
        </w:rPr>
        <w:t>合同</w:t>
      </w:r>
      <w:r>
        <w:rPr>
          <w:rFonts w:hint="eastAsia" w:ascii="宋体" w:hAnsi="宋体" w:eastAsia="宋体" w:cs="宋体"/>
          <w:color w:val="auto"/>
          <w:szCs w:val="21"/>
          <w:highlight w:val="none"/>
        </w:rPr>
        <w:t>金额的30%分包给一家或者多家中小微企业</w:t>
      </w:r>
      <w:r>
        <w:rPr>
          <w:rFonts w:hint="eastAsia" w:ascii="宋体" w:hAnsi="宋体" w:eastAsia="宋体" w:cs="宋体"/>
          <w:color w:val="auto"/>
          <w:szCs w:val="21"/>
          <w:highlight w:val="none"/>
          <w:lang w:eastAsia="zh-CN"/>
        </w:rPr>
        <w:t>，其中分包给小微企业的比例不低于60%</w:t>
      </w:r>
      <w:r>
        <w:rPr>
          <w:rFonts w:hint="eastAsia" w:ascii="宋体" w:hAnsi="宋体" w:eastAsia="宋体" w:cs="宋体"/>
          <w:color w:val="auto"/>
          <w:szCs w:val="21"/>
          <w:highlight w:val="none"/>
        </w:rPr>
        <w:t>，且与接受分包合同的中小微企业之间不得存在直接控股、管理关系；</w:t>
      </w:r>
    </w:p>
    <w:p>
      <w:pPr>
        <w:spacing w:line="520" w:lineRule="exact"/>
        <w:ind w:firstLine="420" w:firstLineChars="200"/>
        <w:rPr>
          <w:rFonts w:hint="eastAsia" w:ascii="宋体" w:hAnsi="宋体" w:eastAsia="宋体" w:cs="宋体"/>
          <w:color w:val="auto"/>
          <w:szCs w:val="21"/>
          <w:highlight w:val="none"/>
        </w:rPr>
      </w:pPr>
    </w:p>
    <w:p>
      <w:pPr>
        <w:spacing w:line="5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pPr>
        <w:spacing w:line="520" w:lineRule="exact"/>
        <w:rPr>
          <w:rFonts w:hint="eastAsia" w:ascii="宋体" w:hAnsi="宋体" w:eastAsia="宋体" w:cs="宋体"/>
          <w:color w:val="auto"/>
          <w:szCs w:val="21"/>
          <w:highlight w:val="none"/>
        </w:rPr>
      </w:pPr>
    </w:p>
    <w:p>
      <w:pPr>
        <w:spacing w:line="520" w:lineRule="exact"/>
        <w:ind w:firstLine="420" w:firstLineChars="200"/>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供应商（电子签章）：</w:t>
      </w:r>
    </w:p>
    <w:p>
      <w:pPr>
        <w:spacing w:line="520" w:lineRule="exact"/>
        <w:ind w:firstLine="420" w:firstLineChars="200"/>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日  期：     年   月   日</w:t>
      </w:r>
    </w:p>
    <w:p>
      <w:pPr>
        <w:spacing w:line="360" w:lineRule="auto"/>
        <w:ind w:right="-817" w:rightChars="-389"/>
        <w:contextualSpacing/>
        <w:rPr>
          <w:rFonts w:hint="eastAsia" w:ascii="宋体" w:hAnsi="宋体" w:eastAsia="宋体" w:cs="宋体"/>
          <w:b/>
          <w:bCs/>
          <w:color w:val="auto"/>
          <w:sz w:val="32"/>
          <w:szCs w:val="32"/>
          <w:highlight w:val="none"/>
          <w:lang w:val="en-US" w:eastAsia="zh-CN"/>
        </w:rPr>
        <w:sectPr>
          <w:pgSz w:w="11910" w:h="16840"/>
          <w:pgMar w:top="1340" w:right="1500" w:bottom="280" w:left="1680" w:header="720" w:footer="567" w:gutter="0"/>
          <w:pgNumType w:fmt="decimal"/>
          <w:cols w:space="720" w:num="1"/>
        </w:sectPr>
      </w:pPr>
    </w:p>
    <w:bookmarkEnd w:id="130"/>
    <w:p>
      <w:pPr>
        <w:snapToGrid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2、</w:t>
      </w:r>
      <w:r>
        <w:rPr>
          <w:rFonts w:hint="eastAsia" w:ascii="宋体" w:hAnsi="宋体" w:eastAsia="宋体" w:cs="宋体"/>
          <w:b/>
          <w:color w:val="auto"/>
          <w:sz w:val="32"/>
          <w:szCs w:val="32"/>
          <w:highlight w:val="none"/>
        </w:rPr>
        <w:t>分包承诺书（如有</w:t>
      </w:r>
      <w:r>
        <w:rPr>
          <w:rFonts w:hint="eastAsia" w:ascii="宋体" w:hAnsi="宋体" w:cs="宋体"/>
          <w:b/>
          <w:color w:val="auto"/>
          <w:sz w:val="32"/>
          <w:szCs w:val="32"/>
          <w:highlight w:val="none"/>
          <w:lang w:eastAsia="zh-CN"/>
        </w:rPr>
        <w:t>，适用于中型企业</w:t>
      </w:r>
      <w:r>
        <w:rPr>
          <w:rFonts w:hint="eastAsia" w:ascii="宋体" w:hAnsi="宋体" w:eastAsia="宋体" w:cs="宋体"/>
          <w:b/>
          <w:color w:val="auto"/>
          <w:sz w:val="32"/>
          <w:szCs w:val="32"/>
          <w:highlight w:val="none"/>
        </w:rPr>
        <w:t>）</w:t>
      </w:r>
    </w:p>
    <w:p>
      <w:pPr>
        <w:spacing w:line="520" w:lineRule="exact"/>
        <w:rPr>
          <w:rFonts w:hint="eastAsia" w:ascii="宋体" w:hAnsi="宋体" w:eastAsia="宋体" w:cs="宋体"/>
          <w:color w:val="auto"/>
          <w:sz w:val="28"/>
          <w:szCs w:val="28"/>
          <w:highlight w:val="none"/>
        </w:rPr>
      </w:pPr>
    </w:p>
    <w:p>
      <w:pPr>
        <w:spacing w:line="5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（采购人名称）</w:t>
      </w:r>
      <w:r>
        <w:rPr>
          <w:rFonts w:hint="eastAsia" w:ascii="宋体" w:hAnsi="宋体" w:eastAsia="宋体" w:cs="宋体"/>
          <w:color w:val="auto"/>
          <w:szCs w:val="21"/>
          <w:highlight w:val="none"/>
        </w:rPr>
        <w:t>：</w:t>
      </w:r>
    </w:p>
    <w:p>
      <w:pPr>
        <w:spacing w:line="5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我公司承诺严格按照《政府采购促进中小企业发展管理办法》（财库[2020]46号）规定，并作出以下承诺：</w:t>
      </w:r>
    </w:p>
    <w:p>
      <w:pPr>
        <w:spacing w:line="5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我公司为</w:t>
      </w:r>
      <w:r>
        <w:rPr>
          <w:rFonts w:hint="eastAsia" w:ascii="宋体" w:hAnsi="宋体" w:cs="宋体"/>
          <w:color w:val="auto"/>
          <w:szCs w:val="21"/>
          <w:highlight w:val="none"/>
          <w:lang w:eastAsia="zh-CN"/>
        </w:rPr>
        <w:t>（</w:t>
      </w:r>
      <w:bookmarkStart w:id="132" w:name="OLE_LINK12"/>
      <w:r>
        <w:rPr>
          <w:rFonts w:hint="eastAsia" w:ascii="宋体" w:hAnsi="宋体" w:cs="宋体"/>
          <w:color w:val="FF0000"/>
          <w:szCs w:val="21"/>
          <w:highlight w:val="none"/>
          <w:u w:val="single"/>
          <w:lang w:eastAsia="zh-CN"/>
        </w:rPr>
        <w:t>中型企业</w:t>
      </w:r>
      <w:bookmarkEnd w:id="132"/>
      <w:r>
        <w:rPr>
          <w:rFonts w:hint="eastAsia" w:ascii="宋体" w:hAnsi="宋体" w:cs="宋体"/>
          <w:color w:val="FF0000"/>
          <w:szCs w:val="21"/>
          <w:highlight w:val="none"/>
          <w:u w:val="single"/>
          <w:lang w:eastAsia="zh-CN"/>
        </w:rPr>
        <w:t>）</w:t>
      </w:r>
      <w:r>
        <w:rPr>
          <w:rFonts w:hint="eastAsia" w:ascii="宋体" w:hAnsi="宋体" w:eastAsia="宋体" w:cs="宋体"/>
          <w:color w:val="auto"/>
          <w:szCs w:val="21"/>
          <w:highlight w:val="none"/>
        </w:rPr>
        <w:t>，承诺将不低于本采购</w:t>
      </w:r>
      <w:r>
        <w:rPr>
          <w:rFonts w:hint="eastAsia" w:ascii="宋体" w:hAnsi="宋体" w:cs="宋体"/>
          <w:color w:val="auto"/>
          <w:szCs w:val="21"/>
          <w:highlight w:val="none"/>
          <w:lang w:val="en-US" w:eastAsia="zh-CN"/>
        </w:rPr>
        <w:t>合同</w:t>
      </w:r>
      <w:r>
        <w:rPr>
          <w:rFonts w:hint="eastAsia" w:ascii="宋体" w:hAnsi="宋体" w:eastAsia="宋体" w:cs="宋体"/>
          <w:color w:val="auto"/>
          <w:szCs w:val="21"/>
          <w:highlight w:val="none"/>
        </w:rPr>
        <w:t>金额的</w:t>
      </w:r>
      <w:r>
        <w:rPr>
          <w:rFonts w:hint="eastAsia" w:ascii="宋体" w:hAnsi="宋体" w:cs="宋体"/>
          <w:color w:val="auto"/>
          <w:szCs w:val="21"/>
          <w:highlight w:val="none"/>
          <w:lang w:val="en-US" w:eastAsia="zh-CN"/>
        </w:rPr>
        <w:t>18</w:t>
      </w:r>
      <w:r>
        <w:rPr>
          <w:rFonts w:hint="eastAsia" w:ascii="宋体" w:hAnsi="宋体" w:eastAsia="宋体" w:cs="宋体"/>
          <w:color w:val="auto"/>
          <w:szCs w:val="21"/>
          <w:highlight w:val="none"/>
        </w:rPr>
        <w:t>%分包给一家或者多家小微企业</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且与接受分包合同的小微企业之间不得存在直接控股、管理关系；</w:t>
      </w:r>
    </w:p>
    <w:p>
      <w:pPr>
        <w:spacing w:line="520" w:lineRule="exact"/>
        <w:ind w:firstLine="420" w:firstLineChars="200"/>
        <w:rPr>
          <w:rFonts w:hint="eastAsia" w:ascii="宋体" w:hAnsi="宋体" w:eastAsia="宋体" w:cs="宋体"/>
          <w:color w:val="auto"/>
          <w:szCs w:val="21"/>
          <w:highlight w:val="none"/>
        </w:rPr>
      </w:pPr>
    </w:p>
    <w:p>
      <w:pPr>
        <w:spacing w:line="5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pPr>
        <w:spacing w:line="520" w:lineRule="exact"/>
        <w:rPr>
          <w:rFonts w:hint="eastAsia" w:ascii="宋体" w:hAnsi="宋体" w:eastAsia="宋体" w:cs="宋体"/>
          <w:color w:val="auto"/>
          <w:szCs w:val="21"/>
          <w:highlight w:val="none"/>
        </w:rPr>
      </w:pPr>
    </w:p>
    <w:p>
      <w:pPr>
        <w:spacing w:line="520" w:lineRule="exact"/>
        <w:ind w:firstLine="420" w:firstLineChars="200"/>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供应商（电子签章）：</w:t>
      </w:r>
    </w:p>
    <w:p>
      <w:pPr>
        <w:spacing w:line="520" w:lineRule="exact"/>
        <w:ind w:firstLine="420" w:firstLineChars="200"/>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日  期：     年   月   日</w:t>
      </w:r>
    </w:p>
    <w:p>
      <w:pPr>
        <w:spacing w:line="360" w:lineRule="auto"/>
        <w:ind w:right="-817" w:rightChars="-389"/>
        <w:contextualSpacing/>
        <w:rPr>
          <w:rFonts w:hint="eastAsia" w:ascii="宋体" w:hAnsi="宋体" w:eastAsia="宋体" w:cs="宋体"/>
          <w:b/>
          <w:bCs/>
          <w:color w:val="auto"/>
          <w:sz w:val="32"/>
          <w:szCs w:val="32"/>
          <w:highlight w:val="none"/>
          <w:lang w:val="en-US" w:eastAsia="zh-CN"/>
        </w:rPr>
        <w:sectPr>
          <w:pgSz w:w="11910" w:h="16840"/>
          <w:pgMar w:top="1340" w:right="1500" w:bottom="280" w:left="1680" w:header="720" w:footer="567" w:gutter="0"/>
          <w:pgNumType w:fmt="decimal"/>
          <w:cols w:space="720" w:num="1"/>
        </w:sectPr>
      </w:pPr>
    </w:p>
    <w:p>
      <w:pPr>
        <w:pStyle w:val="8"/>
        <w:overflowPunct w:val="0"/>
        <w:spacing w:line="520" w:lineRule="exact"/>
        <w:ind w:firstLine="0"/>
        <w:jc w:val="left"/>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lang w:val="en-US" w:eastAsia="zh-CN"/>
        </w:rPr>
        <w:t>标项二：竞标供应商</w:t>
      </w:r>
      <w:r>
        <w:rPr>
          <w:rFonts w:hint="eastAsia" w:ascii="宋体" w:hAnsi="宋体" w:eastAsia="宋体" w:cs="宋体"/>
          <w:b/>
          <w:bCs/>
          <w:color w:val="auto"/>
          <w:sz w:val="30"/>
          <w:szCs w:val="30"/>
          <w:highlight w:val="none"/>
          <w:lang w:eastAsia="zh-CN"/>
        </w:rPr>
        <w:t>为</w:t>
      </w:r>
      <w:r>
        <w:rPr>
          <w:rFonts w:hint="eastAsia" w:ascii="宋体" w:hAnsi="宋体" w:eastAsia="宋体" w:cs="宋体"/>
          <w:b/>
          <w:bCs/>
          <w:color w:val="auto"/>
          <w:sz w:val="30"/>
          <w:szCs w:val="30"/>
          <w:highlight w:val="none"/>
          <w:lang w:val="en-US" w:eastAsia="zh-CN"/>
        </w:rPr>
        <w:t>联合体承接时必须</w:t>
      </w:r>
      <w:r>
        <w:rPr>
          <w:rFonts w:hint="eastAsia" w:ascii="宋体" w:hAnsi="宋体" w:eastAsia="宋体" w:cs="宋体"/>
          <w:b/>
          <w:bCs/>
          <w:color w:val="auto"/>
          <w:sz w:val="30"/>
          <w:szCs w:val="30"/>
          <w:highlight w:val="none"/>
          <w:lang w:eastAsia="zh-CN"/>
        </w:rPr>
        <w:t>提供的资格证明材料：</w:t>
      </w:r>
    </w:p>
    <w:p>
      <w:pPr>
        <w:snapToGrid w:val="0"/>
        <w:ind w:left="480" w:hanging="643" w:hangingChars="200"/>
        <w:jc w:val="center"/>
        <w:rPr>
          <w:rFonts w:hint="eastAsia" w:ascii="宋体" w:hAnsi="宋体" w:cs="宋体"/>
          <w:b/>
          <w:color w:val="auto"/>
          <w:sz w:val="32"/>
          <w:szCs w:val="32"/>
          <w:highlight w:val="none"/>
        </w:rPr>
      </w:pPr>
    </w:p>
    <w:p>
      <w:pPr>
        <w:snapToGrid w:val="0"/>
        <w:ind w:left="480" w:hanging="643" w:hangingChars="200"/>
        <w:jc w:val="center"/>
        <w:rPr>
          <w:rFonts w:ascii="宋体" w:hAnsi="宋体" w:cs="宋体"/>
          <w:b/>
          <w:color w:val="auto"/>
          <w:sz w:val="32"/>
          <w:szCs w:val="32"/>
          <w:highlight w:val="none"/>
        </w:rPr>
      </w:pPr>
      <w:r>
        <w:rPr>
          <w:rFonts w:hint="eastAsia" w:ascii="宋体" w:hAnsi="宋体" w:cs="宋体"/>
          <w:b/>
          <w:color w:val="auto"/>
          <w:sz w:val="32"/>
          <w:szCs w:val="32"/>
          <w:highlight w:val="none"/>
        </w:rPr>
        <w:t>联合体协议书</w:t>
      </w:r>
    </w:p>
    <w:p>
      <w:pPr>
        <w:overflowPunct w:val="0"/>
        <w:spacing w:line="360" w:lineRule="auto"/>
        <w:ind w:firstLine="482"/>
        <w:contextualSpacing/>
        <w:rPr>
          <w:rFonts w:ascii="宋体" w:hAnsi="宋体" w:cs="宋体"/>
          <w:color w:val="auto"/>
          <w:sz w:val="24"/>
          <w:szCs w:val="20"/>
          <w:highlight w:val="none"/>
        </w:rPr>
      </w:pPr>
    </w:p>
    <w:p>
      <w:pPr>
        <w:overflowPunct w:val="0"/>
        <w:spacing w:line="360" w:lineRule="auto"/>
        <w:ind w:firstLine="482"/>
        <w:contextualSpacing/>
        <w:rPr>
          <w:rFonts w:ascii="宋体" w:hAnsi="宋体" w:cs="宋体"/>
          <w:color w:val="auto"/>
          <w:sz w:val="21"/>
          <w:szCs w:val="21"/>
          <w:highlight w:val="none"/>
        </w:rPr>
      </w:pP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rPr>
        <w:tab/>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（所有成员单位名称）自愿组成</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ab/>
      </w:r>
      <w:r>
        <w:rPr>
          <w:rFonts w:hint="eastAsia" w:ascii="宋体" w:hAnsi="宋体" w:cs="宋体"/>
          <w:color w:val="auto"/>
          <w:sz w:val="21"/>
          <w:szCs w:val="21"/>
          <w:highlight w:val="none"/>
        </w:rPr>
        <w:t>（联合体名称）联合体，共同参加</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rPr>
        <w:tab/>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（项</w:t>
      </w:r>
      <w:r>
        <w:rPr>
          <w:rFonts w:hint="eastAsia" w:ascii="宋体" w:hAnsi="宋体" w:cs="宋体"/>
          <w:color w:val="auto"/>
          <w:sz w:val="21"/>
          <w:szCs w:val="21"/>
          <w:highlight w:val="none"/>
        </w:rPr>
        <w:t>目名称）</w:t>
      </w:r>
      <w:r>
        <w:rPr>
          <w:rFonts w:hint="eastAsia" w:ascii="宋体" w:cs="宋体"/>
          <w:color w:val="auto"/>
          <w:kern w:val="0"/>
          <w:szCs w:val="21"/>
          <w:highlight w:val="none"/>
        </w:rPr>
        <w:t>（项目编号：</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val="en-US" w:eastAsia="zh-CN"/>
        </w:rPr>
        <w:t xml:space="preserve"> </w:t>
      </w:r>
      <w:r>
        <w:rPr>
          <w:rFonts w:hint="eastAsia" w:ascii="宋体" w:cs="宋体"/>
          <w:color w:val="auto"/>
          <w:kern w:val="0"/>
          <w:szCs w:val="21"/>
          <w:highlight w:val="none"/>
          <w:u w:val="single"/>
        </w:rPr>
        <w:t xml:space="preserve"> </w:t>
      </w:r>
      <w:r>
        <w:rPr>
          <w:rFonts w:hint="eastAsia" w:ascii="宋体" w:hAnsi="宋体" w:cs="宋体"/>
          <w:color w:val="auto"/>
          <w:szCs w:val="21"/>
          <w:highlight w:val="none"/>
        </w:rPr>
        <w:t>分标</w:t>
      </w:r>
      <w:r>
        <w:rPr>
          <w:rFonts w:hint="eastAsia" w:ascii="宋体" w:hAnsi="宋体" w:cs="宋体"/>
          <w:color w:val="auto"/>
          <w:sz w:val="21"/>
          <w:szCs w:val="21"/>
          <w:highlight w:val="none"/>
        </w:rPr>
        <w:t>采购项目</w:t>
      </w:r>
      <w:r>
        <w:rPr>
          <w:rFonts w:hint="eastAsia" w:ascii="宋体" w:hAnsi="宋体" w:cs="宋体"/>
          <w:color w:val="auto"/>
          <w:sz w:val="21"/>
          <w:szCs w:val="21"/>
          <w:highlight w:val="none"/>
          <w:lang w:val="en-US" w:eastAsia="zh-CN"/>
        </w:rPr>
        <w:t>竞</w:t>
      </w:r>
      <w:r>
        <w:rPr>
          <w:rFonts w:hint="eastAsia" w:ascii="宋体" w:hAnsi="宋体" w:cs="宋体"/>
          <w:color w:val="auto"/>
          <w:sz w:val="21"/>
          <w:szCs w:val="21"/>
          <w:highlight w:val="none"/>
        </w:rPr>
        <w:t>标。现就联合体</w:t>
      </w:r>
      <w:r>
        <w:rPr>
          <w:rFonts w:hint="eastAsia" w:ascii="宋体" w:hAnsi="宋体" w:cs="宋体"/>
          <w:color w:val="auto"/>
          <w:sz w:val="21"/>
          <w:szCs w:val="21"/>
          <w:highlight w:val="none"/>
          <w:lang w:val="en-US" w:eastAsia="zh-CN"/>
        </w:rPr>
        <w:t>竞</w:t>
      </w:r>
      <w:r>
        <w:rPr>
          <w:rFonts w:hint="eastAsia" w:ascii="宋体" w:hAnsi="宋体" w:cs="宋体"/>
          <w:color w:val="auto"/>
          <w:sz w:val="21"/>
          <w:szCs w:val="21"/>
          <w:highlight w:val="none"/>
        </w:rPr>
        <w:t>标事宜订立如下协议。</w:t>
      </w:r>
    </w:p>
    <w:p>
      <w:pPr>
        <w:overflowPunct w:val="0"/>
        <w:spacing w:line="360" w:lineRule="auto"/>
        <w:ind w:firstLine="367" w:firstLineChars="175"/>
        <w:contextualSpacing/>
        <w:rPr>
          <w:rFonts w:ascii="宋体" w:hAnsi="宋体" w:cs="宋体"/>
          <w:color w:val="auto"/>
          <w:sz w:val="21"/>
          <w:szCs w:val="21"/>
          <w:highlight w:val="none"/>
        </w:rPr>
      </w:pPr>
      <w:r>
        <w:rPr>
          <w:rFonts w:hint="eastAsia" w:ascii="宋体" w:hAnsi="宋体" w:cs="宋体"/>
          <w:color w:val="auto"/>
          <w:sz w:val="21"/>
          <w:szCs w:val="21"/>
          <w:highlight w:val="none"/>
        </w:rPr>
        <w:t xml:space="preserve">1.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ab/>
      </w:r>
      <w:r>
        <w:rPr>
          <w:rFonts w:hint="eastAsia" w:ascii="宋体" w:hAnsi="宋体" w:cs="宋体"/>
          <w:color w:val="auto"/>
          <w:sz w:val="21"/>
          <w:szCs w:val="21"/>
          <w:highlight w:val="none"/>
        </w:rPr>
        <w:t>（某成员单位名称）为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ab/>
      </w:r>
      <w:r>
        <w:rPr>
          <w:rFonts w:hint="eastAsia" w:ascii="宋体" w:hAnsi="宋体" w:cs="宋体"/>
          <w:color w:val="auto"/>
          <w:sz w:val="21"/>
          <w:szCs w:val="21"/>
          <w:highlight w:val="none"/>
        </w:rPr>
        <w:t>（联合体名称）牵头人。</w:t>
      </w:r>
    </w:p>
    <w:p>
      <w:pPr>
        <w:overflowPunct w:val="0"/>
        <w:spacing w:line="360" w:lineRule="auto"/>
        <w:ind w:firstLine="367" w:firstLineChars="175"/>
        <w:contextualSpacing/>
        <w:rPr>
          <w:rFonts w:ascii="宋体" w:hAnsi="宋体" w:cs="宋体"/>
          <w:color w:val="auto"/>
          <w:sz w:val="21"/>
          <w:szCs w:val="21"/>
          <w:highlight w:val="none"/>
        </w:rPr>
      </w:pPr>
      <w:r>
        <w:rPr>
          <w:rFonts w:hint="eastAsia" w:ascii="宋体" w:hAnsi="宋体" w:cs="宋体"/>
          <w:color w:val="auto"/>
          <w:sz w:val="21"/>
          <w:szCs w:val="21"/>
          <w:highlight w:val="none"/>
        </w:rPr>
        <w:t>2.联合体各成员授权牵头人代表联合体参加</w:t>
      </w:r>
      <w:r>
        <w:rPr>
          <w:rFonts w:hint="eastAsia" w:ascii="宋体" w:hAnsi="宋体" w:cs="宋体"/>
          <w:color w:val="auto"/>
          <w:sz w:val="21"/>
          <w:szCs w:val="21"/>
          <w:highlight w:val="none"/>
          <w:lang w:val="en-US" w:eastAsia="zh-CN"/>
        </w:rPr>
        <w:t>竞</w:t>
      </w:r>
      <w:r>
        <w:rPr>
          <w:rFonts w:hint="eastAsia" w:ascii="宋体" w:hAnsi="宋体" w:cs="宋体"/>
          <w:color w:val="auto"/>
          <w:sz w:val="21"/>
          <w:szCs w:val="21"/>
          <w:highlight w:val="none"/>
        </w:rPr>
        <w:t>标活动，签署文件及对文件的盖章，提交和接收相关的资料、信息及指示，进行合同谈判活动，负责合同实施阶段的组织和协调工作，以及处理与本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项目有关的一切事宜。</w:t>
      </w:r>
    </w:p>
    <w:p>
      <w:pPr>
        <w:overflowPunct w:val="0"/>
        <w:spacing w:line="360" w:lineRule="auto"/>
        <w:ind w:firstLine="367" w:firstLineChars="175"/>
        <w:contextualSpacing/>
        <w:rPr>
          <w:rFonts w:ascii="宋体" w:hAnsi="宋体" w:cs="宋体"/>
          <w:color w:val="auto"/>
          <w:sz w:val="21"/>
          <w:szCs w:val="21"/>
          <w:highlight w:val="none"/>
        </w:rPr>
      </w:pPr>
      <w:r>
        <w:rPr>
          <w:rFonts w:hint="eastAsia" w:ascii="宋体" w:hAnsi="宋体" w:cs="宋体"/>
          <w:color w:val="auto"/>
          <w:sz w:val="21"/>
          <w:szCs w:val="21"/>
          <w:highlight w:val="none"/>
        </w:rPr>
        <w:t>3.联合体牵头人在本项目中签署和盖章的一切文件和处理的一切事宜，联合体各成员均予以承认。联合体各成员将严格按照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w:t>
      </w:r>
      <w:r>
        <w:rPr>
          <w:rFonts w:hint="eastAsia" w:ascii="宋体" w:hAnsi="宋体" w:cs="宋体"/>
          <w:color w:val="auto"/>
          <w:sz w:val="21"/>
          <w:szCs w:val="21"/>
          <w:highlight w:val="none"/>
          <w:lang w:val="en-US" w:eastAsia="zh-CN"/>
        </w:rPr>
        <w:t>响应</w:t>
      </w:r>
      <w:r>
        <w:rPr>
          <w:rFonts w:hint="eastAsia" w:ascii="宋体" w:hAnsi="宋体" w:cs="宋体"/>
          <w:color w:val="auto"/>
          <w:sz w:val="21"/>
          <w:szCs w:val="21"/>
          <w:highlight w:val="none"/>
        </w:rPr>
        <w:t>文件和合同的要求全面履行义务，并向</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人承担连带责任。</w:t>
      </w:r>
    </w:p>
    <w:p>
      <w:pPr>
        <w:overflowPunct w:val="0"/>
        <w:spacing w:line="360" w:lineRule="auto"/>
        <w:ind w:firstLine="367" w:firstLineChars="175"/>
        <w:contextualSpacing/>
        <w:rPr>
          <w:rFonts w:ascii="宋体" w:hAnsi="宋体" w:cs="宋体"/>
          <w:color w:val="auto"/>
          <w:sz w:val="21"/>
          <w:szCs w:val="21"/>
          <w:highlight w:val="none"/>
        </w:rPr>
      </w:pPr>
      <w:r>
        <w:rPr>
          <w:rFonts w:hint="eastAsia" w:ascii="宋体" w:hAnsi="宋体" w:cs="宋体"/>
          <w:color w:val="auto"/>
          <w:sz w:val="21"/>
          <w:szCs w:val="21"/>
          <w:highlight w:val="none"/>
        </w:rPr>
        <w:t>4.联合体各成员单位内部的职责分工如下：</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ab/>
      </w:r>
      <w:r>
        <w:rPr>
          <w:rFonts w:hint="eastAsia" w:ascii="宋体" w:hAnsi="宋体" w:cs="宋体"/>
          <w:color w:val="auto"/>
          <w:sz w:val="21"/>
          <w:szCs w:val="21"/>
          <w:highlight w:val="none"/>
        </w:rPr>
        <w:t>。</w:t>
      </w:r>
    </w:p>
    <w:p>
      <w:pPr>
        <w:overflowPunct/>
        <w:spacing w:line="360" w:lineRule="auto"/>
        <w:ind w:firstLine="420" w:firstLineChars="200"/>
        <w:contextualSpacing w:val="0"/>
        <w:rPr>
          <w:rFonts w:hint="eastAsia" w:ascii="宋体" w:hAnsi="宋体" w:cs="宋体"/>
          <w:color w:val="auto"/>
          <w:sz w:val="21"/>
          <w:szCs w:val="21"/>
          <w:highlight w:val="none"/>
        </w:rPr>
      </w:pPr>
      <w:r>
        <w:rPr>
          <w:rFonts w:hint="eastAsia" w:ascii="宋体" w:hAnsi="宋体" w:cs="宋体"/>
          <w:color w:val="auto"/>
          <w:kern w:val="0"/>
          <w:szCs w:val="20"/>
          <w:highlight w:val="none"/>
        </w:rPr>
        <w:t>5.本联合体中，</w:t>
      </w:r>
      <w:r>
        <w:rPr>
          <w:rFonts w:hint="eastAsia" w:ascii="宋体" w:hAnsi="宋体" w:cs="宋体"/>
          <w:color w:val="auto"/>
          <w:kern w:val="0"/>
          <w:szCs w:val="20"/>
          <w:highlight w:val="none"/>
          <w:u w:val="single"/>
        </w:rPr>
        <w:t xml:space="preserve"> （某成员单位名称） </w:t>
      </w:r>
      <w:r>
        <w:rPr>
          <w:rFonts w:hint="eastAsia" w:ascii="宋体" w:hAnsi="宋体" w:cs="宋体"/>
          <w:color w:val="auto"/>
          <w:kern w:val="0"/>
          <w:szCs w:val="20"/>
          <w:highlight w:val="none"/>
        </w:rPr>
        <w:t>为</w:t>
      </w:r>
      <w:r>
        <w:rPr>
          <w:rFonts w:hint="eastAsia" w:ascii="宋体" w:hAnsi="Courier New"/>
          <w:color w:val="auto"/>
          <w:szCs w:val="20"/>
          <w:highlight w:val="none"/>
          <w:u w:val="single"/>
        </w:rPr>
        <w:t xml:space="preserve">        </w:t>
      </w:r>
      <w:r>
        <w:rPr>
          <w:rFonts w:hint="eastAsia" w:ascii="宋体" w:hAnsi="Courier New"/>
          <w:color w:val="auto"/>
          <w:szCs w:val="20"/>
          <w:highlight w:val="none"/>
        </w:rPr>
        <w:t>（请填写：中型、小型、微型）企业，其协议合同金额占联合体协议合同总金额的</w:t>
      </w:r>
      <w:r>
        <w:rPr>
          <w:rFonts w:hint="eastAsia" w:ascii="宋体" w:hAnsi="Courier New"/>
          <w:color w:val="auto"/>
          <w:szCs w:val="20"/>
          <w:highlight w:val="none"/>
          <w:u w:val="single"/>
        </w:rPr>
        <w:t xml:space="preserve">           </w:t>
      </w:r>
      <w:r>
        <w:rPr>
          <w:rFonts w:hint="eastAsia" w:ascii="宋体" w:hAnsi="Courier New"/>
          <w:color w:val="auto"/>
          <w:szCs w:val="20"/>
          <w:highlight w:val="none"/>
        </w:rPr>
        <w:t>%。【如联合体成员中有小型、微型企业的，请填写此条，否则无需填写；如联合体成员中有多个小型、微型企业的，请逐一列出。】</w:t>
      </w:r>
    </w:p>
    <w:p>
      <w:pPr>
        <w:overflowPunct w:val="0"/>
        <w:spacing w:line="360" w:lineRule="auto"/>
        <w:ind w:firstLine="367" w:firstLineChars="175"/>
        <w:contextualSpacing/>
        <w:rPr>
          <w:rFonts w:ascii="宋体" w:hAnsi="宋体" w:cs="宋体"/>
          <w:color w:val="auto"/>
          <w:sz w:val="21"/>
          <w:szCs w:val="21"/>
          <w:highlight w:val="none"/>
        </w:rPr>
      </w:pPr>
      <w:r>
        <w:rPr>
          <w:rFonts w:hint="eastAsia" w:ascii="宋体" w:hAnsi="宋体" w:cs="宋体"/>
          <w:color w:val="auto"/>
          <w:sz w:val="21"/>
          <w:szCs w:val="21"/>
          <w:highlight w:val="none"/>
          <w:lang w:eastAsia="zh-CN"/>
        </w:rPr>
        <w:t>6</w:t>
      </w:r>
      <w:r>
        <w:rPr>
          <w:rFonts w:hint="eastAsia" w:ascii="宋体" w:hAnsi="宋体" w:cs="宋体"/>
          <w:color w:val="auto"/>
          <w:sz w:val="21"/>
          <w:szCs w:val="21"/>
          <w:highlight w:val="none"/>
        </w:rPr>
        <w:t>.本协议书自所有成员单位法定代表人或者其委托代理人签字或者盖公章之日起生效，合同履行完毕后自动失效。</w:t>
      </w:r>
    </w:p>
    <w:p>
      <w:pPr>
        <w:overflowPunct w:val="0"/>
        <w:spacing w:line="360" w:lineRule="auto"/>
        <w:ind w:firstLine="367" w:firstLineChars="175"/>
        <w:contextualSpacing/>
        <w:rPr>
          <w:rFonts w:ascii="宋体" w:hAnsi="宋体" w:cs="宋体"/>
          <w:color w:val="auto"/>
          <w:sz w:val="21"/>
          <w:szCs w:val="21"/>
          <w:highlight w:val="none"/>
        </w:rPr>
      </w:pP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.本协议书一式</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ab/>
      </w:r>
      <w:r>
        <w:rPr>
          <w:rFonts w:hint="eastAsia" w:ascii="宋体" w:hAnsi="宋体" w:cs="宋体"/>
          <w:color w:val="auto"/>
          <w:sz w:val="21"/>
          <w:szCs w:val="21"/>
          <w:highlight w:val="none"/>
        </w:rPr>
        <w:t>份，联合体成员和</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人各执壹份。</w:t>
      </w:r>
    </w:p>
    <w:p>
      <w:pPr>
        <w:overflowPunct w:val="0"/>
        <w:spacing w:line="360" w:lineRule="auto"/>
        <w:ind w:left="894" w:leftChars="200" w:hanging="474" w:hangingChars="225"/>
        <w:contextualSpacing/>
        <w:rPr>
          <w:rFonts w:hint="eastAsia" w:ascii="宋体" w:hAnsi="宋体" w:cs="宋体"/>
          <w:color w:val="auto"/>
          <w:sz w:val="21"/>
          <w:szCs w:val="21"/>
          <w:highlight w:val="none"/>
        </w:rPr>
      </w:pPr>
      <w:r>
        <w:rPr>
          <w:rFonts w:hint="eastAsia" w:ascii="宋体" w:hAnsi="宋体" w:cs="宋体"/>
          <w:b/>
          <w:bCs/>
          <w:color w:val="auto"/>
          <w:sz w:val="21"/>
          <w:szCs w:val="21"/>
          <w:highlight w:val="none"/>
        </w:rPr>
        <w:t>注：</w:t>
      </w:r>
      <w:r>
        <w:rPr>
          <w:rFonts w:hint="eastAsia" w:ascii="宋体" w:hAnsi="宋体" w:cs="宋体"/>
          <w:b/>
          <w:bCs/>
          <w:color w:val="auto"/>
          <w:sz w:val="21"/>
          <w:szCs w:val="21"/>
          <w:highlight w:val="none"/>
          <w:lang w:val="en-US" w:eastAsia="zh-CN"/>
        </w:rPr>
        <w:t>1、</w:t>
      </w:r>
      <w:r>
        <w:rPr>
          <w:rFonts w:hint="eastAsia" w:ascii="宋体" w:hAnsi="宋体" w:cs="宋体"/>
          <w:b/>
          <w:bCs/>
          <w:color w:val="auto"/>
          <w:sz w:val="21"/>
          <w:szCs w:val="21"/>
          <w:highlight w:val="none"/>
        </w:rPr>
        <w:t>本协议书应附法定代表人身份证明；有委托代理的，应附授权委托书（格式自拟）</w:t>
      </w:r>
      <w:r>
        <w:rPr>
          <w:rFonts w:hint="eastAsia" w:ascii="宋体" w:hAnsi="宋体" w:cs="宋体"/>
          <w:b/>
          <w:bCs/>
          <w:color w:val="auto"/>
          <w:sz w:val="21"/>
          <w:szCs w:val="21"/>
          <w:highlight w:val="none"/>
          <w:lang w:val="en-US" w:eastAsia="zh-CN"/>
        </w:rPr>
        <w:t>；2、</w:t>
      </w:r>
      <w:r>
        <w:rPr>
          <w:rFonts w:hint="eastAsia" w:ascii="宋体" w:hAnsi="宋体" w:cs="宋体"/>
          <w:b/>
          <w:bCs/>
          <w:color w:val="auto"/>
          <w:sz w:val="21"/>
          <w:szCs w:val="21"/>
          <w:highlight w:val="none"/>
        </w:rPr>
        <w:t>本协议书应附</w:t>
      </w:r>
      <w:r>
        <w:rPr>
          <w:rFonts w:hint="eastAsia" w:ascii="宋体" w:hAnsi="宋体" w:cs="宋体"/>
          <w:b/>
          <w:bCs/>
          <w:color w:val="auto"/>
          <w:sz w:val="21"/>
          <w:szCs w:val="21"/>
          <w:highlight w:val="none"/>
          <w:lang w:eastAsia="zh-CN"/>
        </w:rPr>
        <w:t>联合体成员《中小企业声明函》。</w:t>
      </w:r>
    </w:p>
    <w:p>
      <w:pPr>
        <w:overflowPunct w:val="0"/>
        <w:spacing w:line="360" w:lineRule="auto"/>
        <w:ind w:firstLine="367" w:firstLineChars="175"/>
        <w:contextualSpacing/>
        <w:rPr>
          <w:rFonts w:ascii="宋体" w:hAnsi="宋体" w:cs="宋体"/>
          <w:color w:val="auto"/>
          <w:sz w:val="21"/>
          <w:szCs w:val="21"/>
          <w:highlight w:val="none"/>
        </w:rPr>
      </w:pPr>
    </w:p>
    <w:p>
      <w:pPr>
        <w:overflowPunct w:val="0"/>
        <w:spacing w:line="360" w:lineRule="auto"/>
        <w:ind w:firstLine="367" w:firstLineChars="175"/>
        <w:contextualSpacing/>
        <w:rPr>
          <w:rFonts w:ascii="宋体" w:hAnsi="宋体" w:cs="宋体"/>
          <w:color w:val="auto"/>
          <w:sz w:val="21"/>
          <w:szCs w:val="21"/>
          <w:highlight w:val="none"/>
          <w:u w:val="single"/>
        </w:rPr>
      </w:pPr>
      <w:r>
        <w:rPr>
          <w:rFonts w:hint="eastAsia" w:ascii="宋体" w:hAnsi="宋体" w:cs="宋体"/>
          <w:color w:val="auto"/>
          <w:sz w:val="21"/>
          <w:szCs w:val="21"/>
          <w:highlight w:val="none"/>
        </w:rPr>
        <w:t>联合体牵头人名称（公章）：</w:t>
      </w:r>
      <w:r>
        <w:rPr>
          <w:rFonts w:hint="eastAsia" w:ascii="宋体" w:hAnsi="宋体" w:cs="宋体"/>
          <w:color w:val="auto"/>
          <w:sz w:val="21"/>
          <w:szCs w:val="21"/>
          <w:highlight w:val="none"/>
          <w:u w:val="single"/>
        </w:rPr>
        <w:t xml:space="preserve">            </w:t>
      </w:r>
    </w:p>
    <w:p>
      <w:pPr>
        <w:overflowPunct w:val="0"/>
        <w:spacing w:line="360" w:lineRule="auto"/>
        <w:ind w:firstLine="367" w:firstLineChars="175"/>
        <w:contextualSpacing/>
        <w:rPr>
          <w:rFonts w:ascii="宋体" w:hAnsi="宋体" w:cs="宋体"/>
          <w:color w:val="auto"/>
          <w:sz w:val="21"/>
          <w:szCs w:val="21"/>
          <w:highlight w:val="none"/>
          <w:u w:val="single"/>
        </w:rPr>
      </w:pPr>
      <w:r>
        <w:rPr>
          <w:rFonts w:hint="eastAsia" w:ascii="宋体" w:hAnsi="宋体" w:cs="宋体"/>
          <w:color w:val="auto"/>
          <w:sz w:val="21"/>
          <w:szCs w:val="21"/>
          <w:highlight w:val="none"/>
        </w:rPr>
        <w:t>法定代表人或者其委托代理人（签字或者盖章）：</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rPr>
        <w:tab/>
      </w:r>
      <w:r>
        <w:rPr>
          <w:rFonts w:hint="eastAsia" w:ascii="宋体" w:hAnsi="宋体" w:cs="宋体"/>
          <w:color w:val="auto"/>
          <w:sz w:val="21"/>
          <w:szCs w:val="21"/>
          <w:highlight w:val="none"/>
          <w:u w:val="single"/>
        </w:rPr>
        <w:t xml:space="preserve">              </w:t>
      </w:r>
    </w:p>
    <w:p>
      <w:pPr>
        <w:overflowPunct w:val="0"/>
        <w:spacing w:line="360" w:lineRule="auto"/>
        <w:ind w:firstLine="367" w:firstLineChars="175"/>
        <w:contextualSpacing/>
        <w:rPr>
          <w:rFonts w:ascii="宋体" w:hAnsi="宋体" w:cs="宋体"/>
          <w:color w:val="auto"/>
          <w:sz w:val="21"/>
          <w:szCs w:val="21"/>
          <w:highlight w:val="none"/>
        </w:rPr>
      </w:pPr>
    </w:p>
    <w:p>
      <w:pPr>
        <w:overflowPunct w:val="0"/>
        <w:spacing w:line="360" w:lineRule="auto"/>
        <w:ind w:firstLine="367" w:firstLineChars="175"/>
        <w:contextualSpacing/>
        <w:rPr>
          <w:rFonts w:ascii="宋体" w:hAnsi="宋体" w:cs="宋体"/>
          <w:color w:val="auto"/>
          <w:sz w:val="21"/>
          <w:szCs w:val="21"/>
          <w:highlight w:val="none"/>
          <w:u w:val="single"/>
        </w:rPr>
      </w:pPr>
      <w:r>
        <w:rPr>
          <w:rFonts w:hint="eastAsia" w:ascii="宋体" w:hAnsi="宋体" w:cs="宋体"/>
          <w:color w:val="auto"/>
          <w:sz w:val="21"/>
          <w:szCs w:val="21"/>
          <w:highlight w:val="none"/>
        </w:rPr>
        <w:t>联合体成员名称（公章）：</w:t>
      </w:r>
      <w:r>
        <w:rPr>
          <w:rFonts w:hint="eastAsia" w:ascii="宋体" w:hAnsi="宋体" w:cs="宋体"/>
          <w:color w:val="auto"/>
          <w:sz w:val="21"/>
          <w:szCs w:val="21"/>
          <w:highlight w:val="none"/>
          <w:u w:val="single"/>
        </w:rPr>
        <w:t xml:space="preserve">                     </w:t>
      </w:r>
    </w:p>
    <w:p>
      <w:pPr>
        <w:overflowPunct w:val="0"/>
        <w:spacing w:line="360" w:lineRule="auto"/>
        <w:ind w:firstLine="367" w:firstLineChars="175"/>
        <w:contextualSpacing/>
        <w:rPr>
          <w:rFonts w:ascii="宋体" w:hAnsi="宋体" w:cs="宋体"/>
          <w:color w:val="auto"/>
          <w:sz w:val="21"/>
          <w:szCs w:val="21"/>
          <w:highlight w:val="none"/>
          <w:u w:val="single"/>
        </w:rPr>
      </w:pPr>
      <w:r>
        <w:rPr>
          <w:rFonts w:hint="eastAsia" w:ascii="宋体" w:hAnsi="宋体" w:cs="宋体"/>
          <w:color w:val="auto"/>
          <w:sz w:val="21"/>
          <w:szCs w:val="21"/>
          <w:highlight w:val="none"/>
        </w:rPr>
        <w:t>法定代表人或者其委托代理人（签字或者盖章）：</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rPr>
        <w:tab/>
      </w:r>
      <w:r>
        <w:rPr>
          <w:rFonts w:hint="eastAsia" w:ascii="宋体" w:hAnsi="宋体" w:cs="宋体"/>
          <w:color w:val="auto"/>
          <w:sz w:val="21"/>
          <w:szCs w:val="21"/>
          <w:highlight w:val="none"/>
          <w:u w:val="single"/>
        </w:rPr>
        <w:t xml:space="preserve">                </w:t>
      </w:r>
    </w:p>
    <w:p>
      <w:pPr>
        <w:overflowPunct w:val="0"/>
        <w:spacing w:line="360" w:lineRule="auto"/>
        <w:ind w:firstLine="367" w:firstLineChars="175"/>
        <w:contextualSpacing/>
        <w:rPr>
          <w:rFonts w:ascii="宋体" w:hAnsi="宋体" w:cs="宋体"/>
          <w:color w:val="auto"/>
          <w:sz w:val="21"/>
          <w:szCs w:val="21"/>
          <w:highlight w:val="none"/>
        </w:rPr>
      </w:pPr>
      <w:r>
        <w:rPr>
          <w:rFonts w:hint="eastAsia" w:ascii="宋体" w:hAnsi="宋体" w:cs="宋体"/>
          <w:color w:val="auto"/>
          <w:sz w:val="21"/>
          <w:szCs w:val="21"/>
          <w:highlight w:val="none"/>
        </w:rPr>
        <w:t>……</w:t>
      </w:r>
    </w:p>
    <w:p>
      <w:pPr>
        <w:snapToGrid w:val="0"/>
        <w:spacing w:before="120" w:beforeLines="50" w:after="50"/>
        <w:ind w:firstLine="3780" w:firstLineChars="18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rPr>
        <w:tab/>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rPr>
        <w:tab/>
      </w:r>
      <w:r>
        <w:rPr>
          <w:rFonts w:hint="eastAsia" w:ascii="宋体" w:hAnsi="宋体" w:cs="宋体"/>
          <w:color w:val="auto"/>
          <w:sz w:val="21"/>
          <w:szCs w:val="21"/>
          <w:highlight w:val="none"/>
        </w:rPr>
        <w:t>日</w:t>
      </w:r>
    </w:p>
    <w:p>
      <w:pPr>
        <w:pStyle w:val="2"/>
        <w:rPr>
          <w:rFonts w:hint="eastAsia" w:ascii="宋体" w:hAnsi="宋体" w:cs="宋体"/>
          <w:color w:val="auto"/>
          <w:sz w:val="21"/>
          <w:szCs w:val="21"/>
          <w:highlight w:val="none"/>
        </w:rPr>
      </w:pPr>
    </w:p>
    <w:p>
      <w:pPr>
        <w:pStyle w:val="2"/>
        <w:rPr>
          <w:rFonts w:hint="eastAsia" w:ascii="宋体" w:hAnsi="宋体" w:cs="宋体"/>
          <w:color w:val="auto"/>
          <w:sz w:val="21"/>
          <w:szCs w:val="21"/>
          <w:highlight w:val="none"/>
        </w:rPr>
      </w:pPr>
    </w:p>
    <w:p>
      <w:pPr>
        <w:pStyle w:val="2"/>
        <w:rPr>
          <w:rFonts w:hint="eastAsia" w:ascii="宋体" w:hAnsi="宋体" w:cs="宋体"/>
          <w:color w:val="auto"/>
          <w:sz w:val="21"/>
          <w:szCs w:val="21"/>
          <w:highlight w:val="none"/>
        </w:rPr>
      </w:pPr>
    </w:p>
    <w:p>
      <w:pPr>
        <w:pStyle w:val="2"/>
        <w:rPr>
          <w:rFonts w:hint="eastAsia" w:ascii="宋体" w:hAnsi="宋体" w:cs="宋体"/>
          <w:color w:val="auto"/>
          <w:sz w:val="21"/>
          <w:szCs w:val="21"/>
          <w:highlight w:val="none"/>
        </w:rPr>
      </w:pPr>
    </w:p>
    <w:p>
      <w:pPr>
        <w:pStyle w:val="2"/>
        <w:jc w:val="left"/>
        <w:rPr>
          <w:rFonts w:hint="eastAsia" w:ascii="宋体" w:hAnsi="宋体" w:cs="宋体"/>
          <w:color w:val="auto"/>
          <w:sz w:val="21"/>
          <w:szCs w:val="21"/>
          <w:highlight w:val="none"/>
          <w:lang w:val="en-US" w:eastAsia="zh-CN"/>
        </w:rPr>
      </w:pPr>
    </w:p>
    <w:p>
      <w:pPr>
        <w:snapToGrid w:val="0"/>
        <w:spacing w:before="120" w:beforeLines="50" w:after="50" w:line="240" w:lineRule="auto"/>
        <w:ind w:right="0" w:rightChars="0" w:firstLine="0" w:firstLineChars="0"/>
        <w:contextualSpacing w:val="0"/>
        <w:jc w:val="left"/>
        <w:rPr>
          <w:rFonts w:hint="eastAsia" w:ascii="宋体" w:hAnsi="宋体" w:eastAsia="宋体" w:cs="宋体"/>
          <w:b/>
          <w:color w:val="auto"/>
          <w:sz w:val="32"/>
          <w:szCs w:val="32"/>
          <w:highlight w:val="none"/>
        </w:rPr>
      </w:pPr>
      <w:r>
        <w:rPr>
          <w:rFonts w:hint="eastAsia" w:ascii="宋体" w:hAnsi="宋体" w:eastAsia="宋体" w:cs="宋体"/>
          <w:b/>
          <w:bCs/>
          <w:color w:val="auto"/>
          <w:sz w:val="32"/>
          <w:szCs w:val="32"/>
          <w:highlight w:val="none"/>
          <w:lang w:val="en-US" w:eastAsia="zh-CN"/>
        </w:rPr>
        <w:t>二</w:t>
      </w:r>
      <w:r>
        <w:rPr>
          <w:rFonts w:hint="eastAsia" w:ascii="宋体" w:hAnsi="宋体" w:eastAsia="宋体" w:cs="宋体"/>
          <w:b/>
          <w:bCs/>
          <w:color w:val="auto"/>
          <w:sz w:val="32"/>
          <w:szCs w:val="32"/>
          <w:highlight w:val="none"/>
        </w:rPr>
        <w:t>、</w:t>
      </w:r>
      <w:r>
        <w:rPr>
          <w:rFonts w:hint="eastAsia" w:ascii="宋体" w:hAnsi="宋体" w:eastAsia="宋体" w:cs="宋体"/>
          <w:b/>
          <w:bCs/>
          <w:color w:val="auto"/>
          <w:sz w:val="32"/>
          <w:szCs w:val="32"/>
          <w:highlight w:val="none"/>
          <w:lang w:val="en-US" w:eastAsia="zh-CN"/>
        </w:rPr>
        <w:t>报价</w:t>
      </w:r>
      <w:r>
        <w:rPr>
          <w:rFonts w:hint="eastAsia" w:ascii="宋体" w:hAnsi="宋体" w:eastAsia="宋体" w:cs="宋体"/>
          <w:b/>
          <w:color w:val="auto"/>
          <w:sz w:val="32"/>
          <w:szCs w:val="32"/>
          <w:highlight w:val="none"/>
        </w:rPr>
        <w:t xml:space="preserve">商务技术文件格式 </w:t>
      </w:r>
    </w:p>
    <w:p>
      <w:pPr>
        <w:snapToGrid w:val="0"/>
        <w:spacing w:before="156" w:beforeLines="50" w:after="50" w:line="360" w:lineRule="auto"/>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1.报价商务技术文件封面格式</w:t>
      </w:r>
    </w:p>
    <w:p>
      <w:pPr>
        <w:snapToGrid w:val="0"/>
        <w:spacing w:before="156"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p>
    <w:p>
      <w:pPr>
        <w:snapToGrid w:val="0"/>
        <w:spacing w:before="156" w:beforeLines="50" w:after="50"/>
        <w:jc w:val="center"/>
        <w:rPr>
          <w:rFonts w:hint="eastAsia" w:ascii="宋体" w:hAnsi="宋体" w:eastAsia="宋体" w:cs="宋体"/>
          <w:color w:val="auto"/>
          <w:sz w:val="24"/>
          <w:szCs w:val="20"/>
          <w:highlight w:val="none"/>
        </w:rPr>
      </w:pPr>
      <w:r>
        <w:rPr>
          <w:rFonts w:hint="eastAsia" w:ascii="宋体" w:hAnsi="宋体" w:eastAsia="宋体" w:cs="宋体"/>
          <w:color w:val="auto"/>
          <w:sz w:val="44"/>
          <w:szCs w:val="44"/>
          <w:highlight w:val="none"/>
        </w:rPr>
        <w:t>电 子 响 应 文 件</w:t>
      </w:r>
    </w:p>
    <w:p>
      <w:pPr>
        <w:snapToGrid w:val="0"/>
        <w:spacing w:before="156" w:beforeLines="50" w:after="50"/>
        <w:rPr>
          <w:rFonts w:hint="eastAsia" w:ascii="宋体" w:hAnsi="宋体" w:eastAsia="宋体" w:cs="宋体"/>
          <w:color w:val="auto"/>
          <w:sz w:val="24"/>
          <w:szCs w:val="20"/>
          <w:highlight w:val="none"/>
        </w:rPr>
      </w:pPr>
    </w:p>
    <w:p>
      <w:pPr>
        <w:snapToGrid w:val="0"/>
        <w:spacing w:before="156" w:beforeLines="50" w:after="50"/>
        <w:rPr>
          <w:rFonts w:hint="eastAsia" w:ascii="宋体" w:hAnsi="宋体" w:eastAsia="宋体" w:cs="宋体"/>
          <w:color w:val="auto"/>
          <w:sz w:val="24"/>
          <w:szCs w:val="20"/>
          <w:highlight w:val="none"/>
        </w:rPr>
      </w:pPr>
    </w:p>
    <w:p>
      <w:pPr>
        <w:snapToGrid w:val="0"/>
        <w:spacing w:before="156"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商  务  技  术  文  件</w:t>
      </w:r>
    </w:p>
    <w:p>
      <w:pPr>
        <w:snapToGrid w:val="0"/>
        <w:spacing w:before="156" w:beforeLines="50" w:after="50"/>
        <w:rPr>
          <w:rFonts w:hint="eastAsia" w:ascii="宋体" w:hAnsi="宋体" w:eastAsia="宋体" w:cs="宋体"/>
          <w:bCs/>
          <w:color w:val="auto"/>
          <w:sz w:val="24"/>
          <w:szCs w:val="20"/>
          <w:highlight w:val="none"/>
        </w:rPr>
      </w:pPr>
    </w:p>
    <w:p>
      <w:pPr>
        <w:snapToGrid w:val="0"/>
        <w:spacing w:before="156" w:beforeLines="50" w:after="50"/>
        <w:rPr>
          <w:rFonts w:hint="eastAsia" w:ascii="宋体" w:hAnsi="宋体" w:eastAsia="宋体" w:cs="宋体"/>
          <w:bCs/>
          <w:color w:val="auto"/>
          <w:sz w:val="24"/>
          <w:szCs w:val="20"/>
          <w:highlight w:val="none"/>
        </w:rPr>
      </w:pPr>
    </w:p>
    <w:p>
      <w:pPr>
        <w:snapToGrid w:val="0"/>
        <w:spacing w:before="156" w:beforeLines="50" w:after="50"/>
        <w:rPr>
          <w:rFonts w:hint="eastAsia" w:ascii="宋体" w:hAnsi="宋体" w:eastAsia="宋体" w:cs="宋体"/>
          <w:bCs/>
          <w:color w:val="auto"/>
          <w:sz w:val="24"/>
          <w:szCs w:val="20"/>
          <w:highlight w:val="none"/>
        </w:rPr>
      </w:pPr>
    </w:p>
    <w:p>
      <w:pPr>
        <w:snapToGrid w:val="0"/>
        <w:spacing w:before="156" w:beforeLines="50" w:after="50"/>
        <w:rPr>
          <w:rFonts w:hint="eastAsia" w:ascii="宋体" w:hAnsi="宋体" w:eastAsia="宋体" w:cs="宋体"/>
          <w:bCs/>
          <w:color w:val="auto"/>
          <w:sz w:val="24"/>
          <w:szCs w:val="20"/>
          <w:highlight w:val="none"/>
        </w:rPr>
      </w:pPr>
    </w:p>
    <w:p>
      <w:pPr>
        <w:snapToGrid w:val="0"/>
        <w:spacing w:before="156" w:beforeLines="50" w:after="50"/>
        <w:rPr>
          <w:rFonts w:hint="eastAsia" w:ascii="宋体" w:hAnsi="宋体" w:eastAsia="宋体" w:cs="宋体"/>
          <w:bCs/>
          <w:color w:val="auto"/>
          <w:sz w:val="24"/>
          <w:szCs w:val="20"/>
          <w:highlight w:val="none"/>
        </w:rPr>
      </w:pPr>
    </w:p>
    <w:p>
      <w:pPr>
        <w:snapToGrid w:val="0"/>
        <w:spacing w:before="156"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pPr>
        <w:snapToGrid w:val="0"/>
        <w:spacing w:before="156" w:beforeLines="50" w:after="50"/>
        <w:ind w:firstLine="720" w:firstLineChars="225"/>
        <w:rPr>
          <w:rFonts w:hint="eastAsia" w:ascii="宋体" w:hAnsi="宋体" w:eastAsia="宋体" w:cs="宋体"/>
          <w:bCs/>
          <w:color w:val="auto"/>
          <w:sz w:val="32"/>
          <w:szCs w:val="32"/>
          <w:highlight w:val="none"/>
        </w:rPr>
      </w:pPr>
    </w:p>
    <w:p>
      <w:pPr>
        <w:snapToGrid w:val="0"/>
        <w:spacing w:before="156"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pPr>
        <w:snapToGrid w:val="0"/>
        <w:spacing w:before="156"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pPr>
        <w:snapToGrid w:val="0"/>
        <w:spacing w:before="156"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pPr>
        <w:snapToGrid w:val="0"/>
        <w:spacing w:before="156" w:beforeLines="50" w:after="50"/>
        <w:ind w:firstLine="720" w:firstLineChars="225"/>
        <w:rPr>
          <w:rFonts w:hint="eastAsia" w:ascii="宋体" w:hAnsi="宋体" w:eastAsia="宋体" w:cs="宋体"/>
          <w:bCs/>
          <w:color w:val="auto"/>
          <w:sz w:val="32"/>
          <w:szCs w:val="32"/>
          <w:highlight w:val="none"/>
        </w:rPr>
      </w:pPr>
    </w:p>
    <w:p>
      <w:pPr>
        <w:pStyle w:val="8"/>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pPr>
        <w:pStyle w:val="8"/>
        <w:snapToGrid w:val="0"/>
        <w:spacing w:before="50" w:after="50"/>
        <w:ind w:firstLine="640" w:firstLineChars="200"/>
        <w:rPr>
          <w:rFonts w:hint="eastAsia" w:ascii="宋体" w:hAnsi="宋体" w:eastAsia="宋体" w:cs="宋体"/>
          <w:bCs/>
          <w:color w:val="auto"/>
          <w:sz w:val="32"/>
          <w:szCs w:val="32"/>
          <w:highlight w:val="none"/>
        </w:rPr>
      </w:pPr>
    </w:p>
    <w:p>
      <w:pPr>
        <w:pStyle w:val="8"/>
        <w:snapToGrid w:val="0"/>
        <w:spacing w:before="50" w:after="50"/>
        <w:ind w:firstLine="720" w:firstLineChars="225"/>
        <w:rPr>
          <w:rFonts w:hint="eastAsia" w:ascii="宋体" w:hAnsi="宋体" w:eastAsia="宋体" w:cs="宋体"/>
          <w:bCs/>
          <w:color w:val="auto"/>
          <w:sz w:val="32"/>
          <w:szCs w:val="32"/>
          <w:highlight w:val="none"/>
        </w:rPr>
      </w:pPr>
    </w:p>
    <w:p>
      <w:pPr>
        <w:pStyle w:val="8"/>
        <w:snapToGrid w:val="0"/>
        <w:spacing w:before="50" w:after="50"/>
        <w:ind w:firstLine="0"/>
        <w:rPr>
          <w:rFonts w:hint="eastAsia" w:ascii="宋体" w:hAnsi="宋体" w:eastAsia="宋体" w:cs="宋体"/>
          <w:bCs/>
          <w:color w:val="auto"/>
          <w:sz w:val="32"/>
          <w:szCs w:val="32"/>
          <w:highlight w:val="none"/>
        </w:rPr>
      </w:pPr>
    </w:p>
    <w:p>
      <w:pPr>
        <w:pStyle w:val="8"/>
        <w:snapToGrid w:val="0"/>
        <w:spacing w:before="50" w:after="50"/>
        <w:ind w:firstLine="1280" w:firstLineChars="400"/>
        <w:rPr>
          <w:rFonts w:hint="eastAsia" w:ascii="宋体" w:hAnsi="宋体" w:eastAsia="宋体" w:cs="宋体"/>
          <w:bCs/>
          <w:color w:val="auto"/>
          <w:sz w:val="32"/>
          <w:szCs w:val="32"/>
          <w:highlight w:val="none"/>
        </w:rPr>
      </w:pPr>
    </w:p>
    <w:p>
      <w:pPr>
        <w:snapToGrid w:val="0"/>
        <w:spacing w:before="156"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pPr>
        <w:snapToGrid w:val="0"/>
        <w:spacing w:before="156" w:beforeLines="50" w:after="50" w:line="360" w:lineRule="auto"/>
        <w:ind w:right="480" w:firstLine="240" w:firstLineChars="100"/>
        <w:jc w:val="left"/>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2.</w:t>
      </w:r>
      <w:r>
        <w:rPr>
          <w:rFonts w:hint="eastAsia" w:ascii="宋体" w:hAnsi="宋体" w:eastAsia="宋体" w:cs="宋体"/>
          <w:b/>
          <w:bCs/>
          <w:color w:val="auto"/>
          <w:sz w:val="32"/>
          <w:szCs w:val="32"/>
          <w:highlight w:val="none"/>
          <w:lang w:val="en-US" w:eastAsia="zh-CN"/>
        </w:rPr>
        <w:t>报价</w:t>
      </w:r>
      <w:r>
        <w:rPr>
          <w:rFonts w:hint="eastAsia" w:ascii="宋体" w:hAnsi="宋体" w:eastAsia="宋体" w:cs="宋体"/>
          <w:b/>
          <w:bCs/>
          <w:color w:val="auto"/>
          <w:sz w:val="32"/>
          <w:szCs w:val="32"/>
          <w:highlight w:val="none"/>
        </w:rPr>
        <w:t>商务技术文件目录</w:t>
      </w:r>
    </w:p>
    <w:p>
      <w:pPr>
        <w:snapToGrid w:val="0"/>
        <w:spacing w:before="156" w:beforeLines="50" w:after="50" w:line="360" w:lineRule="auto"/>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根据磋商文件规定及供应商提供的材料自行编写目录（部分格式后附）。</w:t>
      </w:r>
    </w:p>
    <w:p>
      <w:pPr>
        <w:spacing w:line="400" w:lineRule="exact"/>
        <w:rPr>
          <w:rFonts w:hint="eastAsia" w:ascii="宋体" w:hAnsi="宋体" w:eastAsia="宋体" w:cs="宋体"/>
          <w:color w:val="auto"/>
          <w:sz w:val="32"/>
          <w:szCs w:val="32"/>
          <w:highlight w:val="none"/>
        </w:rPr>
      </w:pPr>
    </w:p>
    <w:p>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44"/>
          <w:szCs w:val="44"/>
          <w:highlight w:val="none"/>
        </w:rPr>
        <w:br w:type="page"/>
      </w:r>
      <w:r>
        <w:rPr>
          <w:rFonts w:hint="eastAsia" w:ascii="宋体" w:hAnsi="宋体" w:eastAsia="宋体" w:cs="宋体"/>
          <w:color w:val="auto"/>
          <w:sz w:val="44"/>
          <w:szCs w:val="44"/>
          <w:highlight w:val="none"/>
        </w:rPr>
        <w:t>无串通竞标行为的承诺函</w:t>
      </w:r>
    </w:p>
    <w:p>
      <w:pPr>
        <w:spacing w:line="360" w:lineRule="auto"/>
        <w:ind w:firstLine="640" w:firstLineChars="200"/>
        <w:contextualSpacing/>
        <w:rPr>
          <w:rFonts w:hint="eastAsia" w:ascii="宋体" w:hAnsi="宋体" w:eastAsia="宋体" w:cs="宋体"/>
          <w:color w:val="auto"/>
          <w:sz w:val="32"/>
          <w:szCs w:val="32"/>
          <w:highlight w:val="none"/>
        </w:rPr>
      </w:pPr>
    </w:p>
    <w:p>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1.不同供应商的响应文件由同一单位或者个人编制； </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3.不同供应商的响应文件载明的项目管理员为同一个人；</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同供应商的响应文件异常一致或者竞标报价呈规律性差异；</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6.不同供应商的磋商保证金从同一单位或者个人账户转出。</w:t>
      </w:r>
    </w:p>
    <w:p>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pPr>
        <w:spacing w:line="360" w:lineRule="auto"/>
        <w:ind w:firstLine="480" w:firstLineChars="200"/>
        <w:contextualSpacing/>
        <w:rPr>
          <w:rFonts w:hint="eastAsia" w:ascii="宋体" w:hAnsi="宋体" w:eastAsia="宋体" w:cs="宋体"/>
          <w:color w:val="auto"/>
          <w:sz w:val="24"/>
          <w:highlight w:val="none"/>
        </w:rPr>
      </w:pPr>
    </w:p>
    <w:p>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pPr>
        <w:spacing w:line="360" w:lineRule="auto"/>
        <w:contextualSpacing/>
        <w:rPr>
          <w:rFonts w:hint="eastAsia" w:ascii="宋体" w:hAnsi="宋体" w:eastAsia="宋体" w:cs="宋体"/>
          <w:color w:val="auto"/>
          <w:sz w:val="24"/>
          <w:highlight w:val="none"/>
        </w:rPr>
      </w:pPr>
    </w:p>
    <w:p>
      <w:pPr>
        <w:spacing w:line="360" w:lineRule="auto"/>
        <w:ind w:firstLine="3600" w:firstLineChars="15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供应商（电子签章）：</w:t>
      </w:r>
    </w:p>
    <w:p>
      <w:pPr>
        <w:spacing w:line="360" w:lineRule="auto"/>
        <w:ind w:firstLine="480" w:firstLineChars="200"/>
        <w:contextualSpacing/>
        <w:jc w:val="center"/>
        <w:rPr>
          <w:rFonts w:hint="eastAsia" w:ascii="宋体" w:hAnsi="宋体" w:eastAsia="宋体" w:cs="宋体"/>
          <w:color w:val="auto"/>
          <w:sz w:val="32"/>
          <w:szCs w:val="32"/>
          <w:highlight w:val="none"/>
        </w:rPr>
      </w:pPr>
      <w:r>
        <w:rPr>
          <w:rFonts w:hint="eastAsia" w:ascii="宋体" w:hAnsi="宋体" w:eastAsia="宋体" w:cs="宋体"/>
          <w:color w:val="auto"/>
          <w:sz w:val="24"/>
          <w:highlight w:val="none"/>
        </w:rPr>
        <w:t xml:space="preserve">                               年   月   日</w:t>
      </w:r>
    </w:p>
    <w:p>
      <w:pPr>
        <w:spacing w:line="300" w:lineRule="auto"/>
        <w:jc w:val="center"/>
        <w:rPr>
          <w:rFonts w:hint="eastAsia" w:ascii="宋体" w:hAnsi="宋体" w:eastAsia="宋体" w:cs="宋体"/>
          <w:b/>
          <w:color w:val="auto"/>
          <w:sz w:val="32"/>
          <w:szCs w:val="32"/>
          <w:highlight w:val="none"/>
          <w:lang w:eastAsia="zh-CN"/>
        </w:rPr>
      </w:pPr>
      <w:r>
        <w:rPr>
          <w:rFonts w:hint="eastAsia" w:ascii="宋体" w:hAnsi="宋体" w:eastAsia="宋体" w:cs="宋体"/>
          <w:bCs/>
          <w:color w:val="auto"/>
          <w:sz w:val="44"/>
          <w:szCs w:val="44"/>
          <w:highlight w:val="none"/>
        </w:rPr>
        <w:br w:type="page"/>
      </w:r>
      <w:r>
        <w:rPr>
          <w:rFonts w:hint="eastAsia" w:ascii="宋体" w:hAnsi="宋体" w:eastAsia="宋体" w:cs="宋体"/>
          <w:b/>
          <w:color w:val="auto"/>
          <w:sz w:val="32"/>
          <w:szCs w:val="32"/>
          <w:highlight w:val="none"/>
        </w:rPr>
        <w:t>磋商报价表</w:t>
      </w:r>
    </w:p>
    <w:p>
      <w:pPr>
        <w:spacing w:line="360" w:lineRule="exact"/>
        <w:rPr>
          <w:rFonts w:hint="eastAsia" w:ascii="宋体" w:hAnsi="宋体" w:eastAsia="宋体" w:cs="宋体"/>
          <w:color w:val="auto"/>
          <w:szCs w:val="21"/>
          <w:highlight w:val="none"/>
        </w:rPr>
      </w:pPr>
    </w:p>
    <w:p>
      <w:pPr>
        <w:spacing w:line="360" w:lineRule="exact"/>
        <w:rPr>
          <w:rFonts w:hint="default"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采购项目编号:               采购项目名称:</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val="en-US" w:eastAsia="zh-CN"/>
        </w:rPr>
        <w:t>分标</w:t>
      </w:r>
      <w:r>
        <w:rPr>
          <w:rFonts w:hint="eastAsia" w:ascii="宋体" w:hAnsi="宋体" w:cs="宋体"/>
          <w:color w:val="auto"/>
          <w:szCs w:val="21"/>
          <w:highlight w:val="none"/>
          <w:lang w:val="en-US" w:eastAsia="zh-CN"/>
        </w:rPr>
        <w:t>（如有）</w:t>
      </w: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 xml:space="preserve">         </w:t>
      </w:r>
    </w:p>
    <w:p>
      <w:pPr>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 w:val="21"/>
          <w:szCs w:val="21"/>
          <w:highlight w:val="none"/>
        </w:rPr>
        <w:t>供应商名称</w:t>
      </w:r>
      <w:r>
        <w:rPr>
          <w:rFonts w:hint="eastAsia" w:ascii="宋体" w:hAnsi="宋体" w:eastAsia="宋体" w:cs="宋体"/>
          <w:color w:val="auto"/>
          <w:sz w:val="21"/>
          <w:szCs w:val="21"/>
          <w:highlight w:val="none"/>
          <w:lang w:eastAsia="zh-CN"/>
        </w:rPr>
        <w:t>：</w:t>
      </w:r>
    </w:p>
    <w:p>
      <w:pPr>
        <w:spacing w:line="360" w:lineRule="exact"/>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单位：元</w:t>
      </w:r>
    </w:p>
    <w:tbl>
      <w:tblPr>
        <w:tblStyle w:val="23"/>
        <w:tblW w:w="5419"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759"/>
        <w:gridCol w:w="1776"/>
        <w:gridCol w:w="1214"/>
        <w:gridCol w:w="1703"/>
        <w:gridCol w:w="1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3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423"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highlight w:val="none"/>
                <w:lang w:eastAsia="zh-CN"/>
              </w:rPr>
            </w:pPr>
            <w:r>
              <w:rPr>
                <w:rFonts w:hint="eastAsia" w:ascii="宋体" w:hAnsi="宋体" w:eastAsia="宋体" w:cs="宋体"/>
                <w:b w:val="0"/>
                <w:bCs/>
                <w:color w:val="auto"/>
                <w:sz w:val="24"/>
                <w:highlight w:val="none"/>
              </w:rPr>
              <w:t>服务项目</w:t>
            </w:r>
            <w:r>
              <w:rPr>
                <w:rFonts w:hint="eastAsia" w:ascii="宋体" w:hAnsi="宋体" w:cs="宋体"/>
                <w:b w:val="0"/>
                <w:bCs/>
                <w:color w:val="auto"/>
                <w:sz w:val="24"/>
                <w:highlight w:val="none"/>
                <w:lang w:eastAsia="zh-CN"/>
              </w:rPr>
              <w:t>（标的的名称）</w:t>
            </w:r>
          </w:p>
        </w:tc>
        <w:tc>
          <w:tcPr>
            <w:tcW w:w="916"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数量及单位</w:t>
            </w:r>
          </w:p>
        </w:tc>
        <w:tc>
          <w:tcPr>
            <w:tcW w:w="626"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单价</w:t>
            </w:r>
          </w:p>
        </w:tc>
        <w:tc>
          <w:tcPr>
            <w:tcW w:w="87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总价</w:t>
            </w:r>
          </w:p>
        </w:tc>
        <w:tc>
          <w:tcPr>
            <w:tcW w:w="624"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right"/>
        </w:trPr>
        <w:tc>
          <w:tcPr>
            <w:tcW w:w="53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423"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highlight w:val="none"/>
              </w:rPr>
            </w:pPr>
          </w:p>
        </w:tc>
        <w:tc>
          <w:tcPr>
            <w:tcW w:w="916"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highlight w:val="none"/>
                <w:lang w:val="en-US"/>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highlight w:val="none"/>
              </w:rPr>
            </w:pPr>
          </w:p>
        </w:tc>
        <w:tc>
          <w:tcPr>
            <w:tcW w:w="878"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right"/>
        </w:trPr>
        <w:tc>
          <w:tcPr>
            <w:tcW w:w="53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p>
        </w:tc>
        <w:tc>
          <w:tcPr>
            <w:tcW w:w="1423"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p>
        </w:tc>
        <w:tc>
          <w:tcPr>
            <w:tcW w:w="916"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highlight w:val="none"/>
                <w:lang w:val="en-US" w:eastAsia="zh-CN"/>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highlight w:val="none"/>
              </w:rPr>
            </w:pPr>
          </w:p>
        </w:tc>
        <w:tc>
          <w:tcPr>
            <w:tcW w:w="878"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right"/>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合计金额大写：人民币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tc>
      </w:tr>
    </w:tbl>
    <w:p>
      <w:pPr>
        <w:spacing w:line="360" w:lineRule="exact"/>
        <w:rPr>
          <w:rFonts w:hint="eastAsia" w:ascii="宋体" w:hAnsi="宋体" w:eastAsia="宋体" w:cs="宋体"/>
          <w:color w:val="auto"/>
          <w:szCs w:val="21"/>
          <w:highlight w:val="none"/>
        </w:rPr>
      </w:pPr>
    </w:p>
    <w:p>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注：1、所有价格均用人民币表示，单位为元，精确到小数点后两位数。</w:t>
      </w:r>
    </w:p>
    <w:p>
      <w:pPr>
        <w:spacing w:line="36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2、供应商的报价表必须加盖供应商公章并由法定代表人或者委托代理人签字或者</w:t>
      </w:r>
      <w:r>
        <w:rPr>
          <w:rFonts w:hint="eastAsia" w:ascii="宋体" w:hAnsi="宋体" w:cs="宋体"/>
          <w:color w:val="auto"/>
          <w:kern w:val="0"/>
          <w:szCs w:val="21"/>
          <w:highlight w:val="none"/>
          <w:lang w:val="en-US" w:eastAsia="zh-CN"/>
        </w:rPr>
        <w:t>盖章</w:t>
      </w:r>
      <w:r>
        <w:rPr>
          <w:rFonts w:hint="eastAsia" w:ascii="宋体" w:hAnsi="宋体" w:eastAsia="宋体" w:cs="宋体"/>
          <w:color w:val="auto"/>
          <w:kern w:val="0"/>
          <w:szCs w:val="21"/>
          <w:highlight w:val="none"/>
        </w:rPr>
        <w:t>或者电子签名，</w:t>
      </w:r>
      <w:r>
        <w:rPr>
          <w:rFonts w:hint="eastAsia" w:ascii="宋体" w:hAnsi="宋体" w:eastAsia="宋体" w:cs="宋体"/>
          <w:b/>
          <w:color w:val="auto"/>
          <w:kern w:val="0"/>
          <w:szCs w:val="21"/>
          <w:highlight w:val="none"/>
        </w:rPr>
        <w:t>否则其响应文件按无效响应处理。</w:t>
      </w:r>
    </w:p>
    <w:p>
      <w:pPr>
        <w:spacing w:line="36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3、报价一经涂改，应在涂改处加盖供应商公章或者由法定代表人或者委托代理人签字或者盖章，</w:t>
      </w:r>
      <w:r>
        <w:rPr>
          <w:rFonts w:hint="eastAsia" w:ascii="宋体" w:hAnsi="宋体" w:eastAsia="宋体" w:cs="宋体"/>
          <w:b/>
          <w:color w:val="auto"/>
          <w:kern w:val="0"/>
          <w:szCs w:val="21"/>
          <w:highlight w:val="none"/>
        </w:rPr>
        <w:t>否则其响应文件按无效响应处理。</w:t>
      </w:r>
    </w:p>
    <w:p>
      <w:pPr>
        <w:spacing w:line="360" w:lineRule="auto"/>
        <w:ind w:firstLine="420" w:firstLineChars="200"/>
        <w:contextualSpacing/>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.如为联合体竞标，“供应商名称”处必须列明联合体各方名称，标注联合体牵头人名称</w:t>
      </w:r>
      <w:r>
        <w:rPr>
          <w:rFonts w:hint="eastAsia" w:ascii="宋体" w:hAnsi="宋体" w:eastAsia="宋体" w:cs="宋体"/>
          <w:b/>
          <w:color w:val="auto"/>
          <w:sz w:val="21"/>
          <w:szCs w:val="21"/>
          <w:highlight w:val="none"/>
        </w:rPr>
        <w:t>。</w:t>
      </w:r>
    </w:p>
    <w:p>
      <w:pPr>
        <w:spacing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 如为联合体竞标，</w:t>
      </w:r>
      <w:r>
        <w:rPr>
          <w:rFonts w:hint="eastAsia" w:ascii="宋体" w:hAnsi="宋体" w:eastAsia="宋体" w:cs="宋体"/>
          <w:color w:val="auto"/>
          <w:spacing w:val="-6"/>
          <w:sz w:val="21"/>
          <w:szCs w:val="21"/>
          <w:highlight w:val="none"/>
        </w:rPr>
        <w:t xml:space="preserve"> 盖章处须加盖联合体牵头人电子签章</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否则其响应文件按无效处理。</w:t>
      </w:r>
    </w:p>
    <w:p>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pacing w:val="-6"/>
          <w:sz w:val="21"/>
          <w:szCs w:val="21"/>
          <w:highlight w:val="none"/>
        </w:rPr>
        <w:t>如有多分标，分别列明各分标的报价表，</w:t>
      </w:r>
      <w:r>
        <w:rPr>
          <w:rFonts w:hint="eastAsia" w:ascii="宋体" w:hAnsi="宋体" w:eastAsia="宋体" w:cs="宋体"/>
          <w:b/>
          <w:color w:val="auto"/>
          <w:spacing w:val="-6"/>
          <w:sz w:val="21"/>
          <w:szCs w:val="21"/>
          <w:highlight w:val="none"/>
        </w:rPr>
        <w:t>否则其响应文件按无效响应处理。</w:t>
      </w:r>
    </w:p>
    <w:p>
      <w:pPr>
        <w:spacing w:line="360" w:lineRule="exact"/>
        <w:rPr>
          <w:rFonts w:hint="eastAsia" w:ascii="宋体" w:hAnsi="宋体" w:eastAsia="宋体" w:cs="宋体"/>
          <w:color w:val="auto"/>
          <w:kern w:val="0"/>
          <w:sz w:val="20"/>
          <w:szCs w:val="21"/>
          <w:highlight w:val="none"/>
        </w:rPr>
      </w:pPr>
    </w:p>
    <w:p>
      <w:pPr>
        <w:spacing w:line="360" w:lineRule="exact"/>
        <w:rPr>
          <w:rFonts w:hint="eastAsia" w:ascii="宋体" w:hAnsi="宋体" w:eastAsia="宋体" w:cs="宋体"/>
          <w:color w:val="auto"/>
          <w:kern w:val="0"/>
          <w:sz w:val="20"/>
          <w:szCs w:val="21"/>
          <w:highlight w:val="none"/>
        </w:rPr>
      </w:pPr>
    </w:p>
    <w:p>
      <w:pPr>
        <w:spacing w:line="360" w:lineRule="exac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供应商名称（盖公章）：</w:t>
      </w:r>
    </w:p>
    <w:p>
      <w:pPr>
        <w:spacing w:line="360" w:lineRule="exact"/>
        <w:rPr>
          <w:rFonts w:hint="eastAsia" w:ascii="宋体" w:hAnsi="宋体" w:eastAsia="宋体" w:cs="宋体"/>
          <w:color w:val="auto"/>
          <w:kern w:val="0"/>
          <w:szCs w:val="21"/>
          <w:highlight w:val="none"/>
        </w:rPr>
      </w:pPr>
    </w:p>
    <w:p>
      <w:pPr>
        <w:spacing w:line="360" w:lineRule="exac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法定代表人或委托代理人（签字</w:t>
      </w:r>
      <w:r>
        <w:rPr>
          <w:rFonts w:hint="eastAsia" w:ascii="宋体" w:hAnsi="宋体" w:cs="宋体"/>
          <w:color w:val="auto"/>
          <w:kern w:val="0"/>
          <w:szCs w:val="21"/>
          <w:highlight w:val="none"/>
          <w:lang w:val="en-US" w:eastAsia="zh-CN"/>
        </w:rPr>
        <w:t>或者盖章</w:t>
      </w:r>
      <w:r>
        <w:rPr>
          <w:rFonts w:hint="eastAsia" w:ascii="宋体" w:hAnsi="宋体" w:eastAsia="宋体" w:cs="宋体"/>
          <w:color w:val="auto"/>
          <w:kern w:val="0"/>
          <w:szCs w:val="21"/>
          <w:highlight w:val="none"/>
        </w:rPr>
        <w:t>或者电子签名）：</w:t>
      </w:r>
    </w:p>
    <w:p>
      <w:pPr>
        <w:spacing w:line="360" w:lineRule="exact"/>
        <w:rPr>
          <w:rFonts w:hint="eastAsia" w:ascii="宋体" w:hAnsi="宋体" w:eastAsia="宋体" w:cs="宋体"/>
          <w:color w:val="auto"/>
          <w:kern w:val="0"/>
          <w:szCs w:val="21"/>
          <w:highlight w:val="none"/>
        </w:rPr>
      </w:pPr>
    </w:p>
    <w:p>
      <w:pPr>
        <w:spacing w:line="360" w:lineRule="exact"/>
        <w:rPr>
          <w:rFonts w:hint="eastAsia" w:ascii="宋体" w:hAnsi="宋体" w:cs="宋体"/>
          <w:color w:val="auto"/>
          <w:kern w:val="0"/>
          <w:szCs w:val="21"/>
          <w:highlight w:val="none"/>
          <w:lang w:eastAsia="zh-CN"/>
        </w:rPr>
        <w:sectPr>
          <w:pgSz w:w="11910" w:h="16840"/>
          <w:pgMar w:top="1340" w:right="1500" w:bottom="280" w:left="1680" w:header="720" w:footer="567" w:gutter="0"/>
          <w:pgNumType w:fmt="decimal"/>
          <w:cols w:space="720" w:num="1"/>
        </w:sectPr>
      </w:pPr>
      <w:r>
        <w:rPr>
          <w:rFonts w:hint="eastAsia" w:ascii="宋体" w:hAnsi="宋体" w:eastAsia="宋体" w:cs="宋体"/>
          <w:color w:val="auto"/>
          <w:kern w:val="0"/>
          <w:szCs w:val="21"/>
          <w:highlight w:val="none"/>
        </w:rPr>
        <w:t>日期</w:t>
      </w:r>
      <w:r>
        <w:rPr>
          <w:rFonts w:hint="eastAsia" w:ascii="宋体" w:hAnsi="宋体" w:cs="宋体"/>
          <w:color w:val="auto"/>
          <w:kern w:val="0"/>
          <w:szCs w:val="21"/>
          <w:highlight w:val="none"/>
          <w:lang w:eastAsia="zh-CN"/>
        </w:rPr>
        <w:t>：</w:t>
      </w:r>
    </w:p>
    <w:p>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bCs/>
          <w:color w:val="auto"/>
          <w:sz w:val="44"/>
          <w:szCs w:val="44"/>
          <w:highlight w:val="none"/>
        </w:rPr>
        <w:t>法定代表人证明书</w:t>
      </w:r>
    </w:p>
    <w:p>
      <w:pPr>
        <w:spacing w:line="360" w:lineRule="auto"/>
        <w:ind w:left="540"/>
        <w:contextualSpacing/>
        <w:rPr>
          <w:rFonts w:hint="eastAsia" w:ascii="宋体" w:hAnsi="宋体" w:eastAsia="宋体" w:cs="宋体"/>
          <w:color w:val="auto"/>
          <w:sz w:val="32"/>
          <w:szCs w:val="32"/>
          <w:highlight w:val="none"/>
        </w:rPr>
      </w:pPr>
    </w:p>
    <w:p>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pPr>
        <w:spacing w:line="360" w:lineRule="auto"/>
        <w:ind w:left="540"/>
        <w:contextualSpacing/>
        <w:rPr>
          <w:rFonts w:hint="eastAsia" w:ascii="宋体" w:hAnsi="宋体" w:eastAsia="宋体" w:cs="宋体"/>
          <w:color w:val="auto"/>
          <w:sz w:val="24"/>
          <w:highlight w:val="none"/>
        </w:rPr>
      </w:pPr>
    </w:p>
    <w:p>
      <w:pPr>
        <w:spacing w:line="360" w:lineRule="auto"/>
        <w:ind w:left="540"/>
        <w:contextualSpacing/>
        <w:rPr>
          <w:rFonts w:hint="eastAsia" w:ascii="宋体" w:hAnsi="宋体" w:eastAsia="宋体" w:cs="宋体"/>
          <w:color w:val="auto"/>
          <w:sz w:val="24"/>
          <w:highlight w:val="none"/>
        </w:rPr>
      </w:pPr>
    </w:p>
    <w:p>
      <w:pPr>
        <w:spacing w:line="360" w:lineRule="auto"/>
        <w:ind w:left="540"/>
        <w:contextualSpacing/>
        <w:rPr>
          <w:rFonts w:hint="eastAsia" w:ascii="宋体" w:hAnsi="宋体" w:eastAsia="宋体" w:cs="宋体"/>
          <w:color w:val="auto"/>
          <w:sz w:val="24"/>
          <w:highlight w:val="none"/>
        </w:rPr>
      </w:pPr>
    </w:p>
    <w:p>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pPr>
        <w:spacing w:line="360" w:lineRule="auto"/>
        <w:ind w:left="540"/>
        <w:contextualSpacing/>
        <w:rPr>
          <w:rFonts w:hint="eastAsia" w:ascii="宋体" w:hAnsi="宋体" w:eastAsia="宋体" w:cs="宋体"/>
          <w:color w:val="auto"/>
          <w:sz w:val="24"/>
          <w:highlight w:val="none"/>
        </w:rPr>
      </w:pPr>
    </w:p>
    <w:p>
      <w:pPr>
        <w:spacing w:line="360" w:lineRule="auto"/>
        <w:ind w:left="540"/>
        <w:contextualSpacing/>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供应商（电子签章）：</w:t>
      </w:r>
      <w:r>
        <w:rPr>
          <w:rFonts w:hint="eastAsia" w:ascii="宋体" w:hAnsi="宋体" w:eastAsia="宋体" w:cs="宋体"/>
          <w:color w:val="auto"/>
          <w:sz w:val="24"/>
          <w:highlight w:val="none"/>
          <w:u w:val="single"/>
        </w:rPr>
        <w:t xml:space="preserve">               </w:t>
      </w:r>
    </w:p>
    <w:p>
      <w:pPr>
        <w:spacing w:line="360" w:lineRule="auto"/>
        <w:ind w:firstLine="4080" w:firstLineChars="17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spacing w:line="360" w:lineRule="auto"/>
        <w:contextualSpacing/>
        <w:jc w:val="center"/>
        <w:rPr>
          <w:rFonts w:hint="eastAsia" w:ascii="宋体" w:hAnsi="宋体" w:eastAsia="宋体" w:cs="宋体"/>
          <w:b/>
          <w:color w:val="auto"/>
          <w:sz w:val="24"/>
          <w:highlight w:val="none"/>
        </w:rPr>
      </w:pPr>
    </w:p>
    <w:p>
      <w:pPr>
        <w:spacing w:line="360" w:lineRule="auto"/>
        <w:contextualSpacing/>
        <w:jc w:val="left"/>
        <w:rPr>
          <w:rFonts w:hint="eastAsia" w:ascii="宋体" w:hAnsi="宋体" w:eastAsia="宋体" w:cs="宋体"/>
          <w:color w:val="auto"/>
          <w:sz w:val="24"/>
          <w:highlight w:val="none"/>
        </w:rPr>
      </w:pPr>
    </w:p>
    <w:p>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注：自然人竞标的无需提供，联合体竞标的只需牵头人出具。</w:t>
      </w:r>
    </w:p>
    <w:p>
      <w:pPr>
        <w:adjustRightInd w:val="0"/>
        <w:snapToGrid w:val="0"/>
        <w:spacing w:line="300" w:lineRule="auto"/>
        <w:jc w:val="left"/>
        <w:rPr>
          <w:rFonts w:hint="eastAsia" w:ascii="宋体" w:hAnsi="宋体" w:eastAsia="宋体" w:cs="宋体"/>
          <w:b/>
          <w:color w:val="auto"/>
          <w:szCs w:val="21"/>
          <w:highlight w:val="none"/>
        </w:rPr>
      </w:pPr>
    </w:p>
    <w:p>
      <w:pPr>
        <w:spacing w:line="50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color w:val="auto"/>
          <w:sz w:val="44"/>
          <w:szCs w:val="44"/>
          <w:highlight w:val="none"/>
        </w:rPr>
        <w:t xml:space="preserve"> </w:t>
      </w:r>
    </w:p>
    <w:p>
      <w:pPr>
        <w:spacing w:line="520" w:lineRule="exact"/>
        <w:jc w:val="center"/>
        <w:rPr>
          <w:rFonts w:hint="eastAsia" w:ascii="宋体" w:hAnsi="宋体" w:eastAsia="宋体" w:cs="宋体"/>
          <w:color w:val="auto"/>
          <w:sz w:val="44"/>
          <w:szCs w:val="44"/>
          <w:highlight w:val="none"/>
        </w:rPr>
      </w:pPr>
      <w:bookmarkStart w:id="133" w:name="_Hlk65853643"/>
      <w:r>
        <w:rPr>
          <w:rFonts w:hint="eastAsia" w:ascii="宋体" w:hAnsi="宋体" w:eastAsia="宋体" w:cs="宋体"/>
          <w:color w:val="auto"/>
          <w:sz w:val="44"/>
          <w:szCs w:val="44"/>
          <w:highlight w:val="none"/>
        </w:rPr>
        <w:t>授权委托书</w:t>
      </w:r>
    </w:p>
    <w:p>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（非联合体竞标格式）</w:t>
      </w:r>
    </w:p>
    <w:p>
      <w:pPr>
        <w:spacing w:line="52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 w:val="32"/>
          <w:szCs w:val="32"/>
          <w:highlight w:val="none"/>
        </w:rPr>
        <w:t>（如有委托时）</w:t>
      </w:r>
    </w:p>
    <w:p>
      <w:pPr>
        <w:spacing w:line="520" w:lineRule="exact"/>
        <w:rPr>
          <w:rFonts w:hint="eastAsia" w:ascii="宋体" w:hAnsi="宋体" w:eastAsia="宋体" w:cs="宋体"/>
          <w:color w:val="auto"/>
          <w:sz w:val="32"/>
          <w:szCs w:val="32"/>
          <w:highlight w:val="none"/>
        </w:rPr>
      </w:pP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sym w:font="Wingdings 2" w:char="00A3"/>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我方对委托代理人的签字或者电子签名事项负全部责任。</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pPr>
        <w:spacing w:line="360" w:lineRule="auto"/>
        <w:rPr>
          <w:rFonts w:hint="eastAsia" w:ascii="宋体" w:hAnsi="宋体" w:eastAsia="宋体" w:cs="宋体"/>
          <w:color w:val="auto"/>
          <w:sz w:val="24"/>
          <w:highlight w:val="none"/>
        </w:rPr>
      </w:pPr>
    </w:p>
    <w:p>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委托代理人（签字或者电子签名）：     法定代表人（签字或者盖章或者电子签名）：                    </w:t>
      </w:r>
    </w:p>
    <w:p>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供应商（电子签章）：                      </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法定代表人必须在授权委托书上签字或者盖章或者电子签名，委托代理人必须在授权委托书上签字或者电子签名，</w:t>
      </w:r>
      <w:r>
        <w:rPr>
          <w:rFonts w:hint="eastAsia" w:ascii="宋体" w:hAnsi="宋体" w:eastAsia="宋体" w:cs="宋体"/>
          <w:b/>
          <w:color w:val="auto"/>
          <w:sz w:val="24"/>
          <w:highlight w:val="none"/>
        </w:rPr>
        <w:t>否则其响应文件按无效响应处理。</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bookmarkStart w:id="134" w:name="_Hlk65853109"/>
      <w:bookmarkStart w:id="135" w:name="_Hlk65853542"/>
      <w:r>
        <w:rPr>
          <w:rFonts w:hint="eastAsia" w:ascii="宋体" w:hAnsi="宋体" w:eastAsia="宋体" w:cs="宋体"/>
          <w:color w:val="auto"/>
          <w:sz w:val="24"/>
          <w:highlight w:val="none"/>
        </w:rPr>
        <w:t>法人、其他组织竞标时“我方”是指“我单位”，自然人竞标时“我方”是指“本人”。</w:t>
      </w:r>
      <w:bookmarkEnd w:id="134"/>
    </w:p>
    <w:bookmarkEnd w:id="135"/>
    <w:p>
      <w:pPr>
        <w:spacing w:line="360" w:lineRule="auto"/>
        <w:ind w:firstLine="420" w:firstLineChars="200"/>
        <w:jc w:val="left"/>
        <w:rPr>
          <w:rFonts w:hint="eastAsia" w:ascii="宋体" w:hAnsi="宋体" w:eastAsia="宋体" w:cs="宋体"/>
          <w:color w:val="auto"/>
          <w:szCs w:val="21"/>
          <w:highlight w:val="none"/>
        </w:rPr>
      </w:pPr>
    </w:p>
    <w:p>
      <w:pPr>
        <w:spacing w:line="50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Cs w:val="21"/>
          <w:highlight w:val="none"/>
        </w:rPr>
        <w:br w:type="page"/>
      </w:r>
      <w:r>
        <w:rPr>
          <w:rFonts w:hint="eastAsia" w:ascii="宋体" w:hAnsi="宋体" w:eastAsia="宋体" w:cs="宋体"/>
          <w:color w:val="auto"/>
          <w:sz w:val="44"/>
          <w:szCs w:val="44"/>
          <w:highlight w:val="none"/>
        </w:rPr>
        <w:t>授权委托书</w:t>
      </w:r>
    </w:p>
    <w:p>
      <w:pPr>
        <w:spacing w:line="50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（联合体竞标格式）</w:t>
      </w:r>
    </w:p>
    <w:p>
      <w:pPr>
        <w:spacing w:line="50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 w:val="32"/>
          <w:szCs w:val="32"/>
          <w:highlight w:val="none"/>
        </w:rPr>
        <w:t>（如有委托时）</w:t>
      </w:r>
    </w:p>
    <w:p>
      <w:pPr>
        <w:spacing w:line="500" w:lineRule="exact"/>
        <w:jc w:val="center"/>
        <w:rPr>
          <w:rFonts w:hint="eastAsia" w:ascii="宋体" w:hAnsi="宋体" w:eastAsia="宋体" w:cs="宋体"/>
          <w:color w:val="auto"/>
          <w:sz w:val="44"/>
          <w:szCs w:val="44"/>
          <w:highlight w:val="none"/>
        </w:rPr>
      </w:pPr>
    </w:p>
    <w:p>
      <w:pPr>
        <w:spacing w:line="500" w:lineRule="exact"/>
        <w:jc w:val="center"/>
        <w:rPr>
          <w:rFonts w:hint="eastAsia" w:ascii="宋体" w:hAnsi="宋体" w:eastAsia="宋体" w:cs="宋体"/>
          <w:color w:val="auto"/>
          <w:sz w:val="32"/>
          <w:szCs w:val="32"/>
          <w:highlight w:val="none"/>
        </w:rPr>
      </w:pP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本授权委托书声明：根据</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（牵头人名称）与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（联合体其他成员名称）签订的《联合体竞标协议书》的内容，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（牵头人名称）的法定代表人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（姓名）现授权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（姓名）为联合委托代理人，并代表我方全权办理针对上述项目的所有采购程序和环节的具体事务和签署相关文件。</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我方对委托代理人的签字或者电子签名事项负全部责任。</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附：法定代表人身份证明书及委托代理人有效身份证正反面复印件</w:t>
      </w:r>
    </w:p>
    <w:p>
      <w:pPr>
        <w:spacing w:line="360" w:lineRule="auto"/>
        <w:ind w:firstLine="480" w:firstLineChars="200"/>
        <w:contextualSpacing/>
        <w:rPr>
          <w:rFonts w:hint="eastAsia" w:ascii="宋体" w:hAnsi="宋体" w:eastAsia="宋体" w:cs="宋体"/>
          <w:color w:val="auto"/>
          <w:sz w:val="24"/>
          <w:highlight w:val="none"/>
        </w:rPr>
      </w:pPr>
    </w:p>
    <w:p>
      <w:pPr>
        <w:spacing w:line="360" w:lineRule="auto"/>
        <w:ind w:firstLine="1200" w:firstLineChars="5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牵头人法定代表人（签字或者盖章或者电子签名）：</w:t>
      </w:r>
    </w:p>
    <w:p>
      <w:pPr>
        <w:spacing w:line="360" w:lineRule="auto"/>
        <w:ind w:firstLine="3120" w:firstLineChars="13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牵头人（电子签章）：</w:t>
      </w:r>
    </w:p>
    <w:p>
      <w:pPr>
        <w:spacing w:line="360" w:lineRule="auto"/>
        <w:ind w:firstLine="3840" w:firstLineChars="16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pPr>
        <w:spacing w:line="360" w:lineRule="auto"/>
        <w:contextualSpacing/>
        <w:rPr>
          <w:rFonts w:hint="eastAsia" w:ascii="宋体" w:hAnsi="宋体" w:eastAsia="宋体" w:cs="宋体"/>
          <w:color w:val="auto"/>
          <w:sz w:val="24"/>
          <w:highlight w:val="none"/>
        </w:rPr>
      </w:pPr>
    </w:p>
    <w:p>
      <w:pPr>
        <w:spacing w:line="360" w:lineRule="auto"/>
        <w:ind w:firstLine="3120" w:firstLineChars="13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被授权人（签字或者电子签名）：</w:t>
      </w:r>
    </w:p>
    <w:p>
      <w:pPr>
        <w:spacing w:line="360" w:lineRule="auto"/>
        <w:ind w:firstLine="3840" w:firstLineChars="16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pPr>
        <w:spacing w:line="360" w:lineRule="auto"/>
        <w:contextualSpacing/>
        <w:rPr>
          <w:rFonts w:hint="eastAsia" w:ascii="宋体" w:hAnsi="宋体" w:eastAsia="宋体" w:cs="宋体"/>
          <w:color w:val="auto"/>
          <w:sz w:val="24"/>
          <w:highlight w:val="none"/>
        </w:rPr>
      </w:pPr>
    </w:p>
    <w:p>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法定代表人必须在授权委托书上签字或者盖章或者电子签名，委托代理人必须在授权委托书上签字或者电子签名，</w:t>
      </w:r>
      <w:r>
        <w:rPr>
          <w:rFonts w:hint="eastAsia" w:ascii="宋体" w:hAnsi="宋体" w:eastAsia="宋体" w:cs="宋体"/>
          <w:b/>
          <w:color w:val="auto"/>
          <w:sz w:val="24"/>
          <w:highlight w:val="none"/>
        </w:rPr>
        <w:t>否则其响应文件按无效响应处理。</w:t>
      </w:r>
    </w:p>
    <w:p>
      <w:pPr>
        <w:spacing w:line="360" w:lineRule="auto"/>
        <w:ind w:firstLine="480" w:firstLineChars="200"/>
        <w:jc w:val="left"/>
        <w:rPr>
          <w:rFonts w:hint="eastAsia" w:ascii="宋体" w:hAnsi="宋体" w:eastAsia="宋体" w:cs="宋体"/>
          <w:color w:val="auto"/>
          <w:spacing w:val="-11"/>
          <w:sz w:val="24"/>
          <w:highlight w:val="none"/>
        </w:rPr>
      </w:pPr>
      <w:r>
        <w:rPr>
          <w:rFonts w:hint="eastAsia" w:ascii="宋体" w:hAnsi="宋体" w:eastAsia="宋体" w:cs="宋体"/>
          <w:color w:val="auto"/>
          <w:sz w:val="24"/>
          <w:highlight w:val="none"/>
        </w:rPr>
        <w:t>2.法人、其他组织竞标时“我方”是指“我单位”，自然人竞标时“我方”是指“本人”。</w:t>
      </w:r>
    </w:p>
    <w:bookmarkEnd w:id="133"/>
    <w:p>
      <w:pPr>
        <w:jc w:val="center"/>
        <w:rPr>
          <w:rFonts w:hint="eastAsia" w:ascii="宋体" w:hAnsi="宋体" w:eastAsia="宋体" w:cs="宋体"/>
          <w:bCs/>
          <w:color w:val="auto"/>
          <w:sz w:val="44"/>
          <w:szCs w:val="44"/>
          <w:highlight w:val="none"/>
        </w:rPr>
      </w:pPr>
      <w:r>
        <w:rPr>
          <w:rFonts w:hint="eastAsia" w:ascii="宋体" w:hAnsi="宋体" w:eastAsia="宋体" w:cs="宋体"/>
          <w:color w:val="auto"/>
          <w:sz w:val="32"/>
          <w:szCs w:val="32"/>
          <w:highlight w:val="none"/>
        </w:rPr>
        <w:br w:type="page"/>
      </w:r>
    </w:p>
    <w:p>
      <w:pPr>
        <w:spacing w:line="500" w:lineRule="exact"/>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商务要求偏离表格式</w:t>
      </w:r>
    </w:p>
    <w:p>
      <w:pPr>
        <w:spacing w:line="360" w:lineRule="auto"/>
        <w:contextualSpacing/>
        <w:jc w:val="left"/>
        <w:rPr>
          <w:rFonts w:hint="eastAsia" w:ascii="宋体" w:hAnsi="宋体" w:eastAsia="宋体" w:cs="宋体"/>
          <w:color w:val="auto"/>
          <w:sz w:val="24"/>
          <w:highlight w:val="none"/>
        </w:rPr>
      </w:pPr>
    </w:p>
    <w:p>
      <w:pPr>
        <w:widowControl w:val="0"/>
        <w:spacing w:line="360" w:lineRule="auto"/>
        <w:contextualSpacing/>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所竞分标：</w:t>
      </w:r>
      <w:r>
        <w:rPr>
          <w:rFonts w:hint="eastAsia" w:ascii="宋体" w:hAnsi="宋体" w:eastAsia="宋体" w:cs="宋体"/>
          <w:color w:val="auto"/>
          <w:kern w:val="0"/>
          <w:sz w:val="24"/>
          <w:szCs w:val="24"/>
          <w:highlight w:val="none"/>
          <w:u w:val="single"/>
          <w:lang w:val="en-US" w:eastAsia="zh-CN" w:bidi="ar-SA"/>
        </w:rPr>
        <w:t xml:space="preserve">              </w:t>
      </w:r>
    </w:p>
    <w:p>
      <w:pPr>
        <w:spacing w:line="360" w:lineRule="auto"/>
        <w:contextualSpacing/>
        <w:jc w:val="left"/>
        <w:rPr>
          <w:rFonts w:hint="eastAsia" w:ascii="宋体" w:hAnsi="宋体" w:eastAsia="宋体" w:cs="宋体"/>
          <w:color w:val="auto"/>
          <w:sz w:val="24"/>
          <w:highlight w:val="none"/>
          <w:u w:val="single"/>
        </w:rPr>
      </w:pPr>
    </w:p>
    <w:tbl>
      <w:tblPr>
        <w:tblStyle w:val="23"/>
        <w:tblpPr w:leftFromText="180" w:rightFromText="180" w:vertAnchor="text" w:horzAnchor="margin" w:tblpY="-9"/>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contextualSpacing/>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w:t>
            </w:r>
          </w:p>
        </w:tc>
        <w:tc>
          <w:tcPr>
            <w:tcW w:w="26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contextualSpacing/>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磋商文件商务要求</w:t>
            </w:r>
          </w:p>
        </w:tc>
        <w:tc>
          <w:tcPr>
            <w:tcW w:w="23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contextualSpacing/>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供应商的响应</w:t>
            </w:r>
          </w:p>
        </w:tc>
        <w:tc>
          <w:tcPr>
            <w:tcW w:w="21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contextualSpacing/>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contextualSpacing/>
              <w:jc w:val="center"/>
              <w:rPr>
                <w:rFonts w:hint="eastAsia" w:ascii="宋体" w:hAnsi="宋体" w:eastAsia="宋体" w:cs="宋体"/>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contextualSpacing/>
              <w:jc w:val="center"/>
              <w:rPr>
                <w:rFonts w:hint="eastAsia" w:ascii="宋体" w:hAnsi="宋体" w:eastAsia="宋体" w:cs="宋体"/>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contextualSpacing/>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contextualSpacing/>
              <w:jc w:val="center"/>
              <w:rPr>
                <w:rFonts w:hint="eastAsia" w:ascii="宋体" w:hAnsi="宋体" w:eastAsia="宋体" w:cs="宋体"/>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43"/>
              <w:contextualSpacing/>
              <w:jc w:val="center"/>
              <w:rPr>
                <w:rFonts w:hint="eastAsia" w:ascii="宋体" w:hAnsi="宋体" w:eastAsia="宋体" w:cs="宋体"/>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43"/>
              <w:contextualSpacing/>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contextualSpacing/>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26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contextualSpacing/>
              <w:jc w:val="center"/>
              <w:rPr>
                <w:rFonts w:hint="eastAsia" w:ascii="宋体" w:hAnsi="宋体" w:eastAsia="宋体" w:cs="宋体"/>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contextualSpacing/>
              <w:jc w:val="center"/>
              <w:rPr>
                <w:rFonts w:hint="eastAsia" w:ascii="宋体" w:hAnsi="宋体" w:eastAsia="宋体" w:cs="宋体"/>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contextualSpacing/>
              <w:jc w:val="center"/>
              <w:rPr>
                <w:rFonts w:hint="eastAsia" w:ascii="宋体" w:hAnsi="宋体" w:eastAsia="宋体" w:cs="宋体"/>
                <w:color w:val="auto"/>
                <w:sz w:val="24"/>
                <w:highlight w:val="none"/>
              </w:rPr>
            </w:pPr>
          </w:p>
        </w:tc>
      </w:tr>
    </w:tbl>
    <w:p>
      <w:pPr>
        <w:pStyle w:val="12"/>
        <w:spacing w:after="0" w:line="360" w:lineRule="auto"/>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w:t>
      </w:r>
    </w:p>
    <w:p>
      <w:pPr>
        <w:pStyle w:val="12"/>
        <w:spacing w:line="360" w:lineRule="auto"/>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 说明：应对照磋商文件“第三章 采购需求”中的商务要求逐条作出明确响应，并作出偏离说明。</w:t>
      </w:r>
    </w:p>
    <w:p>
      <w:pPr>
        <w:spacing w:line="360" w:lineRule="auto"/>
        <w:contextualSpacing/>
        <w:jc w:val="left"/>
        <w:rPr>
          <w:rFonts w:hint="eastAsia" w:ascii="宋体" w:hAnsi="宋体" w:eastAsia="宋体" w:cs="宋体"/>
          <w:color w:val="auto"/>
          <w:sz w:val="24"/>
          <w:highlight w:val="none"/>
          <w:u w:val="single"/>
        </w:rPr>
      </w:pPr>
      <w:r>
        <w:rPr>
          <w:rFonts w:hint="eastAsia" w:ascii="宋体" w:hAnsi="宋体" w:eastAsia="宋体" w:cs="宋体"/>
          <w:color w:val="auto"/>
          <w:kern w:val="0"/>
          <w:sz w:val="24"/>
          <w:highlight w:val="none"/>
        </w:rPr>
        <w:t>2.供应商应根据自身的承诺，对照磋商文件要求在“偏离说明”中注明“正偏离”、“负偏离”或者“无偏离”。既不属于“正偏离”也不属于“负偏离”即为“无偏离”。</w:t>
      </w:r>
    </w:p>
    <w:p>
      <w:pPr>
        <w:spacing w:line="360" w:lineRule="auto"/>
        <w:ind w:right="-817" w:rightChars="-389"/>
        <w:contextualSpacing/>
        <w:rPr>
          <w:rFonts w:hint="eastAsia" w:ascii="宋体" w:hAnsi="宋体" w:eastAsia="宋体" w:cs="宋体"/>
          <w:color w:val="auto"/>
          <w:sz w:val="24"/>
          <w:highlight w:val="none"/>
        </w:rPr>
      </w:pPr>
    </w:p>
    <w:p>
      <w:pPr>
        <w:spacing w:line="360" w:lineRule="auto"/>
        <w:ind w:right="-817" w:rightChars="-389"/>
        <w:contextualSpacing/>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法定代表人或者委托代理人（签字</w:t>
      </w:r>
      <w:r>
        <w:rPr>
          <w:rFonts w:hint="eastAsia" w:ascii="宋体" w:hAnsi="宋体" w:cs="宋体"/>
          <w:color w:val="auto"/>
          <w:sz w:val="24"/>
          <w:highlight w:val="none"/>
          <w:lang w:val="en-US" w:eastAsia="zh-CN"/>
        </w:rPr>
        <w:t>或者盖章</w:t>
      </w:r>
      <w:r>
        <w:rPr>
          <w:rFonts w:hint="eastAsia" w:ascii="宋体" w:hAnsi="宋体" w:eastAsia="宋体" w:cs="宋体"/>
          <w:color w:val="auto"/>
          <w:sz w:val="24"/>
          <w:highlight w:val="none"/>
        </w:rPr>
        <w:t>或者电子签名）：</w:t>
      </w:r>
    </w:p>
    <w:p>
      <w:pPr>
        <w:spacing w:line="360" w:lineRule="auto"/>
        <w:ind w:right="-817" w:rightChars="-389" w:firstLine="2640" w:firstLineChars="11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供应商（电子签章）：      </w:t>
      </w:r>
    </w:p>
    <w:p>
      <w:pPr>
        <w:spacing w:line="360" w:lineRule="auto"/>
        <w:ind w:right="-817" w:rightChars="-389" w:firstLine="4080" w:firstLineChars="1700"/>
        <w:contextualSpacing/>
        <w:rPr>
          <w:rFonts w:hint="eastAsia" w:ascii="宋体" w:hAnsi="宋体" w:eastAsia="宋体" w:cs="宋体"/>
          <w:b/>
          <w:color w:val="auto"/>
          <w:sz w:val="32"/>
          <w:szCs w:val="32"/>
          <w:highlight w:val="none"/>
        </w:rPr>
      </w:pPr>
      <w:r>
        <w:rPr>
          <w:rFonts w:hint="eastAsia" w:ascii="宋体" w:hAnsi="宋体" w:eastAsia="宋体" w:cs="宋体"/>
          <w:color w:val="auto"/>
          <w:sz w:val="24"/>
          <w:highlight w:val="none"/>
        </w:rPr>
        <w:t>日期：   年   月   日</w:t>
      </w:r>
    </w:p>
    <w:p>
      <w:pPr>
        <w:adjustRightInd w:val="0"/>
        <w:snapToGrid w:val="0"/>
        <w:spacing w:line="520" w:lineRule="exact"/>
        <w:ind w:firstLine="7040" w:firstLineChars="1600"/>
        <w:jc w:val="center"/>
        <w:rPr>
          <w:rFonts w:hint="eastAsia" w:ascii="宋体" w:hAnsi="宋体" w:eastAsia="宋体" w:cs="宋体"/>
          <w:bCs/>
          <w:color w:val="auto"/>
          <w:sz w:val="44"/>
          <w:szCs w:val="44"/>
          <w:highlight w:val="none"/>
        </w:rPr>
      </w:pPr>
    </w:p>
    <w:p>
      <w:pPr>
        <w:adjustRightInd w:val="0"/>
        <w:snapToGrid w:val="0"/>
        <w:spacing w:line="520" w:lineRule="exact"/>
        <w:ind w:firstLine="7040" w:firstLineChars="1600"/>
        <w:jc w:val="center"/>
        <w:rPr>
          <w:rFonts w:hint="eastAsia" w:ascii="宋体" w:hAnsi="宋体" w:eastAsia="宋体" w:cs="宋体"/>
          <w:bCs/>
          <w:color w:val="auto"/>
          <w:sz w:val="44"/>
          <w:szCs w:val="44"/>
          <w:highlight w:val="none"/>
        </w:rPr>
      </w:pPr>
    </w:p>
    <w:p>
      <w:pPr>
        <w:adjustRightInd w:val="0"/>
        <w:snapToGrid w:val="0"/>
        <w:spacing w:line="520" w:lineRule="exact"/>
        <w:ind w:firstLine="7040" w:firstLineChars="1600"/>
        <w:jc w:val="center"/>
        <w:rPr>
          <w:rFonts w:hint="eastAsia" w:ascii="宋体" w:hAnsi="宋体" w:eastAsia="宋体" w:cs="宋体"/>
          <w:bCs/>
          <w:color w:val="auto"/>
          <w:sz w:val="44"/>
          <w:szCs w:val="44"/>
          <w:highlight w:val="none"/>
        </w:rPr>
      </w:pPr>
    </w:p>
    <w:p>
      <w:pPr>
        <w:adjustRightInd w:val="0"/>
        <w:snapToGrid w:val="0"/>
        <w:spacing w:line="520" w:lineRule="exact"/>
        <w:ind w:firstLine="7040" w:firstLineChars="1600"/>
        <w:jc w:val="center"/>
        <w:rPr>
          <w:rFonts w:hint="eastAsia" w:ascii="宋体" w:hAnsi="宋体" w:eastAsia="宋体" w:cs="宋体"/>
          <w:bCs/>
          <w:color w:val="auto"/>
          <w:sz w:val="44"/>
          <w:szCs w:val="44"/>
          <w:highlight w:val="none"/>
        </w:rPr>
      </w:pPr>
    </w:p>
    <w:p>
      <w:pPr>
        <w:adjustRightInd w:val="0"/>
        <w:snapToGrid w:val="0"/>
        <w:spacing w:line="520" w:lineRule="exact"/>
        <w:rPr>
          <w:rFonts w:hint="eastAsia" w:ascii="宋体" w:hAnsi="宋体" w:eastAsia="宋体" w:cs="宋体"/>
          <w:color w:val="auto"/>
          <w:szCs w:val="21"/>
          <w:highlight w:val="none"/>
          <w:u w:val="single"/>
        </w:rPr>
      </w:pPr>
    </w:p>
    <w:p>
      <w:pPr>
        <w:adjustRightInd w:val="0"/>
        <w:snapToGrid w:val="0"/>
        <w:spacing w:line="300" w:lineRule="auto"/>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br w:type="page"/>
      </w:r>
      <w:r>
        <w:rPr>
          <w:rFonts w:hint="eastAsia" w:ascii="宋体" w:hAnsi="宋体" w:eastAsia="宋体" w:cs="宋体"/>
          <w:bCs/>
          <w:color w:val="auto"/>
          <w:sz w:val="44"/>
          <w:szCs w:val="44"/>
          <w:highlight w:val="none"/>
        </w:rPr>
        <w:t>技术要求偏离表</w:t>
      </w:r>
    </w:p>
    <w:p>
      <w:pPr>
        <w:spacing w:line="520" w:lineRule="exact"/>
        <w:rPr>
          <w:rFonts w:hint="eastAsia" w:ascii="宋体" w:hAnsi="宋体" w:eastAsia="宋体" w:cs="宋体"/>
          <w:color w:val="auto"/>
          <w:sz w:val="32"/>
          <w:szCs w:val="32"/>
          <w:highlight w:val="none"/>
        </w:rPr>
      </w:pPr>
    </w:p>
    <w:p>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采购项目编号：</w:t>
      </w:r>
      <w:r>
        <w:rPr>
          <w:rFonts w:hint="eastAsia" w:ascii="宋体" w:hAnsi="宋体" w:eastAsia="宋体" w:cs="宋体"/>
          <w:color w:val="auto"/>
          <w:sz w:val="24"/>
          <w:highlight w:val="none"/>
          <w:u w:val="single"/>
        </w:rPr>
        <w:t xml:space="preserve">                 </w:t>
      </w:r>
    </w:p>
    <w:p>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采购项目名称：</w:t>
      </w:r>
      <w:r>
        <w:rPr>
          <w:rFonts w:hint="eastAsia" w:ascii="宋体" w:hAnsi="宋体" w:eastAsia="宋体" w:cs="宋体"/>
          <w:color w:val="auto"/>
          <w:sz w:val="24"/>
          <w:highlight w:val="none"/>
          <w:u w:val="single"/>
        </w:rPr>
        <w:t xml:space="preserve">                 </w:t>
      </w:r>
    </w:p>
    <w:p>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 w:val="24"/>
          <w:highlight w:val="none"/>
          <w:u w:val="single"/>
        </w:rPr>
        <w:t xml:space="preserve">                       </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00"/>
        <w:gridCol w:w="900"/>
        <w:gridCol w:w="2989"/>
        <w:gridCol w:w="2690"/>
        <w:gridCol w:w="146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0"/>
            <w:vAlign w:val="center"/>
          </w:tcPr>
          <w:p>
            <w:pPr>
              <w:pStyle w:val="13"/>
              <w:spacing w:line="360" w:lineRule="auto"/>
              <w:ind w:firstLine="0" w:firstLineChars="0"/>
              <w:contextualSpacing/>
              <w:jc w:val="center"/>
              <w:rPr>
                <w:rFonts w:hint="eastAsia" w:ascii="宋体" w:hAnsi="宋体" w:eastAsia="宋体" w:cs="宋体"/>
                <w:color w:val="auto"/>
                <w:kern w:val="2"/>
                <w:sz w:val="24"/>
                <w:szCs w:val="24"/>
                <w:highlight w:val="none"/>
                <w:lang w:val="en-US" w:eastAsia="zh-CN"/>
              </w:rPr>
            </w:pPr>
            <w:bookmarkStart w:id="136" w:name="_Toc254970729"/>
            <w:bookmarkStart w:id="137" w:name="_Toc301781611"/>
            <w:bookmarkStart w:id="138" w:name="_Toc373333689"/>
            <w:bookmarkStart w:id="139" w:name="_Toc173066401"/>
            <w:bookmarkStart w:id="140" w:name="_Toc297193185"/>
            <w:bookmarkStart w:id="141" w:name="_Toc295404981"/>
            <w:bookmarkStart w:id="142" w:name="_Toc254970588"/>
            <w:bookmarkStart w:id="143" w:name="_Toc173211900"/>
            <w:bookmarkStart w:id="144" w:name="_Toc383699906"/>
            <w:r>
              <w:rPr>
                <w:rFonts w:hint="eastAsia" w:ascii="宋体" w:hAnsi="宋体" w:eastAsia="宋体" w:cs="宋体"/>
                <w:color w:val="auto"/>
                <w:kern w:val="2"/>
                <w:sz w:val="24"/>
                <w:szCs w:val="24"/>
                <w:highlight w:val="none"/>
                <w:lang w:val="en-US" w:eastAsia="zh-CN"/>
              </w:rPr>
              <w:t>序号</w:t>
            </w:r>
            <w:bookmarkEnd w:id="136"/>
            <w:bookmarkEnd w:id="137"/>
            <w:bookmarkEnd w:id="138"/>
            <w:bookmarkEnd w:id="139"/>
            <w:bookmarkEnd w:id="140"/>
            <w:bookmarkEnd w:id="141"/>
            <w:bookmarkEnd w:id="142"/>
            <w:bookmarkEnd w:id="143"/>
            <w:bookmarkEnd w:id="144"/>
          </w:p>
        </w:tc>
        <w:tc>
          <w:tcPr>
            <w:tcW w:w="503" w:type="pct"/>
            <w:tcBorders>
              <w:right w:val="single" w:color="auto" w:sz="4" w:space="0"/>
            </w:tcBorders>
            <w:noWrap w:val="0"/>
            <w:vAlign w:val="center"/>
          </w:tcPr>
          <w:p>
            <w:pPr>
              <w:pStyle w:val="13"/>
              <w:spacing w:line="360" w:lineRule="auto"/>
              <w:ind w:firstLine="0" w:firstLineChars="0"/>
              <w:contextualSpacing/>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名称</w:t>
            </w:r>
          </w:p>
        </w:tc>
        <w:tc>
          <w:tcPr>
            <w:tcW w:w="1670" w:type="pct"/>
            <w:tcBorders>
              <w:left w:val="single" w:color="auto" w:sz="4" w:space="0"/>
            </w:tcBorders>
            <w:noWrap w:val="0"/>
            <w:vAlign w:val="center"/>
          </w:tcPr>
          <w:p>
            <w:pPr>
              <w:pStyle w:val="13"/>
              <w:spacing w:line="360" w:lineRule="auto"/>
              <w:ind w:firstLine="0" w:firstLineChars="0"/>
              <w:contextualSpacing/>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磋商文件技术要求</w:t>
            </w:r>
          </w:p>
        </w:tc>
        <w:tc>
          <w:tcPr>
            <w:tcW w:w="1503" w:type="pct"/>
            <w:noWrap w:val="0"/>
            <w:vAlign w:val="center"/>
          </w:tcPr>
          <w:p>
            <w:pPr>
              <w:pStyle w:val="13"/>
              <w:spacing w:line="360" w:lineRule="auto"/>
              <w:ind w:firstLine="0" w:firstLineChars="0"/>
              <w:contextualSpacing/>
              <w:jc w:val="center"/>
              <w:rPr>
                <w:rFonts w:hint="eastAsia" w:ascii="宋体" w:hAnsi="宋体" w:eastAsia="宋体" w:cs="宋体"/>
                <w:color w:val="auto"/>
                <w:kern w:val="2"/>
                <w:sz w:val="24"/>
                <w:szCs w:val="24"/>
                <w:highlight w:val="none"/>
                <w:lang w:val="en-US" w:eastAsia="zh-CN"/>
              </w:rPr>
            </w:pPr>
            <w:bookmarkStart w:id="145" w:name="_Toc173211902"/>
            <w:bookmarkStart w:id="146" w:name="_Toc173066403"/>
            <w:bookmarkStart w:id="147" w:name="_Toc295404983"/>
            <w:bookmarkStart w:id="148" w:name="_Toc297193187"/>
            <w:bookmarkStart w:id="149" w:name="_Toc254970731"/>
            <w:bookmarkStart w:id="150" w:name="_Toc383699908"/>
            <w:bookmarkStart w:id="151" w:name="_Toc373333691"/>
            <w:bookmarkStart w:id="152" w:name="_Toc254970590"/>
            <w:bookmarkStart w:id="153" w:name="_Toc301781613"/>
            <w:r>
              <w:rPr>
                <w:rFonts w:hint="eastAsia" w:ascii="宋体" w:hAnsi="宋体" w:eastAsia="宋体" w:cs="宋体"/>
                <w:color w:val="auto"/>
                <w:kern w:val="2"/>
                <w:sz w:val="24"/>
                <w:szCs w:val="24"/>
                <w:highlight w:val="none"/>
                <w:lang w:val="en-US" w:eastAsia="zh-CN"/>
              </w:rPr>
              <w:t>竞标响应</w:t>
            </w:r>
            <w:bookmarkEnd w:id="145"/>
            <w:bookmarkEnd w:id="146"/>
            <w:bookmarkEnd w:id="147"/>
            <w:bookmarkEnd w:id="148"/>
            <w:bookmarkEnd w:id="149"/>
            <w:bookmarkEnd w:id="150"/>
            <w:bookmarkEnd w:id="151"/>
            <w:bookmarkEnd w:id="152"/>
            <w:bookmarkEnd w:id="153"/>
          </w:p>
        </w:tc>
        <w:tc>
          <w:tcPr>
            <w:tcW w:w="820" w:type="pct"/>
            <w:noWrap w:val="0"/>
            <w:vAlign w:val="center"/>
          </w:tcPr>
          <w:p>
            <w:pPr>
              <w:pStyle w:val="13"/>
              <w:spacing w:line="360" w:lineRule="auto"/>
              <w:ind w:firstLine="0" w:firstLineChars="0"/>
              <w:contextualSpacing/>
              <w:jc w:val="center"/>
              <w:rPr>
                <w:rFonts w:hint="eastAsia" w:ascii="宋体" w:hAnsi="宋体" w:eastAsia="宋体" w:cs="宋体"/>
                <w:color w:val="auto"/>
                <w:kern w:val="2"/>
                <w:sz w:val="24"/>
                <w:szCs w:val="24"/>
                <w:highlight w:val="none"/>
                <w:lang w:val="en-US" w:eastAsia="zh-CN"/>
              </w:rPr>
            </w:pPr>
            <w:bookmarkStart w:id="154" w:name="_Toc383699909"/>
            <w:bookmarkStart w:id="155" w:name="_Toc297193188"/>
            <w:bookmarkStart w:id="156" w:name="_Toc173211903"/>
            <w:bookmarkStart w:id="157" w:name="_Toc295404984"/>
            <w:bookmarkStart w:id="158" w:name="_Toc301781614"/>
            <w:bookmarkStart w:id="159" w:name="_Toc373333692"/>
            <w:bookmarkStart w:id="160" w:name="_Toc173066404"/>
            <w:bookmarkStart w:id="161" w:name="_Toc254970591"/>
            <w:bookmarkStart w:id="162" w:name="_Toc254970732"/>
            <w:r>
              <w:rPr>
                <w:rFonts w:hint="eastAsia" w:ascii="宋体" w:hAnsi="宋体" w:eastAsia="宋体" w:cs="宋体"/>
                <w:color w:val="auto"/>
                <w:kern w:val="2"/>
                <w:sz w:val="24"/>
                <w:szCs w:val="24"/>
                <w:highlight w:val="none"/>
                <w:lang w:val="en-US" w:eastAsia="zh-CN"/>
              </w:rPr>
              <w:t>偏离</w:t>
            </w:r>
            <w:bookmarkEnd w:id="154"/>
            <w:bookmarkEnd w:id="155"/>
            <w:bookmarkEnd w:id="156"/>
            <w:bookmarkEnd w:id="157"/>
            <w:bookmarkEnd w:id="158"/>
            <w:bookmarkEnd w:id="159"/>
            <w:bookmarkEnd w:id="160"/>
            <w:bookmarkEnd w:id="161"/>
            <w:bookmarkEnd w:id="162"/>
            <w:bookmarkStart w:id="163" w:name="_Toc254970592"/>
            <w:bookmarkStart w:id="164" w:name="_Toc373333693"/>
            <w:bookmarkStart w:id="165" w:name="_Toc297193189"/>
            <w:bookmarkStart w:id="166" w:name="_Toc295404985"/>
            <w:bookmarkStart w:id="167" w:name="_Toc254970733"/>
            <w:bookmarkStart w:id="168" w:name="_Toc173066405"/>
            <w:bookmarkStart w:id="169" w:name="_Toc301781615"/>
            <w:bookmarkStart w:id="170" w:name="_Toc173211904"/>
            <w:bookmarkStart w:id="171" w:name="_Toc383699910"/>
            <w:r>
              <w:rPr>
                <w:rFonts w:hint="eastAsia" w:ascii="宋体" w:hAnsi="宋体" w:eastAsia="宋体" w:cs="宋体"/>
                <w:color w:val="auto"/>
                <w:kern w:val="2"/>
                <w:sz w:val="24"/>
                <w:szCs w:val="24"/>
                <w:highlight w:val="none"/>
                <w:lang w:val="en-US" w:eastAsia="zh-CN"/>
              </w:rPr>
              <w:t>说明</w:t>
            </w:r>
            <w:bookmarkEnd w:id="163"/>
            <w:bookmarkEnd w:id="164"/>
            <w:bookmarkEnd w:id="165"/>
            <w:bookmarkEnd w:id="166"/>
            <w:bookmarkEnd w:id="167"/>
            <w:bookmarkEnd w:id="168"/>
            <w:bookmarkEnd w:id="169"/>
            <w:bookmarkEnd w:id="170"/>
            <w:bookmarkEnd w:id="171"/>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0"/>
            <w:vAlign w:val="center"/>
          </w:tcPr>
          <w:p>
            <w:pPr>
              <w:pStyle w:val="13"/>
              <w:spacing w:line="360" w:lineRule="auto"/>
              <w:ind w:firstLine="0" w:firstLineChars="0"/>
              <w:contextualSpacing/>
              <w:jc w:val="center"/>
              <w:rPr>
                <w:rFonts w:hint="eastAsia" w:ascii="宋体" w:hAnsi="宋体" w:eastAsia="宋体" w:cs="宋体"/>
                <w:color w:val="auto"/>
                <w:kern w:val="2"/>
                <w:sz w:val="24"/>
                <w:szCs w:val="24"/>
                <w:highlight w:val="none"/>
                <w:lang w:val="en-US" w:eastAsia="zh-CN"/>
              </w:rPr>
            </w:pPr>
            <w:bookmarkStart w:id="172" w:name="_Toc295404986"/>
            <w:bookmarkStart w:id="173" w:name="_Toc254970734"/>
            <w:bookmarkStart w:id="174" w:name="_Toc297193190"/>
            <w:bookmarkStart w:id="175" w:name="_Toc254970593"/>
            <w:bookmarkStart w:id="176" w:name="_Toc173211905"/>
            <w:bookmarkStart w:id="177" w:name="_Toc173066406"/>
            <w:bookmarkStart w:id="178" w:name="_Toc373333694"/>
            <w:bookmarkStart w:id="179" w:name="_Toc301781616"/>
            <w:bookmarkStart w:id="180" w:name="_Toc383699911"/>
            <w:r>
              <w:rPr>
                <w:rFonts w:hint="eastAsia" w:ascii="宋体" w:hAnsi="宋体" w:eastAsia="宋体" w:cs="宋体"/>
                <w:color w:val="auto"/>
                <w:kern w:val="2"/>
                <w:sz w:val="24"/>
                <w:szCs w:val="24"/>
                <w:highlight w:val="none"/>
                <w:lang w:val="en-US" w:eastAsia="zh-CN"/>
              </w:rPr>
              <w:t>1</w:t>
            </w:r>
            <w:bookmarkEnd w:id="172"/>
            <w:bookmarkEnd w:id="173"/>
            <w:bookmarkEnd w:id="174"/>
            <w:bookmarkEnd w:id="175"/>
            <w:bookmarkEnd w:id="176"/>
            <w:bookmarkEnd w:id="177"/>
            <w:bookmarkEnd w:id="178"/>
            <w:bookmarkEnd w:id="179"/>
            <w:bookmarkEnd w:id="180"/>
          </w:p>
        </w:tc>
        <w:tc>
          <w:tcPr>
            <w:tcW w:w="503" w:type="pct"/>
            <w:tcBorders>
              <w:right w:val="single" w:color="auto" w:sz="4" w:space="0"/>
            </w:tcBorders>
            <w:noWrap w:val="0"/>
            <w:vAlign w:val="center"/>
          </w:tcPr>
          <w:p>
            <w:pPr>
              <w:pStyle w:val="13"/>
              <w:spacing w:line="360" w:lineRule="auto"/>
              <w:ind w:firstLine="0" w:firstLineChars="0"/>
              <w:contextualSpacing/>
              <w:jc w:val="center"/>
              <w:rPr>
                <w:rFonts w:hint="eastAsia" w:ascii="宋体" w:hAnsi="宋体" w:eastAsia="宋体" w:cs="宋体"/>
                <w:color w:val="auto"/>
                <w:kern w:val="2"/>
                <w:sz w:val="24"/>
                <w:szCs w:val="24"/>
                <w:highlight w:val="none"/>
                <w:lang w:val="en-US" w:eastAsia="zh-CN"/>
              </w:rPr>
            </w:pPr>
          </w:p>
        </w:tc>
        <w:tc>
          <w:tcPr>
            <w:tcW w:w="1670" w:type="pct"/>
            <w:tcBorders>
              <w:left w:val="single" w:color="auto" w:sz="4" w:space="0"/>
            </w:tcBorders>
            <w:noWrap w:val="0"/>
            <w:vAlign w:val="center"/>
          </w:tcPr>
          <w:p>
            <w:pPr>
              <w:pStyle w:val="13"/>
              <w:spacing w:line="360" w:lineRule="auto"/>
              <w:ind w:firstLine="0" w:firstLineChars="0"/>
              <w:contextualSpacing/>
              <w:jc w:val="center"/>
              <w:rPr>
                <w:rFonts w:hint="eastAsia" w:ascii="宋体" w:hAnsi="宋体" w:eastAsia="宋体" w:cs="宋体"/>
                <w:color w:val="auto"/>
                <w:kern w:val="2"/>
                <w:sz w:val="24"/>
                <w:szCs w:val="24"/>
                <w:highlight w:val="none"/>
                <w:lang w:val="en-US" w:eastAsia="zh-CN"/>
              </w:rPr>
            </w:pPr>
          </w:p>
        </w:tc>
        <w:tc>
          <w:tcPr>
            <w:tcW w:w="1503" w:type="pct"/>
            <w:noWrap w:val="0"/>
            <w:vAlign w:val="center"/>
          </w:tcPr>
          <w:p>
            <w:pPr>
              <w:pStyle w:val="13"/>
              <w:spacing w:line="360" w:lineRule="auto"/>
              <w:ind w:firstLine="0" w:firstLineChars="0"/>
              <w:contextualSpacing/>
              <w:jc w:val="center"/>
              <w:rPr>
                <w:rFonts w:hint="eastAsia" w:ascii="宋体" w:hAnsi="宋体" w:eastAsia="宋体" w:cs="宋体"/>
                <w:color w:val="auto"/>
                <w:kern w:val="2"/>
                <w:sz w:val="24"/>
                <w:szCs w:val="24"/>
                <w:highlight w:val="none"/>
                <w:lang w:val="en-US" w:eastAsia="zh-CN"/>
              </w:rPr>
            </w:pPr>
          </w:p>
        </w:tc>
        <w:tc>
          <w:tcPr>
            <w:tcW w:w="820" w:type="pct"/>
            <w:noWrap w:val="0"/>
            <w:vAlign w:val="center"/>
          </w:tcPr>
          <w:p>
            <w:pPr>
              <w:pStyle w:val="13"/>
              <w:spacing w:line="360" w:lineRule="auto"/>
              <w:ind w:firstLine="0" w:firstLineChars="0"/>
              <w:contextualSpacing/>
              <w:jc w:val="center"/>
              <w:rPr>
                <w:rFonts w:hint="eastAsia" w:ascii="宋体" w:hAnsi="宋体" w:eastAsia="宋体" w:cs="宋体"/>
                <w:color w:val="auto"/>
                <w:kern w:val="2"/>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0"/>
            <w:vAlign w:val="center"/>
          </w:tcPr>
          <w:p>
            <w:pPr>
              <w:pStyle w:val="13"/>
              <w:spacing w:line="360" w:lineRule="auto"/>
              <w:ind w:firstLine="0" w:firstLineChars="0"/>
              <w:contextualSpacing/>
              <w:jc w:val="center"/>
              <w:rPr>
                <w:rFonts w:hint="eastAsia" w:ascii="宋体" w:hAnsi="宋体" w:eastAsia="宋体" w:cs="宋体"/>
                <w:color w:val="auto"/>
                <w:kern w:val="2"/>
                <w:sz w:val="24"/>
                <w:szCs w:val="24"/>
                <w:highlight w:val="none"/>
                <w:lang w:val="en-US" w:eastAsia="zh-CN"/>
              </w:rPr>
            </w:pPr>
            <w:bookmarkStart w:id="181" w:name="_Toc301781617"/>
            <w:bookmarkStart w:id="182" w:name="_Toc254970594"/>
            <w:bookmarkStart w:id="183" w:name="_Toc173211906"/>
            <w:bookmarkStart w:id="184" w:name="_Toc373333695"/>
            <w:bookmarkStart w:id="185" w:name="_Toc254970735"/>
            <w:bookmarkStart w:id="186" w:name="_Toc297193191"/>
            <w:bookmarkStart w:id="187" w:name="_Toc383699912"/>
            <w:bookmarkStart w:id="188" w:name="_Toc173066407"/>
            <w:bookmarkStart w:id="189" w:name="_Toc295404987"/>
            <w:r>
              <w:rPr>
                <w:rFonts w:hint="eastAsia" w:ascii="宋体" w:hAnsi="宋体" w:eastAsia="宋体" w:cs="宋体"/>
                <w:color w:val="auto"/>
                <w:kern w:val="2"/>
                <w:sz w:val="24"/>
                <w:szCs w:val="24"/>
                <w:highlight w:val="none"/>
                <w:lang w:val="en-US" w:eastAsia="zh-CN"/>
              </w:rPr>
              <w:t>2</w:t>
            </w:r>
            <w:bookmarkEnd w:id="181"/>
            <w:bookmarkEnd w:id="182"/>
            <w:bookmarkEnd w:id="183"/>
            <w:bookmarkEnd w:id="184"/>
            <w:bookmarkEnd w:id="185"/>
            <w:bookmarkEnd w:id="186"/>
            <w:bookmarkEnd w:id="187"/>
            <w:bookmarkEnd w:id="188"/>
            <w:bookmarkEnd w:id="189"/>
          </w:p>
        </w:tc>
        <w:tc>
          <w:tcPr>
            <w:tcW w:w="503" w:type="pct"/>
            <w:tcBorders>
              <w:right w:val="single" w:color="auto" w:sz="4" w:space="0"/>
            </w:tcBorders>
            <w:noWrap w:val="0"/>
            <w:vAlign w:val="center"/>
          </w:tcPr>
          <w:p>
            <w:pPr>
              <w:pStyle w:val="13"/>
              <w:spacing w:line="360" w:lineRule="auto"/>
              <w:ind w:firstLine="0" w:firstLineChars="0"/>
              <w:contextualSpacing/>
              <w:jc w:val="center"/>
              <w:rPr>
                <w:rFonts w:hint="eastAsia" w:ascii="宋体" w:hAnsi="宋体" w:eastAsia="宋体" w:cs="宋体"/>
                <w:color w:val="auto"/>
                <w:kern w:val="2"/>
                <w:sz w:val="24"/>
                <w:szCs w:val="24"/>
                <w:highlight w:val="none"/>
                <w:lang w:val="en-US" w:eastAsia="zh-CN"/>
              </w:rPr>
            </w:pPr>
          </w:p>
        </w:tc>
        <w:tc>
          <w:tcPr>
            <w:tcW w:w="1670" w:type="pct"/>
            <w:tcBorders>
              <w:left w:val="single" w:color="auto" w:sz="4" w:space="0"/>
            </w:tcBorders>
            <w:noWrap w:val="0"/>
            <w:vAlign w:val="center"/>
          </w:tcPr>
          <w:p>
            <w:pPr>
              <w:pStyle w:val="13"/>
              <w:spacing w:line="360" w:lineRule="auto"/>
              <w:ind w:firstLine="0" w:firstLineChars="0"/>
              <w:contextualSpacing/>
              <w:jc w:val="center"/>
              <w:rPr>
                <w:rFonts w:hint="eastAsia" w:ascii="宋体" w:hAnsi="宋体" w:eastAsia="宋体" w:cs="宋体"/>
                <w:color w:val="auto"/>
                <w:kern w:val="2"/>
                <w:sz w:val="24"/>
                <w:szCs w:val="24"/>
                <w:highlight w:val="none"/>
                <w:lang w:val="en-US" w:eastAsia="zh-CN"/>
              </w:rPr>
            </w:pPr>
          </w:p>
        </w:tc>
        <w:tc>
          <w:tcPr>
            <w:tcW w:w="1503" w:type="pct"/>
            <w:noWrap w:val="0"/>
            <w:vAlign w:val="center"/>
          </w:tcPr>
          <w:p>
            <w:pPr>
              <w:pStyle w:val="13"/>
              <w:spacing w:line="360" w:lineRule="auto"/>
              <w:ind w:firstLine="0" w:firstLineChars="0"/>
              <w:contextualSpacing/>
              <w:jc w:val="center"/>
              <w:rPr>
                <w:rFonts w:hint="eastAsia" w:ascii="宋体" w:hAnsi="宋体" w:eastAsia="宋体" w:cs="宋体"/>
                <w:color w:val="auto"/>
                <w:kern w:val="2"/>
                <w:sz w:val="24"/>
                <w:szCs w:val="24"/>
                <w:highlight w:val="none"/>
                <w:lang w:val="en-US" w:eastAsia="zh-CN"/>
              </w:rPr>
            </w:pPr>
          </w:p>
        </w:tc>
        <w:tc>
          <w:tcPr>
            <w:tcW w:w="820" w:type="pct"/>
            <w:noWrap w:val="0"/>
            <w:vAlign w:val="center"/>
          </w:tcPr>
          <w:p>
            <w:pPr>
              <w:pStyle w:val="13"/>
              <w:spacing w:line="360" w:lineRule="auto"/>
              <w:ind w:firstLine="0" w:firstLineChars="0"/>
              <w:contextualSpacing/>
              <w:jc w:val="center"/>
              <w:rPr>
                <w:rFonts w:hint="eastAsia" w:ascii="宋体" w:hAnsi="宋体" w:eastAsia="宋体" w:cs="宋体"/>
                <w:color w:val="auto"/>
                <w:kern w:val="2"/>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0"/>
            <w:vAlign w:val="center"/>
          </w:tcPr>
          <w:p>
            <w:pPr>
              <w:pStyle w:val="13"/>
              <w:spacing w:line="360" w:lineRule="auto"/>
              <w:ind w:firstLine="0" w:firstLineChars="0"/>
              <w:contextualSpacing/>
              <w:jc w:val="center"/>
              <w:rPr>
                <w:rFonts w:hint="eastAsia" w:ascii="宋体" w:hAnsi="宋体" w:eastAsia="宋体" w:cs="宋体"/>
                <w:color w:val="auto"/>
                <w:kern w:val="2"/>
                <w:sz w:val="24"/>
                <w:szCs w:val="24"/>
                <w:highlight w:val="none"/>
                <w:lang w:val="en-US" w:eastAsia="zh-CN"/>
              </w:rPr>
            </w:pPr>
            <w:bookmarkStart w:id="190" w:name="_Toc254970595"/>
            <w:bookmarkStart w:id="191" w:name="_Toc383699913"/>
            <w:bookmarkStart w:id="192" w:name="_Toc254970736"/>
            <w:bookmarkStart w:id="193" w:name="_Toc295404988"/>
            <w:bookmarkStart w:id="194" w:name="_Toc301781618"/>
            <w:bookmarkStart w:id="195" w:name="_Toc173066408"/>
            <w:bookmarkStart w:id="196" w:name="_Toc373333696"/>
            <w:bookmarkStart w:id="197" w:name="_Toc297193192"/>
            <w:bookmarkStart w:id="198" w:name="_Toc173211907"/>
            <w:r>
              <w:rPr>
                <w:rFonts w:hint="eastAsia" w:ascii="宋体" w:hAnsi="宋体" w:eastAsia="宋体" w:cs="宋体"/>
                <w:color w:val="auto"/>
                <w:kern w:val="2"/>
                <w:sz w:val="24"/>
                <w:szCs w:val="24"/>
                <w:highlight w:val="none"/>
                <w:lang w:val="en-US" w:eastAsia="zh-CN"/>
              </w:rPr>
              <w:t>3</w:t>
            </w:r>
            <w:bookmarkEnd w:id="190"/>
            <w:bookmarkEnd w:id="191"/>
            <w:bookmarkEnd w:id="192"/>
            <w:bookmarkEnd w:id="193"/>
            <w:bookmarkEnd w:id="194"/>
            <w:bookmarkEnd w:id="195"/>
            <w:bookmarkEnd w:id="196"/>
            <w:bookmarkEnd w:id="197"/>
            <w:bookmarkEnd w:id="198"/>
          </w:p>
        </w:tc>
        <w:tc>
          <w:tcPr>
            <w:tcW w:w="503" w:type="pct"/>
            <w:tcBorders>
              <w:right w:val="single" w:color="auto" w:sz="4" w:space="0"/>
            </w:tcBorders>
            <w:noWrap w:val="0"/>
            <w:vAlign w:val="center"/>
          </w:tcPr>
          <w:p>
            <w:pPr>
              <w:pStyle w:val="13"/>
              <w:spacing w:line="360" w:lineRule="auto"/>
              <w:ind w:firstLine="0" w:firstLineChars="0"/>
              <w:contextualSpacing/>
              <w:jc w:val="center"/>
              <w:rPr>
                <w:rFonts w:hint="eastAsia" w:ascii="宋体" w:hAnsi="宋体" w:eastAsia="宋体" w:cs="宋体"/>
                <w:color w:val="auto"/>
                <w:kern w:val="2"/>
                <w:sz w:val="24"/>
                <w:szCs w:val="24"/>
                <w:highlight w:val="none"/>
                <w:lang w:val="en-US" w:eastAsia="zh-CN"/>
              </w:rPr>
            </w:pPr>
          </w:p>
        </w:tc>
        <w:tc>
          <w:tcPr>
            <w:tcW w:w="1670" w:type="pct"/>
            <w:tcBorders>
              <w:left w:val="single" w:color="auto" w:sz="4" w:space="0"/>
            </w:tcBorders>
            <w:noWrap w:val="0"/>
            <w:vAlign w:val="center"/>
          </w:tcPr>
          <w:p>
            <w:pPr>
              <w:pStyle w:val="13"/>
              <w:spacing w:line="360" w:lineRule="auto"/>
              <w:ind w:firstLine="0" w:firstLineChars="0"/>
              <w:contextualSpacing/>
              <w:jc w:val="center"/>
              <w:rPr>
                <w:rFonts w:hint="eastAsia" w:ascii="宋体" w:hAnsi="宋体" w:eastAsia="宋体" w:cs="宋体"/>
                <w:color w:val="auto"/>
                <w:kern w:val="2"/>
                <w:sz w:val="24"/>
                <w:szCs w:val="24"/>
                <w:highlight w:val="none"/>
                <w:lang w:val="en-US" w:eastAsia="zh-CN"/>
              </w:rPr>
            </w:pPr>
          </w:p>
        </w:tc>
        <w:tc>
          <w:tcPr>
            <w:tcW w:w="1503" w:type="pct"/>
            <w:noWrap w:val="0"/>
            <w:vAlign w:val="center"/>
          </w:tcPr>
          <w:p>
            <w:pPr>
              <w:pStyle w:val="13"/>
              <w:spacing w:line="360" w:lineRule="auto"/>
              <w:ind w:firstLine="0" w:firstLineChars="0"/>
              <w:contextualSpacing/>
              <w:jc w:val="center"/>
              <w:rPr>
                <w:rFonts w:hint="eastAsia" w:ascii="宋体" w:hAnsi="宋体" w:eastAsia="宋体" w:cs="宋体"/>
                <w:color w:val="auto"/>
                <w:kern w:val="2"/>
                <w:sz w:val="24"/>
                <w:szCs w:val="24"/>
                <w:highlight w:val="none"/>
                <w:lang w:val="en-US" w:eastAsia="zh-CN"/>
              </w:rPr>
            </w:pPr>
          </w:p>
        </w:tc>
        <w:tc>
          <w:tcPr>
            <w:tcW w:w="820" w:type="pct"/>
            <w:noWrap w:val="0"/>
            <w:vAlign w:val="center"/>
          </w:tcPr>
          <w:p>
            <w:pPr>
              <w:pStyle w:val="13"/>
              <w:spacing w:line="360" w:lineRule="auto"/>
              <w:ind w:firstLine="0" w:firstLineChars="0"/>
              <w:contextualSpacing/>
              <w:jc w:val="center"/>
              <w:rPr>
                <w:rFonts w:hint="eastAsia" w:ascii="宋体" w:hAnsi="宋体" w:eastAsia="宋体" w:cs="宋体"/>
                <w:color w:val="auto"/>
                <w:kern w:val="2"/>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0"/>
            <w:vAlign w:val="center"/>
          </w:tcPr>
          <w:p>
            <w:pPr>
              <w:pStyle w:val="13"/>
              <w:spacing w:line="360" w:lineRule="auto"/>
              <w:ind w:firstLine="0" w:firstLineChars="0"/>
              <w:contextualSpacing/>
              <w:jc w:val="center"/>
              <w:rPr>
                <w:rFonts w:hint="eastAsia" w:ascii="宋体" w:hAnsi="宋体" w:eastAsia="宋体" w:cs="宋体"/>
                <w:color w:val="auto"/>
                <w:kern w:val="2"/>
                <w:sz w:val="24"/>
                <w:szCs w:val="24"/>
                <w:highlight w:val="none"/>
                <w:lang w:val="en-US" w:eastAsia="zh-CN"/>
              </w:rPr>
            </w:pPr>
            <w:bookmarkStart w:id="199" w:name="_Toc383699914"/>
            <w:bookmarkStart w:id="200" w:name="_Toc297193193"/>
            <w:bookmarkStart w:id="201" w:name="_Toc301781619"/>
            <w:bookmarkStart w:id="202" w:name="_Toc373333697"/>
            <w:bookmarkStart w:id="203" w:name="_Toc173066409"/>
            <w:bookmarkStart w:id="204" w:name="_Toc173211908"/>
            <w:bookmarkStart w:id="205" w:name="_Toc254970737"/>
            <w:bookmarkStart w:id="206" w:name="_Toc295404989"/>
            <w:bookmarkStart w:id="207" w:name="_Toc254970596"/>
            <w:r>
              <w:rPr>
                <w:rFonts w:hint="eastAsia" w:ascii="宋体" w:hAnsi="宋体" w:eastAsia="宋体" w:cs="宋体"/>
                <w:color w:val="auto"/>
                <w:kern w:val="2"/>
                <w:sz w:val="24"/>
                <w:szCs w:val="24"/>
                <w:highlight w:val="none"/>
                <w:lang w:val="en-US" w:eastAsia="zh-CN"/>
              </w:rPr>
              <w:t>4</w:t>
            </w:r>
            <w:bookmarkEnd w:id="199"/>
            <w:bookmarkEnd w:id="200"/>
            <w:bookmarkEnd w:id="201"/>
            <w:bookmarkEnd w:id="202"/>
            <w:bookmarkEnd w:id="203"/>
            <w:bookmarkEnd w:id="204"/>
            <w:bookmarkEnd w:id="205"/>
            <w:bookmarkEnd w:id="206"/>
            <w:bookmarkEnd w:id="207"/>
          </w:p>
        </w:tc>
        <w:tc>
          <w:tcPr>
            <w:tcW w:w="503" w:type="pct"/>
            <w:tcBorders>
              <w:right w:val="single" w:color="auto" w:sz="4" w:space="0"/>
            </w:tcBorders>
            <w:noWrap w:val="0"/>
            <w:vAlign w:val="center"/>
          </w:tcPr>
          <w:p>
            <w:pPr>
              <w:pStyle w:val="13"/>
              <w:spacing w:line="360" w:lineRule="auto"/>
              <w:ind w:firstLine="0" w:firstLineChars="0"/>
              <w:contextualSpacing/>
              <w:jc w:val="center"/>
              <w:rPr>
                <w:rFonts w:hint="eastAsia" w:ascii="宋体" w:hAnsi="宋体" w:eastAsia="宋体" w:cs="宋体"/>
                <w:color w:val="auto"/>
                <w:kern w:val="2"/>
                <w:sz w:val="24"/>
                <w:szCs w:val="24"/>
                <w:highlight w:val="none"/>
                <w:lang w:val="en-US" w:eastAsia="zh-CN"/>
              </w:rPr>
            </w:pPr>
          </w:p>
        </w:tc>
        <w:tc>
          <w:tcPr>
            <w:tcW w:w="1670" w:type="pct"/>
            <w:tcBorders>
              <w:left w:val="single" w:color="auto" w:sz="4" w:space="0"/>
            </w:tcBorders>
            <w:noWrap w:val="0"/>
            <w:vAlign w:val="center"/>
          </w:tcPr>
          <w:p>
            <w:pPr>
              <w:pStyle w:val="13"/>
              <w:spacing w:line="360" w:lineRule="auto"/>
              <w:ind w:firstLine="0" w:firstLineChars="0"/>
              <w:contextualSpacing/>
              <w:jc w:val="center"/>
              <w:rPr>
                <w:rFonts w:hint="eastAsia" w:ascii="宋体" w:hAnsi="宋体" w:eastAsia="宋体" w:cs="宋体"/>
                <w:color w:val="auto"/>
                <w:kern w:val="2"/>
                <w:sz w:val="24"/>
                <w:szCs w:val="24"/>
                <w:highlight w:val="none"/>
                <w:lang w:val="en-US" w:eastAsia="zh-CN"/>
              </w:rPr>
            </w:pPr>
          </w:p>
        </w:tc>
        <w:tc>
          <w:tcPr>
            <w:tcW w:w="1503" w:type="pct"/>
            <w:noWrap w:val="0"/>
            <w:vAlign w:val="center"/>
          </w:tcPr>
          <w:p>
            <w:pPr>
              <w:pStyle w:val="13"/>
              <w:spacing w:line="360" w:lineRule="auto"/>
              <w:ind w:firstLine="0" w:firstLineChars="0"/>
              <w:contextualSpacing/>
              <w:jc w:val="center"/>
              <w:rPr>
                <w:rFonts w:hint="eastAsia" w:ascii="宋体" w:hAnsi="宋体" w:eastAsia="宋体" w:cs="宋体"/>
                <w:color w:val="auto"/>
                <w:kern w:val="2"/>
                <w:sz w:val="24"/>
                <w:szCs w:val="24"/>
                <w:highlight w:val="none"/>
                <w:lang w:val="en-US" w:eastAsia="zh-CN"/>
              </w:rPr>
            </w:pPr>
          </w:p>
        </w:tc>
        <w:tc>
          <w:tcPr>
            <w:tcW w:w="820" w:type="pct"/>
            <w:noWrap w:val="0"/>
            <w:vAlign w:val="center"/>
          </w:tcPr>
          <w:p>
            <w:pPr>
              <w:pStyle w:val="13"/>
              <w:spacing w:line="360" w:lineRule="auto"/>
              <w:ind w:firstLine="0" w:firstLineChars="0"/>
              <w:contextualSpacing/>
              <w:jc w:val="center"/>
              <w:rPr>
                <w:rFonts w:hint="eastAsia" w:ascii="宋体" w:hAnsi="宋体" w:eastAsia="宋体" w:cs="宋体"/>
                <w:color w:val="auto"/>
                <w:kern w:val="2"/>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0"/>
            <w:vAlign w:val="center"/>
          </w:tcPr>
          <w:p>
            <w:pPr>
              <w:pStyle w:val="13"/>
              <w:spacing w:line="360" w:lineRule="auto"/>
              <w:ind w:firstLine="0" w:firstLineChars="0"/>
              <w:contextualSpacing/>
              <w:jc w:val="center"/>
              <w:rPr>
                <w:rFonts w:hint="eastAsia" w:ascii="宋体" w:hAnsi="宋体" w:eastAsia="宋体" w:cs="宋体"/>
                <w:color w:val="auto"/>
                <w:kern w:val="2"/>
                <w:sz w:val="24"/>
                <w:szCs w:val="24"/>
                <w:highlight w:val="none"/>
                <w:lang w:val="en-US" w:eastAsia="zh-CN"/>
              </w:rPr>
            </w:pPr>
            <w:bookmarkStart w:id="208" w:name="_Toc173066410"/>
            <w:bookmarkStart w:id="209" w:name="_Toc173211909"/>
            <w:bookmarkStart w:id="210" w:name="_Toc295404990"/>
            <w:bookmarkStart w:id="211" w:name="_Toc254970597"/>
            <w:bookmarkStart w:id="212" w:name="_Toc383699915"/>
            <w:bookmarkStart w:id="213" w:name="_Toc373333698"/>
            <w:bookmarkStart w:id="214" w:name="_Toc297193194"/>
            <w:bookmarkStart w:id="215" w:name="_Toc254970738"/>
            <w:bookmarkStart w:id="216" w:name="_Toc301781620"/>
            <w:r>
              <w:rPr>
                <w:rFonts w:hint="eastAsia" w:ascii="宋体" w:hAnsi="宋体" w:eastAsia="宋体" w:cs="宋体"/>
                <w:color w:val="auto"/>
                <w:kern w:val="2"/>
                <w:sz w:val="24"/>
                <w:szCs w:val="24"/>
                <w:highlight w:val="none"/>
                <w:lang w:val="en-US" w:eastAsia="zh-CN"/>
              </w:rPr>
              <w:t>5</w:t>
            </w:r>
            <w:bookmarkEnd w:id="208"/>
            <w:bookmarkEnd w:id="209"/>
            <w:bookmarkEnd w:id="210"/>
            <w:bookmarkEnd w:id="211"/>
            <w:bookmarkEnd w:id="212"/>
            <w:bookmarkEnd w:id="213"/>
            <w:bookmarkEnd w:id="214"/>
            <w:bookmarkEnd w:id="215"/>
            <w:bookmarkEnd w:id="216"/>
          </w:p>
        </w:tc>
        <w:tc>
          <w:tcPr>
            <w:tcW w:w="503" w:type="pct"/>
            <w:tcBorders>
              <w:right w:val="single" w:color="auto" w:sz="4" w:space="0"/>
            </w:tcBorders>
            <w:noWrap w:val="0"/>
            <w:vAlign w:val="center"/>
          </w:tcPr>
          <w:p>
            <w:pPr>
              <w:pStyle w:val="13"/>
              <w:spacing w:line="360" w:lineRule="auto"/>
              <w:ind w:firstLine="0" w:firstLineChars="0"/>
              <w:contextualSpacing/>
              <w:jc w:val="center"/>
              <w:rPr>
                <w:rFonts w:hint="eastAsia" w:ascii="宋体" w:hAnsi="宋体" w:eastAsia="宋体" w:cs="宋体"/>
                <w:color w:val="auto"/>
                <w:kern w:val="2"/>
                <w:sz w:val="24"/>
                <w:szCs w:val="24"/>
                <w:highlight w:val="none"/>
                <w:lang w:val="en-US" w:eastAsia="zh-CN"/>
              </w:rPr>
            </w:pPr>
          </w:p>
        </w:tc>
        <w:tc>
          <w:tcPr>
            <w:tcW w:w="1670" w:type="pct"/>
            <w:tcBorders>
              <w:left w:val="single" w:color="auto" w:sz="4" w:space="0"/>
            </w:tcBorders>
            <w:noWrap w:val="0"/>
            <w:vAlign w:val="center"/>
          </w:tcPr>
          <w:p>
            <w:pPr>
              <w:pStyle w:val="13"/>
              <w:spacing w:line="360" w:lineRule="auto"/>
              <w:ind w:firstLine="0" w:firstLineChars="0"/>
              <w:contextualSpacing/>
              <w:jc w:val="center"/>
              <w:rPr>
                <w:rFonts w:hint="eastAsia" w:ascii="宋体" w:hAnsi="宋体" w:eastAsia="宋体" w:cs="宋体"/>
                <w:color w:val="auto"/>
                <w:kern w:val="2"/>
                <w:sz w:val="24"/>
                <w:szCs w:val="24"/>
                <w:highlight w:val="none"/>
                <w:lang w:val="en-US" w:eastAsia="zh-CN"/>
              </w:rPr>
            </w:pPr>
          </w:p>
        </w:tc>
        <w:tc>
          <w:tcPr>
            <w:tcW w:w="1503" w:type="pct"/>
            <w:noWrap w:val="0"/>
            <w:vAlign w:val="center"/>
          </w:tcPr>
          <w:p>
            <w:pPr>
              <w:pStyle w:val="13"/>
              <w:spacing w:line="360" w:lineRule="auto"/>
              <w:ind w:firstLine="0" w:firstLineChars="0"/>
              <w:contextualSpacing/>
              <w:jc w:val="center"/>
              <w:rPr>
                <w:rFonts w:hint="eastAsia" w:ascii="宋体" w:hAnsi="宋体" w:eastAsia="宋体" w:cs="宋体"/>
                <w:color w:val="auto"/>
                <w:kern w:val="2"/>
                <w:sz w:val="24"/>
                <w:szCs w:val="24"/>
                <w:highlight w:val="none"/>
                <w:lang w:val="en-US" w:eastAsia="zh-CN"/>
              </w:rPr>
            </w:pPr>
          </w:p>
        </w:tc>
        <w:tc>
          <w:tcPr>
            <w:tcW w:w="820" w:type="pct"/>
            <w:noWrap w:val="0"/>
            <w:vAlign w:val="center"/>
          </w:tcPr>
          <w:p>
            <w:pPr>
              <w:pStyle w:val="13"/>
              <w:spacing w:line="360" w:lineRule="auto"/>
              <w:ind w:firstLine="0" w:firstLineChars="0"/>
              <w:contextualSpacing/>
              <w:jc w:val="center"/>
              <w:rPr>
                <w:rFonts w:hint="eastAsia" w:ascii="宋体" w:hAnsi="宋体" w:eastAsia="宋体" w:cs="宋体"/>
                <w:color w:val="auto"/>
                <w:kern w:val="2"/>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03" w:type="pct"/>
            <w:noWrap w:val="0"/>
            <w:vAlign w:val="center"/>
          </w:tcPr>
          <w:p>
            <w:pPr>
              <w:pStyle w:val="13"/>
              <w:spacing w:line="360" w:lineRule="auto"/>
              <w:ind w:firstLine="0" w:firstLineChars="0"/>
              <w:contextualSpacing/>
              <w:jc w:val="center"/>
              <w:rPr>
                <w:rFonts w:hint="eastAsia" w:ascii="宋体" w:hAnsi="宋体" w:eastAsia="宋体" w:cs="宋体"/>
                <w:color w:val="auto"/>
                <w:kern w:val="2"/>
                <w:sz w:val="24"/>
                <w:szCs w:val="24"/>
                <w:highlight w:val="none"/>
                <w:lang w:val="en-US" w:eastAsia="zh-CN"/>
              </w:rPr>
            </w:pPr>
            <w:bookmarkStart w:id="217" w:name="_Toc297193195"/>
            <w:bookmarkStart w:id="218" w:name="_Toc301781621"/>
            <w:bookmarkStart w:id="219" w:name="_Toc383699916"/>
            <w:bookmarkStart w:id="220" w:name="_Toc173211914"/>
            <w:bookmarkStart w:id="221" w:name="_Toc254970743"/>
            <w:bookmarkStart w:id="222" w:name="_Toc254970602"/>
            <w:bookmarkStart w:id="223" w:name="_Toc373333699"/>
            <w:bookmarkStart w:id="224" w:name="_Toc295404991"/>
            <w:bookmarkStart w:id="225" w:name="_Toc173066415"/>
            <w:r>
              <w:rPr>
                <w:rFonts w:hint="eastAsia" w:ascii="宋体" w:hAnsi="宋体" w:eastAsia="宋体" w:cs="宋体"/>
                <w:color w:val="auto"/>
                <w:kern w:val="2"/>
                <w:sz w:val="24"/>
                <w:szCs w:val="24"/>
                <w:highlight w:val="none"/>
                <w:lang w:val="en-US" w:eastAsia="zh-CN"/>
              </w:rPr>
              <w:t>…</w:t>
            </w:r>
            <w:bookmarkEnd w:id="217"/>
            <w:bookmarkEnd w:id="218"/>
            <w:bookmarkEnd w:id="219"/>
            <w:bookmarkEnd w:id="220"/>
            <w:bookmarkEnd w:id="221"/>
            <w:bookmarkEnd w:id="222"/>
            <w:bookmarkEnd w:id="223"/>
            <w:bookmarkEnd w:id="224"/>
            <w:bookmarkEnd w:id="225"/>
          </w:p>
        </w:tc>
        <w:tc>
          <w:tcPr>
            <w:tcW w:w="503" w:type="pct"/>
            <w:tcBorders>
              <w:right w:val="single" w:color="auto" w:sz="4" w:space="0"/>
            </w:tcBorders>
            <w:noWrap w:val="0"/>
            <w:vAlign w:val="center"/>
          </w:tcPr>
          <w:p>
            <w:pPr>
              <w:pStyle w:val="13"/>
              <w:spacing w:line="360" w:lineRule="auto"/>
              <w:ind w:firstLine="0" w:firstLineChars="0"/>
              <w:contextualSpacing/>
              <w:jc w:val="center"/>
              <w:rPr>
                <w:rFonts w:hint="eastAsia" w:ascii="宋体" w:hAnsi="宋体" w:eastAsia="宋体" w:cs="宋体"/>
                <w:color w:val="auto"/>
                <w:kern w:val="2"/>
                <w:sz w:val="24"/>
                <w:szCs w:val="24"/>
                <w:highlight w:val="none"/>
                <w:lang w:val="en-US" w:eastAsia="zh-CN"/>
              </w:rPr>
            </w:pPr>
          </w:p>
        </w:tc>
        <w:tc>
          <w:tcPr>
            <w:tcW w:w="1670" w:type="pct"/>
            <w:tcBorders>
              <w:left w:val="single" w:color="auto" w:sz="4" w:space="0"/>
            </w:tcBorders>
            <w:noWrap w:val="0"/>
            <w:vAlign w:val="center"/>
          </w:tcPr>
          <w:p>
            <w:pPr>
              <w:pStyle w:val="13"/>
              <w:spacing w:line="360" w:lineRule="auto"/>
              <w:ind w:firstLine="0" w:firstLineChars="0"/>
              <w:contextualSpacing/>
              <w:jc w:val="center"/>
              <w:rPr>
                <w:rFonts w:hint="eastAsia" w:ascii="宋体" w:hAnsi="宋体" w:eastAsia="宋体" w:cs="宋体"/>
                <w:color w:val="auto"/>
                <w:kern w:val="2"/>
                <w:sz w:val="24"/>
                <w:szCs w:val="24"/>
                <w:highlight w:val="none"/>
                <w:lang w:val="en-US" w:eastAsia="zh-CN"/>
              </w:rPr>
            </w:pPr>
          </w:p>
        </w:tc>
        <w:tc>
          <w:tcPr>
            <w:tcW w:w="1503" w:type="pct"/>
            <w:noWrap w:val="0"/>
            <w:vAlign w:val="center"/>
          </w:tcPr>
          <w:p>
            <w:pPr>
              <w:pStyle w:val="13"/>
              <w:spacing w:line="360" w:lineRule="auto"/>
              <w:ind w:firstLine="0" w:firstLineChars="0"/>
              <w:contextualSpacing/>
              <w:jc w:val="center"/>
              <w:rPr>
                <w:rFonts w:hint="eastAsia" w:ascii="宋体" w:hAnsi="宋体" w:eastAsia="宋体" w:cs="宋体"/>
                <w:color w:val="auto"/>
                <w:kern w:val="2"/>
                <w:sz w:val="24"/>
                <w:szCs w:val="24"/>
                <w:highlight w:val="none"/>
                <w:lang w:val="en-US" w:eastAsia="zh-CN"/>
              </w:rPr>
            </w:pPr>
          </w:p>
        </w:tc>
        <w:tc>
          <w:tcPr>
            <w:tcW w:w="820" w:type="pct"/>
            <w:tcBorders>
              <w:right w:val="single" w:color="auto" w:sz="4" w:space="0"/>
            </w:tcBorders>
            <w:noWrap w:val="0"/>
            <w:vAlign w:val="center"/>
          </w:tcPr>
          <w:p>
            <w:pPr>
              <w:pStyle w:val="13"/>
              <w:spacing w:line="360" w:lineRule="auto"/>
              <w:ind w:firstLine="0" w:firstLineChars="0"/>
              <w:contextualSpacing/>
              <w:jc w:val="center"/>
              <w:rPr>
                <w:rFonts w:hint="eastAsia" w:ascii="宋体" w:hAnsi="宋体" w:eastAsia="宋体" w:cs="宋体"/>
                <w:color w:val="auto"/>
                <w:kern w:val="2"/>
                <w:sz w:val="24"/>
                <w:szCs w:val="24"/>
                <w:highlight w:val="none"/>
                <w:lang w:val="en-US" w:eastAsia="zh-CN"/>
              </w:rPr>
            </w:pPr>
          </w:p>
        </w:tc>
      </w:tr>
    </w:tbl>
    <w:p>
      <w:pPr>
        <w:adjustRightInd w:val="0"/>
        <w:spacing w:line="360" w:lineRule="auto"/>
        <w:contextualSpacing/>
        <w:rPr>
          <w:rFonts w:hint="eastAsia" w:ascii="宋体" w:hAnsi="宋体" w:eastAsia="宋体" w:cs="宋体"/>
          <w:color w:val="auto"/>
          <w:sz w:val="24"/>
          <w:highlight w:val="none"/>
        </w:rPr>
      </w:pPr>
    </w:p>
    <w:p>
      <w:pPr>
        <w:pStyle w:val="13"/>
        <w:spacing w:line="360"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pPr>
        <w:pStyle w:val="13"/>
        <w:spacing w:line="360"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说明：应对照磋商文件“第三章 采购需求”中的技术要求逐条作出明确响应，并作出偏离说明。</w:t>
      </w:r>
    </w:p>
    <w:p>
      <w:pPr>
        <w:pStyle w:val="13"/>
        <w:spacing w:line="360"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2.供应商应根据自身的承诺，对照磋商文件要求，在“偏离说明”中注明“正偏离”、“负偏离”或者“无偏离”。既不属于“正偏离”也不属于“负偏离”即为“无偏离”。</w:t>
      </w:r>
    </w:p>
    <w:p>
      <w:pPr>
        <w:spacing w:line="360" w:lineRule="auto"/>
        <w:ind w:right="-817" w:rightChars="-389"/>
        <w:contextualSpacing/>
        <w:rPr>
          <w:rFonts w:hint="eastAsia" w:ascii="宋体" w:hAnsi="宋体" w:eastAsia="宋体" w:cs="宋体"/>
          <w:color w:val="auto"/>
          <w:sz w:val="24"/>
          <w:highlight w:val="none"/>
        </w:rPr>
      </w:pPr>
    </w:p>
    <w:p>
      <w:pPr>
        <w:spacing w:line="360" w:lineRule="auto"/>
        <w:ind w:right="-817" w:rightChars="-389"/>
        <w:contextualSpacing/>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法定代表人或者委托代理人（签字</w:t>
      </w:r>
      <w:r>
        <w:rPr>
          <w:rFonts w:hint="eastAsia" w:ascii="宋体" w:hAnsi="宋体" w:cs="宋体"/>
          <w:color w:val="auto"/>
          <w:sz w:val="24"/>
          <w:highlight w:val="none"/>
          <w:lang w:val="en-US" w:eastAsia="zh-CN"/>
        </w:rPr>
        <w:t>或者盖章</w:t>
      </w:r>
      <w:r>
        <w:rPr>
          <w:rFonts w:hint="eastAsia" w:ascii="宋体" w:hAnsi="宋体" w:eastAsia="宋体" w:cs="宋体"/>
          <w:color w:val="auto"/>
          <w:sz w:val="24"/>
          <w:highlight w:val="none"/>
        </w:rPr>
        <w:t>或者电子签名）：</w:t>
      </w:r>
    </w:p>
    <w:p>
      <w:pPr>
        <w:spacing w:line="360" w:lineRule="auto"/>
        <w:ind w:right="-817" w:rightChars="-389" w:firstLine="2640" w:firstLineChars="11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供应商（电子签章）：      </w:t>
      </w:r>
    </w:p>
    <w:p>
      <w:pPr>
        <w:spacing w:line="360" w:lineRule="auto"/>
        <w:ind w:right="-817" w:rightChars="-389" w:firstLine="4080" w:firstLineChars="17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pPr>
        <w:snapToGrid w:val="0"/>
        <w:spacing w:before="156" w:beforeLines="50" w:after="50"/>
        <w:ind w:left="142"/>
        <w:jc w:val="left"/>
        <w:rPr>
          <w:rFonts w:hint="eastAsia" w:ascii="宋体" w:hAnsi="宋体" w:eastAsia="宋体" w:cs="宋体"/>
          <w:b/>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sz w:val="24"/>
          <w:highlight w:val="none"/>
        </w:rPr>
        <w:t>项目实施人员一览表格式</w:t>
      </w:r>
    </w:p>
    <w:p>
      <w:pPr>
        <w:snapToGrid w:val="0"/>
        <w:spacing w:before="156" w:beforeLines="50" w:after="50"/>
        <w:ind w:left="142"/>
        <w:jc w:val="left"/>
        <w:rPr>
          <w:rFonts w:hint="eastAsia" w:ascii="宋体" w:hAnsi="宋体" w:eastAsia="宋体" w:cs="宋体"/>
          <w:b/>
          <w:color w:val="auto"/>
          <w:sz w:val="24"/>
          <w:highlight w:val="none"/>
        </w:rPr>
      </w:pPr>
    </w:p>
    <w:p>
      <w:pPr>
        <w:spacing w:line="360" w:lineRule="auto"/>
        <w:ind w:left="142"/>
        <w:contextualSpacing/>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项目实施人员一览表</w:t>
      </w:r>
    </w:p>
    <w:p>
      <w:pPr>
        <w:widowControl w:val="0"/>
        <w:spacing w:line="360" w:lineRule="auto"/>
        <w:contextualSpacing/>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所竞分标：</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分标</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789"/>
        <w:gridCol w:w="1371"/>
        <w:gridCol w:w="1479"/>
        <w:gridCol w:w="1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spacing w:line="360" w:lineRule="auto"/>
              <w:contextualSpacing/>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姓名</w:t>
            </w:r>
          </w:p>
        </w:tc>
        <w:tc>
          <w:tcPr>
            <w:tcW w:w="709" w:type="dxa"/>
            <w:noWrap w:val="0"/>
            <w:vAlign w:val="center"/>
          </w:tcPr>
          <w:p>
            <w:pPr>
              <w:spacing w:line="360" w:lineRule="auto"/>
              <w:contextualSpacing/>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职务</w:t>
            </w:r>
          </w:p>
        </w:tc>
        <w:tc>
          <w:tcPr>
            <w:tcW w:w="2789" w:type="dxa"/>
            <w:noWrap w:val="0"/>
            <w:vAlign w:val="center"/>
          </w:tcPr>
          <w:p>
            <w:pPr>
              <w:spacing w:line="360" w:lineRule="auto"/>
              <w:contextualSpacing/>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专业技术资格（职称）或者职业资格或者执业资格证或者其他证书</w:t>
            </w:r>
          </w:p>
        </w:tc>
        <w:tc>
          <w:tcPr>
            <w:tcW w:w="1371" w:type="dxa"/>
            <w:noWrap w:val="0"/>
            <w:vAlign w:val="center"/>
          </w:tcPr>
          <w:p>
            <w:pPr>
              <w:spacing w:line="360" w:lineRule="auto"/>
              <w:contextualSpacing/>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证书编号</w:t>
            </w:r>
          </w:p>
        </w:tc>
        <w:tc>
          <w:tcPr>
            <w:tcW w:w="1479" w:type="dxa"/>
            <w:noWrap w:val="0"/>
            <w:vAlign w:val="center"/>
          </w:tcPr>
          <w:p>
            <w:pPr>
              <w:spacing w:line="360" w:lineRule="auto"/>
              <w:contextualSpacing/>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参加本单位</w:t>
            </w:r>
          </w:p>
          <w:p>
            <w:pPr>
              <w:spacing w:line="360" w:lineRule="auto"/>
              <w:contextualSpacing/>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工作时间</w:t>
            </w:r>
          </w:p>
        </w:tc>
        <w:tc>
          <w:tcPr>
            <w:tcW w:w="1775" w:type="dxa"/>
            <w:noWrap w:val="0"/>
            <w:vAlign w:val="center"/>
          </w:tcPr>
          <w:p>
            <w:pPr>
              <w:spacing w:line="360" w:lineRule="auto"/>
              <w:contextualSpacing/>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劳动合同编号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spacing w:line="360" w:lineRule="auto"/>
              <w:contextualSpacing/>
              <w:jc w:val="center"/>
              <w:rPr>
                <w:rFonts w:hint="eastAsia" w:ascii="宋体" w:hAnsi="宋体" w:eastAsia="宋体" w:cs="宋体"/>
                <w:color w:val="auto"/>
                <w:sz w:val="24"/>
                <w:szCs w:val="20"/>
                <w:highlight w:val="none"/>
              </w:rPr>
            </w:pPr>
          </w:p>
        </w:tc>
        <w:tc>
          <w:tcPr>
            <w:tcW w:w="709" w:type="dxa"/>
            <w:noWrap w:val="0"/>
            <w:vAlign w:val="center"/>
          </w:tcPr>
          <w:p>
            <w:pPr>
              <w:spacing w:line="360" w:lineRule="auto"/>
              <w:contextualSpacing/>
              <w:jc w:val="center"/>
              <w:rPr>
                <w:rFonts w:hint="eastAsia" w:ascii="宋体" w:hAnsi="宋体" w:eastAsia="宋体" w:cs="宋体"/>
                <w:color w:val="auto"/>
                <w:sz w:val="24"/>
                <w:szCs w:val="20"/>
                <w:highlight w:val="none"/>
              </w:rPr>
            </w:pPr>
          </w:p>
        </w:tc>
        <w:tc>
          <w:tcPr>
            <w:tcW w:w="2789" w:type="dxa"/>
            <w:noWrap w:val="0"/>
            <w:vAlign w:val="center"/>
          </w:tcPr>
          <w:p>
            <w:pPr>
              <w:spacing w:line="360" w:lineRule="auto"/>
              <w:contextualSpacing/>
              <w:jc w:val="center"/>
              <w:rPr>
                <w:rFonts w:hint="eastAsia" w:ascii="宋体" w:hAnsi="宋体" w:eastAsia="宋体" w:cs="宋体"/>
                <w:color w:val="auto"/>
                <w:sz w:val="24"/>
                <w:szCs w:val="20"/>
                <w:highlight w:val="none"/>
              </w:rPr>
            </w:pPr>
          </w:p>
        </w:tc>
        <w:tc>
          <w:tcPr>
            <w:tcW w:w="1371" w:type="dxa"/>
            <w:noWrap w:val="0"/>
            <w:vAlign w:val="center"/>
          </w:tcPr>
          <w:p>
            <w:pPr>
              <w:spacing w:line="360" w:lineRule="auto"/>
              <w:contextualSpacing/>
              <w:jc w:val="center"/>
              <w:rPr>
                <w:rFonts w:hint="eastAsia" w:ascii="宋体" w:hAnsi="宋体" w:eastAsia="宋体" w:cs="宋体"/>
                <w:color w:val="auto"/>
                <w:sz w:val="24"/>
                <w:szCs w:val="20"/>
                <w:highlight w:val="none"/>
              </w:rPr>
            </w:pPr>
          </w:p>
        </w:tc>
        <w:tc>
          <w:tcPr>
            <w:tcW w:w="1479" w:type="dxa"/>
            <w:noWrap w:val="0"/>
            <w:vAlign w:val="center"/>
          </w:tcPr>
          <w:p>
            <w:pPr>
              <w:spacing w:line="360" w:lineRule="auto"/>
              <w:contextualSpacing/>
              <w:jc w:val="center"/>
              <w:rPr>
                <w:rFonts w:hint="eastAsia" w:ascii="宋体" w:hAnsi="宋体" w:eastAsia="宋体" w:cs="宋体"/>
                <w:color w:val="auto"/>
                <w:sz w:val="24"/>
                <w:szCs w:val="20"/>
                <w:highlight w:val="none"/>
              </w:rPr>
            </w:pPr>
          </w:p>
        </w:tc>
        <w:tc>
          <w:tcPr>
            <w:tcW w:w="1775" w:type="dxa"/>
            <w:noWrap w:val="0"/>
            <w:vAlign w:val="center"/>
          </w:tcPr>
          <w:p>
            <w:pPr>
              <w:spacing w:line="360" w:lineRule="auto"/>
              <w:contextualSpacing/>
              <w:jc w:val="center"/>
              <w:rPr>
                <w:rFonts w:hint="eastAsia" w:ascii="宋体" w:hAnsi="宋体" w:eastAsia="宋体" w:cs="宋体"/>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spacing w:line="360" w:lineRule="auto"/>
              <w:contextualSpacing/>
              <w:jc w:val="center"/>
              <w:rPr>
                <w:rFonts w:hint="eastAsia" w:ascii="宋体" w:hAnsi="宋体" w:eastAsia="宋体" w:cs="宋体"/>
                <w:color w:val="auto"/>
                <w:sz w:val="24"/>
                <w:szCs w:val="20"/>
                <w:highlight w:val="none"/>
              </w:rPr>
            </w:pPr>
          </w:p>
        </w:tc>
        <w:tc>
          <w:tcPr>
            <w:tcW w:w="709" w:type="dxa"/>
            <w:noWrap w:val="0"/>
            <w:vAlign w:val="center"/>
          </w:tcPr>
          <w:p>
            <w:pPr>
              <w:spacing w:line="360" w:lineRule="auto"/>
              <w:contextualSpacing/>
              <w:jc w:val="center"/>
              <w:rPr>
                <w:rFonts w:hint="eastAsia" w:ascii="宋体" w:hAnsi="宋体" w:eastAsia="宋体" w:cs="宋体"/>
                <w:color w:val="auto"/>
                <w:sz w:val="24"/>
                <w:szCs w:val="20"/>
                <w:highlight w:val="none"/>
              </w:rPr>
            </w:pPr>
          </w:p>
        </w:tc>
        <w:tc>
          <w:tcPr>
            <w:tcW w:w="2789" w:type="dxa"/>
            <w:noWrap w:val="0"/>
            <w:vAlign w:val="center"/>
          </w:tcPr>
          <w:p>
            <w:pPr>
              <w:spacing w:line="360" w:lineRule="auto"/>
              <w:contextualSpacing/>
              <w:jc w:val="center"/>
              <w:rPr>
                <w:rFonts w:hint="eastAsia" w:ascii="宋体" w:hAnsi="宋体" w:eastAsia="宋体" w:cs="宋体"/>
                <w:color w:val="auto"/>
                <w:sz w:val="24"/>
                <w:szCs w:val="20"/>
                <w:highlight w:val="none"/>
              </w:rPr>
            </w:pPr>
          </w:p>
        </w:tc>
        <w:tc>
          <w:tcPr>
            <w:tcW w:w="1371" w:type="dxa"/>
            <w:noWrap w:val="0"/>
            <w:vAlign w:val="center"/>
          </w:tcPr>
          <w:p>
            <w:pPr>
              <w:spacing w:line="360" w:lineRule="auto"/>
              <w:contextualSpacing/>
              <w:jc w:val="center"/>
              <w:rPr>
                <w:rFonts w:hint="eastAsia" w:ascii="宋体" w:hAnsi="宋体" w:eastAsia="宋体" w:cs="宋体"/>
                <w:color w:val="auto"/>
                <w:sz w:val="24"/>
                <w:szCs w:val="20"/>
                <w:highlight w:val="none"/>
              </w:rPr>
            </w:pPr>
          </w:p>
        </w:tc>
        <w:tc>
          <w:tcPr>
            <w:tcW w:w="1479" w:type="dxa"/>
            <w:noWrap w:val="0"/>
            <w:vAlign w:val="center"/>
          </w:tcPr>
          <w:p>
            <w:pPr>
              <w:spacing w:line="360" w:lineRule="auto"/>
              <w:contextualSpacing/>
              <w:jc w:val="center"/>
              <w:rPr>
                <w:rFonts w:hint="eastAsia" w:ascii="宋体" w:hAnsi="宋体" w:eastAsia="宋体" w:cs="宋体"/>
                <w:color w:val="auto"/>
                <w:sz w:val="24"/>
                <w:szCs w:val="20"/>
                <w:highlight w:val="none"/>
              </w:rPr>
            </w:pPr>
          </w:p>
        </w:tc>
        <w:tc>
          <w:tcPr>
            <w:tcW w:w="1775" w:type="dxa"/>
            <w:noWrap w:val="0"/>
            <w:vAlign w:val="center"/>
          </w:tcPr>
          <w:p>
            <w:pPr>
              <w:spacing w:line="360" w:lineRule="auto"/>
              <w:contextualSpacing/>
              <w:jc w:val="center"/>
              <w:rPr>
                <w:rFonts w:hint="eastAsia" w:ascii="宋体" w:hAnsi="宋体" w:eastAsia="宋体" w:cs="宋体"/>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spacing w:line="360" w:lineRule="auto"/>
              <w:contextualSpacing/>
              <w:jc w:val="center"/>
              <w:rPr>
                <w:rFonts w:hint="eastAsia" w:ascii="宋体" w:hAnsi="宋体" w:eastAsia="宋体" w:cs="宋体"/>
                <w:color w:val="auto"/>
                <w:sz w:val="24"/>
                <w:szCs w:val="20"/>
                <w:highlight w:val="none"/>
              </w:rPr>
            </w:pPr>
          </w:p>
        </w:tc>
        <w:tc>
          <w:tcPr>
            <w:tcW w:w="709" w:type="dxa"/>
            <w:noWrap w:val="0"/>
            <w:vAlign w:val="center"/>
          </w:tcPr>
          <w:p>
            <w:pPr>
              <w:spacing w:line="360" w:lineRule="auto"/>
              <w:contextualSpacing/>
              <w:jc w:val="center"/>
              <w:rPr>
                <w:rFonts w:hint="eastAsia" w:ascii="宋体" w:hAnsi="宋体" w:eastAsia="宋体" w:cs="宋体"/>
                <w:color w:val="auto"/>
                <w:sz w:val="24"/>
                <w:szCs w:val="20"/>
                <w:highlight w:val="none"/>
              </w:rPr>
            </w:pPr>
          </w:p>
        </w:tc>
        <w:tc>
          <w:tcPr>
            <w:tcW w:w="2789" w:type="dxa"/>
            <w:noWrap w:val="0"/>
            <w:vAlign w:val="center"/>
          </w:tcPr>
          <w:p>
            <w:pPr>
              <w:spacing w:line="360" w:lineRule="auto"/>
              <w:contextualSpacing/>
              <w:jc w:val="center"/>
              <w:rPr>
                <w:rFonts w:hint="eastAsia" w:ascii="宋体" w:hAnsi="宋体" w:eastAsia="宋体" w:cs="宋体"/>
                <w:color w:val="auto"/>
                <w:sz w:val="24"/>
                <w:szCs w:val="20"/>
                <w:highlight w:val="none"/>
              </w:rPr>
            </w:pPr>
          </w:p>
        </w:tc>
        <w:tc>
          <w:tcPr>
            <w:tcW w:w="1371" w:type="dxa"/>
            <w:noWrap w:val="0"/>
            <w:vAlign w:val="center"/>
          </w:tcPr>
          <w:p>
            <w:pPr>
              <w:spacing w:line="360" w:lineRule="auto"/>
              <w:contextualSpacing/>
              <w:jc w:val="center"/>
              <w:rPr>
                <w:rFonts w:hint="eastAsia" w:ascii="宋体" w:hAnsi="宋体" w:eastAsia="宋体" w:cs="宋体"/>
                <w:color w:val="auto"/>
                <w:sz w:val="24"/>
                <w:szCs w:val="20"/>
                <w:highlight w:val="none"/>
              </w:rPr>
            </w:pPr>
          </w:p>
        </w:tc>
        <w:tc>
          <w:tcPr>
            <w:tcW w:w="1479" w:type="dxa"/>
            <w:noWrap w:val="0"/>
            <w:vAlign w:val="center"/>
          </w:tcPr>
          <w:p>
            <w:pPr>
              <w:spacing w:line="360" w:lineRule="auto"/>
              <w:contextualSpacing/>
              <w:jc w:val="center"/>
              <w:rPr>
                <w:rFonts w:hint="eastAsia" w:ascii="宋体" w:hAnsi="宋体" w:eastAsia="宋体" w:cs="宋体"/>
                <w:color w:val="auto"/>
                <w:sz w:val="24"/>
                <w:szCs w:val="20"/>
                <w:highlight w:val="none"/>
              </w:rPr>
            </w:pPr>
          </w:p>
        </w:tc>
        <w:tc>
          <w:tcPr>
            <w:tcW w:w="1775" w:type="dxa"/>
            <w:noWrap w:val="0"/>
            <w:vAlign w:val="center"/>
          </w:tcPr>
          <w:p>
            <w:pPr>
              <w:spacing w:line="360" w:lineRule="auto"/>
              <w:contextualSpacing/>
              <w:jc w:val="center"/>
              <w:rPr>
                <w:rFonts w:hint="eastAsia" w:ascii="宋体" w:hAnsi="宋体" w:eastAsia="宋体" w:cs="宋体"/>
                <w:color w:val="auto"/>
                <w:sz w:val="24"/>
                <w:szCs w:val="20"/>
                <w:highlight w:val="none"/>
              </w:rPr>
            </w:pPr>
          </w:p>
        </w:tc>
      </w:tr>
    </w:tbl>
    <w:p>
      <w:pPr>
        <w:spacing w:line="360" w:lineRule="auto"/>
        <w:contextualSpacing/>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注：</w:t>
      </w:r>
    </w:p>
    <w:p>
      <w:pPr>
        <w:spacing w:line="360" w:lineRule="auto"/>
        <w:contextualSpacing/>
        <w:jc w:val="left"/>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rPr>
        <w:t>1.在填写时，如本表格不适合供应商的实际情况，可根据本表格式自行制表填写。</w:t>
      </w:r>
      <w:r>
        <w:rPr>
          <w:rFonts w:hint="eastAsia" w:ascii="宋体" w:hAnsi="宋体" w:eastAsia="宋体" w:cs="宋体"/>
          <w:color w:val="auto"/>
          <w:sz w:val="24"/>
          <w:szCs w:val="20"/>
          <w:highlight w:val="none"/>
          <w:lang w:val="en-US" w:eastAsia="zh-CN"/>
        </w:rPr>
        <w:t>具体要求详见第四章评审程序、评审方法和评审标准。</w:t>
      </w:r>
    </w:p>
    <w:p>
      <w:pPr>
        <w:spacing w:line="360" w:lineRule="auto"/>
        <w:contextualSpacing/>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2.供应商应当附本表所列证书的复印件并加盖供应商电子签章。</w:t>
      </w:r>
    </w:p>
    <w:p>
      <w:pPr>
        <w:spacing w:line="360" w:lineRule="auto"/>
        <w:contextualSpacing/>
        <w:rPr>
          <w:rFonts w:hint="eastAsia" w:ascii="宋体" w:hAnsi="宋体" w:eastAsia="宋体" w:cs="宋体"/>
          <w:color w:val="auto"/>
          <w:spacing w:val="20"/>
          <w:sz w:val="24"/>
          <w:szCs w:val="20"/>
          <w:highlight w:val="none"/>
          <w:u w:val="single"/>
        </w:rPr>
      </w:pPr>
      <w:r>
        <w:rPr>
          <w:rFonts w:hint="eastAsia" w:ascii="宋体" w:hAnsi="宋体" w:eastAsia="宋体" w:cs="宋体"/>
          <w:color w:val="auto"/>
          <w:sz w:val="24"/>
          <w:highlight w:val="none"/>
        </w:rPr>
        <w:t>法定代表人或者委托代理人</w:t>
      </w:r>
      <w:r>
        <w:rPr>
          <w:rFonts w:hint="eastAsia" w:ascii="宋体" w:hAnsi="宋体" w:eastAsia="宋体" w:cs="宋体"/>
          <w:color w:val="auto"/>
          <w:spacing w:val="20"/>
          <w:sz w:val="24"/>
          <w:highlight w:val="none"/>
        </w:rPr>
        <w:t>签字</w:t>
      </w:r>
      <w:r>
        <w:rPr>
          <w:rFonts w:hint="eastAsia" w:ascii="宋体" w:hAnsi="宋体" w:cs="宋体"/>
          <w:color w:val="auto"/>
          <w:spacing w:val="20"/>
          <w:sz w:val="24"/>
          <w:highlight w:val="none"/>
          <w:lang w:val="en-US" w:eastAsia="zh-CN"/>
        </w:rPr>
        <w:t>或者盖章</w:t>
      </w:r>
      <w:r>
        <w:rPr>
          <w:rFonts w:hint="eastAsia" w:ascii="宋体" w:hAnsi="宋体" w:eastAsia="宋体" w:cs="宋体"/>
          <w:color w:val="auto"/>
          <w:spacing w:val="20"/>
          <w:sz w:val="24"/>
          <w:highlight w:val="none"/>
        </w:rPr>
        <w:t>或者电子签名：</w:t>
      </w:r>
      <w:r>
        <w:rPr>
          <w:rFonts w:hint="eastAsia" w:ascii="宋体" w:hAnsi="宋体" w:eastAsia="宋体" w:cs="宋体"/>
          <w:color w:val="auto"/>
          <w:spacing w:val="20"/>
          <w:sz w:val="24"/>
          <w:highlight w:val="none"/>
          <w:u w:val="single"/>
        </w:rPr>
        <w:t xml:space="preserve">        </w:t>
      </w:r>
    </w:p>
    <w:p>
      <w:pPr>
        <w:spacing w:line="360" w:lineRule="auto"/>
        <w:contextualSpacing/>
        <w:jc w:val="left"/>
        <w:rPr>
          <w:rFonts w:hint="eastAsia" w:ascii="宋体" w:hAnsi="宋体" w:eastAsia="宋体" w:cs="宋体"/>
          <w:color w:val="auto"/>
          <w:spacing w:val="20"/>
          <w:sz w:val="24"/>
          <w:highlight w:val="none"/>
        </w:rPr>
      </w:pPr>
      <w:r>
        <w:rPr>
          <w:rFonts w:hint="eastAsia" w:ascii="宋体" w:hAnsi="宋体" w:eastAsia="宋体" w:cs="宋体"/>
          <w:color w:val="auto"/>
          <w:spacing w:val="20"/>
          <w:sz w:val="24"/>
          <w:highlight w:val="none"/>
        </w:rPr>
        <w:t>供应商（电子签章）：</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rPr>
        <w:t xml:space="preserve">              </w:t>
      </w:r>
    </w:p>
    <w:p>
      <w:pPr>
        <w:spacing w:line="360" w:lineRule="auto"/>
        <w:contextualSpacing/>
        <w:jc w:val="left"/>
        <w:rPr>
          <w:rFonts w:hint="eastAsia" w:ascii="宋体" w:hAnsi="宋体" w:eastAsia="宋体" w:cs="宋体"/>
          <w:color w:val="auto"/>
          <w:sz w:val="24"/>
          <w:szCs w:val="20"/>
          <w:highlight w:val="none"/>
        </w:rPr>
      </w:pPr>
      <w:r>
        <w:rPr>
          <w:rFonts w:hint="eastAsia" w:ascii="宋体" w:hAnsi="宋体" w:eastAsia="宋体" w:cs="宋体"/>
          <w:color w:val="auto"/>
          <w:spacing w:val="20"/>
          <w:sz w:val="24"/>
          <w:highlight w:val="none"/>
        </w:rPr>
        <w:t>日 期：</w:t>
      </w:r>
      <w:r>
        <w:rPr>
          <w:rFonts w:hint="eastAsia" w:ascii="宋体" w:hAnsi="宋体" w:eastAsia="宋体" w:cs="宋体"/>
          <w:color w:val="auto"/>
          <w:spacing w:val="20"/>
          <w:sz w:val="24"/>
          <w:highlight w:val="none"/>
          <w:u w:val="single"/>
        </w:rPr>
        <w:t xml:space="preserve">         </w:t>
      </w:r>
    </w:p>
    <w:p>
      <w:pPr>
        <w:snapToGrid w:val="0"/>
        <w:spacing w:before="50" w:after="156" w:afterLines="50"/>
        <w:jc w:val="left"/>
        <w:rPr>
          <w:rFonts w:hint="eastAsia" w:ascii="宋体" w:hAnsi="宋体" w:eastAsia="宋体" w:cs="宋体"/>
          <w:color w:val="auto"/>
          <w:sz w:val="24"/>
          <w:szCs w:val="20"/>
          <w:highlight w:val="none"/>
        </w:rPr>
      </w:pPr>
    </w:p>
    <w:p>
      <w:pPr>
        <w:snapToGrid w:val="0"/>
        <w:spacing w:before="50" w:after="50" w:line="360" w:lineRule="auto"/>
        <w:ind w:right="-817" w:rightChars="-389" w:firstLine="5461" w:firstLineChars="1700"/>
        <w:rPr>
          <w:rFonts w:hint="eastAsia" w:ascii="宋体" w:hAnsi="宋体" w:eastAsia="宋体" w:cs="宋体"/>
          <w:b/>
          <w:color w:val="auto"/>
          <w:sz w:val="32"/>
          <w:szCs w:val="32"/>
          <w:highlight w:val="none"/>
        </w:rPr>
      </w:pPr>
    </w:p>
    <w:p>
      <w:pPr>
        <w:adjustRightInd w:val="0"/>
        <w:snapToGrid w:val="0"/>
        <w:spacing w:line="300" w:lineRule="auto"/>
        <w:jc w:val="center"/>
        <w:rPr>
          <w:rFonts w:hint="eastAsia" w:ascii="宋体" w:hAnsi="宋体" w:eastAsia="宋体" w:cs="宋体"/>
          <w:bCs/>
          <w:color w:val="auto"/>
          <w:sz w:val="44"/>
          <w:szCs w:val="44"/>
          <w:highlight w:val="none"/>
        </w:rPr>
      </w:pPr>
      <w:r>
        <w:rPr>
          <w:rFonts w:hint="eastAsia" w:ascii="宋体" w:hAnsi="宋体" w:eastAsia="宋体" w:cs="宋体"/>
          <w:b/>
          <w:bCs/>
          <w:color w:val="auto"/>
          <w:sz w:val="24"/>
          <w:highlight w:val="none"/>
        </w:rPr>
        <w:br w:type="page"/>
      </w:r>
      <w:r>
        <w:rPr>
          <w:rFonts w:hint="eastAsia" w:ascii="宋体" w:hAnsi="宋体" w:eastAsia="宋体" w:cs="宋体"/>
          <w:bCs/>
          <w:color w:val="auto"/>
          <w:sz w:val="44"/>
          <w:szCs w:val="44"/>
          <w:highlight w:val="none"/>
        </w:rPr>
        <w:t>类 似 业 绩（参考）</w:t>
      </w:r>
    </w:p>
    <w:p>
      <w:pPr>
        <w:snapToGrid w:val="0"/>
        <w:spacing w:before="156" w:beforeLines="50" w:after="50"/>
        <w:jc w:val="center"/>
        <w:rPr>
          <w:rFonts w:hint="eastAsia" w:ascii="宋体" w:hAnsi="宋体" w:eastAsia="宋体" w:cs="宋体"/>
          <w:b/>
          <w:color w:val="auto"/>
          <w:sz w:val="24"/>
          <w:szCs w:val="24"/>
          <w:highlight w:val="none"/>
        </w:rPr>
      </w:pPr>
      <w:r>
        <w:rPr>
          <w:rFonts w:hint="eastAsia" w:ascii="宋体" w:hAnsi="宋体" w:eastAsia="宋体" w:cs="宋体"/>
          <w:b/>
          <w:color w:val="auto"/>
          <w:szCs w:val="21"/>
          <w:highlight w:val="none"/>
        </w:rPr>
        <w:t>与竞争性磋商文件服务需求类似的项目业绩和合同履行情况</w:t>
      </w:r>
    </w:p>
    <w:tbl>
      <w:tblPr>
        <w:tblStyle w:val="23"/>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733"/>
        <w:gridCol w:w="1811"/>
        <w:gridCol w:w="1829"/>
        <w:gridCol w:w="1794"/>
        <w:gridCol w:w="177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17" w:hRule="atLeast"/>
        </w:trPr>
        <w:tc>
          <w:tcPr>
            <w:tcW w:w="968" w:type="pct"/>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采购单位</w:t>
            </w:r>
          </w:p>
          <w:p>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1012" w:type="pct"/>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1022" w:type="pct"/>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服务内容</w:t>
            </w:r>
          </w:p>
        </w:tc>
        <w:tc>
          <w:tcPr>
            <w:tcW w:w="1002"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附件页码</w:t>
            </w:r>
          </w:p>
        </w:tc>
        <w:tc>
          <w:tcPr>
            <w:tcW w:w="994" w:type="pct"/>
            <w:vMerge w:val="restart"/>
            <w:tcBorders>
              <w:top w:val="single" w:color="auto" w:sz="4" w:space="0"/>
              <w:left w:val="single" w:color="auto" w:sz="4" w:space="0"/>
              <w:right w:val="single" w:color="auto" w:sz="4" w:space="0"/>
            </w:tcBorders>
            <w:noWrap w:val="0"/>
            <w:vAlign w:val="center"/>
          </w:tcPr>
          <w:p>
            <w:pPr>
              <w:snapToGrid w:val="0"/>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采购单位联系人及联系电话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95"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szCs w:val="21"/>
                <w:highlight w:val="none"/>
              </w:rPr>
            </w:pPr>
          </w:p>
        </w:tc>
        <w:tc>
          <w:tcPr>
            <w:tcW w:w="1002"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合同</w:t>
            </w:r>
            <w:r>
              <w:rPr>
                <w:rFonts w:hint="eastAsia" w:ascii="宋体" w:hAnsi="宋体" w:cs="宋体"/>
                <w:color w:val="auto"/>
                <w:szCs w:val="21"/>
                <w:highlight w:val="none"/>
                <w:lang w:val="en-US" w:eastAsia="zh-CN"/>
              </w:rPr>
              <w:t>或中标/成交通知书</w:t>
            </w:r>
          </w:p>
        </w:tc>
        <w:tc>
          <w:tcPr>
            <w:tcW w:w="994" w:type="pct"/>
            <w:vMerge w:val="continue"/>
            <w:tcBorders>
              <w:left w:val="single" w:color="auto" w:sz="4" w:space="0"/>
              <w:bottom w:val="single" w:color="auto" w:sz="4" w:space="0"/>
              <w:right w:val="single" w:color="auto" w:sz="4" w:space="0"/>
            </w:tcBorders>
            <w:noWrap w:val="0"/>
            <w:vAlign w:val="center"/>
          </w:tcPr>
          <w:p>
            <w:pPr>
              <w:widowControl/>
              <w:spacing w:line="360" w:lineRule="exact"/>
              <w:jc w:val="lef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968" w:type="pct"/>
            <w:tcBorders>
              <w:top w:val="single" w:color="auto" w:sz="4" w:space="0"/>
              <w:left w:val="single" w:color="auto" w:sz="4" w:space="0"/>
              <w:bottom w:val="single" w:color="auto" w:sz="4" w:space="0"/>
              <w:right w:val="single" w:color="auto" w:sz="4" w:space="0"/>
            </w:tcBorders>
            <w:noWrap w:val="0"/>
            <w:vAlign w:val="top"/>
          </w:tcPr>
          <w:p>
            <w:pPr>
              <w:snapToGrid w:val="0"/>
              <w:spacing w:line="360" w:lineRule="exact"/>
              <w:jc w:val="left"/>
              <w:rPr>
                <w:rFonts w:hint="eastAsia" w:ascii="宋体" w:hAnsi="宋体" w:eastAsia="宋体" w:cs="宋体"/>
                <w:color w:val="auto"/>
                <w:szCs w:val="21"/>
                <w:highlight w:val="none"/>
              </w:rPr>
            </w:pPr>
          </w:p>
        </w:tc>
        <w:tc>
          <w:tcPr>
            <w:tcW w:w="1012" w:type="pct"/>
            <w:tcBorders>
              <w:top w:val="single" w:color="auto" w:sz="4" w:space="0"/>
              <w:left w:val="single" w:color="auto" w:sz="4" w:space="0"/>
              <w:bottom w:val="single" w:color="auto" w:sz="4" w:space="0"/>
              <w:right w:val="single" w:color="auto" w:sz="4" w:space="0"/>
            </w:tcBorders>
            <w:noWrap w:val="0"/>
            <w:vAlign w:val="top"/>
          </w:tcPr>
          <w:p>
            <w:pPr>
              <w:snapToGrid w:val="0"/>
              <w:spacing w:line="360" w:lineRule="exact"/>
              <w:jc w:val="left"/>
              <w:rPr>
                <w:rFonts w:hint="eastAsia" w:ascii="宋体" w:hAnsi="宋体" w:eastAsia="宋体" w:cs="宋体"/>
                <w:color w:val="auto"/>
                <w:szCs w:val="21"/>
                <w:highlight w:val="none"/>
              </w:rPr>
            </w:pPr>
          </w:p>
        </w:tc>
        <w:tc>
          <w:tcPr>
            <w:tcW w:w="1022" w:type="pct"/>
            <w:tcBorders>
              <w:top w:val="single" w:color="auto" w:sz="4" w:space="0"/>
              <w:left w:val="single" w:color="auto" w:sz="4" w:space="0"/>
              <w:bottom w:val="single" w:color="auto" w:sz="4" w:space="0"/>
              <w:right w:val="single" w:color="auto" w:sz="4" w:space="0"/>
            </w:tcBorders>
            <w:noWrap w:val="0"/>
            <w:vAlign w:val="top"/>
          </w:tcPr>
          <w:p>
            <w:pPr>
              <w:snapToGrid w:val="0"/>
              <w:spacing w:line="360" w:lineRule="exact"/>
              <w:jc w:val="left"/>
              <w:rPr>
                <w:rFonts w:hint="eastAsia" w:ascii="宋体" w:hAnsi="宋体" w:eastAsia="宋体" w:cs="宋体"/>
                <w:color w:val="auto"/>
                <w:szCs w:val="21"/>
                <w:highlight w:val="none"/>
              </w:rPr>
            </w:pPr>
          </w:p>
        </w:tc>
        <w:tc>
          <w:tcPr>
            <w:tcW w:w="1002" w:type="pct"/>
            <w:tcBorders>
              <w:top w:val="single" w:color="auto" w:sz="4" w:space="0"/>
              <w:left w:val="single" w:color="auto" w:sz="4" w:space="0"/>
              <w:bottom w:val="single" w:color="auto" w:sz="4" w:space="0"/>
              <w:right w:val="single" w:color="auto" w:sz="4" w:space="0"/>
            </w:tcBorders>
            <w:noWrap w:val="0"/>
            <w:vAlign w:val="top"/>
          </w:tcPr>
          <w:p>
            <w:pPr>
              <w:snapToGrid w:val="0"/>
              <w:spacing w:line="360" w:lineRule="exact"/>
              <w:jc w:val="left"/>
              <w:rPr>
                <w:rFonts w:hint="eastAsia" w:ascii="宋体" w:hAnsi="宋体" w:eastAsia="宋体" w:cs="宋体"/>
                <w:color w:val="auto"/>
                <w:szCs w:val="21"/>
                <w:highlight w:val="none"/>
              </w:rPr>
            </w:pPr>
          </w:p>
        </w:tc>
        <w:tc>
          <w:tcPr>
            <w:tcW w:w="994" w:type="pct"/>
            <w:tcBorders>
              <w:top w:val="single" w:color="auto" w:sz="4" w:space="0"/>
              <w:left w:val="single" w:color="auto" w:sz="4" w:space="0"/>
              <w:bottom w:val="single" w:color="auto" w:sz="4" w:space="0"/>
              <w:right w:val="single" w:color="auto" w:sz="4" w:space="0"/>
            </w:tcBorders>
            <w:noWrap w:val="0"/>
            <w:vAlign w:val="top"/>
          </w:tcPr>
          <w:p>
            <w:pPr>
              <w:snapToGrid w:val="0"/>
              <w:spacing w:line="360" w:lineRule="exact"/>
              <w:jc w:val="lef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968"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hint="eastAsia" w:ascii="宋体" w:hAnsi="宋体" w:eastAsia="宋体" w:cs="宋体"/>
                <w:color w:val="auto"/>
                <w:szCs w:val="21"/>
                <w:highlight w:val="none"/>
              </w:rPr>
            </w:pPr>
          </w:p>
        </w:tc>
        <w:tc>
          <w:tcPr>
            <w:tcW w:w="1012"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hint="eastAsia" w:ascii="宋体" w:hAnsi="宋体" w:eastAsia="宋体" w:cs="宋体"/>
                <w:color w:val="auto"/>
                <w:szCs w:val="21"/>
                <w:highlight w:val="none"/>
              </w:rPr>
            </w:pPr>
          </w:p>
        </w:tc>
        <w:tc>
          <w:tcPr>
            <w:tcW w:w="1022"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hint="eastAsia" w:ascii="宋体" w:hAnsi="宋体" w:eastAsia="宋体" w:cs="宋体"/>
                <w:color w:val="auto"/>
                <w:szCs w:val="21"/>
                <w:highlight w:val="none"/>
              </w:rPr>
            </w:pPr>
          </w:p>
        </w:tc>
        <w:tc>
          <w:tcPr>
            <w:tcW w:w="1002"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hint="eastAsia" w:ascii="宋体" w:hAnsi="宋体" w:eastAsia="宋体" w:cs="宋体"/>
                <w:color w:val="auto"/>
                <w:szCs w:val="21"/>
                <w:highlight w:val="none"/>
              </w:rPr>
            </w:pPr>
          </w:p>
        </w:tc>
        <w:tc>
          <w:tcPr>
            <w:tcW w:w="994"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968"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hint="eastAsia" w:ascii="宋体" w:hAnsi="宋体" w:eastAsia="宋体" w:cs="宋体"/>
                <w:color w:val="auto"/>
                <w:szCs w:val="21"/>
                <w:highlight w:val="none"/>
              </w:rPr>
            </w:pPr>
          </w:p>
        </w:tc>
        <w:tc>
          <w:tcPr>
            <w:tcW w:w="1012"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hint="eastAsia" w:ascii="宋体" w:hAnsi="宋体" w:eastAsia="宋体" w:cs="宋体"/>
                <w:color w:val="auto"/>
                <w:szCs w:val="21"/>
                <w:highlight w:val="none"/>
              </w:rPr>
            </w:pPr>
          </w:p>
        </w:tc>
        <w:tc>
          <w:tcPr>
            <w:tcW w:w="1022"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hint="eastAsia" w:ascii="宋体" w:hAnsi="宋体" w:eastAsia="宋体" w:cs="宋体"/>
                <w:color w:val="auto"/>
                <w:szCs w:val="21"/>
                <w:highlight w:val="none"/>
              </w:rPr>
            </w:pPr>
          </w:p>
        </w:tc>
        <w:tc>
          <w:tcPr>
            <w:tcW w:w="1002"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hint="eastAsia" w:ascii="宋体" w:hAnsi="宋体" w:eastAsia="宋体" w:cs="宋体"/>
                <w:color w:val="auto"/>
                <w:szCs w:val="21"/>
                <w:highlight w:val="none"/>
              </w:rPr>
            </w:pPr>
          </w:p>
        </w:tc>
        <w:tc>
          <w:tcPr>
            <w:tcW w:w="994"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968"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hint="eastAsia" w:ascii="宋体" w:hAnsi="宋体" w:eastAsia="宋体" w:cs="宋体"/>
                <w:color w:val="auto"/>
                <w:szCs w:val="21"/>
                <w:highlight w:val="none"/>
              </w:rPr>
            </w:pPr>
          </w:p>
        </w:tc>
        <w:tc>
          <w:tcPr>
            <w:tcW w:w="1012"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hint="eastAsia" w:ascii="宋体" w:hAnsi="宋体" w:eastAsia="宋体" w:cs="宋体"/>
                <w:color w:val="auto"/>
                <w:szCs w:val="21"/>
                <w:highlight w:val="none"/>
              </w:rPr>
            </w:pPr>
          </w:p>
        </w:tc>
        <w:tc>
          <w:tcPr>
            <w:tcW w:w="1022"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hint="eastAsia" w:ascii="宋体" w:hAnsi="宋体" w:eastAsia="宋体" w:cs="宋体"/>
                <w:color w:val="auto"/>
                <w:szCs w:val="21"/>
                <w:highlight w:val="none"/>
              </w:rPr>
            </w:pPr>
          </w:p>
        </w:tc>
        <w:tc>
          <w:tcPr>
            <w:tcW w:w="1002"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hint="eastAsia" w:ascii="宋体" w:hAnsi="宋体" w:eastAsia="宋体" w:cs="宋体"/>
                <w:color w:val="auto"/>
                <w:szCs w:val="21"/>
                <w:highlight w:val="none"/>
              </w:rPr>
            </w:pPr>
          </w:p>
        </w:tc>
        <w:tc>
          <w:tcPr>
            <w:tcW w:w="994"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968"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hint="eastAsia" w:ascii="宋体" w:hAnsi="宋体" w:eastAsia="宋体" w:cs="宋体"/>
                <w:color w:val="auto"/>
                <w:szCs w:val="21"/>
                <w:highlight w:val="none"/>
              </w:rPr>
            </w:pPr>
          </w:p>
        </w:tc>
        <w:tc>
          <w:tcPr>
            <w:tcW w:w="1012"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hint="eastAsia" w:ascii="宋体" w:hAnsi="宋体" w:eastAsia="宋体" w:cs="宋体"/>
                <w:color w:val="auto"/>
                <w:szCs w:val="21"/>
                <w:highlight w:val="none"/>
              </w:rPr>
            </w:pPr>
          </w:p>
        </w:tc>
        <w:tc>
          <w:tcPr>
            <w:tcW w:w="1022"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hint="eastAsia" w:ascii="宋体" w:hAnsi="宋体" w:eastAsia="宋体" w:cs="宋体"/>
                <w:color w:val="auto"/>
                <w:szCs w:val="21"/>
                <w:highlight w:val="none"/>
              </w:rPr>
            </w:pPr>
          </w:p>
        </w:tc>
        <w:tc>
          <w:tcPr>
            <w:tcW w:w="1002"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hint="eastAsia" w:ascii="宋体" w:hAnsi="宋体" w:eastAsia="宋体" w:cs="宋体"/>
                <w:color w:val="auto"/>
                <w:szCs w:val="21"/>
                <w:highlight w:val="none"/>
              </w:rPr>
            </w:pPr>
          </w:p>
        </w:tc>
        <w:tc>
          <w:tcPr>
            <w:tcW w:w="994"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hint="eastAsia" w:ascii="宋体" w:hAnsi="宋体" w:eastAsia="宋体" w:cs="宋体"/>
                <w:color w:val="auto"/>
                <w:szCs w:val="21"/>
                <w:highlight w:val="none"/>
              </w:rPr>
            </w:pPr>
          </w:p>
        </w:tc>
      </w:tr>
    </w:tbl>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注：在填写时，如本表格不适合供应商的实际情况，可根据本表格式自行制表填写。（如有，请同时附证明材料</w:t>
      </w:r>
      <w:r>
        <w:rPr>
          <w:rFonts w:hint="eastAsia" w:ascii="宋体" w:hAnsi="宋体" w:eastAsia="宋体" w:cs="宋体"/>
          <w:color w:val="auto"/>
          <w:szCs w:val="21"/>
          <w:highlight w:val="none"/>
          <w:lang w:eastAsia="zh-CN"/>
        </w:rPr>
        <w:t>，具体要求参见第四章评审方法及定标标准</w:t>
      </w:r>
      <w:r>
        <w:rPr>
          <w:rFonts w:hint="eastAsia" w:ascii="宋体" w:hAnsi="宋体" w:eastAsia="宋体" w:cs="宋体"/>
          <w:color w:val="auto"/>
          <w:szCs w:val="21"/>
          <w:highlight w:val="none"/>
        </w:rPr>
        <w:t>）</w:t>
      </w:r>
    </w:p>
    <w:p>
      <w:pPr>
        <w:autoSpaceDE w:val="0"/>
        <w:autoSpaceDN w:val="0"/>
        <w:spacing w:line="300" w:lineRule="auto"/>
        <w:ind w:left="480" w:hanging="480"/>
        <w:rPr>
          <w:rFonts w:hint="eastAsia" w:ascii="宋体" w:hAnsi="宋体" w:eastAsia="宋体" w:cs="宋体"/>
          <w:color w:val="auto"/>
          <w:szCs w:val="21"/>
          <w:highlight w:val="none"/>
        </w:rPr>
      </w:pPr>
    </w:p>
    <w:p>
      <w:pPr>
        <w:snapToGrid w:val="0"/>
        <w:spacing w:before="50" w:after="50"/>
        <w:rPr>
          <w:rFonts w:hint="eastAsia" w:ascii="宋体" w:hAnsi="宋体" w:eastAsia="宋体" w:cs="宋体"/>
          <w:color w:val="auto"/>
          <w:sz w:val="24"/>
          <w:szCs w:val="24"/>
          <w:highlight w:val="none"/>
        </w:rPr>
      </w:pPr>
    </w:p>
    <w:p>
      <w:pPr>
        <w:snapToGrid w:val="0"/>
        <w:spacing w:before="50" w:after="50" w:line="520" w:lineRule="exact"/>
        <w:ind w:right="-817" w:rightChars="-389"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法定代表人或委托代理人（签字</w:t>
      </w:r>
      <w:r>
        <w:rPr>
          <w:rFonts w:hint="eastAsia" w:ascii="宋体" w:hAnsi="宋体" w:cs="宋体"/>
          <w:color w:val="auto"/>
          <w:szCs w:val="21"/>
          <w:highlight w:val="none"/>
          <w:lang w:val="en-US" w:eastAsia="zh-CN"/>
        </w:rPr>
        <w:t>或者盖章</w:t>
      </w:r>
      <w:r>
        <w:rPr>
          <w:rFonts w:hint="eastAsia" w:ascii="宋体" w:hAnsi="宋体" w:eastAsia="宋体" w:cs="宋体"/>
          <w:color w:val="auto"/>
          <w:szCs w:val="21"/>
          <w:highlight w:val="none"/>
        </w:rPr>
        <w:t xml:space="preserve">或者电子签名）：                    </w:t>
      </w:r>
    </w:p>
    <w:p>
      <w:pPr>
        <w:snapToGrid w:val="0"/>
        <w:spacing w:before="50" w:after="50" w:line="520" w:lineRule="exact"/>
        <w:ind w:right="-817" w:rightChars="-389" w:firstLine="2310" w:firstLineChars="1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供应商名称（盖公章）：      </w:t>
      </w:r>
    </w:p>
    <w:p>
      <w:pPr>
        <w:snapToGrid w:val="0"/>
        <w:spacing w:before="50" w:after="50" w:line="520" w:lineRule="exact"/>
        <w:ind w:right="-817" w:rightChars="-389" w:firstLine="3465" w:firstLineChars="16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pPr>
        <w:pStyle w:val="2"/>
        <w:rPr>
          <w:rFonts w:hint="eastAsia" w:ascii="宋体" w:hAnsi="宋体" w:eastAsia="宋体" w:cs="宋体"/>
          <w:color w:val="auto"/>
          <w:szCs w:val="21"/>
          <w:highlight w:val="none"/>
        </w:rPr>
      </w:pPr>
    </w:p>
    <w:p>
      <w:pPr>
        <w:jc w:val="center"/>
        <w:rPr>
          <w:rFonts w:hint="eastAsia" w:ascii="宋体" w:hAnsi="宋体" w:eastAsia="宋体" w:cs="宋体"/>
          <w:color w:val="auto"/>
          <w:sz w:val="44"/>
          <w:szCs w:val="44"/>
          <w:highlight w:val="none"/>
        </w:rPr>
      </w:pPr>
    </w:p>
    <w:p>
      <w:pPr>
        <w:jc w:val="center"/>
        <w:rPr>
          <w:rFonts w:hint="eastAsia" w:ascii="宋体" w:hAnsi="宋体" w:eastAsia="宋体" w:cs="宋体"/>
          <w:color w:val="auto"/>
          <w:sz w:val="44"/>
          <w:szCs w:val="44"/>
          <w:highlight w:val="none"/>
        </w:rPr>
      </w:pPr>
    </w:p>
    <w:p>
      <w:pPr>
        <w:jc w:val="center"/>
        <w:rPr>
          <w:rFonts w:hint="eastAsia" w:ascii="宋体" w:hAnsi="宋体" w:eastAsia="宋体" w:cs="宋体"/>
          <w:color w:val="auto"/>
          <w:sz w:val="44"/>
          <w:szCs w:val="44"/>
          <w:highlight w:val="none"/>
        </w:rPr>
      </w:pPr>
    </w:p>
    <w:p>
      <w:pPr>
        <w:jc w:val="center"/>
        <w:rPr>
          <w:rFonts w:hint="eastAsia" w:ascii="宋体" w:hAnsi="宋体" w:eastAsia="宋体" w:cs="宋体"/>
          <w:color w:val="auto"/>
          <w:sz w:val="44"/>
          <w:szCs w:val="44"/>
          <w:highlight w:val="none"/>
        </w:rPr>
      </w:pPr>
    </w:p>
    <w:p>
      <w:pPr>
        <w:jc w:val="center"/>
        <w:rPr>
          <w:rFonts w:hint="eastAsia" w:ascii="宋体" w:hAnsi="宋体" w:eastAsia="宋体" w:cs="宋体"/>
          <w:color w:val="auto"/>
          <w:sz w:val="44"/>
          <w:szCs w:val="44"/>
          <w:highlight w:val="none"/>
        </w:rPr>
      </w:pPr>
    </w:p>
    <w:p>
      <w:pPr>
        <w:jc w:val="center"/>
        <w:rPr>
          <w:rFonts w:hint="eastAsia" w:ascii="宋体" w:hAnsi="宋体" w:eastAsia="宋体" w:cs="宋体"/>
          <w:color w:val="auto"/>
          <w:sz w:val="44"/>
          <w:szCs w:val="44"/>
          <w:highlight w:val="none"/>
        </w:rPr>
      </w:pPr>
    </w:p>
    <w:p>
      <w:pPr>
        <w:jc w:val="center"/>
        <w:rPr>
          <w:rFonts w:hint="eastAsia" w:ascii="宋体" w:hAnsi="宋体" w:eastAsia="宋体" w:cs="宋体"/>
          <w:color w:val="auto"/>
          <w:sz w:val="44"/>
          <w:szCs w:val="44"/>
          <w:highlight w:val="none"/>
        </w:rPr>
      </w:pPr>
    </w:p>
    <w:p>
      <w:pPr>
        <w:jc w:val="center"/>
        <w:rPr>
          <w:rFonts w:hint="eastAsia" w:ascii="宋体" w:hAnsi="宋体" w:eastAsia="宋体" w:cs="宋体"/>
          <w:color w:val="auto"/>
          <w:sz w:val="44"/>
          <w:szCs w:val="44"/>
          <w:highlight w:val="none"/>
        </w:rPr>
      </w:pPr>
    </w:p>
    <w:p>
      <w:pPr>
        <w:spacing w:line="300" w:lineRule="auto"/>
        <w:rPr>
          <w:rFonts w:hint="eastAsia" w:ascii="宋体" w:hAnsi="宋体" w:eastAsia="宋体" w:cs="宋体"/>
          <w:b/>
          <w:bCs/>
          <w:color w:val="auto"/>
          <w:sz w:val="24"/>
          <w:szCs w:val="24"/>
          <w:highlight w:val="none"/>
        </w:rPr>
      </w:pPr>
    </w:p>
    <w:p>
      <w:pPr>
        <w:spacing w:line="30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其他文书、文件格式</w:t>
      </w:r>
    </w:p>
    <w:p>
      <w:pPr>
        <w:spacing w:line="300" w:lineRule="auto"/>
        <w:rPr>
          <w:rFonts w:hint="eastAsia" w:ascii="宋体" w:hAnsi="宋体" w:eastAsia="宋体" w:cs="宋体"/>
          <w:b/>
          <w:bCs/>
          <w:color w:val="auto"/>
          <w:sz w:val="24"/>
          <w:szCs w:val="24"/>
          <w:highlight w:val="none"/>
        </w:rPr>
      </w:pPr>
    </w:p>
    <w:p>
      <w:pPr>
        <w:snapToGrid w:val="0"/>
        <w:spacing w:before="120" w:beforeLines="50" w:after="50"/>
        <w:jc w:val="left"/>
        <w:rPr>
          <w:rFonts w:hint="eastAsia"/>
          <w:color w:val="auto"/>
          <w:highlight w:val="none"/>
        </w:rPr>
      </w:pPr>
      <w:r>
        <w:rPr>
          <w:rFonts w:ascii="宋体" w:hAnsi="宋体"/>
          <w:b/>
          <w:color w:val="auto"/>
          <w:sz w:val="24"/>
          <w:highlight w:val="none"/>
        </w:rPr>
        <w:t>1</w:t>
      </w:r>
      <w:r>
        <w:rPr>
          <w:rFonts w:hint="eastAsia" w:ascii="宋体" w:hAnsi="宋体"/>
          <w:b/>
          <w:color w:val="auto"/>
          <w:sz w:val="24"/>
          <w:highlight w:val="none"/>
        </w:rPr>
        <w:t>.中小企业声明函格式</w:t>
      </w:r>
    </w:p>
    <w:p>
      <w:pPr>
        <w:rPr>
          <w:rFonts w:hint="eastAsia"/>
          <w:color w:val="auto"/>
          <w:highlight w:val="none"/>
        </w:rPr>
      </w:pPr>
    </w:p>
    <w:p>
      <w:pPr>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中小企业声明函（服务）</w:t>
      </w:r>
    </w:p>
    <w:p>
      <w:pPr>
        <w:spacing w:before="2" w:line="500" w:lineRule="exact"/>
        <w:rPr>
          <w:rFonts w:ascii="宋体" w:hAnsi="宋体" w:cs="宋体"/>
          <w:b/>
          <w:bCs/>
          <w:color w:val="auto"/>
          <w:sz w:val="24"/>
          <w:highlight w:val="none"/>
        </w:rPr>
      </w:pPr>
    </w:p>
    <w:p>
      <w:pPr>
        <w:pStyle w:val="2"/>
        <w:spacing w:line="500" w:lineRule="exact"/>
        <w:ind w:right="142" w:firstLine="420" w:firstLineChars="200"/>
        <w:rPr>
          <w:rFonts w:ascii="宋体" w:hAnsi="宋体"/>
          <w:color w:val="auto"/>
          <w:highlight w:val="none"/>
        </w:rPr>
      </w:pPr>
      <w:r>
        <w:rPr>
          <w:rFonts w:ascii="宋体" w:hAnsi="宋体"/>
          <w:color w:val="auto"/>
          <w:highlight w:val="none"/>
        </w:rPr>
        <w:t>本公司（联合体）郑重声明，根据《政府采购促进中小企业发展管理办法》（财库﹝2020﹞46号）的规定，本公司（联合体）参加</w:t>
      </w:r>
      <w:r>
        <w:rPr>
          <w:rFonts w:ascii="宋体" w:hAnsi="宋体"/>
          <w:color w:val="auto"/>
          <w:highlight w:val="none"/>
          <w:u w:val="single"/>
        </w:rPr>
        <w:t>（单位名称）</w:t>
      </w:r>
      <w:r>
        <w:rPr>
          <w:rFonts w:ascii="宋体" w:hAnsi="宋体"/>
          <w:color w:val="auto"/>
          <w:highlight w:val="none"/>
        </w:rPr>
        <w:t>的</w:t>
      </w:r>
      <w:r>
        <w:rPr>
          <w:rFonts w:ascii="宋体" w:hAnsi="宋体"/>
          <w:color w:val="auto"/>
          <w:highlight w:val="none"/>
          <w:u w:val="single"/>
        </w:rPr>
        <w:t>（项目名称）</w:t>
      </w:r>
      <w:r>
        <w:rPr>
          <w:rFonts w:ascii="宋体" w:hAnsi="宋体"/>
          <w:color w:val="auto"/>
          <w:highlight w:val="none"/>
        </w:rPr>
        <w:t>采购活动，</w:t>
      </w:r>
      <w:r>
        <w:rPr>
          <w:rFonts w:hint="eastAsia" w:ascii="宋体" w:hAnsi="宋体"/>
          <w:color w:val="auto"/>
          <w:highlight w:val="none"/>
        </w:rPr>
        <w:t>服务全部</w:t>
      </w:r>
      <w:r>
        <w:rPr>
          <w:rFonts w:hint="eastAsia" w:ascii="宋体" w:hAnsi="宋体"/>
          <w:color w:val="auto"/>
          <w:highlight w:val="none"/>
          <w:lang w:val="en-US" w:eastAsia="zh-CN"/>
        </w:rPr>
        <w:t>或部分</w:t>
      </w:r>
      <w:r>
        <w:rPr>
          <w:rFonts w:hint="eastAsia" w:ascii="宋体" w:hAnsi="宋体"/>
          <w:color w:val="auto"/>
          <w:highlight w:val="none"/>
        </w:rPr>
        <w:t>由符合政策要求的中小企业承接。相关企业（含联合体中的中小企业、签订分包意向协议的中小企业）的具体情况如下：</w:t>
      </w:r>
    </w:p>
    <w:p>
      <w:pPr>
        <w:tabs>
          <w:tab w:val="left" w:pos="1384"/>
          <w:tab w:val="left" w:pos="4562"/>
          <w:tab w:val="left" w:pos="6803"/>
        </w:tabs>
        <w:spacing w:before="13" w:line="500" w:lineRule="exact"/>
        <w:ind w:right="142" w:firstLine="686" w:firstLineChars="286"/>
        <w:rPr>
          <w:rFonts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w:t>
      </w:r>
      <w:r>
        <w:rPr>
          <w:rFonts w:ascii="宋体" w:hAnsi="宋体"/>
          <w:color w:val="auto"/>
          <w:sz w:val="24"/>
          <w:highlight w:val="none"/>
          <w:u w:val="single"/>
        </w:rPr>
        <w:t>业）</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pPr>
        <w:tabs>
          <w:tab w:val="left" w:pos="1065"/>
          <w:tab w:val="left" w:pos="4262"/>
          <w:tab w:val="left" w:pos="6477"/>
        </w:tabs>
        <w:spacing w:before="20" w:line="500" w:lineRule="exact"/>
        <w:ind w:right="84" w:firstLine="686" w:firstLineChars="286"/>
        <w:rPr>
          <w:rFonts w:ascii="宋体" w:hAnsi="宋体"/>
          <w:color w:val="auto"/>
          <w:sz w:val="24"/>
          <w:highlight w:val="none"/>
          <w:u w:val="singl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行业</w:t>
      </w:r>
      <w:r>
        <w:rPr>
          <w:rFonts w:ascii="宋体" w:hAnsi="宋体"/>
          <w:color w:val="auto"/>
          <w:sz w:val="24"/>
          <w:highlight w:val="none"/>
          <w:u w:val="single"/>
        </w:rPr>
        <w:t>）</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pPr>
        <w:pStyle w:val="2"/>
        <w:spacing w:before="34" w:line="500" w:lineRule="exact"/>
        <w:ind w:left="765" w:right="142" w:hanging="5"/>
        <w:rPr>
          <w:rFonts w:ascii="宋体" w:hAnsi="宋体"/>
          <w:color w:val="auto"/>
          <w:highlight w:val="none"/>
        </w:rPr>
      </w:pPr>
      <w:r>
        <w:rPr>
          <w:rFonts w:ascii="宋体" w:hAnsi="宋体"/>
          <w:color w:val="auto"/>
          <w:highlight w:val="none"/>
        </w:rPr>
        <w:t xml:space="preserve">…… </w:t>
      </w:r>
    </w:p>
    <w:p>
      <w:pPr>
        <w:pStyle w:val="2"/>
        <w:spacing w:before="34" w:line="500" w:lineRule="exact"/>
        <w:ind w:right="142" w:firstLine="420" w:firstLineChars="200"/>
        <w:rPr>
          <w:rFonts w:hint="eastAsia" w:ascii="宋体" w:hAnsi="宋体"/>
          <w:color w:val="auto"/>
          <w:highlight w:val="none"/>
        </w:rPr>
      </w:pPr>
      <w:r>
        <w:rPr>
          <w:rFonts w:ascii="宋体" w:hAnsi="宋体"/>
          <w:color w:val="auto"/>
          <w:highlight w:val="none"/>
        </w:rPr>
        <w:t>以上企业，不属于大企业的分支机构，不存在控股股东为大企业的情形，也不存在与大企业的负责人为同一人的情形。</w:t>
      </w:r>
    </w:p>
    <w:p>
      <w:pPr>
        <w:pStyle w:val="2"/>
        <w:spacing w:before="34" w:line="500" w:lineRule="exact"/>
        <w:ind w:right="142" w:firstLine="420" w:firstLineChars="200"/>
        <w:rPr>
          <w:rFonts w:ascii="宋体" w:hAnsi="宋体"/>
          <w:color w:val="auto"/>
          <w:highlight w:val="none"/>
        </w:rPr>
      </w:pPr>
      <w:r>
        <w:rPr>
          <w:rFonts w:ascii="宋体" w:hAnsi="宋体"/>
          <w:color w:val="auto"/>
          <w:highlight w:val="none"/>
        </w:rPr>
        <w:t>本企业对上述声明内容的真实性负责。如有虚假，将依法承担相应责任。</w:t>
      </w:r>
    </w:p>
    <w:p>
      <w:pPr>
        <w:pStyle w:val="2"/>
        <w:spacing w:before="56" w:line="500" w:lineRule="exact"/>
        <w:ind w:left="3960" w:right="1808"/>
        <w:rPr>
          <w:rFonts w:ascii="宋体" w:hAnsi="宋体"/>
          <w:color w:val="auto"/>
          <w:highlight w:val="none"/>
        </w:rPr>
      </w:pPr>
      <w:r>
        <w:rPr>
          <w:rFonts w:ascii="宋体" w:hAnsi="宋体"/>
          <w:color w:val="auto"/>
          <w:kern w:val="24"/>
          <w:highlight w:val="none"/>
        </w:rPr>
        <w:t>企业名称（</w:t>
      </w:r>
      <w:r>
        <w:rPr>
          <w:rFonts w:hint="eastAsia" w:ascii="宋体" w:hAnsi="宋体"/>
          <w:color w:val="auto"/>
          <w:kern w:val="24"/>
          <w:highlight w:val="none"/>
        </w:rPr>
        <w:t>电子签章</w:t>
      </w:r>
      <w:r>
        <w:rPr>
          <w:rFonts w:ascii="宋体" w:hAnsi="宋体"/>
          <w:color w:val="auto"/>
          <w:kern w:val="24"/>
          <w:highlight w:val="none"/>
        </w:rPr>
        <w:t>）：</w:t>
      </w:r>
      <w:r>
        <w:rPr>
          <w:rFonts w:ascii="宋体" w:hAnsi="宋体"/>
          <w:color w:val="auto"/>
          <w:highlight w:val="none"/>
        </w:rPr>
        <w:t xml:space="preserve"> </w:t>
      </w:r>
    </w:p>
    <w:p>
      <w:pPr>
        <w:pStyle w:val="2"/>
        <w:spacing w:before="56" w:line="500" w:lineRule="exact"/>
        <w:ind w:left="3960" w:right="1808"/>
        <w:rPr>
          <w:rFonts w:hint="eastAsia" w:ascii="宋体" w:hAnsi="宋体"/>
          <w:color w:val="auto"/>
          <w:highlight w:val="none"/>
        </w:rPr>
      </w:pPr>
      <w:r>
        <w:rPr>
          <w:rFonts w:ascii="宋体" w:hAnsi="宋体"/>
          <w:color w:val="auto"/>
          <w:highlight w:val="none"/>
        </w:rPr>
        <w:t>日 期：</w:t>
      </w:r>
    </w:p>
    <w:p>
      <w:pPr>
        <w:rPr>
          <w:rFonts w:hint="eastAsia" w:ascii="宋体" w:hAnsi="宋体"/>
          <w:color w:val="auto"/>
          <w:sz w:val="24"/>
          <w:highlight w:val="none"/>
        </w:rPr>
      </w:pPr>
      <w:r>
        <w:rPr>
          <w:rFonts w:hint="eastAsia" w:ascii="宋体" w:hAnsi="宋体"/>
          <w:color w:val="auto"/>
          <w:spacing w:val="6"/>
          <w:sz w:val="24"/>
          <w:highlight w:val="none"/>
        </w:rPr>
        <w:t xml:space="preserve"> </w:t>
      </w:r>
    </w:p>
    <w:p>
      <w:pPr>
        <w:rPr>
          <w:rFonts w:hint="eastAsia" w:ascii="宋体" w:hAnsi="宋体"/>
          <w:b/>
          <w:color w:val="auto"/>
          <w:sz w:val="24"/>
          <w:highlight w:val="none"/>
        </w:rPr>
      </w:pPr>
      <w:r>
        <w:rPr>
          <w:rFonts w:hint="eastAsia" w:ascii="宋体" w:hAnsi="宋体"/>
          <w:color w:val="auto"/>
          <w:sz w:val="24"/>
          <w:highlight w:val="none"/>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r>
        <w:rPr>
          <w:color w:val="auto"/>
          <w:highlight w:val="none"/>
        </w:rPr>
        <w:br w:type="page"/>
      </w:r>
      <w:r>
        <w:rPr>
          <w:rFonts w:ascii="宋体" w:hAnsi="宋体"/>
          <w:b/>
          <w:color w:val="auto"/>
          <w:sz w:val="24"/>
          <w:highlight w:val="none"/>
        </w:rPr>
        <w:t>2</w:t>
      </w:r>
      <w:r>
        <w:rPr>
          <w:rFonts w:hint="eastAsia" w:ascii="宋体" w:hAnsi="宋体"/>
          <w:b/>
          <w:color w:val="auto"/>
          <w:sz w:val="24"/>
          <w:highlight w:val="none"/>
        </w:rPr>
        <w:t>.残疾人福利性单位声明函格式</w:t>
      </w:r>
    </w:p>
    <w:p>
      <w:pPr>
        <w:spacing w:line="588" w:lineRule="exact"/>
        <w:jc w:val="center"/>
        <w:rPr>
          <w:rFonts w:hint="eastAsia" w:ascii="仿宋_GB2312" w:eastAsia="仿宋_GB2312"/>
          <w:b/>
          <w:color w:val="auto"/>
          <w:spacing w:val="6"/>
          <w:sz w:val="32"/>
          <w:szCs w:val="32"/>
          <w:highlight w:val="none"/>
        </w:rPr>
      </w:pPr>
      <w:bookmarkStart w:id="226" w:name="OLE_LINK13"/>
      <w:bookmarkStart w:id="227" w:name="OLE_LINK14"/>
    </w:p>
    <w:p>
      <w:pPr>
        <w:spacing w:line="588" w:lineRule="exact"/>
        <w:jc w:val="center"/>
        <w:rPr>
          <w:rFonts w:hint="eastAsia" w:ascii="方正小标宋简体" w:hAnsi="方正小标宋简体" w:eastAsia="方正小标宋简体" w:cs="方正小标宋简体"/>
          <w:bCs/>
          <w:color w:val="auto"/>
          <w:spacing w:val="6"/>
          <w:sz w:val="44"/>
          <w:szCs w:val="44"/>
          <w:highlight w:val="none"/>
        </w:rPr>
      </w:pPr>
      <w:r>
        <w:rPr>
          <w:rFonts w:hint="eastAsia" w:ascii="方正小标宋简体" w:hAnsi="方正小标宋简体" w:eastAsia="方正小标宋简体" w:cs="方正小标宋简体"/>
          <w:bCs/>
          <w:color w:val="auto"/>
          <w:spacing w:val="6"/>
          <w:sz w:val="44"/>
          <w:szCs w:val="44"/>
          <w:highlight w:val="none"/>
        </w:rPr>
        <w:t>残疾人福利性单位声明函</w:t>
      </w:r>
    </w:p>
    <w:bookmarkEnd w:id="226"/>
    <w:bookmarkEnd w:id="227"/>
    <w:p>
      <w:pPr>
        <w:spacing w:line="588" w:lineRule="exact"/>
        <w:rPr>
          <w:rFonts w:ascii="仿宋_GB2312" w:eastAsia="仿宋_GB2312"/>
          <w:b/>
          <w:color w:val="auto"/>
          <w:spacing w:val="6"/>
          <w:sz w:val="30"/>
          <w:szCs w:val="30"/>
          <w:highlight w:val="none"/>
        </w:rPr>
      </w:pPr>
    </w:p>
    <w:p>
      <w:pPr>
        <w:spacing w:line="360" w:lineRule="auto"/>
        <w:ind w:firstLine="504" w:firstLineChars="200"/>
        <w:contextualSpacing/>
        <w:rPr>
          <w:rFonts w:ascii="宋体" w:hAnsi="宋体"/>
          <w:color w:val="auto"/>
          <w:spacing w:val="6"/>
          <w:sz w:val="24"/>
          <w:highlight w:val="none"/>
        </w:rPr>
      </w:pPr>
      <w:r>
        <w:rPr>
          <w:rFonts w:hint="eastAsia" w:ascii="宋体" w:hAnsi="宋体"/>
          <w:color w:val="auto"/>
          <w:spacing w:val="6"/>
          <w:sz w:val="24"/>
          <w:highlight w:val="none"/>
        </w:rPr>
        <w:t>本单位郑重声明，根据《财政部 民政部 中国残疾人联合会关于促进残疾人就业政府采购政策的通知》（财库</w:t>
      </w:r>
      <w:r>
        <w:rPr>
          <w:rFonts w:hint="eastAsia" w:ascii="宋体" w:hAnsi="宋体"/>
          <w:color w:val="auto"/>
          <w:sz w:val="24"/>
          <w:highlight w:val="none"/>
        </w:rPr>
        <w:t>〔2017〕 141</w:t>
      </w:r>
      <w:r>
        <w:rPr>
          <w:rFonts w:hint="eastAsia" w:ascii="宋体" w:hAnsi="宋体"/>
          <w:color w:val="auto"/>
          <w:spacing w:val="6"/>
          <w:sz w:val="24"/>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color w:val="auto"/>
          <w:spacing w:val="-6"/>
          <w:sz w:val="24"/>
          <w:highlight w:val="none"/>
        </w:rPr>
        <w:t>疾人福利性单位制造的货物（不包括使用非残疾人福利性单位注册商标的货物）。</w:t>
      </w:r>
    </w:p>
    <w:p>
      <w:pPr>
        <w:spacing w:line="360" w:lineRule="auto"/>
        <w:ind w:firstLine="504" w:firstLineChars="200"/>
        <w:contextualSpacing/>
        <w:rPr>
          <w:rFonts w:ascii="宋体" w:hAnsi="宋体"/>
          <w:color w:val="auto"/>
          <w:spacing w:val="6"/>
          <w:sz w:val="24"/>
          <w:highlight w:val="none"/>
        </w:rPr>
      </w:pPr>
      <w:r>
        <w:rPr>
          <w:rFonts w:hint="eastAsia" w:ascii="宋体" w:hAnsi="宋体"/>
          <w:color w:val="auto"/>
          <w:spacing w:val="6"/>
          <w:sz w:val="24"/>
          <w:highlight w:val="none"/>
        </w:rPr>
        <w:t>本单位对上述声明的真实性负责。如有虚假，将依法承担相应责任。</w:t>
      </w:r>
    </w:p>
    <w:p>
      <w:pPr>
        <w:spacing w:line="360" w:lineRule="auto"/>
        <w:ind w:firstLine="504" w:firstLineChars="200"/>
        <w:contextualSpacing/>
        <w:rPr>
          <w:rFonts w:ascii="宋体" w:hAnsi="宋体"/>
          <w:color w:val="auto"/>
          <w:spacing w:val="6"/>
          <w:sz w:val="24"/>
          <w:highlight w:val="none"/>
        </w:rPr>
      </w:pPr>
    </w:p>
    <w:p>
      <w:pPr>
        <w:spacing w:line="360" w:lineRule="auto"/>
        <w:ind w:firstLine="504" w:firstLineChars="200"/>
        <w:contextualSpacing/>
        <w:rPr>
          <w:rFonts w:ascii="宋体" w:hAnsi="宋体"/>
          <w:color w:val="auto"/>
          <w:spacing w:val="6"/>
          <w:sz w:val="24"/>
          <w:highlight w:val="none"/>
        </w:rPr>
      </w:pPr>
    </w:p>
    <w:p>
      <w:pPr>
        <w:tabs>
          <w:tab w:val="left" w:pos="4860"/>
        </w:tabs>
        <w:spacing w:line="360" w:lineRule="auto"/>
        <w:ind w:right="1560" w:firstLine="504" w:firstLineChars="200"/>
        <w:contextualSpacing/>
        <w:jc w:val="center"/>
        <w:rPr>
          <w:rFonts w:ascii="宋体" w:hAnsi="宋体"/>
          <w:color w:val="auto"/>
          <w:spacing w:val="6"/>
          <w:sz w:val="24"/>
          <w:highlight w:val="none"/>
        </w:rPr>
      </w:pPr>
      <w:r>
        <w:rPr>
          <w:rFonts w:hint="eastAsia" w:ascii="宋体" w:hAnsi="宋体"/>
          <w:color w:val="auto"/>
          <w:spacing w:val="6"/>
          <w:sz w:val="24"/>
          <w:highlight w:val="none"/>
        </w:rPr>
        <w:t>单位名称（电子签章）：</w:t>
      </w:r>
    </w:p>
    <w:p>
      <w:pPr>
        <w:tabs>
          <w:tab w:val="left" w:pos="4860"/>
        </w:tabs>
        <w:spacing w:line="360" w:lineRule="auto"/>
        <w:ind w:right="1560" w:firstLine="504" w:firstLineChars="200"/>
        <w:contextualSpacing/>
        <w:jc w:val="center"/>
        <w:rPr>
          <w:rFonts w:ascii="宋体" w:hAnsi="宋体"/>
          <w:color w:val="auto"/>
          <w:spacing w:val="6"/>
          <w:sz w:val="24"/>
          <w:highlight w:val="none"/>
        </w:rPr>
      </w:pPr>
      <w:r>
        <w:rPr>
          <w:rFonts w:hint="eastAsia" w:ascii="宋体" w:hAnsi="宋体"/>
          <w:color w:val="auto"/>
          <w:spacing w:val="6"/>
          <w:sz w:val="24"/>
          <w:highlight w:val="none"/>
        </w:rPr>
        <w:t>日  期：</w:t>
      </w:r>
    </w:p>
    <w:p>
      <w:pPr>
        <w:spacing w:line="360" w:lineRule="auto"/>
        <w:contextualSpacing/>
        <w:rPr>
          <w:rFonts w:ascii="宋体" w:hAnsi="宋体"/>
          <w:color w:val="auto"/>
          <w:sz w:val="24"/>
          <w:highlight w:val="none"/>
        </w:rPr>
      </w:pPr>
    </w:p>
    <w:p>
      <w:pPr>
        <w:spacing w:line="360" w:lineRule="auto"/>
        <w:contextualSpacing/>
        <w:rPr>
          <w:rFonts w:hint="eastAsia" w:ascii="宋体" w:hAnsi="宋体"/>
          <w:color w:val="auto"/>
          <w:sz w:val="24"/>
          <w:highlight w:val="none"/>
        </w:rPr>
      </w:pPr>
    </w:p>
    <w:p>
      <w:pPr>
        <w:spacing w:line="360" w:lineRule="auto"/>
        <w:contextualSpacing/>
        <w:rPr>
          <w:rFonts w:ascii="宋体" w:hAnsi="宋体"/>
          <w:color w:val="auto"/>
          <w:sz w:val="24"/>
          <w:highlight w:val="none"/>
        </w:rPr>
      </w:pPr>
    </w:p>
    <w:p>
      <w:pPr>
        <w:spacing w:line="360" w:lineRule="auto"/>
        <w:contextualSpacing/>
        <w:rPr>
          <w:rFonts w:ascii="宋体" w:hAnsi="宋体"/>
          <w:color w:val="auto"/>
          <w:sz w:val="24"/>
          <w:highlight w:val="none"/>
        </w:rPr>
      </w:pPr>
      <w:r>
        <w:rPr>
          <w:rFonts w:hint="eastAsia" w:ascii="宋体" w:hAnsi="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pPr>
        <w:snapToGrid w:val="0"/>
        <w:spacing w:before="120" w:beforeLines="50" w:after="50"/>
        <w:ind w:firstLine="4320" w:firstLineChars="1800"/>
        <w:jc w:val="left"/>
        <w:rPr>
          <w:rFonts w:ascii="宋体" w:hAnsi="宋体" w:cs="宋体"/>
          <w:color w:val="auto"/>
          <w:sz w:val="24"/>
          <w:highlight w:val="none"/>
        </w:rPr>
      </w:pPr>
      <w:r>
        <w:rPr>
          <w:rFonts w:ascii="宋体" w:hAnsi="宋体"/>
          <w:color w:val="auto"/>
          <w:sz w:val="24"/>
          <w:highlight w:val="none"/>
        </w:rPr>
        <w:br w:type="page"/>
      </w:r>
    </w:p>
    <w:p>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color w:val="auto"/>
          <w:sz w:val="44"/>
          <w:szCs w:val="44"/>
          <w:highlight w:val="none"/>
        </w:rPr>
        <w:t>质疑函（格式）</w:t>
      </w:r>
    </w:p>
    <w:p>
      <w:pPr>
        <w:widowControl w:val="0"/>
        <w:spacing w:line="360" w:lineRule="auto"/>
        <w:ind w:firstLine="482" w:firstLineChars="200"/>
        <w:contextualSpacing/>
        <w:jc w:val="both"/>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一、质疑供应商基本信息：</w:t>
      </w:r>
    </w:p>
    <w:p>
      <w:pPr>
        <w:widowControl w:val="0"/>
        <w:spacing w:line="360" w:lineRule="auto"/>
        <w:ind w:firstLine="480" w:firstLineChars="200"/>
        <w:contextualSpacing/>
        <w:jc w:val="both"/>
        <w:rPr>
          <w:rFonts w:hint="eastAsia" w:ascii="宋体" w:hAnsi="宋体" w:eastAsia="宋体" w:cs="宋体"/>
          <w:bCs/>
          <w:color w:val="auto"/>
          <w:kern w:val="0"/>
          <w:sz w:val="24"/>
          <w:szCs w:val="24"/>
          <w:highlight w:val="none"/>
          <w:u w:val="single"/>
          <w:lang w:val="en-US" w:eastAsia="zh-CN" w:bidi="ar-SA"/>
        </w:rPr>
      </w:pPr>
      <w:r>
        <w:rPr>
          <w:rFonts w:hint="eastAsia" w:ascii="宋体" w:hAnsi="宋体" w:eastAsia="宋体" w:cs="宋体"/>
          <w:bCs/>
          <w:color w:val="auto"/>
          <w:kern w:val="0"/>
          <w:sz w:val="24"/>
          <w:szCs w:val="24"/>
          <w:highlight w:val="none"/>
          <w:lang w:val="en-US" w:eastAsia="zh-CN" w:bidi="ar-SA"/>
        </w:rPr>
        <w:t>质疑供应商：</w:t>
      </w:r>
      <w:r>
        <w:rPr>
          <w:rFonts w:hint="eastAsia" w:ascii="宋体" w:hAnsi="宋体" w:eastAsia="宋体" w:cs="宋体"/>
          <w:bCs/>
          <w:color w:val="auto"/>
          <w:kern w:val="0"/>
          <w:sz w:val="24"/>
          <w:szCs w:val="24"/>
          <w:highlight w:val="none"/>
          <w:u w:val="single"/>
          <w:lang w:val="en-US" w:eastAsia="zh-CN" w:bidi="ar-SA"/>
        </w:rPr>
        <w:t xml:space="preserve">                                       </w:t>
      </w:r>
      <w:r>
        <w:rPr>
          <w:rFonts w:hint="eastAsia" w:ascii="宋体" w:hAnsi="宋体" w:eastAsia="宋体" w:cs="宋体"/>
          <w:bCs/>
          <w:color w:val="auto"/>
          <w:kern w:val="0"/>
          <w:sz w:val="24"/>
          <w:szCs w:val="24"/>
          <w:highlight w:val="none"/>
          <w:lang w:val="en-US" w:eastAsia="zh-CN" w:bidi="ar-SA"/>
        </w:rPr>
        <w:t xml:space="preserve">                 </w:t>
      </w:r>
    </w:p>
    <w:p>
      <w:pPr>
        <w:widowControl w:val="0"/>
        <w:spacing w:line="360" w:lineRule="auto"/>
        <w:ind w:firstLine="480" w:firstLineChars="200"/>
        <w:contextualSpacing/>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地址：</w:t>
      </w:r>
      <w:r>
        <w:rPr>
          <w:rFonts w:hint="eastAsia" w:ascii="宋体" w:hAnsi="宋体" w:eastAsia="宋体" w:cs="宋体"/>
          <w:bCs/>
          <w:color w:val="auto"/>
          <w:kern w:val="0"/>
          <w:sz w:val="24"/>
          <w:szCs w:val="24"/>
          <w:highlight w:val="none"/>
          <w:u w:val="single"/>
          <w:lang w:val="en-US" w:eastAsia="zh-CN" w:bidi="ar-SA"/>
        </w:rPr>
        <w:t xml:space="preserve">                                          </w:t>
      </w:r>
      <w:r>
        <w:rPr>
          <w:rFonts w:hint="eastAsia" w:ascii="宋体" w:hAnsi="宋体" w:eastAsia="宋体" w:cs="宋体"/>
          <w:bCs/>
          <w:color w:val="auto"/>
          <w:kern w:val="0"/>
          <w:sz w:val="24"/>
          <w:szCs w:val="24"/>
          <w:highlight w:val="none"/>
          <w:lang w:val="en-US" w:eastAsia="zh-CN" w:bidi="ar-SA"/>
        </w:rPr>
        <w:t>邮编：</w:t>
      </w:r>
      <w:r>
        <w:rPr>
          <w:rFonts w:hint="eastAsia" w:ascii="宋体" w:hAnsi="宋体" w:eastAsia="宋体" w:cs="宋体"/>
          <w:bCs/>
          <w:color w:val="auto"/>
          <w:kern w:val="0"/>
          <w:sz w:val="24"/>
          <w:szCs w:val="24"/>
          <w:highlight w:val="none"/>
          <w:u w:val="single"/>
          <w:lang w:val="en-US" w:eastAsia="zh-CN" w:bidi="ar-SA"/>
        </w:rPr>
        <w:t xml:space="preserve">                  </w:t>
      </w:r>
      <w:r>
        <w:rPr>
          <w:rFonts w:hint="eastAsia" w:ascii="宋体" w:hAnsi="宋体" w:eastAsia="宋体" w:cs="宋体"/>
          <w:bCs/>
          <w:color w:val="auto"/>
          <w:kern w:val="0"/>
          <w:sz w:val="24"/>
          <w:szCs w:val="24"/>
          <w:highlight w:val="none"/>
          <w:lang w:val="en-US" w:eastAsia="zh-CN" w:bidi="ar-SA"/>
        </w:rPr>
        <w:t xml:space="preserve">                 </w:t>
      </w:r>
    </w:p>
    <w:p>
      <w:pPr>
        <w:widowControl w:val="0"/>
        <w:spacing w:line="360" w:lineRule="auto"/>
        <w:ind w:firstLine="480" w:firstLineChars="200"/>
        <w:contextualSpacing/>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联系人：</w:t>
      </w:r>
      <w:r>
        <w:rPr>
          <w:rFonts w:hint="eastAsia" w:ascii="宋体" w:hAnsi="宋体" w:eastAsia="宋体" w:cs="宋体"/>
          <w:bCs/>
          <w:color w:val="auto"/>
          <w:kern w:val="0"/>
          <w:sz w:val="24"/>
          <w:szCs w:val="24"/>
          <w:highlight w:val="none"/>
          <w:u w:val="single"/>
          <w:lang w:val="en-US" w:eastAsia="zh-CN" w:bidi="ar-SA"/>
        </w:rPr>
        <w:t xml:space="preserve">                     </w:t>
      </w:r>
      <w:r>
        <w:rPr>
          <w:rFonts w:hint="eastAsia" w:ascii="宋体" w:hAnsi="宋体" w:eastAsia="宋体" w:cs="宋体"/>
          <w:bCs/>
          <w:color w:val="auto"/>
          <w:kern w:val="0"/>
          <w:sz w:val="24"/>
          <w:szCs w:val="24"/>
          <w:highlight w:val="none"/>
          <w:lang w:val="en-US" w:eastAsia="zh-CN" w:bidi="ar-SA"/>
        </w:rPr>
        <w:t>联系电话：</w:t>
      </w:r>
      <w:r>
        <w:rPr>
          <w:rFonts w:hint="eastAsia" w:ascii="宋体" w:hAnsi="宋体" w:eastAsia="宋体" w:cs="宋体"/>
          <w:bCs/>
          <w:color w:val="auto"/>
          <w:kern w:val="0"/>
          <w:sz w:val="24"/>
          <w:szCs w:val="24"/>
          <w:highlight w:val="none"/>
          <w:u w:val="single"/>
          <w:lang w:val="en-US" w:eastAsia="zh-CN" w:bidi="ar-SA"/>
        </w:rPr>
        <w:t xml:space="preserve">                 </w:t>
      </w:r>
    </w:p>
    <w:p>
      <w:pPr>
        <w:widowControl w:val="0"/>
        <w:spacing w:line="360" w:lineRule="auto"/>
        <w:ind w:firstLine="480" w:firstLineChars="200"/>
        <w:contextualSpacing/>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授权代表：</w:t>
      </w:r>
      <w:r>
        <w:rPr>
          <w:rFonts w:hint="eastAsia" w:ascii="宋体" w:hAnsi="宋体" w:eastAsia="宋体" w:cs="宋体"/>
          <w:bCs/>
          <w:color w:val="auto"/>
          <w:kern w:val="0"/>
          <w:sz w:val="24"/>
          <w:szCs w:val="24"/>
          <w:highlight w:val="none"/>
          <w:u w:val="single"/>
          <w:lang w:val="en-US" w:eastAsia="zh-CN" w:bidi="ar-SA"/>
        </w:rPr>
        <w:t xml:space="preserve">                      </w:t>
      </w:r>
    </w:p>
    <w:p>
      <w:pPr>
        <w:widowControl w:val="0"/>
        <w:spacing w:line="360" w:lineRule="auto"/>
        <w:ind w:firstLine="480" w:firstLineChars="200"/>
        <w:contextualSpacing/>
        <w:jc w:val="both"/>
        <w:rPr>
          <w:rFonts w:hint="eastAsia" w:ascii="宋体" w:hAnsi="宋体" w:eastAsia="宋体" w:cs="宋体"/>
          <w:bCs/>
          <w:color w:val="auto"/>
          <w:kern w:val="0"/>
          <w:sz w:val="24"/>
          <w:szCs w:val="24"/>
          <w:highlight w:val="none"/>
          <w:u w:val="single"/>
          <w:lang w:val="en-US" w:eastAsia="zh-CN" w:bidi="ar-SA"/>
        </w:rPr>
      </w:pPr>
      <w:r>
        <w:rPr>
          <w:rFonts w:hint="eastAsia" w:ascii="宋体" w:hAnsi="宋体" w:eastAsia="宋体" w:cs="宋体"/>
          <w:bCs/>
          <w:color w:val="auto"/>
          <w:kern w:val="0"/>
          <w:sz w:val="24"/>
          <w:szCs w:val="24"/>
          <w:highlight w:val="none"/>
          <w:lang w:val="en-US" w:eastAsia="zh-CN" w:bidi="ar-SA"/>
        </w:rPr>
        <w:t>联系电话：</w:t>
      </w:r>
      <w:r>
        <w:rPr>
          <w:rFonts w:hint="eastAsia" w:ascii="宋体" w:hAnsi="宋体" w:eastAsia="宋体" w:cs="宋体"/>
          <w:bCs/>
          <w:color w:val="auto"/>
          <w:kern w:val="0"/>
          <w:sz w:val="24"/>
          <w:szCs w:val="24"/>
          <w:highlight w:val="none"/>
          <w:u w:val="single"/>
          <w:lang w:val="en-US" w:eastAsia="zh-CN" w:bidi="ar-SA"/>
        </w:rPr>
        <w:t xml:space="preserve">                      </w:t>
      </w:r>
    </w:p>
    <w:p>
      <w:pPr>
        <w:widowControl w:val="0"/>
        <w:spacing w:line="360" w:lineRule="auto"/>
        <w:ind w:firstLine="480" w:firstLineChars="200"/>
        <w:contextualSpacing/>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地址：</w:t>
      </w:r>
      <w:r>
        <w:rPr>
          <w:rFonts w:hint="eastAsia" w:ascii="宋体" w:hAnsi="宋体" w:eastAsia="宋体" w:cs="宋体"/>
          <w:bCs/>
          <w:color w:val="auto"/>
          <w:kern w:val="0"/>
          <w:sz w:val="24"/>
          <w:szCs w:val="24"/>
          <w:highlight w:val="none"/>
          <w:u w:val="single"/>
          <w:lang w:val="en-US" w:eastAsia="zh-CN" w:bidi="ar-SA"/>
        </w:rPr>
        <w:t xml:space="preserve">                 </w:t>
      </w:r>
      <w:r>
        <w:rPr>
          <w:rFonts w:hint="eastAsia" w:ascii="宋体" w:hAnsi="宋体" w:eastAsia="宋体" w:cs="宋体"/>
          <w:bCs/>
          <w:color w:val="auto"/>
          <w:kern w:val="0"/>
          <w:sz w:val="24"/>
          <w:szCs w:val="24"/>
          <w:highlight w:val="none"/>
          <w:lang w:val="en-US" w:eastAsia="zh-CN" w:bidi="ar-SA"/>
        </w:rPr>
        <w:t>邮编：</w:t>
      </w:r>
      <w:r>
        <w:rPr>
          <w:rFonts w:hint="eastAsia" w:ascii="宋体" w:hAnsi="宋体" w:eastAsia="宋体" w:cs="宋体"/>
          <w:bCs/>
          <w:color w:val="auto"/>
          <w:kern w:val="0"/>
          <w:sz w:val="24"/>
          <w:szCs w:val="24"/>
          <w:highlight w:val="none"/>
          <w:u w:val="single"/>
          <w:lang w:val="en-US" w:eastAsia="zh-CN" w:bidi="ar-SA"/>
        </w:rPr>
        <w:t xml:space="preserve">                  </w:t>
      </w:r>
      <w:r>
        <w:rPr>
          <w:rFonts w:hint="eastAsia" w:ascii="宋体" w:hAnsi="宋体" w:eastAsia="宋体" w:cs="宋体"/>
          <w:bCs/>
          <w:color w:val="auto"/>
          <w:kern w:val="0"/>
          <w:sz w:val="24"/>
          <w:szCs w:val="24"/>
          <w:highlight w:val="none"/>
          <w:lang w:val="en-US" w:eastAsia="zh-CN" w:bidi="ar-SA"/>
        </w:rPr>
        <w:t xml:space="preserve">     </w:t>
      </w:r>
    </w:p>
    <w:p>
      <w:pPr>
        <w:widowControl w:val="0"/>
        <w:spacing w:line="360" w:lineRule="auto"/>
        <w:ind w:firstLine="482" w:firstLineChars="200"/>
        <w:contextualSpacing/>
        <w:jc w:val="both"/>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二、质疑项目基本情况：</w:t>
      </w:r>
    </w:p>
    <w:p>
      <w:pPr>
        <w:widowControl w:val="0"/>
        <w:spacing w:line="360" w:lineRule="auto"/>
        <w:ind w:left="25" w:leftChars="12" w:firstLine="472" w:firstLineChars="197"/>
        <w:contextualSpacing/>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质疑</w:t>
      </w:r>
      <w:r>
        <w:rPr>
          <w:rFonts w:hint="eastAsia" w:ascii="宋体" w:hAnsi="宋体" w:eastAsia="宋体" w:cs="宋体"/>
          <w:color w:val="auto"/>
          <w:kern w:val="0"/>
          <w:sz w:val="24"/>
          <w:szCs w:val="24"/>
          <w:highlight w:val="none"/>
          <w:lang w:val="en-US" w:eastAsia="zh-CN" w:bidi="ar-SA"/>
        </w:rPr>
        <w:t>项目的名称：</w:t>
      </w:r>
      <w:r>
        <w:rPr>
          <w:rFonts w:hint="eastAsia" w:ascii="宋体" w:hAnsi="宋体" w:eastAsia="宋体" w:cs="宋体"/>
          <w:bCs/>
          <w:color w:val="auto"/>
          <w:kern w:val="0"/>
          <w:sz w:val="24"/>
          <w:szCs w:val="24"/>
          <w:highlight w:val="none"/>
          <w:u w:val="single"/>
          <w:lang w:val="en-US" w:eastAsia="zh-CN" w:bidi="ar-SA"/>
        </w:rPr>
        <w:t xml:space="preserve">                                     </w:t>
      </w:r>
    </w:p>
    <w:p>
      <w:pPr>
        <w:widowControl w:val="0"/>
        <w:spacing w:line="360" w:lineRule="auto"/>
        <w:ind w:left="25" w:leftChars="12" w:firstLine="472" w:firstLineChars="197"/>
        <w:contextualSpacing/>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质疑</w:t>
      </w:r>
      <w:r>
        <w:rPr>
          <w:rFonts w:hint="eastAsia" w:ascii="宋体" w:hAnsi="宋体" w:eastAsia="宋体" w:cs="宋体"/>
          <w:color w:val="auto"/>
          <w:kern w:val="0"/>
          <w:sz w:val="24"/>
          <w:szCs w:val="24"/>
          <w:highlight w:val="none"/>
          <w:lang w:val="en-US" w:eastAsia="zh-CN" w:bidi="ar-SA"/>
        </w:rPr>
        <w:t>项目的编号：</w:t>
      </w:r>
      <w:r>
        <w:rPr>
          <w:rFonts w:hint="eastAsia" w:ascii="宋体" w:hAnsi="宋体" w:eastAsia="宋体" w:cs="宋体"/>
          <w:bCs/>
          <w:color w:val="auto"/>
          <w:kern w:val="0"/>
          <w:sz w:val="24"/>
          <w:szCs w:val="24"/>
          <w:highlight w:val="none"/>
          <w:u w:val="single"/>
          <w:lang w:val="en-US" w:eastAsia="zh-CN" w:bidi="ar-SA"/>
        </w:rPr>
        <w:t xml:space="preserve">                                     </w:t>
      </w:r>
    </w:p>
    <w:p>
      <w:pPr>
        <w:widowControl w:val="0"/>
        <w:spacing w:line="360" w:lineRule="auto"/>
        <w:ind w:left="25" w:leftChars="12" w:firstLine="472" w:firstLineChars="197"/>
        <w:contextualSpacing/>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采购人名称：</w:t>
      </w:r>
      <w:r>
        <w:rPr>
          <w:rFonts w:hint="eastAsia" w:ascii="宋体" w:hAnsi="宋体" w:eastAsia="宋体" w:cs="宋体"/>
          <w:bCs/>
          <w:color w:val="auto"/>
          <w:kern w:val="0"/>
          <w:sz w:val="24"/>
          <w:szCs w:val="24"/>
          <w:highlight w:val="none"/>
          <w:u w:val="single"/>
          <w:lang w:val="en-US" w:eastAsia="zh-CN" w:bidi="ar-SA"/>
        </w:rPr>
        <w:t xml:space="preserve">                                         </w:t>
      </w:r>
    </w:p>
    <w:p>
      <w:pPr>
        <w:widowControl w:val="0"/>
        <w:spacing w:line="360" w:lineRule="auto"/>
        <w:ind w:left="25" w:leftChars="12" w:firstLine="472" w:firstLineChars="197"/>
        <w:contextualSpacing/>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质疑事项：</w:t>
      </w:r>
    </w:p>
    <w:p>
      <w:pPr>
        <w:widowControl w:val="0"/>
        <w:spacing w:line="360" w:lineRule="auto"/>
        <w:ind w:left="25" w:leftChars="12" w:firstLine="352" w:firstLineChars="147"/>
        <w:contextualSpacing/>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□采购文件   采购文件获取日期：</w:t>
      </w:r>
      <w:r>
        <w:rPr>
          <w:rFonts w:hint="eastAsia" w:ascii="宋体" w:hAnsi="宋体" w:eastAsia="宋体" w:cs="宋体"/>
          <w:bCs/>
          <w:color w:val="auto"/>
          <w:kern w:val="0"/>
          <w:sz w:val="24"/>
          <w:szCs w:val="24"/>
          <w:highlight w:val="none"/>
          <w:u w:val="single"/>
          <w:lang w:val="en-US" w:eastAsia="zh-CN" w:bidi="ar-SA"/>
        </w:rPr>
        <w:t xml:space="preserve">                                   </w:t>
      </w:r>
    </w:p>
    <w:p>
      <w:pPr>
        <w:widowControl w:val="0"/>
        <w:spacing w:line="360" w:lineRule="auto"/>
        <w:ind w:left="25" w:leftChars="12" w:firstLine="352" w:firstLineChars="147"/>
        <w:contextualSpacing/>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□采购过程   </w:t>
      </w:r>
    </w:p>
    <w:p>
      <w:pPr>
        <w:widowControl w:val="0"/>
        <w:spacing w:line="360" w:lineRule="auto"/>
        <w:ind w:left="25" w:leftChars="12" w:firstLine="352" w:firstLineChars="147"/>
        <w:contextualSpacing/>
        <w:jc w:val="both"/>
        <w:rPr>
          <w:rFonts w:hint="eastAsia" w:ascii="宋体" w:hAnsi="宋体" w:eastAsia="宋体" w:cs="宋体"/>
          <w:bCs/>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lang w:val="en-US" w:eastAsia="zh-CN" w:bidi="ar-SA"/>
        </w:rPr>
        <w:t xml:space="preserve">□成交结果   </w:t>
      </w:r>
    </w:p>
    <w:p>
      <w:pPr>
        <w:widowControl w:val="0"/>
        <w:spacing w:line="360" w:lineRule="auto"/>
        <w:ind w:left="25" w:leftChars="12" w:firstLine="472" w:firstLineChars="196"/>
        <w:contextualSpacing/>
        <w:jc w:val="both"/>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三、质疑事项具体内容</w:t>
      </w:r>
    </w:p>
    <w:p>
      <w:pPr>
        <w:widowControl w:val="0"/>
        <w:spacing w:line="360" w:lineRule="auto"/>
        <w:ind w:left="25" w:leftChars="12" w:firstLine="472" w:firstLineChars="197"/>
        <w:contextualSpacing/>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质疑事项1：</w:t>
      </w:r>
      <w:r>
        <w:rPr>
          <w:rFonts w:hint="eastAsia" w:ascii="宋体" w:hAnsi="宋体" w:eastAsia="宋体" w:cs="宋体"/>
          <w:bCs/>
          <w:color w:val="auto"/>
          <w:kern w:val="0"/>
          <w:sz w:val="24"/>
          <w:szCs w:val="24"/>
          <w:highlight w:val="none"/>
          <w:u w:val="single"/>
          <w:lang w:val="en-US" w:eastAsia="zh-CN" w:bidi="ar-SA"/>
        </w:rPr>
        <w:t xml:space="preserve">                                                                    </w:t>
      </w:r>
    </w:p>
    <w:p>
      <w:pPr>
        <w:widowControl w:val="0"/>
        <w:spacing w:line="360" w:lineRule="auto"/>
        <w:ind w:left="25" w:leftChars="12" w:firstLine="472" w:firstLineChars="197"/>
        <w:contextualSpacing/>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事实依据：</w:t>
      </w:r>
      <w:r>
        <w:rPr>
          <w:rFonts w:hint="eastAsia" w:ascii="宋体" w:hAnsi="宋体" w:eastAsia="宋体" w:cs="宋体"/>
          <w:bCs/>
          <w:color w:val="auto"/>
          <w:kern w:val="0"/>
          <w:sz w:val="24"/>
          <w:szCs w:val="24"/>
          <w:highlight w:val="none"/>
          <w:u w:val="single"/>
          <w:lang w:val="en-US" w:eastAsia="zh-CN" w:bidi="ar-SA"/>
        </w:rPr>
        <w:t xml:space="preserve">                                                                      </w:t>
      </w:r>
    </w:p>
    <w:p>
      <w:pPr>
        <w:widowControl w:val="0"/>
        <w:spacing w:line="360" w:lineRule="auto"/>
        <w:ind w:left="25" w:leftChars="12" w:firstLine="472" w:firstLineChars="197"/>
        <w:contextualSpacing/>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法律依据：</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bCs/>
          <w:color w:val="auto"/>
          <w:kern w:val="0"/>
          <w:sz w:val="24"/>
          <w:szCs w:val="24"/>
          <w:highlight w:val="none"/>
          <w:u w:val="single"/>
          <w:lang w:val="en-US" w:eastAsia="zh-CN" w:bidi="ar-SA"/>
        </w:rPr>
        <w:t xml:space="preserve">               </w:t>
      </w:r>
    </w:p>
    <w:p>
      <w:pPr>
        <w:widowControl w:val="0"/>
        <w:spacing w:line="360" w:lineRule="auto"/>
        <w:ind w:left="25" w:leftChars="12" w:firstLine="472" w:firstLineChars="197"/>
        <w:contextualSpacing/>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质疑事项2</w:t>
      </w:r>
    </w:p>
    <w:p>
      <w:pPr>
        <w:widowControl w:val="0"/>
        <w:spacing w:line="360" w:lineRule="auto"/>
        <w:ind w:left="25" w:leftChars="12" w:firstLine="472" w:firstLineChars="197"/>
        <w:contextualSpacing/>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w:t>
      </w:r>
    </w:p>
    <w:p>
      <w:pPr>
        <w:widowControl w:val="0"/>
        <w:spacing w:line="360" w:lineRule="auto"/>
        <w:ind w:left="25" w:leftChars="12" w:firstLine="472" w:firstLineChars="197"/>
        <w:contextualSpacing/>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四、与质疑事项相关的质疑请求：</w:t>
      </w:r>
    </w:p>
    <w:p>
      <w:pPr>
        <w:widowControl w:val="0"/>
        <w:spacing w:line="360" w:lineRule="auto"/>
        <w:ind w:left="25" w:leftChars="12" w:firstLine="472" w:firstLineChars="197"/>
        <w:contextualSpacing/>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请求：</w:t>
      </w:r>
      <w:r>
        <w:rPr>
          <w:rFonts w:hint="eastAsia" w:ascii="宋体" w:hAnsi="宋体" w:eastAsia="宋体" w:cs="宋体"/>
          <w:bCs/>
          <w:color w:val="auto"/>
          <w:kern w:val="0"/>
          <w:sz w:val="24"/>
          <w:szCs w:val="24"/>
          <w:highlight w:val="none"/>
          <w:u w:val="single"/>
          <w:lang w:val="en-US" w:eastAsia="zh-CN" w:bidi="ar-SA"/>
        </w:rPr>
        <w:t xml:space="preserve">                                                                </w:t>
      </w:r>
    </w:p>
    <w:p>
      <w:pPr>
        <w:widowControl w:val="0"/>
        <w:spacing w:line="360" w:lineRule="auto"/>
        <w:ind w:left="25" w:leftChars="12" w:firstLine="352" w:firstLineChars="147"/>
        <w:contextualSpacing/>
        <w:jc w:val="both"/>
        <w:rPr>
          <w:rFonts w:hint="eastAsia" w:ascii="宋体" w:hAnsi="宋体" w:eastAsia="宋体" w:cs="宋体"/>
          <w:color w:val="auto"/>
          <w:kern w:val="0"/>
          <w:sz w:val="24"/>
          <w:szCs w:val="24"/>
          <w:highlight w:val="none"/>
          <w:lang w:val="en-US" w:eastAsia="zh-CN" w:bidi="ar-SA"/>
        </w:rPr>
      </w:pPr>
    </w:p>
    <w:p>
      <w:pPr>
        <w:widowControl w:val="0"/>
        <w:spacing w:line="360" w:lineRule="auto"/>
        <w:ind w:left="25" w:leftChars="12" w:firstLine="472" w:firstLineChars="197"/>
        <w:contextualSpacing/>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签字（签章）：                                       公章：</w:t>
      </w:r>
    </w:p>
    <w:p>
      <w:pPr>
        <w:widowControl w:val="0"/>
        <w:spacing w:line="360" w:lineRule="auto"/>
        <w:ind w:firstLine="480" w:firstLineChars="200"/>
        <w:contextualSpacing/>
        <w:jc w:val="both"/>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日期：</w:t>
      </w:r>
    </w:p>
    <w:p>
      <w:pPr>
        <w:widowControl w:val="0"/>
        <w:spacing w:line="360" w:lineRule="auto"/>
        <w:contextualSpacing/>
        <w:jc w:val="both"/>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说明：</w:t>
      </w:r>
    </w:p>
    <w:p>
      <w:pPr>
        <w:widowControl w:val="0"/>
        <w:spacing w:line="360" w:lineRule="auto"/>
        <w:ind w:left="25" w:leftChars="12" w:firstLine="354" w:firstLineChars="147"/>
        <w:contextualSpacing/>
        <w:jc w:val="both"/>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1.供应商提出质疑时，应提交质疑函和必要的证明材料</w:t>
      </w:r>
      <w:r>
        <w:rPr>
          <w:rFonts w:hint="eastAsia" w:ascii="宋体" w:hAnsi="宋体" w:eastAsia="宋体" w:cs="宋体"/>
          <w:b/>
          <w:bCs/>
          <w:color w:val="auto"/>
          <w:kern w:val="0"/>
          <w:sz w:val="24"/>
          <w:szCs w:val="24"/>
          <w:highlight w:val="none"/>
          <w:lang w:val="en-US" w:eastAsia="zh-CN" w:bidi="ar-SA"/>
        </w:rPr>
        <w:t>。</w:t>
      </w:r>
    </w:p>
    <w:p>
      <w:pPr>
        <w:widowControl w:val="0"/>
        <w:spacing w:line="360" w:lineRule="auto"/>
        <w:ind w:left="25" w:leftChars="12" w:firstLine="354" w:firstLineChars="147"/>
        <w:contextualSpacing/>
        <w:jc w:val="both"/>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widowControl w:val="0"/>
        <w:spacing w:line="360" w:lineRule="auto"/>
        <w:ind w:left="25" w:leftChars="12" w:firstLine="354" w:firstLineChars="147"/>
        <w:contextualSpacing/>
        <w:jc w:val="both"/>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3.质疑函的质疑事项应具体、明确，并有必要的事实依据和法律依据。</w:t>
      </w:r>
    </w:p>
    <w:p>
      <w:pPr>
        <w:widowControl w:val="0"/>
        <w:spacing w:line="360" w:lineRule="auto"/>
        <w:ind w:left="25" w:leftChars="12" w:firstLine="354" w:firstLineChars="147"/>
        <w:contextualSpacing/>
        <w:jc w:val="both"/>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4.质疑函的质疑请求应与质疑事项相关。</w:t>
      </w:r>
    </w:p>
    <w:p>
      <w:pPr>
        <w:widowControl w:val="0"/>
        <w:spacing w:line="360" w:lineRule="auto"/>
        <w:ind w:left="25" w:leftChars="12" w:firstLine="354" w:firstLineChars="147"/>
        <w:contextualSpacing/>
        <w:jc w:val="both"/>
        <w:rPr>
          <w:rFonts w:hint="eastAsia" w:ascii="宋体" w:hAnsi="宋体" w:eastAsia="宋体" w:cs="宋体"/>
          <w:b/>
          <w:color w:val="auto"/>
          <w:kern w:val="0"/>
          <w:sz w:val="20"/>
          <w:szCs w:val="21"/>
          <w:highlight w:val="none"/>
          <w:lang w:val="en-US" w:eastAsia="zh-CN" w:bidi="ar-SA"/>
        </w:rPr>
      </w:pPr>
      <w:r>
        <w:rPr>
          <w:rFonts w:hint="eastAsia" w:ascii="宋体" w:hAnsi="宋体" w:eastAsia="宋体" w:cs="宋体"/>
          <w:b/>
          <w:color w:val="auto"/>
          <w:kern w:val="0"/>
          <w:sz w:val="24"/>
          <w:szCs w:val="24"/>
          <w:highlight w:val="none"/>
          <w:lang w:val="en-US" w:eastAsia="zh-CN" w:bidi="ar-SA"/>
        </w:rPr>
        <w:t>5.质疑供应商为法人或者其他组织的，质疑函应由法定代表人、主要负责人，或者其授权代表签字或者盖章，并加盖公章。</w:t>
      </w:r>
    </w:p>
    <w:p>
      <w:pPr>
        <w:widowControl w:val="0"/>
        <w:snapToGrid w:val="0"/>
        <w:jc w:val="both"/>
        <w:rPr>
          <w:rFonts w:hint="eastAsia" w:ascii="宋体" w:hAnsi="宋体" w:eastAsia="宋体" w:cs="宋体"/>
          <w:b/>
          <w:color w:val="auto"/>
          <w:kern w:val="0"/>
          <w:sz w:val="24"/>
          <w:szCs w:val="24"/>
          <w:highlight w:val="none"/>
          <w:lang w:val="en-US" w:eastAsia="zh-CN" w:bidi="ar-SA"/>
        </w:rPr>
      </w:pPr>
    </w:p>
    <w:p>
      <w:pPr>
        <w:rPr>
          <w:rFonts w:hint="eastAsia" w:ascii="宋体" w:hAnsi="宋体" w:eastAsia="宋体" w:cs="宋体"/>
          <w:color w:val="auto"/>
          <w:sz w:val="32"/>
          <w:szCs w:val="40"/>
          <w:highlight w:val="none"/>
        </w:rPr>
      </w:pPr>
    </w:p>
    <w:p>
      <w:pPr>
        <w:rPr>
          <w:rFonts w:hint="eastAsia" w:ascii="宋体" w:hAnsi="宋体" w:eastAsia="宋体" w:cs="宋体"/>
          <w:color w:val="auto"/>
          <w:sz w:val="32"/>
          <w:szCs w:val="40"/>
          <w:highlight w:val="none"/>
        </w:rPr>
      </w:pPr>
    </w:p>
    <w:p>
      <w:pPr>
        <w:rPr>
          <w:rFonts w:hint="eastAsia" w:ascii="宋体" w:hAnsi="宋体" w:eastAsia="宋体" w:cs="宋体"/>
          <w:color w:val="auto"/>
          <w:sz w:val="32"/>
          <w:szCs w:val="40"/>
          <w:highlight w:val="none"/>
        </w:rPr>
      </w:pPr>
    </w:p>
    <w:p>
      <w:pPr>
        <w:rPr>
          <w:rFonts w:hint="eastAsia" w:ascii="宋体" w:hAnsi="宋体" w:eastAsia="宋体" w:cs="宋体"/>
          <w:color w:val="auto"/>
          <w:sz w:val="32"/>
          <w:szCs w:val="40"/>
          <w:highlight w:val="none"/>
        </w:rPr>
      </w:pPr>
    </w:p>
    <w:p>
      <w:pPr>
        <w:rPr>
          <w:rFonts w:hint="eastAsia" w:ascii="宋体" w:hAnsi="宋体" w:eastAsia="宋体" w:cs="宋体"/>
          <w:color w:val="auto"/>
          <w:sz w:val="32"/>
          <w:szCs w:val="40"/>
          <w:highlight w:val="none"/>
        </w:rPr>
      </w:pPr>
    </w:p>
    <w:p>
      <w:pPr>
        <w:rPr>
          <w:rFonts w:hint="eastAsia" w:ascii="宋体" w:hAnsi="宋体" w:eastAsia="宋体" w:cs="宋体"/>
          <w:color w:val="auto"/>
          <w:sz w:val="32"/>
          <w:szCs w:val="40"/>
          <w:highlight w:val="none"/>
        </w:rPr>
      </w:pPr>
    </w:p>
    <w:p>
      <w:pPr>
        <w:rPr>
          <w:rFonts w:hint="eastAsia" w:ascii="宋体" w:hAnsi="宋体" w:eastAsia="宋体" w:cs="宋体"/>
          <w:color w:val="auto"/>
          <w:sz w:val="32"/>
          <w:szCs w:val="40"/>
          <w:highlight w:val="none"/>
        </w:rPr>
      </w:pPr>
    </w:p>
    <w:p>
      <w:pPr>
        <w:rPr>
          <w:rFonts w:hint="eastAsia" w:ascii="宋体" w:hAnsi="宋体" w:eastAsia="宋体" w:cs="宋体"/>
          <w:color w:val="auto"/>
          <w:sz w:val="32"/>
          <w:szCs w:val="40"/>
          <w:highlight w:val="none"/>
        </w:rPr>
      </w:pPr>
    </w:p>
    <w:p>
      <w:pPr>
        <w:rPr>
          <w:rFonts w:hint="eastAsia" w:ascii="宋体" w:hAnsi="宋体" w:eastAsia="宋体" w:cs="宋体"/>
          <w:color w:val="auto"/>
          <w:sz w:val="32"/>
          <w:szCs w:val="40"/>
          <w:highlight w:val="none"/>
        </w:rPr>
      </w:pPr>
    </w:p>
    <w:p>
      <w:pPr>
        <w:rPr>
          <w:rFonts w:hint="eastAsia" w:ascii="宋体" w:hAnsi="宋体" w:eastAsia="宋体" w:cs="宋体"/>
          <w:color w:val="auto"/>
          <w:sz w:val="32"/>
          <w:szCs w:val="40"/>
          <w:highlight w:val="none"/>
        </w:rPr>
      </w:pPr>
    </w:p>
    <w:p>
      <w:pPr>
        <w:rPr>
          <w:rFonts w:hint="eastAsia" w:ascii="宋体" w:hAnsi="宋体" w:eastAsia="宋体" w:cs="宋体"/>
          <w:color w:val="auto"/>
          <w:sz w:val="32"/>
          <w:szCs w:val="40"/>
          <w:highlight w:val="none"/>
        </w:rPr>
      </w:pPr>
    </w:p>
    <w:p>
      <w:pPr>
        <w:rPr>
          <w:rFonts w:hint="eastAsia" w:ascii="宋体" w:hAnsi="宋体" w:eastAsia="宋体" w:cs="宋体"/>
          <w:color w:val="auto"/>
          <w:sz w:val="32"/>
          <w:szCs w:val="40"/>
          <w:highlight w:val="none"/>
        </w:rPr>
      </w:pPr>
    </w:p>
    <w:p>
      <w:pPr>
        <w:rPr>
          <w:rFonts w:hint="eastAsia" w:ascii="宋体" w:hAnsi="宋体" w:eastAsia="宋体" w:cs="宋体"/>
          <w:color w:val="auto"/>
          <w:sz w:val="32"/>
          <w:szCs w:val="40"/>
          <w:highlight w:val="none"/>
        </w:rPr>
      </w:pPr>
    </w:p>
    <w:p>
      <w:pPr>
        <w:rPr>
          <w:rFonts w:hint="eastAsia" w:ascii="宋体" w:hAnsi="宋体" w:eastAsia="宋体" w:cs="宋体"/>
          <w:color w:val="auto"/>
          <w:sz w:val="32"/>
          <w:szCs w:val="40"/>
          <w:highlight w:val="none"/>
        </w:rPr>
      </w:pPr>
    </w:p>
    <w:p>
      <w:pPr>
        <w:spacing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color w:val="auto"/>
          <w:sz w:val="44"/>
          <w:szCs w:val="44"/>
          <w:highlight w:val="none"/>
        </w:rPr>
        <w:t>投诉书（格式）</w:t>
      </w:r>
    </w:p>
    <w:p>
      <w:pPr>
        <w:widowControl w:val="0"/>
        <w:snapToGrid w:val="0"/>
        <w:spacing w:line="360" w:lineRule="auto"/>
        <w:ind w:firstLine="482" w:firstLineChars="200"/>
        <w:jc w:val="both"/>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一、投诉相关主体基本情况：</w:t>
      </w:r>
    </w:p>
    <w:p>
      <w:pPr>
        <w:widowControl w:val="0"/>
        <w:snapToGrid w:val="0"/>
        <w:spacing w:line="360" w:lineRule="auto"/>
        <w:ind w:firstLine="480" w:firstLineChars="200"/>
        <w:jc w:val="both"/>
        <w:rPr>
          <w:rFonts w:hint="eastAsia" w:ascii="宋体" w:hAnsi="宋体" w:eastAsia="宋体" w:cs="宋体"/>
          <w:bCs/>
          <w:color w:val="auto"/>
          <w:kern w:val="0"/>
          <w:sz w:val="24"/>
          <w:szCs w:val="24"/>
          <w:highlight w:val="none"/>
          <w:u w:val="single"/>
          <w:lang w:val="en-US" w:eastAsia="zh-CN" w:bidi="ar-SA"/>
        </w:rPr>
      </w:pPr>
      <w:r>
        <w:rPr>
          <w:rFonts w:hint="eastAsia" w:ascii="宋体" w:hAnsi="宋体" w:eastAsia="宋体" w:cs="宋体"/>
          <w:bCs/>
          <w:color w:val="auto"/>
          <w:kern w:val="0"/>
          <w:sz w:val="24"/>
          <w:szCs w:val="24"/>
          <w:highlight w:val="none"/>
          <w:lang w:val="en-US" w:eastAsia="zh-CN" w:bidi="ar-SA"/>
        </w:rPr>
        <w:t>供应商：</w:t>
      </w:r>
      <w:r>
        <w:rPr>
          <w:rFonts w:hint="eastAsia" w:ascii="宋体" w:hAnsi="宋体" w:eastAsia="宋体" w:cs="宋体"/>
          <w:bCs/>
          <w:color w:val="auto"/>
          <w:kern w:val="0"/>
          <w:sz w:val="24"/>
          <w:szCs w:val="24"/>
          <w:highlight w:val="none"/>
          <w:u w:val="single"/>
          <w:lang w:val="en-US" w:eastAsia="zh-CN" w:bidi="ar-SA"/>
        </w:rPr>
        <w:t xml:space="preserve">                                                                        </w:t>
      </w:r>
      <w:r>
        <w:rPr>
          <w:rFonts w:hint="eastAsia" w:ascii="宋体" w:hAnsi="宋体" w:eastAsia="宋体" w:cs="宋体"/>
          <w:bCs/>
          <w:color w:val="auto"/>
          <w:kern w:val="0"/>
          <w:sz w:val="24"/>
          <w:szCs w:val="24"/>
          <w:highlight w:val="none"/>
          <w:lang w:val="en-US" w:eastAsia="zh-CN" w:bidi="ar-SA"/>
        </w:rPr>
        <w:t xml:space="preserve">                 </w:t>
      </w:r>
    </w:p>
    <w:p>
      <w:pPr>
        <w:widowControl w:val="0"/>
        <w:snapToGrid w:val="0"/>
        <w:spacing w:line="360" w:lineRule="auto"/>
        <w:ind w:firstLine="480" w:firstLineChars="200"/>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地址：</w:t>
      </w:r>
      <w:r>
        <w:rPr>
          <w:rFonts w:hint="eastAsia" w:ascii="宋体" w:hAnsi="宋体" w:eastAsia="宋体" w:cs="宋体"/>
          <w:bCs/>
          <w:color w:val="auto"/>
          <w:kern w:val="0"/>
          <w:sz w:val="24"/>
          <w:szCs w:val="24"/>
          <w:highlight w:val="none"/>
          <w:u w:val="single"/>
          <w:lang w:val="en-US" w:eastAsia="zh-CN" w:bidi="ar-SA"/>
        </w:rPr>
        <w:t xml:space="preserve">                                          </w:t>
      </w:r>
      <w:r>
        <w:rPr>
          <w:rFonts w:hint="eastAsia" w:ascii="宋体" w:hAnsi="宋体" w:eastAsia="宋体" w:cs="宋体"/>
          <w:bCs/>
          <w:color w:val="auto"/>
          <w:kern w:val="0"/>
          <w:sz w:val="24"/>
          <w:szCs w:val="24"/>
          <w:highlight w:val="none"/>
          <w:lang w:val="en-US" w:eastAsia="zh-CN" w:bidi="ar-SA"/>
        </w:rPr>
        <w:t>邮编：</w:t>
      </w:r>
      <w:r>
        <w:rPr>
          <w:rFonts w:hint="eastAsia" w:ascii="宋体" w:hAnsi="宋体" w:eastAsia="宋体" w:cs="宋体"/>
          <w:bCs/>
          <w:color w:val="auto"/>
          <w:kern w:val="0"/>
          <w:sz w:val="24"/>
          <w:szCs w:val="24"/>
          <w:highlight w:val="none"/>
          <w:u w:val="single"/>
          <w:lang w:val="en-US" w:eastAsia="zh-CN" w:bidi="ar-SA"/>
        </w:rPr>
        <w:t xml:space="preserve">                          </w:t>
      </w:r>
      <w:r>
        <w:rPr>
          <w:rFonts w:hint="eastAsia" w:ascii="宋体" w:hAnsi="宋体" w:eastAsia="宋体" w:cs="宋体"/>
          <w:bCs/>
          <w:color w:val="auto"/>
          <w:kern w:val="0"/>
          <w:sz w:val="24"/>
          <w:szCs w:val="24"/>
          <w:highlight w:val="none"/>
          <w:lang w:val="en-US" w:eastAsia="zh-CN" w:bidi="ar-SA"/>
        </w:rPr>
        <w:t xml:space="preserve">                 </w:t>
      </w:r>
    </w:p>
    <w:p>
      <w:pPr>
        <w:widowControl w:val="0"/>
        <w:snapToGrid w:val="0"/>
        <w:spacing w:line="360" w:lineRule="auto"/>
        <w:ind w:firstLine="480" w:firstLineChars="200"/>
        <w:jc w:val="both"/>
        <w:rPr>
          <w:rFonts w:hint="eastAsia" w:ascii="宋体" w:hAnsi="宋体" w:eastAsia="宋体" w:cs="宋体"/>
          <w:bCs/>
          <w:color w:val="auto"/>
          <w:kern w:val="0"/>
          <w:sz w:val="24"/>
          <w:szCs w:val="24"/>
          <w:highlight w:val="none"/>
          <w:u w:val="single"/>
          <w:lang w:val="en-US" w:eastAsia="zh-CN" w:bidi="ar-SA"/>
        </w:rPr>
      </w:pPr>
      <w:r>
        <w:rPr>
          <w:rFonts w:hint="eastAsia" w:ascii="宋体" w:hAnsi="宋体" w:eastAsia="宋体" w:cs="宋体"/>
          <w:bCs/>
          <w:color w:val="auto"/>
          <w:kern w:val="0"/>
          <w:sz w:val="24"/>
          <w:szCs w:val="24"/>
          <w:highlight w:val="none"/>
          <w:lang w:val="en-US" w:eastAsia="zh-CN" w:bidi="ar-SA"/>
        </w:rPr>
        <w:t>法定代表人/主要负责人：</w:t>
      </w:r>
      <w:r>
        <w:rPr>
          <w:rFonts w:hint="eastAsia" w:ascii="宋体" w:hAnsi="宋体" w:eastAsia="宋体" w:cs="宋体"/>
          <w:bCs/>
          <w:color w:val="auto"/>
          <w:kern w:val="0"/>
          <w:sz w:val="24"/>
          <w:szCs w:val="24"/>
          <w:highlight w:val="none"/>
          <w:u w:val="single"/>
          <w:lang w:val="en-US" w:eastAsia="zh-CN" w:bidi="ar-SA"/>
        </w:rPr>
        <w:t xml:space="preserve">                                                         </w:t>
      </w:r>
    </w:p>
    <w:p>
      <w:pPr>
        <w:widowControl w:val="0"/>
        <w:snapToGrid w:val="0"/>
        <w:spacing w:line="360" w:lineRule="auto"/>
        <w:ind w:firstLine="480" w:firstLineChars="200"/>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联系电话：</w:t>
      </w:r>
      <w:r>
        <w:rPr>
          <w:rFonts w:hint="eastAsia" w:ascii="宋体" w:hAnsi="宋体" w:eastAsia="宋体" w:cs="宋体"/>
          <w:bCs/>
          <w:color w:val="auto"/>
          <w:kern w:val="0"/>
          <w:sz w:val="24"/>
          <w:szCs w:val="24"/>
          <w:highlight w:val="none"/>
          <w:u w:val="single"/>
          <w:lang w:val="en-US" w:eastAsia="zh-CN" w:bidi="ar-SA"/>
        </w:rPr>
        <w:t xml:space="preserve">                                         </w:t>
      </w:r>
    </w:p>
    <w:p>
      <w:pPr>
        <w:widowControl w:val="0"/>
        <w:snapToGrid w:val="0"/>
        <w:spacing w:line="360" w:lineRule="auto"/>
        <w:ind w:firstLine="480" w:firstLineChars="200"/>
        <w:jc w:val="both"/>
        <w:rPr>
          <w:rFonts w:hint="eastAsia" w:ascii="宋体" w:hAnsi="宋体" w:eastAsia="宋体" w:cs="宋体"/>
          <w:bCs/>
          <w:color w:val="auto"/>
          <w:kern w:val="0"/>
          <w:sz w:val="24"/>
          <w:szCs w:val="24"/>
          <w:highlight w:val="none"/>
          <w:u w:val="single"/>
          <w:lang w:val="en-US" w:eastAsia="zh-CN" w:bidi="ar-SA"/>
        </w:rPr>
      </w:pPr>
      <w:r>
        <w:rPr>
          <w:rFonts w:hint="eastAsia" w:ascii="宋体" w:hAnsi="宋体" w:eastAsia="宋体" w:cs="宋体"/>
          <w:bCs/>
          <w:color w:val="auto"/>
          <w:kern w:val="0"/>
          <w:sz w:val="24"/>
          <w:szCs w:val="24"/>
          <w:highlight w:val="none"/>
          <w:lang w:val="en-US" w:eastAsia="zh-CN" w:bidi="ar-SA"/>
        </w:rPr>
        <w:t>授权代表：</w:t>
      </w:r>
      <w:r>
        <w:rPr>
          <w:rFonts w:hint="eastAsia" w:ascii="宋体" w:hAnsi="宋体" w:eastAsia="宋体" w:cs="宋体"/>
          <w:bCs/>
          <w:color w:val="auto"/>
          <w:kern w:val="0"/>
          <w:sz w:val="24"/>
          <w:szCs w:val="24"/>
          <w:highlight w:val="none"/>
          <w:u w:val="single"/>
          <w:lang w:val="en-US" w:eastAsia="zh-CN" w:bidi="ar-SA"/>
        </w:rPr>
        <w:t xml:space="preserve">                                         </w:t>
      </w:r>
      <w:r>
        <w:rPr>
          <w:rFonts w:hint="eastAsia" w:ascii="宋体" w:hAnsi="宋体" w:eastAsia="宋体" w:cs="宋体"/>
          <w:bCs/>
          <w:color w:val="auto"/>
          <w:kern w:val="0"/>
          <w:sz w:val="24"/>
          <w:szCs w:val="24"/>
          <w:highlight w:val="none"/>
          <w:lang w:val="en-US" w:eastAsia="zh-CN" w:bidi="ar-SA"/>
        </w:rPr>
        <w:t>联系电话：</w:t>
      </w:r>
      <w:r>
        <w:rPr>
          <w:rFonts w:hint="eastAsia" w:ascii="宋体" w:hAnsi="宋体" w:eastAsia="宋体" w:cs="宋体"/>
          <w:bCs/>
          <w:color w:val="auto"/>
          <w:kern w:val="0"/>
          <w:sz w:val="24"/>
          <w:szCs w:val="24"/>
          <w:highlight w:val="none"/>
          <w:u w:val="single"/>
          <w:lang w:val="en-US" w:eastAsia="zh-CN" w:bidi="ar-SA"/>
        </w:rPr>
        <w:t xml:space="preserve">                   </w:t>
      </w:r>
    </w:p>
    <w:p>
      <w:pPr>
        <w:widowControl w:val="0"/>
        <w:snapToGrid w:val="0"/>
        <w:spacing w:line="360" w:lineRule="auto"/>
        <w:ind w:firstLine="480" w:firstLineChars="200"/>
        <w:jc w:val="both"/>
        <w:rPr>
          <w:rFonts w:hint="eastAsia" w:ascii="宋体" w:hAnsi="宋体" w:eastAsia="宋体" w:cs="宋体"/>
          <w:bCs/>
          <w:color w:val="auto"/>
          <w:kern w:val="0"/>
          <w:sz w:val="24"/>
          <w:szCs w:val="24"/>
          <w:highlight w:val="none"/>
          <w:u w:val="single"/>
          <w:lang w:val="en-US" w:eastAsia="zh-CN" w:bidi="ar-SA"/>
        </w:rPr>
      </w:pPr>
      <w:r>
        <w:rPr>
          <w:rFonts w:hint="eastAsia" w:ascii="宋体" w:hAnsi="宋体" w:eastAsia="宋体" w:cs="宋体"/>
          <w:bCs/>
          <w:color w:val="auto"/>
          <w:kern w:val="0"/>
          <w:sz w:val="24"/>
          <w:szCs w:val="24"/>
          <w:highlight w:val="none"/>
          <w:lang w:val="en-US" w:eastAsia="zh-CN" w:bidi="ar-SA"/>
        </w:rPr>
        <w:t>地址：</w:t>
      </w:r>
      <w:r>
        <w:rPr>
          <w:rFonts w:hint="eastAsia" w:ascii="宋体" w:hAnsi="宋体" w:eastAsia="宋体" w:cs="宋体"/>
          <w:bCs/>
          <w:color w:val="auto"/>
          <w:kern w:val="0"/>
          <w:sz w:val="24"/>
          <w:szCs w:val="24"/>
          <w:highlight w:val="none"/>
          <w:u w:val="single"/>
          <w:lang w:val="en-US" w:eastAsia="zh-CN" w:bidi="ar-SA"/>
        </w:rPr>
        <w:t xml:space="preserve">                                                            </w:t>
      </w:r>
    </w:p>
    <w:p>
      <w:pPr>
        <w:widowControl w:val="0"/>
        <w:snapToGrid w:val="0"/>
        <w:spacing w:line="360" w:lineRule="auto"/>
        <w:ind w:firstLine="480" w:firstLineChars="200"/>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邮编：</w:t>
      </w:r>
      <w:r>
        <w:rPr>
          <w:rFonts w:hint="eastAsia" w:ascii="宋体" w:hAnsi="宋体" w:eastAsia="宋体" w:cs="宋体"/>
          <w:bCs/>
          <w:color w:val="auto"/>
          <w:kern w:val="0"/>
          <w:sz w:val="24"/>
          <w:szCs w:val="24"/>
          <w:highlight w:val="none"/>
          <w:u w:val="single"/>
          <w:lang w:val="en-US" w:eastAsia="zh-CN" w:bidi="ar-SA"/>
        </w:rPr>
        <w:t xml:space="preserve">         </w:t>
      </w:r>
      <w:r>
        <w:rPr>
          <w:rFonts w:hint="eastAsia" w:ascii="宋体" w:hAnsi="宋体" w:eastAsia="宋体" w:cs="宋体"/>
          <w:bCs/>
          <w:color w:val="auto"/>
          <w:kern w:val="0"/>
          <w:sz w:val="24"/>
          <w:szCs w:val="24"/>
          <w:highlight w:val="none"/>
          <w:lang w:val="en-US" w:eastAsia="zh-CN" w:bidi="ar-SA"/>
        </w:rPr>
        <w:t xml:space="preserve">   </w:t>
      </w:r>
    </w:p>
    <w:p>
      <w:pPr>
        <w:widowControl w:val="0"/>
        <w:snapToGrid w:val="0"/>
        <w:spacing w:line="360" w:lineRule="auto"/>
        <w:ind w:firstLine="480" w:firstLineChars="200"/>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被投诉人1：</w:t>
      </w:r>
    </w:p>
    <w:p>
      <w:pPr>
        <w:widowControl w:val="0"/>
        <w:snapToGrid w:val="0"/>
        <w:spacing w:line="360" w:lineRule="auto"/>
        <w:ind w:firstLine="480" w:firstLineChars="200"/>
        <w:jc w:val="both"/>
        <w:rPr>
          <w:rFonts w:hint="eastAsia" w:ascii="宋体" w:hAnsi="宋体" w:eastAsia="宋体" w:cs="宋体"/>
          <w:bCs/>
          <w:color w:val="auto"/>
          <w:kern w:val="0"/>
          <w:sz w:val="24"/>
          <w:szCs w:val="24"/>
          <w:highlight w:val="none"/>
          <w:u w:val="single"/>
          <w:lang w:val="en-US" w:eastAsia="zh-CN" w:bidi="ar-SA"/>
        </w:rPr>
      </w:pPr>
      <w:r>
        <w:rPr>
          <w:rFonts w:hint="eastAsia" w:ascii="宋体" w:hAnsi="宋体" w:eastAsia="宋体" w:cs="宋体"/>
          <w:bCs/>
          <w:color w:val="auto"/>
          <w:kern w:val="0"/>
          <w:sz w:val="24"/>
          <w:szCs w:val="24"/>
          <w:highlight w:val="none"/>
          <w:lang w:val="en-US" w:eastAsia="zh-CN" w:bidi="ar-SA"/>
        </w:rPr>
        <w:t>地址：</w:t>
      </w:r>
      <w:r>
        <w:rPr>
          <w:rFonts w:hint="eastAsia" w:ascii="宋体" w:hAnsi="宋体" w:eastAsia="宋体" w:cs="宋体"/>
          <w:bCs/>
          <w:color w:val="auto"/>
          <w:kern w:val="0"/>
          <w:sz w:val="24"/>
          <w:szCs w:val="24"/>
          <w:highlight w:val="none"/>
          <w:u w:val="single"/>
          <w:lang w:val="en-US" w:eastAsia="zh-CN" w:bidi="ar-SA"/>
        </w:rPr>
        <w:t xml:space="preserve">                                                            </w:t>
      </w:r>
    </w:p>
    <w:p>
      <w:pPr>
        <w:widowControl w:val="0"/>
        <w:snapToGrid w:val="0"/>
        <w:spacing w:line="360" w:lineRule="auto"/>
        <w:ind w:firstLine="480" w:firstLineChars="200"/>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邮编：</w:t>
      </w:r>
      <w:r>
        <w:rPr>
          <w:rFonts w:hint="eastAsia" w:ascii="宋体" w:hAnsi="宋体" w:eastAsia="宋体" w:cs="宋体"/>
          <w:bCs/>
          <w:color w:val="auto"/>
          <w:kern w:val="0"/>
          <w:sz w:val="24"/>
          <w:szCs w:val="24"/>
          <w:highlight w:val="none"/>
          <w:u w:val="single"/>
          <w:lang w:val="en-US" w:eastAsia="zh-CN" w:bidi="ar-SA"/>
        </w:rPr>
        <w:t xml:space="preserve">         </w:t>
      </w:r>
      <w:r>
        <w:rPr>
          <w:rFonts w:hint="eastAsia" w:ascii="宋体" w:hAnsi="宋体" w:eastAsia="宋体" w:cs="宋体"/>
          <w:bCs/>
          <w:color w:val="auto"/>
          <w:kern w:val="0"/>
          <w:sz w:val="24"/>
          <w:szCs w:val="24"/>
          <w:highlight w:val="none"/>
          <w:lang w:val="en-US" w:eastAsia="zh-CN" w:bidi="ar-SA"/>
        </w:rPr>
        <w:t xml:space="preserve">  </w:t>
      </w:r>
    </w:p>
    <w:p>
      <w:pPr>
        <w:widowControl w:val="0"/>
        <w:snapToGrid w:val="0"/>
        <w:spacing w:line="360" w:lineRule="auto"/>
        <w:ind w:firstLine="480" w:firstLineChars="200"/>
        <w:jc w:val="both"/>
        <w:rPr>
          <w:rFonts w:hint="eastAsia" w:ascii="宋体" w:hAnsi="宋体" w:eastAsia="宋体" w:cs="宋体"/>
          <w:bCs/>
          <w:color w:val="auto"/>
          <w:kern w:val="0"/>
          <w:sz w:val="24"/>
          <w:szCs w:val="24"/>
          <w:highlight w:val="none"/>
          <w:u w:val="single"/>
          <w:lang w:val="en-US" w:eastAsia="zh-CN" w:bidi="ar-SA"/>
        </w:rPr>
      </w:pPr>
      <w:r>
        <w:rPr>
          <w:rFonts w:hint="eastAsia" w:ascii="宋体" w:hAnsi="宋体" w:eastAsia="宋体" w:cs="宋体"/>
          <w:bCs/>
          <w:color w:val="auto"/>
          <w:kern w:val="0"/>
          <w:sz w:val="24"/>
          <w:szCs w:val="24"/>
          <w:highlight w:val="none"/>
          <w:lang w:val="en-US" w:eastAsia="zh-CN" w:bidi="ar-SA"/>
        </w:rPr>
        <w:t>联系人：</w:t>
      </w:r>
      <w:r>
        <w:rPr>
          <w:rFonts w:hint="eastAsia" w:ascii="宋体" w:hAnsi="宋体" w:eastAsia="宋体" w:cs="宋体"/>
          <w:bCs/>
          <w:color w:val="auto"/>
          <w:kern w:val="0"/>
          <w:sz w:val="24"/>
          <w:szCs w:val="24"/>
          <w:highlight w:val="none"/>
          <w:u w:val="single"/>
          <w:lang w:val="en-US" w:eastAsia="zh-CN" w:bidi="ar-SA"/>
        </w:rPr>
        <w:t xml:space="preserve">                                                </w:t>
      </w:r>
      <w:r>
        <w:rPr>
          <w:rFonts w:hint="eastAsia" w:ascii="宋体" w:hAnsi="宋体" w:eastAsia="宋体" w:cs="宋体"/>
          <w:bCs/>
          <w:color w:val="auto"/>
          <w:kern w:val="0"/>
          <w:sz w:val="24"/>
          <w:szCs w:val="24"/>
          <w:highlight w:val="none"/>
          <w:lang w:val="en-US" w:eastAsia="zh-CN" w:bidi="ar-SA"/>
        </w:rPr>
        <w:t>联系电话：</w:t>
      </w:r>
      <w:r>
        <w:rPr>
          <w:rFonts w:hint="eastAsia" w:ascii="宋体" w:hAnsi="宋体" w:eastAsia="宋体" w:cs="宋体"/>
          <w:bCs/>
          <w:color w:val="auto"/>
          <w:kern w:val="0"/>
          <w:sz w:val="24"/>
          <w:szCs w:val="24"/>
          <w:highlight w:val="none"/>
          <w:u w:val="single"/>
          <w:lang w:val="en-US" w:eastAsia="zh-CN" w:bidi="ar-SA"/>
        </w:rPr>
        <w:t xml:space="preserve">                </w:t>
      </w:r>
    </w:p>
    <w:p>
      <w:pPr>
        <w:widowControl w:val="0"/>
        <w:snapToGrid w:val="0"/>
        <w:spacing w:line="360" w:lineRule="auto"/>
        <w:ind w:firstLine="480" w:firstLineChars="200"/>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被投诉人2：</w:t>
      </w:r>
    </w:p>
    <w:p>
      <w:pPr>
        <w:widowControl w:val="0"/>
        <w:snapToGrid w:val="0"/>
        <w:spacing w:line="360" w:lineRule="auto"/>
        <w:ind w:firstLine="480" w:firstLineChars="200"/>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w:t>
      </w:r>
    </w:p>
    <w:p>
      <w:pPr>
        <w:widowControl w:val="0"/>
        <w:snapToGrid w:val="0"/>
        <w:spacing w:line="360" w:lineRule="auto"/>
        <w:ind w:firstLine="480" w:firstLineChars="200"/>
        <w:jc w:val="both"/>
        <w:rPr>
          <w:rFonts w:hint="eastAsia" w:ascii="宋体" w:hAnsi="宋体" w:eastAsia="宋体" w:cs="宋体"/>
          <w:bCs/>
          <w:color w:val="auto"/>
          <w:kern w:val="0"/>
          <w:sz w:val="24"/>
          <w:szCs w:val="24"/>
          <w:highlight w:val="none"/>
          <w:u w:val="single"/>
          <w:lang w:val="en-US" w:eastAsia="zh-CN" w:bidi="ar-SA"/>
        </w:rPr>
      </w:pPr>
      <w:r>
        <w:rPr>
          <w:rFonts w:hint="eastAsia" w:ascii="宋体" w:hAnsi="宋体" w:eastAsia="宋体" w:cs="宋体"/>
          <w:bCs/>
          <w:color w:val="auto"/>
          <w:kern w:val="0"/>
          <w:sz w:val="24"/>
          <w:szCs w:val="24"/>
          <w:highlight w:val="none"/>
          <w:lang w:val="en-US" w:eastAsia="zh-CN" w:bidi="ar-SA"/>
        </w:rPr>
        <w:t>相关供应商：</w:t>
      </w:r>
      <w:r>
        <w:rPr>
          <w:rFonts w:hint="eastAsia" w:ascii="宋体" w:hAnsi="宋体" w:eastAsia="宋体" w:cs="宋体"/>
          <w:bCs/>
          <w:color w:val="auto"/>
          <w:kern w:val="0"/>
          <w:sz w:val="24"/>
          <w:szCs w:val="24"/>
          <w:highlight w:val="none"/>
          <w:u w:val="single"/>
          <w:lang w:val="en-US" w:eastAsia="zh-CN" w:bidi="ar-SA"/>
        </w:rPr>
        <w:t xml:space="preserve">                                                                       </w:t>
      </w:r>
    </w:p>
    <w:p>
      <w:pPr>
        <w:widowControl w:val="0"/>
        <w:snapToGrid w:val="0"/>
        <w:spacing w:line="360" w:lineRule="auto"/>
        <w:ind w:firstLine="480" w:firstLineChars="200"/>
        <w:jc w:val="both"/>
        <w:rPr>
          <w:rFonts w:hint="eastAsia" w:ascii="宋体" w:hAnsi="宋体" w:eastAsia="宋体" w:cs="宋体"/>
          <w:bCs/>
          <w:color w:val="auto"/>
          <w:kern w:val="0"/>
          <w:sz w:val="24"/>
          <w:szCs w:val="24"/>
          <w:highlight w:val="none"/>
          <w:u w:val="single"/>
          <w:lang w:val="en-US" w:eastAsia="zh-CN" w:bidi="ar-SA"/>
        </w:rPr>
      </w:pPr>
      <w:r>
        <w:rPr>
          <w:rFonts w:hint="eastAsia" w:ascii="宋体" w:hAnsi="宋体" w:eastAsia="宋体" w:cs="宋体"/>
          <w:bCs/>
          <w:color w:val="auto"/>
          <w:kern w:val="0"/>
          <w:sz w:val="24"/>
          <w:szCs w:val="24"/>
          <w:highlight w:val="none"/>
          <w:lang w:val="en-US" w:eastAsia="zh-CN" w:bidi="ar-SA"/>
        </w:rPr>
        <w:t>地址：</w:t>
      </w:r>
      <w:r>
        <w:rPr>
          <w:rFonts w:hint="eastAsia" w:ascii="宋体" w:hAnsi="宋体" w:eastAsia="宋体" w:cs="宋体"/>
          <w:bCs/>
          <w:color w:val="auto"/>
          <w:kern w:val="0"/>
          <w:sz w:val="24"/>
          <w:szCs w:val="24"/>
          <w:highlight w:val="none"/>
          <w:u w:val="single"/>
          <w:lang w:val="en-US" w:eastAsia="zh-CN" w:bidi="ar-SA"/>
        </w:rPr>
        <w:t xml:space="preserve">                                              </w:t>
      </w:r>
      <w:r>
        <w:rPr>
          <w:rFonts w:hint="eastAsia" w:ascii="宋体" w:hAnsi="宋体" w:eastAsia="宋体" w:cs="宋体"/>
          <w:bCs/>
          <w:color w:val="auto"/>
          <w:kern w:val="0"/>
          <w:sz w:val="24"/>
          <w:szCs w:val="24"/>
          <w:highlight w:val="none"/>
          <w:lang w:val="en-US" w:eastAsia="zh-CN" w:bidi="ar-SA"/>
        </w:rPr>
        <w:t>邮编：</w:t>
      </w:r>
      <w:r>
        <w:rPr>
          <w:rFonts w:hint="eastAsia" w:ascii="宋体" w:hAnsi="宋体" w:eastAsia="宋体" w:cs="宋体"/>
          <w:bCs/>
          <w:color w:val="auto"/>
          <w:kern w:val="0"/>
          <w:sz w:val="24"/>
          <w:szCs w:val="24"/>
          <w:highlight w:val="none"/>
          <w:u w:val="single"/>
          <w:lang w:val="en-US" w:eastAsia="zh-CN" w:bidi="ar-SA"/>
        </w:rPr>
        <w:t xml:space="preserve">                         </w:t>
      </w:r>
    </w:p>
    <w:p>
      <w:pPr>
        <w:widowControl w:val="0"/>
        <w:snapToGrid w:val="0"/>
        <w:spacing w:line="360" w:lineRule="auto"/>
        <w:ind w:firstLine="480" w:firstLineChars="200"/>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联系人：</w:t>
      </w:r>
      <w:r>
        <w:rPr>
          <w:rFonts w:hint="eastAsia" w:ascii="宋体" w:hAnsi="宋体" w:eastAsia="宋体" w:cs="宋体"/>
          <w:bCs/>
          <w:color w:val="auto"/>
          <w:kern w:val="0"/>
          <w:sz w:val="24"/>
          <w:szCs w:val="24"/>
          <w:highlight w:val="none"/>
          <w:u w:val="single"/>
          <w:lang w:val="en-US" w:eastAsia="zh-CN" w:bidi="ar-SA"/>
        </w:rPr>
        <w:t xml:space="preserve">                                            </w:t>
      </w:r>
      <w:r>
        <w:rPr>
          <w:rFonts w:hint="eastAsia" w:ascii="宋体" w:hAnsi="宋体" w:eastAsia="宋体" w:cs="宋体"/>
          <w:bCs/>
          <w:color w:val="auto"/>
          <w:kern w:val="0"/>
          <w:sz w:val="24"/>
          <w:szCs w:val="24"/>
          <w:highlight w:val="none"/>
          <w:lang w:val="en-US" w:eastAsia="zh-CN" w:bidi="ar-SA"/>
        </w:rPr>
        <w:t>联系电话：</w:t>
      </w:r>
      <w:r>
        <w:rPr>
          <w:rFonts w:hint="eastAsia" w:ascii="宋体" w:hAnsi="宋体" w:eastAsia="宋体" w:cs="宋体"/>
          <w:bCs/>
          <w:color w:val="auto"/>
          <w:kern w:val="0"/>
          <w:sz w:val="24"/>
          <w:szCs w:val="24"/>
          <w:highlight w:val="none"/>
          <w:u w:val="single"/>
          <w:lang w:val="en-US" w:eastAsia="zh-CN" w:bidi="ar-SA"/>
        </w:rPr>
        <w:t xml:space="preserve">                     </w:t>
      </w:r>
      <w:r>
        <w:rPr>
          <w:rFonts w:hint="eastAsia" w:ascii="宋体" w:hAnsi="宋体" w:eastAsia="宋体" w:cs="宋体"/>
          <w:bCs/>
          <w:color w:val="auto"/>
          <w:kern w:val="0"/>
          <w:sz w:val="24"/>
          <w:szCs w:val="24"/>
          <w:highlight w:val="none"/>
          <w:lang w:val="en-US" w:eastAsia="zh-CN" w:bidi="ar-SA"/>
        </w:rPr>
        <w:t xml:space="preserve">                </w:t>
      </w:r>
    </w:p>
    <w:p>
      <w:pPr>
        <w:widowControl w:val="0"/>
        <w:snapToGrid w:val="0"/>
        <w:spacing w:line="360" w:lineRule="auto"/>
        <w:ind w:firstLine="482" w:firstLineChars="200"/>
        <w:jc w:val="both"/>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二、投诉项目基本情况：</w:t>
      </w:r>
    </w:p>
    <w:p>
      <w:pPr>
        <w:widowControl w:val="0"/>
        <w:spacing w:line="360" w:lineRule="auto"/>
        <w:ind w:left="25" w:leftChars="12" w:firstLine="472" w:firstLineChars="197"/>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采购</w:t>
      </w:r>
      <w:r>
        <w:rPr>
          <w:rFonts w:hint="eastAsia" w:ascii="宋体" w:hAnsi="宋体" w:eastAsia="宋体" w:cs="宋体"/>
          <w:color w:val="auto"/>
          <w:kern w:val="0"/>
          <w:sz w:val="24"/>
          <w:szCs w:val="24"/>
          <w:highlight w:val="none"/>
          <w:lang w:val="en-US" w:eastAsia="zh-CN" w:bidi="ar-SA"/>
        </w:rPr>
        <w:t>项目的名称：</w:t>
      </w:r>
      <w:r>
        <w:rPr>
          <w:rFonts w:hint="eastAsia" w:ascii="宋体" w:hAnsi="宋体" w:eastAsia="宋体" w:cs="宋体"/>
          <w:bCs/>
          <w:color w:val="auto"/>
          <w:kern w:val="0"/>
          <w:sz w:val="24"/>
          <w:szCs w:val="24"/>
          <w:highlight w:val="none"/>
          <w:u w:val="single"/>
          <w:lang w:val="en-US" w:eastAsia="zh-CN" w:bidi="ar-SA"/>
        </w:rPr>
        <w:t xml:space="preserve">                                                                   </w:t>
      </w:r>
    </w:p>
    <w:p>
      <w:pPr>
        <w:widowControl w:val="0"/>
        <w:spacing w:line="360" w:lineRule="auto"/>
        <w:ind w:left="25" w:leftChars="12" w:firstLine="472" w:firstLineChars="197"/>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采购</w:t>
      </w:r>
      <w:r>
        <w:rPr>
          <w:rFonts w:hint="eastAsia" w:ascii="宋体" w:hAnsi="宋体" w:eastAsia="宋体" w:cs="宋体"/>
          <w:color w:val="auto"/>
          <w:kern w:val="0"/>
          <w:sz w:val="24"/>
          <w:szCs w:val="24"/>
          <w:highlight w:val="none"/>
          <w:lang w:val="en-US" w:eastAsia="zh-CN" w:bidi="ar-SA"/>
        </w:rPr>
        <w:t>项目的编号：</w:t>
      </w:r>
      <w:r>
        <w:rPr>
          <w:rFonts w:hint="eastAsia" w:ascii="宋体" w:hAnsi="宋体" w:eastAsia="宋体" w:cs="宋体"/>
          <w:bCs/>
          <w:color w:val="auto"/>
          <w:kern w:val="0"/>
          <w:sz w:val="24"/>
          <w:szCs w:val="24"/>
          <w:highlight w:val="none"/>
          <w:u w:val="single"/>
          <w:lang w:val="en-US" w:eastAsia="zh-CN" w:bidi="ar-SA"/>
        </w:rPr>
        <w:t xml:space="preserve">                                          </w:t>
      </w:r>
    </w:p>
    <w:p>
      <w:pPr>
        <w:widowControl w:val="0"/>
        <w:spacing w:line="360" w:lineRule="auto"/>
        <w:ind w:left="25" w:leftChars="12" w:firstLine="472" w:firstLineChars="197"/>
        <w:jc w:val="both"/>
        <w:rPr>
          <w:rFonts w:hint="eastAsia" w:ascii="宋体" w:hAnsi="宋体" w:eastAsia="宋体" w:cs="宋体"/>
          <w:bCs/>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lang w:val="en-US" w:eastAsia="zh-CN" w:bidi="ar-SA"/>
        </w:rPr>
        <w:t>采购人名称：</w:t>
      </w:r>
      <w:r>
        <w:rPr>
          <w:rFonts w:hint="eastAsia" w:ascii="宋体" w:hAnsi="宋体" w:eastAsia="宋体" w:cs="宋体"/>
          <w:bCs/>
          <w:color w:val="auto"/>
          <w:kern w:val="0"/>
          <w:sz w:val="24"/>
          <w:szCs w:val="24"/>
          <w:highlight w:val="none"/>
          <w:u w:val="single"/>
          <w:lang w:val="en-US" w:eastAsia="zh-CN" w:bidi="ar-SA"/>
        </w:rPr>
        <w:t xml:space="preserve">                                                                        </w:t>
      </w:r>
    </w:p>
    <w:p>
      <w:pPr>
        <w:widowControl w:val="0"/>
        <w:spacing w:line="360" w:lineRule="auto"/>
        <w:ind w:left="25" w:leftChars="12" w:firstLine="472" w:firstLineChars="197"/>
        <w:jc w:val="both"/>
        <w:rPr>
          <w:rFonts w:hint="eastAsia" w:ascii="宋体" w:hAnsi="宋体" w:eastAsia="宋体" w:cs="宋体"/>
          <w:bCs/>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lang w:val="en-US" w:eastAsia="zh-CN" w:bidi="ar-SA"/>
        </w:rPr>
        <w:t>代理机构名称：</w:t>
      </w:r>
      <w:r>
        <w:rPr>
          <w:rFonts w:hint="eastAsia" w:ascii="宋体" w:hAnsi="宋体" w:eastAsia="宋体" w:cs="宋体"/>
          <w:bCs/>
          <w:color w:val="auto"/>
          <w:kern w:val="0"/>
          <w:sz w:val="24"/>
          <w:szCs w:val="24"/>
          <w:highlight w:val="none"/>
          <w:u w:val="single"/>
          <w:lang w:val="en-US" w:eastAsia="zh-CN" w:bidi="ar-SA"/>
        </w:rPr>
        <w:t xml:space="preserve">                                                                      </w:t>
      </w:r>
    </w:p>
    <w:p>
      <w:pPr>
        <w:widowControl w:val="0"/>
        <w:spacing w:line="360" w:lineRule="auto"/>
        <w:ind w:left="25" w:leftChars="12" w:firstLine="472" w:firstLineChars="197"/>
        <w:jc w:val="both"/>
        <w:rPr>
          <w:rFonts w:hint="eastAsia" w:ascii="宋体" w:hAnsi="宋体" w:eastAsia="宋体" w:cs="宋体"/>
          <w:bCs/>
          <w:color w:val="auto"/>
          <w:kern w:val="0"/>
          <w:sz w:val="24"/>
          <w:szCs w:val="24"/>
          <w:highlight w:val="none"/>
          <w:u w:val="single"/>
          <w:lang w:val="en-US" w:eastAsia="zh-CN" w:bidi="ar-SA"/>
        </w:rPr>
      </w:pPr>
      <w:r>
        <w:rPr>
          <w:rFonts w:hint="eastAsia" w:ascii="宋体" w:hAnsi="宋体" w:eastAsia="宋体" w:cs="宋体"/>
          <w:bCs/>
          <w:color w:val="auto"/>
          <w:kern w:val="0"/>
          <w:sz w:val="24"/>
          <w:szCs w:val="24"/>
          <w:highlight w:val="none"/>
          <w:lang w:val="en-US" w:eastAsia="zh-CN" w:bidi="ar-SA"/>
        </w:rPr>
        <w:t>采购文件公告：</w:t>
      </w:r>
      <w:r>
        <w:rPr>
          <w:rFonts w:hint="eastAsia" w:ascii="宋体" w:hAnsi="宋体" w:eastAsia="宋体" w:cs="宋体"/>
          <w:bCs/>
          <w:color w:val="auto"/>
          <w:kern w:val="0"/>
          <w:sz w:val="24"/>
          <w:szCs w:val="24"/>
          <w:highlight w:val="none"/>
          <w:u w:val="single"/>
          <w:lang w:val="en-US" w:eastAsia="zh-CN" w:bidi="ar-SA"/>
        </w:rPr>
        <w:t>是/否</w:t>
      </w:r>
      <w:r>
        <w:rPr>
          <w:rFonts w:hint="eastAsia" w:ascii="宋体" w:hAnsi="宋体" w:eastAsia="宋体" w:cs="宋体"/>
          <w:bCs/>
          <w:color w:val="auto"/>
          <w:kern w:val="0"/>
          <w:sz w:val="24"/>
          <w:szCs w:val="24"/>
          <w:highlight w:val="none"/>
          <w:lang w:val="en-US" w:eastAsia="zh-CN" w:bidi="ar-SA"/>
        </w:rPr>
        <w:t>公告期限：</w:t>
      </w:r>
      <w:r>
        <w:rPr>
          <w:rFonts w:hint="eastAsia" w:ascii="宋体" w:hAnsi="宋体" w:eastAsia="宋体" w:cs="宋体"/>
          <w:bCs/>
          <w:color w:val="auto"/>
          <w:kern w:val="0"/>
          <w:sz w:val="24"/>
          <w:szCs w:val="24"/>
          <w:highlight w:val="none"/>
          <w:u w:val="single"/>
          <w:lang w:val="en-US" w:eastAsia="zh-CN" w:bidi="ar-SA"/>
        </w:rPr>
        <w:t xml:space="preserve">                                                       </w:t>
      </w:r>
    </w:p>
    <w:p>
      <w:pPr>
        <w:widowControl w:val="0"/>
        <w:spacing w:line="360" w:lineRule="auto"/>
        <w:ind w:left="25" w:leftChars="12" w:firstLine="472" w:firstLineChars="197"/>
        <w:jc w:val="both"/>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采购结果公告：</w:t>
      </w:r>
      <w:r>
        <w:rPr>
          <w:rFonts w:hint="eastAsia" w:ascii="宋体" w:hAnsi="宋体" w:eastAsia="宋体" w:cs="宋体"/>
          <w:bCs/>
          <w:color w:val="auto"/>
          <w:kern w:val="0"/>
          <w:sz w:val="24"/>
          <w:szCs w:val="24"/>
          <w:highlight w:val="none"/>
          <w:u w:val="single"/>
          <w:lang w:val="en-US" w:eastAsia="zh-CN" w:bidi="ar-SA"/>
        </w:rPr>
        <w:t>是/否</w:t>
      </w:r>
      <w:r>
        <w:rPr>
          <w:rFonts w:hint="eastAsia" w:ascii="宋体" w:hAnsi="宋体" w:eastAsia="宋体" w:cs="宋体"/>
          <w:bCs/>
          <w:color w:val="auto"/>
          <w:kern w:val="0"/>
          <w:sz w:val="24"/>
          <w:szCs w:val="24"/>
          <w:highlight w:val="none"/>
          <w:lang w:val="en-US" w:eastAsia="zh-CN" w:bidi="ar-SA"/>
        </w:rPr>
        <w:t>公告期限：</w:t>
      </w:r>
      <w:r>
        <w:rPr>
          <w:rFonts w:hint="eastAsia" w:ascii="宋体" w:hAnsi="宋体" w:eastAsia="宋体" w:cs="宋体"/>
          <w:bCs/>
          <w:color w:val="auto"/>
          <w:kern w:val="0"/>
          <w:sz w:val="24"/>
          <w:szCs w:val="24"/>
          <w:highlight w:val="none"/>
          <w:u w:val="single"/>
          <w:lang w:val="en-US" w:eastAsia="zh-CN" w:bidi="ar-SA"/>
        </w:rPr>
        <w:t xml:space="preserve">                                                       </w:t>
      </w:r>
    </w:p>
    <w:p>
      <w:pPr>
        <w:widowControl w:val="0"/>
        <w:spacing w:line="360" w:lineRule="auto"/>
        <w:ind w:left="25" w:leftChars="12" w:firstLine="472" w:firstLineChars="196"/>
        <w:jc w:val="both"/>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三、质疑基本情况</w:t>
      </w:r>
    </w:p>
    <w:p>
      <w:pPr>
        <w:widowControl w:val="0"/>
        <w:spacing w:line="360" w:lineRule="auto"/>
        <w:ind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投诉人于</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年</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月</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日，向</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提出质疑，质疑事项为：</w:t>
      </w:r>
    </w:p>
    <w:p>
      <w:pPr>
        <w:widowControl w:val="0"/>
        <w:spacing w:line="360" w:lineRule="auto"/>
        <w:ind w:firstLine="241"/>
        <w:jc w:val="both"/>
        <w:rPr>
          <w:rFonts w:hint="eastAsia" w:ascii="宋体" w:hAnsi="宋体" w:eastAsia="宋体" w:cs="宋体"/>
          <w:bCs/>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lang w:val="en-US" w:eastAsia="zh-CN" w:bidi="ar-SA"/>
        </w:rPr>
        <w:t xml:space="preserve">    </w:t>
      </w:r>
      <w:r>
        <w:rPr>
          <w:rFonts w:hint="eastAsia" w:ascii="宋体" w:hAnsi="宋体" w:eastAsia="宋体" w:cs="宋体"/>
          <w:bCs/>
          <w:color w:val="auto"/>
          <w:kern w:val="0"/>
          <w:sz w:val="24"/>
          <w:szCs w:val="24"/>
          <w:highlight w:val="none"/>
          <w:u w:val="single"/>
          <w:lang w:val="en-US" w:eastAsia="zh-CN" w:bidi="ar-SA"/>
        </w:rPr>
        <w:t xml:space="preserve">                                                                                      </w:t>
      </w:r>
    </w:p>
    <w:p>
      <w:pPr>
        <w:widowControl w:val="0"/>
        <w:spacing w:line="360" w:lineRule="auto"/>
        <w:ind w:firstLine="241"/>
        <w:jc w:val="both"/>
        <w:rPr>
          <w:rFonts w:hint="eastAsia" w:ascii="宋体" w:hAnsi="宋体" w:eastAsia="宋体" w:cs="宋体"/>
          <w:bCs/>
          <w:color w:val="auto"/>
          <w:kern w:val="0"/>
          <w:sz w:val="24"/>
          <w:szCs w:val="24"/>
          <w:highlight w:val="none"/>
          <w:u w:val="single"/>
          <w:lang w:val="en-US" w:eastAsia="zh-CN" w:bidi="ar-SA"/>
        </w:rPr>
      </w:pPr>
      <w:r>
        <w:rPr>
          <w:rFonts w:hint="eastAsia" w:ascii="宋体" w:hAnsi="宋体" w:eastAsia="宋体" w:cs="宋体"/>
          <w:bCs/>
          <w:color w:val="auto"/>
          <w:kern w:val="0"/>
          <w:sz w:val="24"/>
          <w:szCs w:val="24"/>
          <w:highlight w:val="none"/>
          <w:lang w:val="en-US" w:eastAsia="zh-CN" w:bidi="ar-SA"/>
        </w:rPr>
        <w:t xml:space="preserve">    </w:t>
      </w:r>
      <w:r>
        <w:rPr>
          <w:rFonts w:hint="eastAsia" w:ascii="宋体" w:hAnsi="宋体" w:eastAsia="宋体" w:cs="宋体"/>
          <w:bCs/>
          <w:color w:val="auto"/>
          <w:kern w:val="0"/>
          <w:sz w:val="24"/>
          <w:szCs w:val="24"/>
          <w:highlight w:val="none"/>
          <w:u w:val="single"/>
          <w:lang w:val="en-US" w:eastAsia="zh-CN" w:bidi="ar-SA"/>
        </w:rPr>
        <w:t xml:space="preserve">                                                                                      </w:t>
      </w:r>
    </w:p>
    <w:p>
      <w:pPr>
        <w:widowControl w:val="0"/>
        <w:spacing w:line="360" w:lineRule="auto"/>
        <w:ind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u w:val="single"/>
          <w:lang w:val="en-US" w:eastAsia="zh-CN" w:bidi="ar-SA"/>
        </w:rPr>
        <w:t>采购人/代理机构</w:t>
      </w:r>
      <w:r>
        <w:rPr>
          <w:rFonts w:hint="eastAsia" w:ascii="宋体" w:hAnsi="宋体" w:eastAsia="宋体" w:cs="宋体"/>
          <w:bCs/>
          <w:color w:val="auto"/>
          <w:kern w:val="0"/>
          <w:sz w:val="24"/>
          <w:szCs w:val="24"/>
          <w:highlight w:val="none"/>
          <w:lang w:val="en-US" w:eastAsia="zh-CN" w:bidi="ar-SA"/>
        </w:rPr>
        <w:t>于</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年</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月</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日，</w:t>
      </w:r>
      <w:r>
        <w:rPr>
          <w:rFonts w:hint="eastAsia" w:ascii="宋体" w:hAnsi="宋体" w:eastAsia="宋体" w:cs="宋体"/>
          <w:bCs/>
          <w:color w:val="auto"/>
          <w:kern w:val="0"/>
          <w:sz w:val="24"/>
          <w:szCs w:val="24"/>
          <w:highlight w:val="none"/>
          <w:lang w:val="en-US" w:eastAsia="zh-CN" w:bidi="ar-SA"/>
        </w:rPr>
        <w:t xml:space="preserve">就质疑事项作出了答复/没有在法定期限内作出答复。                                                                                             </w:t>
      </w:r>
    </w:p>
    <w:p>
      <w:pPr>
        <w:widowControl w:val="0"/>
        <w:spacing w:line="360" w:lineRule="auto"/>
        <w:ind w:left="25" w:leftChars="12" w:firstLine="472" w:firstLineChars="196"/>
        <w:jc w:val="both"/>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四、投诉事项具体内容</w:t>
      </w:r>
    </w:p>
    <w:p>
      <w:pPr>
        <w:widowControl w:val="0"/>
        <w:spacing w:line="360" w:lineRule="auto"/>
        <w:ind w:left="25" w:leftChars="12" w:firstLine="472" w:firstLineChars="197"/>
        <w:jc w:val="both"/>
        <w:rPr>
          <w:rFonts w:hint="eastAsia" w:ascii="宋体" w:hAnsi="宋体" w:eastAsia="宋体" w:cs="宋体"/>
          <w:bCs/>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lang w:val="en-US" w:eastAsia="zh-CN" w:bidi="ar-SA"/>
        </w:rPr>
        <w:t>投诉事项1：</w:t>
      </w:r>
      <w:r>
        <w:rPr>
          <w:rFonts w:hint="eastAsia" w:ascii="宋体" w:hAnsi="宋体" w:eastAsia="宋体" w:cs="宋体"/>
          <w:bCs/>
          <w:color w:val="auto"/>
          <w:kern w:val="0"/>
          <w:sz w:val="24"/>
          <w:szCs w:val="24"/>
          <w:highlight w:val="none"/>
          <w:u w:val="single"/>
          <w:lang w:val="en-US" w:eastAsia="zh-CN" w:bidi="ar-SA"/>
        </w:rPr>
        <w:t xml:space="preserve">                                                                           </w:t>
      </w:r>
    </w:p>
    <w:p>
      <w:pPr>
        <w:widowControl w:val="0"/>
        <w:spacing w:line="360" w:lineRule="auto"/>
        <w:ind w:firstLine="480" w:firstLineChars="200"/>
        <w:jc w:val="both"/>
        <w:rPr>
          <w:rFonts w:hint="eastAsia" w:ascii="宋体" w:hAnsi="宋体" w:eastAsia="宋体" w:cs="宋体"/>
          <w:bCs/>
          <w:color w:val="auto"/>
          <w:kern w:val="0"/>
          <w:sz w:val="24"/>
          <w:szCs w:val="24"/>
          <w:highlight w:val="none"/>
          <w:u w:val="single"/>
          <w:lang w:val="en-US" w:eastAsia="zh-CN" w:bidi="ar-SA"/>
        </w:rPr>
      </w:pPr>
      <w:r>
        <w:rPr>
          <w:rFonts w:hint="eastAsia" w:ascii="宋体" w:hAnsi="宋体" w:eastAsia="宋体" w:cs="宋体"/>
          <w:bCs/>
          <w:color w:val="auto"/>
          <w:kern w:val="0"/>
          <w:sz w:val="24"/>
          <w:szCs w:val="24"/>
          <w:highlight w:val="none"/>
          <w:lang w:val="en-US" w:eastAsia="zh-CN" w:bidi="ar-SA"/>
        </w:rPr>
        <w:t>事实依据：</w:t>
      </w:r>
      <w:r>
        <w:rPr>
          <w:rFonts w:hint="eastAsia" w:ascii="宋体" w:hAnsi="宋体" w:eastAsia="宋体" w:cs="宋体"/>
          <w:color w:val="auto"/>
          <w:kern w:val="0"/>
          <w:sz w:val="24"/>
          <w:szCs w:val="24"/>
          <w:highlight w:val="none"/>
          <w:lang w:val="en-US" w:eastAsia="zh-CN" w:bidi="ar-SA"/>
        </w:rPr>
        <w:t xml:space="preserve"> </w:t>
      </w:r>
      <w:r>
        <w:rPr>
          <w:rFonts w:hint="eastAsia" w:ascii="宋体" w:hAnsi="宋体" w:eastAsia="宋体" w:cs="宋体"/>
          <w:bCs/>
          <w:color w:val="auto"/>
          <w:kern w:val="0"/>
          <w:sz w:val="24"/>
          <w:szCs w:val="24"/>
          <w:highlight w:val="none"/>
          <w:u w:val="single"/>
          <w:lang w:val="en-US" w:eastAsia="zh-CN" w:bidi="ar-SA"/>
        </w:rPr>
        <w:t xml:space="preserve">                                                                                      </w:t>
      </w:r>
    </w:p>
    <w:p>
      <w:pPr>
        <w:widowControl w:val="0"/>
        <w:spacing w:line="360" w:lineRule="auto"/>
        <w:ind w:left="25" w:leftChars="12" w:firstLine="472" w:firstLineChars="197"/>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u w:val="single"/>
          <w:lang w:val="en-US" w:eastAsia="zh-CN" w:bidi="ar-SA"/>
        </w:rPr>
        <w:t xml:space="preserve">                                                                                        </w:t>
      </w:r>
    </w:p>
    <w:p>
      <w:pPr>
        <w:widowControl w:val="0"/>
        <w:spacing w:line="360" w:lineRule="auto"/>
        <w:ind w:firstLine="480" w:firstLineChars="200"/>
        <w:jc w:val="both"/>
        <w:rPr>
          <w:rFonts w:hint="eastAsia" w:ascii="宋体" w:hAnsi="宋体" w:eastAsia="宋体" w:cs="宋体"/>
          <w:bCs/>
          <w:color w:val="auto"/>
          <w:kern w:val="0"/>
          <w:sz w:val="24"/>
          <w:szCs w:val="24"/>
          <w:highlight w:val="none"/>
          <w:u w:val="single"/>
          <w:lang w:val="en-US" w:eastAsia="zh-CN" w:bidi="ar-SA"/>
        </w:rPr>
      </w:pPr>
      <w:r>
        <w:rPr>
          <w:rFonts w:hint="eastAsia" w:ascii="宋体" w:hAnsi="宋体" w:eastAsia="宋体" w:cs="宋体"/>
          <w:bCs/>
          <w:color w:val="auto"/>
          <w:kern w:val="0"/>
          <w:sz w:val="24"/>
          <w:szCs w:val="24"/>
          <w:highlight w:val="none"/>
          <w:lang w:val="en-US" w:eastAsia="zh-CN" w:bidi="ar-SA"/>
        </w:rPr>
        <w:t>法律依据：</w:t>
      </w:r>
      <w:r>
        <w:rPr>
          <w:rFonts w:hint="eastAsia" w:ascii="宋体" w:hAnsi="宋体" w:eastAsia="宋体" w:cs="宋体"/>
          <w:color w:val="auto"/>
          <w:kern w:val="0"/>
          <w:sz w:val="24"/>
          <w:szCs w:val="24"/>
          <w:highlight w:val="none"/>
          <w:lang w:val="en-US" w:eastAsia="zh-CN" w:bidi="ar-SA"/>
        </w:rPr>
        <w:t xml:space="preserve"> </w:t>
      </w:r>
      <w:r>
        <w:rPr>
          <w:rFonts w:hint="eastAsia" w:ascii="宋体" w:hAnsi="宋体" w:eastAsia="宋体" w:cs="宋体"/>
          <w:bCs/>
          <w:color w:val="auto"/>
          <w:kern w:val="0"/>
          <w:sz w:val="24"/>
          <w:szCs w:val="24"/>
          <w:highlight w:val="none"/>
          <w:u w:val="single"/>
          <w:lang w:val="en-US" w:eastAsia="zh-CN" w:bidi="ar-SA"/>
        </w:rPr>
        <w:t xml:space="preserve">                                                                                      </w:t>
      </w:r>
    </w:p>
    <w:p>
      <w:pPr>
        <w:widowControl w:val="0"/>
        <w:spacing w:line="360" w:lineRule="auto"/>
        <w:ind w:left="25" w:leftChars="12" w:firstLine="352" w:firstLineChars="147"/>
        <w:jc w:val="both"/>
        <w:rPr>
          <w:rFonts w:hint="eastAsia" w:ascii="宋体" w:hAnsi="宋体" w:eastAsia="宋体" w:cs="宋体"/>
          <w:bCs/>
          <w:color w:val="auto"/>
          <w:kern w:val="0"/>
          <w:sz w:val="24"/>
          <w:szCs w:val="24"/>
          <w:highlight w:val="none"/>
          <w:u w:val="single"/>
          <w:lang w:val="en-US" w:eastAsia="zh-CN" w:bidi="ar-SA"/>
        </w:rPr>
      </w:pPr>
      <w:r>
        <w:rPr>
          <w:rFonts w:hint="eastAsia" w:ascii="宋体" w:hAnsi="宋体" w:eastAsia="宋体" w:cs="宋体"/>
          <w:bCs/>
          <w:color w:val="auto"/>
          <w:kern w:val="0"/>
          <w:sz w:val="24"/>
          <w:szCs w:val="24"/>
          <w:highlight w:val="none"/>
          <w:lang w:val="en-US" w:eastAsia="zh-CN" w:bidi="ar-SA"/>
        </w:rPr>
        <w:t xml:space="preserve"> </w:t>
      </w:r>
      <w:r>
        <w:rPr>
          <w:rFonts w:hint="eastAsia" w:ascii="宋体" w:hAnsi="宋体" w:eastAsia="宋体" w:cs="宋体"/>
          <w:bCs/>
          <w:color w:val="auto"/>
          <w:kern w:val="0"/>
          <w:sz w:val="24"/>
          <w:szCs w:val="24"/>
          <w:highlight w:val="none"/>
          <w:u w:val="single"/>
          <w:lang w:val="en-US" w:eastAsia="zh-CN" w:bidi="ar-SA"/>
        </w:rPr>
        <w:t xml:space="preserve">                                                                                        </w:t>
      </w:r>
    </w:p>
    <w:p>
      <w:pPr>
        <w:widowControl w:val="0"/>
        <w:spacing w:line="360" w:lineRule="auto"/>
        <w:ind w:left="25" w:leftChars="12" w:firstLine="472" w:firstLineChars="197"/>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投诉事项2  </w:t>
      </w:r>
      <w:r>
        <w:rPr>
          <w:rFonts w:hint="eastAsia" w:ascii="宋体" w:hAnsi="宋体" w:eastAsia="宋体" w:cs="宋体"/>
          <w:bCs/>
          <w:color w:val="auto"/>
          <w:kern w:val="0"/>
          <w:sz w:val="24"/>
          <w:szCs w:val="24"/>
          <w:highlight w:val="none"/>
          <w:lang w:val="en-US" w:eastAsia="zh-CN" w:bidi="ar-SA"/>
        </w:rPr>
        <w:t xml:space="preserve">   </w:t>
      </w:r>
    </w:p>
    <w:p>
      <w:pPr>
        <w:widowControl w:val="0"/>
        <w:spacing w:line="360" w:lineRule="auto"/>
        <w:ind w:left="25" w:leftChars="12" w:firstLine="472" w:firstLineChars="197"/>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w:t>
      </w:r>
    </w:p>
    <w:p>
      <w:pPr>
        <w:widowControl w:val="0"/>
        <w:spacing w:line="360" w:lineRule="auto"/>
        <w:ind w:left="25" w:leftChars="12" w:firstLine="472" w:firstLineChars="196"/>
        <w:jc w:val="both"/>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五、与投诉事项相关的投诉请求：</w:t>
      </w:r>
    </w:p>
    <w:p>
      <w:pPr>
        <w:widowControl w:val="0"/>
        <w:spacing w:line="360" w:lineRule="auto"/>
        <w:ind w:left="25" w:leftChars="12" w:firstLine="472" w:firstLineChars="197"/>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请求：</w:t>
      </w:r>
      <w:r>
        <w:rPr>
          <w:rFonts w:hint="eastAsia" w:ascii="宋体" w:hAnsi="宋体" w:eastAsia="宋体" w:cs="宋体"/>
          <w:bCs/>
          <w:color w:val="auto"/>
          <w:kern w:val="0"/>
          <w:sz w:val="24"/>
          <w:szCs w:val="24"/>
          <w:highlight w:val="none"/>
          <w:u w:val="single"/>
          <w:lang w:val="en-US" w:eastAsia="zh-CN" w:bidi="ar-SA"/>
        </w:rPr>
        <w:t xml:space="preserve">                                                                                 </w:t>
      </w:r>
    </w:p>
    <w:p>
      <w:pPr>
        <w:widowControl w:val="0"/>
        <w:spacing w:line="360" w:lineRule="auto"/>
        <w:ind w:left="25" w:leftChars="12" w:firstLine="352" w:firstLineChars="147"/>
        <w:jc w:val="both"/>
        <w:rPr>
          <w:rFonts w:hint="eastAsia" w:ascii="宋体" w:hAnsi="宋体" w:eastAsia="宋体" w:cs="宋体"/>
          <w:color w:val="auto"/>
          <w:kern w:val="0"/>
          <w:sz w:val="24"/>
          <w:szCs w:val="24"/>
          <w:highlight w:val="none"/>
          <w:lang w:val="en-US" w:eastAsia="zh-CN" w:bidi="ar-SA"/>
        </w:rPr>
      </w:pPr>
    </w:p>
    <w:p>
      <w:pPr>
        <w:widowControl w:val="0"/>
        <w:spacing w:line="360" w:lineRule="auto"/>
        <w:ind w:left="25" w:leftChars="12" w:firstLine="472" w:firstLineChars="197"/>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签字（签章）：                                       公章：</w:t>
      </w:r>
    </w:p>
    <w:p>
      <w:pPr>
        <w:widowControl w:val="0"/>
        <w:spacing w:line="360" w:lineRule="auto"/>
        <w:ind w:left="25" w:leftChars="12" w:firstLine="352" w:firstLineChars="147"/>
        <w:jc w:val="both"/>
        <w:rPr>
          <w:rFonts w:hint="eastAsia" w:ascii="宋体" w:hAnsi="宋体" w:eastAsia="宋体" w:cs="宋体"/>
          <w:color w:val="auto"/>
          <w:kern w:val="0"/>
          <w:sz w:val="24"/>
          <w:szCs w:val="24"/>
          <w:highlight w:val="none"/>
          <w:lang w:val="en-US" w:eastAsia="zh-CN" w:bidi="ar-SA"/>
        </w:rPr>
      </w:pPr>
    </w:p>
    <w:p>
      <w:pPr>
        <w:widowControl w:val="0"/>
        <w:spacing w:line="360" w:lineRule="auto"/>
        <w:ind w:left="25" w:leftChars="12" w:firstLine="472" w:firstLineChars="197"/>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日期：</w:t>
      </w:r>
    </w:p>
    <w:p>
      <w:pPr>
        <w:widowControl w:val="0"/>
        <w:spacing w:line="360" w:lineRule="auto"/>
        <w:ind w:left="25" w:leftChars="12" w:firstLine="472" w:firstLineChars="197"/>
        <w:jc w:val="both"/>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 xml:space="preserve">                                                                                 </w:t>
      </w:r>
    </w:p>
    <w:p>
      <w:pPr>
        <w:widowControl w:val="0"/>
        <w:snapToGrid w:val="0"/>
        <w:spacing w:line="360" w:lineRule="auto"/>
        <w:jc w:val="both"/>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说明：</w:t>
      </w:r>
    </w:p>
    <w:p>
      <w:pPr>
        <w:widowControl w:val="0"/>
        <w:spacing w:line="360" w:lineRule="auto"/>
        <w:ind w:left="25" w:leftChars="12" w:firstLine="354" w:firstLineChars="147"/>
        <w:jc w:val="both"/>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1.投诉人提起投诉时，应当提交投诉书和必要的证明材料，并按照被投诉人和与投诉事项有关的供应商数量提供投诉书副本</w:t>
      </w:r>
      <w:r>
        <w:rPr>
          <w:rFonts w:hint="eastAsia" w:ascii="宋体" w:hAnsi="宋体" w:eastAsia="宋体" w:cs="宋体"/>
          <w:b/>
          <w:bCs/>
          <w:color w:val="auto"/>
          <w:kern w:val="0"/>
          <w:sz w:val="24"/>
          <w:szCs w:val="24"/>
          <w:highlight w:val="none"/>
          <w:lang w:val="en-US" w:eastAsia="zh-CN" w:bidi="ar-SA"/>
        </w:rPr>
        <w:t>。</w:t>
      </w:r>
    </w:p>
    <w:p>
      <w:pPr>
        <w:widowControl w:val="0"/>
        <w:spacing w:line="360" w:lineRule="auto"/>
        <w:ind w:left="25" w:leftChars="12" w:firstLine="354" w:firstLineChars="147"/>
        <w:jc w:val="both"/>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2.投诉人若委托代理人进行投诉的，投诉书应按要求列明“授权代表”的有关内容，并在附件中提交由投诉人签署的授权委托书。授权委托书应当载明代理人的姓名或者名称、代理事项、具体权限、期限和相关事项。</w:t>
      </w:r>
    </w:p>
    <w:p>
      <w:pPr>
        <w:widowControl w:val="0"/>
        <w:spacing w:line="360" w:lineRule="auto"/>
        <w:ind w:left="25" w:leftChars="12" w:firstLine="354" w:firstLineChars="147"/>
        <w:jc w:val="both"/>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3.投诉书应简要列明质疑事项，质疑函、质疑答复等作为附件材料提供。</w:t>
      </w:r>
    </w:p>
    <w:p>
      <w:pPr>
        <w:widowControl w:val="0"/>
        <w:spacing w:line="360" w:lineRule="auto"/>
        <w:ind w:left="25" w:leftChars="12" w:firstLine="354" w:firstLineChars="147"/>
        <w:jc w:val="both"/>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4.投诉书的投诉事项应具体、明确，并有必要的事实依据和法律依据。</w:t>
      </w:r>
    </w:p>
    <w:p>
      <w:pPr>
        <w:widowControl w:val="0"/>
        <w:spacing w:line="360" w:lineRule="auto"/>
        <w:ind w:left="25" w:leftChars="12" w:firstLine="354" w:firstLineChars="147"/>
        <w:jc w:val="both"/>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5.投诉书的投诉请求应与投诉事项相关。</w:t>
      </w:r>
    </w:p>
    <w:p>
      <w:pPr>
        <w:widowControl w:val="0"/>
        <w:spacing w:line="360" w:lineRule="auto"/>
        <w:ind w:left="25" w:leftChars="12" w:firstLine="354" w:firstLineChars="147"/>
        <w:jc w:val="both"/>
        <w:rPr>
          <w:rFonts w:hint="eastAsia" w:ascii="宋体" w:hAnsi="宋体" w:eastAsia="宋体" w:cs="宋体"/>
          <w:b/>
          <w:color w:val="auto"/>
          <w:kern w:val="0"/>
          <w:sz w:val="20"/>
          <w:szCs w:val="21"/>
          <w:highlight w:val="none"/>
          <w:lang w:val="en-US" w:eastAsia="zh-CN" w:bidi="ar-SA"/>
        </w:rPr>
      </w:pPr>
      <w:r>
        <w:rPr>
          <w:rFonts w:hint="eastAsia" w:ascii="宋体" w:hAnsi="宋体" w:eastAsia="宋体" w:cs="宋体"/>
          <w:b/>
          <w:color w:val="auto"/>
          <w:kern w:val="0"/>
          <w:sz w:val="24"/>
          <w:szCs w:val="24"/>
          <w:highlight w:val="none"/>
          <w:lang w:val="en-US" w:eastAsia="zh-CN" w:bidi="ar-SA"/>
        </w:rPr>
        <w:t>6.投诉人为法人或者其他组织的，投诉书应由法定代表人、主要负责人，或者其授权代表签字或者盖章，并加盖公章。</w:t>
      </w:r>
    </w:p>
    <w:p>
      <w:pPr>
        <w:pStyle w:val="3"/>
        <w:numPr>
          <w:ilvl w:val="0"/>
          <w:numId w:val="3"/>
        </w:numPr>
        <w:jc w:val="center"/>
        <w:rPr>
          <w:rFonts w:hint="eastAsia" w:ascii="宋体" w:hAnsi="宋体" w:eastAsia="宋体" w:cs="宋体"/>
          <w:b/>
          <w:bCs/>
          <w:color w:val="auto"/>
          <w:highlight w:val="none"/>
        </w:rPr>
      </w:pPr>
      <w:bookmarkStart w:id="228" w:name="_Toc74323461"/>
      <w:r>
        <w:rPr>
          <w:rFonts w:hint="eastAsia" w:ascii="宋体" w:hAnsi="宋体" w:eastAsia="宋体" w:cs="宋体"/>
          <w:b/>
          <w:bCs/>
          <w:color w:val="auto"/>
          <w:highlight w:val="none"/>
        </w:rPr>
        <w:t>合同文本</w:t>
      </w:r>
      <w:bookmarkEnd w:id="228"/>
    </w:p>
    <w:p>
      <w:pPr>
        <w:widowControl/>
        <w:spacing w:line="980" w:lineRule="exact"/>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广西壮族自治区政府采购</w:t>
      </w:r>
    </w:p>
    <w:p>
      <w:pPr>
        <w:widowControl/>
        <w:spacing w:line="980" w:lineRule="exact"/>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合同书</w:t>
      </w:r>
    </w:p>
    <w:p>
      <w:pPr>
        <w:widowControl/>
        <w:spacing w:line="520" w:lineRule="exact"/>
        <w:ind w:firstLine="527"/>
        <w:jc w:val="left"/>
        <w:rPr>
          <w:rFonts w:hint="eastAsia" w:ascii="宋体" w:hAnsi="宋体" w:eastAsia="宋体" w:cs="宋体"/>
          <w:b/>
          <w:bCs/>
          <w:color w:val="auto"/>
          <w:sz w:val="28"/>
          <w:szCs w:val="28"/>
          <w:highlight w:val="none"/>
        </w:rPr>
      </w:pPr>
    </w:p>
    <w:p>
      <w:pPr>
        <w:widowControl/>
        <w:spacing w:line="520" w:lineRule="exact"/>
        <w:ind w:firstLine="527"/>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pPr>
        <w:widowControl/>
        <w:spacing w:line="520" w:lineRule="exact"/>
        <w:ind w:firstLine="527"/>
        <w:jc w:val="left"/>
        <w:rPr>
          <w:rFonts w:hint="eastAsia" w:ascii="宋体" w:hAnsi="宋体" w:eastAsia="宋体" w:cs="宋体"/>
          <w:color w:val="auto"/>
          <w:sz w:val="28"/>
          <w:szCs w:val="28"/>
          <w:highlight w:val="none"/>
        </w:rPr>
      </w:pPr>
    </w:p>
    <w:p>
      <w:pPr>
        <w:widowControl/>
        <w:spacing w:line="520" w:lineRule="exact"/>
        <w:ind w:firstLine="527"/>
        <w:jc w:val="left"/>
        <w:rPr>
          <w:rFonts w:hint="eastAsia" w:ascii="宋体" w:hAnsi="宋体" w:eastAsia="宋体" w:cs="宋体"/>
          <w:color w:val="auto"/>
          <w:sz w:val="28"/>
          <w:szCs w:val="28"/>
          <w:highlight w:val="none"/>
        </w:rPr>
      </w:pPr>
    </w:p>
    <w:p>
      <w:pPr>
        <w:widowControl/>
        <w:spacing w:line="580" w:lineRule="exact"/>
        <w:ind w:firstLine="527"/>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pPr>
        <w:widowControl/>
        <w:spacing w:line="580" w:lineRule="exact"/>
        <w:ind w:left="1584" w:hanging="1584" w:hangingChars="495"/>
        <w:jc w:val="left"/>
        <w:rPr>
          <w:rFonts w:hint="eastAsia" w:ascii="宋体" w:hAnsi="宋体" w:eastAsia="宋体" w:cs="宋体"/>
          <w:bCs/>
          <w:color w:val="auto"/>
          <w:sz w:val="32"/>
          <w:szCs w:val="32"/>
          <w:highlight w:val="none"/>
          <w:u w:val="single"/>
        </w:rPr>
      </w:pPr>
      <w:r>
        <w:rPr>
          <w:rFonts w:hint="eastAsia" w:ascii="宋体" w:hAnsi="宋体" w:eastAsia="宋体" w:cs="宋体"/>
          <w:bCs/>
          <w:color w:val="auto"/>
          <w:sz w:val="32"/>
          <w:szCs w:val="32"/>
          <w:highlight w:val="none"/>
        </w:rPr>
        <w:t>项目名称：</w:t>
      </w:r>
      <w:r>
        <w:rPr>
          <w:rFonts w:hint="eastAsia" w:ascii="宋体" w:hAnsi="宋体" w:eastAsia="宋体" w:cs="宋体"/>
          <w:bCs/>
          <w:color w:val="auto"/>
          <w:sz w:val="32"/>
          <w:szCs w:val="32"/>
          <w:highlight w:val="none"/>
          <w:u w:val="single"/>
          <w:lang w:val="en-US" w:eastAsia="zh-CN"/>
        </w:rPr>
        <w:t xml:space="preserve">                             </w:t>
      </w:r>
      <w:r>
        <w:rPr>
          <w:rFonts w:hint="eastAsia" w:ascii="宋体" w:hAnsi="宋体" w:eastAsia="宋体" w:cs="宋体"/>
          <w:bCs/>
          <w:color w:val="auto"/>
          <w:sz w:val="32"/>
          <w:szCs w:val="32"/>
          <w:highlight w:val="none"/>
          <w:u w:val="single"/>
        </w:rPr>
        <w:t xml:space="preserve"> </w:t>
      </w:r>
    </w:p>
    <w:p>
      <w:pPr>
        <w:widowControl/>
        <w:spacing w:line="580" w:lineRule="exact"/>
        <w:ind w:left="1584" w:hanging="1584" w:hangingChars="495"/>
        <w:jc w:val="left"/>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r>
        <w:rPr>
          <w:rFonts w:hint="eastAsia" w:ascii="宋体" w:hAnsi="宋体" w:eastAsia="宋体" w:cs="宋体"/>
          <w:bCs/>
          <w:color w:val="auto"/>
          <w:sz w:val="32"/>
          <w:szCs w:val="32"/>
          <w:highlight w:val="none"/>
          <w:u w:val="single"/>
        </w:rPr>
        <w:t xml:space="preserve">                               </w:t>
      </w:r>
      <w:r>
        <w:rPr>
          <w:rFonts w:hint="eastAsia" w:ascii="宋体" w:hAnsi="宋体" w:eastAsia="宋体" w:cs="宋体"/>
          <w:bCs/>
          <w:color w:val="auto"/>
          <w:sz w:val="32"/>
          <w:szCs w:val="32"/>
          <w:highlight w:val="none"/>
        </w:rPr>
        <w:t xml:space="preserve"> </w:t>
      </w:r>
    </w:p>
    <w:p>
      <w:pPr>
        <w:widowControl/>
        <w:spacing w:line="580" w:lineRule="exact"/>
        <w:ind w:left="1584" w:hanging="1584" w:hangingChars="495"/>
        <w:jc w:val="left"/>
        <w:rPr>
          <w:rFonts w:hint="eastAsia" w:ascii="宋体" w:hAnsi="宋体" w:eastAsia="宋体" w:cs="宋体"/>
          <w:b/>
          <w:bCs/>
          <w:color w:val="auto"/>
          <w:sz w:val="32"/>
          <w:szCs w:val="32"/>
          <w:highlight w:val="none"/>
          <w:u w:val="single"/>
        </w:rPr>
      </w:pPr>
      <w:r>
        <w:rPr>
          <w:rFonts w:hint="eastAsia" w:ascii="宋体" w:hAnsi="宋体" w:eastAsia="宋体" w:cs="宋体"/>
          <w:bCs/>
          <w:color w:val="auto"/>
          <w:sz w:val="32"/>
          <w:szCs w:val="32"/>
          <w:highlight w:val="none"/>
        </w:rPr>
        <w:t>采购计划文号：</w:t>
      </w:r>
      <w:r>
        <w:rPr>
          <w:rFonts w:hint="eastAsia" w:ascii="宋体" w:hAnsi="宋体" w:eastAsia="宋体" w:cs="宋体"/>
          <w:bCs/>
          <w:color w:val="auto"/>
          <w:sz w:val="32"/>
          <w:szCs w:val="32"/>
          <w:highlight w:val="none"/>
          <w:u w:val="single"/>
        </w:rPr>
        <w:t xml:space="preserve">                           </w:t>
      </w:r>
      <w:r>
        <w:rPr>
          <w:rFonts w:hint="eastAsia" w:ascii="宋体" w:hAnsi="宋体" w:eastAsia="宋体" w:cs="宋体"/>
          <w:bCs/>
          <w:color w:val="auto"/>
          <w:sz w:val="32"/>
          <w:szCs w:val="32"/>
          <w:highlight w:val="none"/>
        </w:rPr>
        <w:t xml:space="preserve"> </w:t>
      </w:r>
    </w:p>
    <w:p>
      <w:pPr>
        <w:widowControl/>
        <w:spacing w:line="580" w:lineRule="exact"/>
        <w:jc w:val="both"/>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合同编号：</w:t>
      </w:r>
      <w:r>
        <w:rPr>
          <w:rFonts w:hint="eastAsia" w:ascii="宋体" w:hAnsi="宋体" w:eastAsia="宋体" w:cs="宋体"/>
          <w:bCs/>
          <w:color w:val="auto"/>
          <w:sz w:val="32"/>
          <w:szCs w:val="32"/>
          <w:highlight w:val="none"/>
          <w:u w:val="single"/>
        </w:rPr>
        <w:t xml:space="preserve">                  </w:t>
      </w:r>
      <w:r>
        <w:rPr>
          <w:rFonts w:hint="eastAsia" w:ascii="宋体" w:hAnsi="宋体" w:eastAsia="宋体" w:cs="宋体"/>
          <w:bCs/>
          <w:color w:val="auto"/>
          <w:sz w:val="32"/>
          <w:szCs w:val="32"/>
          <w:highlight w:val="none"/>
          <w:u w:val="single"/>
          <w:lang w:val="en-US" w:eastAsia="zh-CN"/>
        </w:rPr>
        <w:t xml:space="preserve">   </w:t>
      </w:r>
      <w:r>
        <w:rPr>
          <w:rFonts w:hint="eastAsia" w:ascii="宋体" w:hAnsi="宋体" w:eastAsia="宋体" w:cs="宋体"/>
          <w:bCs/>
          <w:color w:val="auto"/>
          <w:sz w:val="32"/>
          <w:szCs w:val="32"/>
          <w:highlight w:val="none"/>
          <w:u w:val="single"/>
        </w:rPr>
        <w:t xml:space="preserve">         </w:t>
      </w:r>
    </w:p>
    <w:p>
      <w:pPr>
        <w:pStyle w:val="2"/>
        <w:spacing w:line="580" w:lineRule="exact"/>
        <w:rPr>
          <w:rFonts w:hint="eastAsia" w:ascii="宋体" w:hAnsi="宋体" w:eastAsia="宋体" w:cs="宋体"/>
          <w:color w:val="auto"/>
          <w:highlight w:val="none"/>
        </w:rPr>
      </w:pPr>
    </w:p>
    <w:p>
      <w:pPr>
        <w:widowControl/>
        <w:spacing w:line="580" w:lineRule="exact"/>
        <w:ind w:firstLine="1453"/>
        <w:jc w:val="left"/>
        <w:rPr>
          <w:rFonts w:hint="eastAsia" w:ascii="宋体" w:hAnsi="宋体" w:eastAsia="宋体" w:cs="宋体"/>
          <w:color w:val="auto"/>
          <w:sz w:val="28"/>
          <w:szCs w:val="28"/>
          <w:highlight w:val="none"/>
          <w:u w:val="single"/>
        </w:rPr>
      </w:pPr>
    </w:p>
    <w:p>
      <w:pPr>
        <w:widowControl/>
        <w:tabs>
          <w:tab w:val="left" w:pos="7200"/>
        </w:tabs>
        <w:spacing w:line="580" w:lineRule="exact"/>
        <w:ind w:firstLine="426"/>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采购单位（甲方）：</w:t>
      </w:r>
      <w:r>
        <w:rPr>
          <w:rFonts w:hint="eastAsia" w:ascii="宋体" w:hAnsi="宋体" w:eastAsia="宋体" w:cs="宋体"/>
          <w:color w:val="auto"/>
          <w:sz w:val="32"/>
          <w:szCs w:val="32"/>
          <w:highlight w:val="none"/>
          <w:u w:val="single"/>
        </w:rPr>
        <w:t xml:space="preserve">                      </w:t>
      </w:r>
    </w:p>
    <w:p>
      <w:pPr>
        <w:widowControl/>
        <w:tabs>
          <w:tab w:val="left" w:pos="7380"/>
        </w:tabs>
        <w:spacing w:line="580" w:lineRule="exact"/>
        <w:ind w:firstLine="426"/>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供应商（乙方）：</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 xml:space="preserve"> </w:t>
      </w:r>
    </w:p>
    <w:p>
      <w:pPr>
        <w:widowControl/>
        <w:tabs>
          <w:tab w:val="left" w:pos="7380"/>
        </w:tabs>
        <w:spacing w:line="580" w:lineRule="exact"/>
        <w:jc w:val="center"/>
        <w:rPr>
          <w:rFonts w:hint="eastAsia" w:ascii="宋体" w:hAnsi="宋体" w:eastAsia="宋体" w:cs="宋体"/>
          <w:color w:val="auto"/>
          <w:sz w:val="32"/>
          <w:szCs w:val="32"/>
          <w:highlight w:val="none"/>
        </w:rPr>
      </w:pPr>
    </w:p>
    <w:p>
      <w:pPr>
        <w:numPr>
          <w:ilvl w:val="-1"/>
          <w:numId w:val="0"/>
        </w:numPr>
        <w:ind w:firstLine="2240" w:firstLineChars="700"/>
        <w:rPr>
          <w:rFonts w:hint="eastAsia" w:ascii="宋体" w:hAnsi="宋体" w:eastAsia="宋体" w:cs="宋体"/>
          <w:color w:val="auto"/>
          <w:highlight w:val="none"/>
        </w:rPr>
      </w:pPr>
      <w:r>
        <w:rPr>
          <w:rFonts w:hint="eastAsia" w:ascii="宋体" w:hAnsi="宋体" w:eastAsia="宋体" w:cs="宋体"/>
          <w:color w:val="auto"/>
          <w:sz w:val="32"/>
          <w:szCs w:val="32"/>
          <w:highlight w:val="none"/>
        </w:rPr>
        <w:t>202</w:t>
      </w:r>
      <w:r>
        <w:rPr>
          <w:rFonts w:hint="eastAsia" w:ascii="宋体" w:hAnsi="宋体" w:eastAsia="宋体" w:cs="宋体"/>
          <w:color w:val="auto"/>
          <w:sz w:val="32"/>
          <w:szCs w:val="32"/>
          <w:highlight w:val="none"/>
          <w:lang w:val="en-US" w:eastAsia="zh-CN"/>
        </w:rPr>
        <w:t>6</w:t>
      </w:r>
      <w:r>
        <w:rPr>
          <w:rFonts w:hint="eastAsia" w:ascii="宋体" w:hAnsi="宋体" w:eastAsia="宋体" w:cs="宋体"/>
          <w:color w:val="auto"/>
          <w:sz w:val="32"/>
          <w:szCs w:val="32"/>
          <w:highlight w:val="none"/>
        </w:rPr>
        <w:t>年   月</w:t>
      </w:r>
      <w:r>
        <w:rPr>
          <w:rFonts w:hint="eastAsia" w:ascii="宋体" w:hAnsi="宋体" w:eastAsia="宋体" w:cs="宋体"/>
          <w:color w:val="auto"/>
          <w:sz w:val="32"/>
          <w:szCs w:val="32"/>
          <w:highlight w:val="none"/>
          <w:lang w:val="en-US" w:eastAsia="zh-CN"/>
        </w:rPr>
        <w:t xml:space="preserve">   日</w:t>
      </w:r>
    </w:p>
    <w:p>
      <w:pPr>
        <w:rPr>
          <w:rFonts w:hint="eastAsia" w:ascii="宋体" w:hAnsi="宋体" w:eastAsia="宋体" w:cs="宋体"/>
          <w:color w:val="auto"/>
          <w:highlight w:val="none"/>
          <w:lang w:eastAsia="zh-CN"/>
        </w:rPr>
      </w:pPr>
    </w:p>
    <w:p>
      <w:pPr>
        <w:rPr>
          <w:rFonts w:hint="eastAsia" w:ascii="宋体" w:hAnsi="宋体" w:eastAsia="宋体" w:cs="宋体"/>
          <w:color w:val="auto"/>
          <w:highlight w:val="none"/>
        </w:rPr>
      </w:pPr>
    </w:p>
    <w:p>
      <w:pPr>
        <w:spacing w:line="520" w:lineRule="exact"/>
        <w:rPr>
          <w:rFonts w:hint="eastAsia" w:ascii="宋体" w:hAnsi="宋体" w:eastAsia="宋体" w:cs="宋体"/>
          <w:b/>
          <w:color w:val="auto"/>
          <w:sz w:val="32"/>
          <w:szCs w:val="32"/>
          <w:highlight w:val="none"/>
        </w:rPr>
      </w:pPr>
    </w:p>
    <w:p>
      <w:pPr>
        <w:wordWrap w:val="0"/>
        <w:spacing w:line="360" w:lineRule="auto"/>
        <w:ind w:right="120"/>
        <w:jc w:val="right"/>
        <w:rPr>
          <w:rFonts w:hint="eastAsia" w:ascii="宋体" w:hAnsi="宋体" w:eastAsia="宋体" w:cs="宋体"/>
          <w:color w:val="auto"/>
          <w:kern w:val="0"/>
          <w:sz w:val="24"/>
          <w:highlight w:val="none"/>
        </w:rPr>
      </w:pPr>
    </w:p>
    <w:p>
      <w:pPr>
        <w:wordWrap/>
        <w:spacing w:line="360" w:lineRule="auto"/>
        <w:ind w:right="120"/>
        <w:jc w:val="right"/>
        <w:rPr>
          <w:rFonts w:hint="eastAsia" w:ascii="宋体" w:hAnsi="宋体" w:eastAsia="宋体" w:cs="宋体"/>
          <w:color w:val="auto"/>
          <w:kern w:val="0"/>
          <w:sz w:val="24"/>
          <w:highlight w:val="none"/>
        </w:rPr>
      </w:pPr>
    </w:p>
    <w:p>
      <w:pPr>
        <w:wordWrap/>
        <w:spacing w:line="360" w:lineRule="auto"/>
        <w:ind w:right="120"/>
        <w:jc w:val="right"/>
        <w:rPr>
          <w:rFonts w:hint="eastAsia" w:ascii="宋体" w:hAnsi="宋体" w:eastAsia="宋体" w:cs="宋体"/>
          <w:color w:val="auto"/>
          <w:kern w:val="0"/>
          <w:sz w:val="24"/>
          <w:highlight w:val="none"/>
        </w:rPr>
      </w:pPr>
    </w:p>
    <w:p>
      <w:pPr>
        <w:ind w:firstLine="42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《广西壮族自治区政府采购合同》</w:t>
      </w:r>
    </w:p>
    <w:p>
      <w:pPr>
        <w:pStyle w:val="6"/>
        <w:rPr>
          <w:rFonts w:hint="eastAsia" w:ascii="宋体" w:hAnsi="宋体" w:eastAsia="宋体" w:cs="宋体"/>
          <w:color w:val="auto"/>
          <w:highlight w:val="none"/>
        </w:rPr>
      </w:pPr>
      <w:bookmarkStart w:id="229" w:name="OLE_LINK183"/>
      <w:bookmarkStart w:id="230" w:name="_Hlk55381736"/>
    </w:p>
    <w:p>
      <w:pPr>
        <w:wordWrap w:val="0"/>
        <w:snapToGrid w:val="0"/>
        <w:spacing w:line="360" w:lineRule="auto"/>
        <w:jc w:val="center"/>
        <w:outlineLvl w:val="2"/>
        <w:rPr>
          <w:rFonts w:ascii="宋体" w:hAnsi="宋体" w:cs="宋体"/>
          <w:b/>
          <w:bCs/>
          <w:color w:val="auto"/>
          <w:sz w:val="36"/>
          <w:szCs w:val="36"/>
          <w:highlight w:val="none"/>
        </w:rPr>
      </w:pPr>
      <w:r>
        <w:rPr>
          <w:rFonts w:hint="eastAsia" w:ascii="宋体" w:hAnsi="宋体" w:eastAsia="宋体" w:cs="宋体"/>
          <w:color w:val="auto"/>
          <w:kern w:val="0"/>
          <w:szCs w:val="21"/>
          <w:highlight w:val="none"/>
          <w:lang w:val="en-US" w:eastAsia="zh-CN"/>
        </w:rPr>
        <w:t xml:space="preserve">  </w:t>
      </w:r>
      <w:r>
        <w:rPr>
          <w:rFonts w:hint="eastAsia" w:ascii="宋体" w:hAnsi="宋体" w:cs="宋体"/>
          <w:b/>
          <w:bCs/>
          <w:color w:val="auto"/>
          <w:sz w:val="36"/>
          <w:szCs w:val="36"/>
          <w:highlight w:val="none"/>
        </w:rPr>
        <w:t>（分标1合同格式）</w:t>
      </w:r>
    </w:p>
    <w:p>
      <w:pPr>
        <w:spacing w:line="500" w:lineRule="exact"/>
        <w:ind w:right="800"/>
        <w:rPr>
          <w:rFonts w:ascii="宋体" w:hAnsi="宋体" w:cs="宋体"/>
          <w:bCs/>
          <w:color w:val="auto"/>
          <w:szCs w:val="21"/>
          <w:highlight w:val="none"/>
          <w:u w:val="single"/>
        </w:rPr>
      </w:pPr>
      <w:r>
        <w:rPr>
          <w:rFonts w:hint="eastAsia" w:ascii="宋体" w:hAnsi="宋体" w:cs="宋体"/>
          <w:color w:val="auto"/>
          <w:szCs w:val="21"/>
          <w:highlight w:val="none"/>
        </w:rPr>
        <w:t>采购计划号：</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r>
        <w:rPr>
          <w:rFonts w:hint="eastAsia" w:ascii="宋体" w:hAnsi="宋体" w:cs="宋体"/>
          <w:bCs/>
          <w:color w:val="auto"/>
          <w:szCs w:val="21"/>
          <w:highlight w:val="none"/>
        </w:rPr>
        <w:t>合同编号：</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p>
    <w:p>
      <w:pPr>
        <w:spacing w:line="500" w:lineRule="exact"/>
        <w:rPr>
          <w:rFonts w:ascii="宋体" w:hAnsi="宋体" w:cs="宋体"/>
          <w:color w:val="auto"/>
          <w:szCs w:val="21"/>
          <w:highlight w:val="none"/>
          <w:u w:val="single"/>
        </w:rPr>
      </w:pPr>
      <w:r>
        <w:rPr>
          <w:rFonts w:hint="eastAsia" w:ascii="宋体" w:hAnsi="宋体" w:cs="宋体"/>
          <w:color w:val="auto"/>
          <w:szCs w:val="21"/>
          <w:highlight w:val="none"/>
        </w:rPr>
        <w:t>采购人（甲方）：</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供应商（乙方）：</w:t>
      </w:r>
      <w:r>
        <w:rPr>
          <w:rFonts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spacing w:line="500" w:lineRule="exact"/>
        <w:rPr>
          <w:rFonts w:ascii="宋体" w:hAnsi="宋体" w:cs="宋体"/>
          <w:color w:val="auto"/>
          <w:szCs w:val="21"/>
          <w:highlight w:val="none"/>
          <w:u w:val="single"/>
        </w:rPr>
      </w:pPr>
      <w:r>
        <w:rPr>
          <w:rFonts w:hint="eastAsia" w:ascii="宋体" w:hAnsi="宋体" w:cs="宋体"/>
          <w:color w:val="auto"/>
          <w:szCs w:val="21"/>
          <w:highlight w:val="none"/>
        </w:rPr>
        <w:t>项目名称：</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r>
        <w:rPr>
          <w:rFonts w:hint="eastAsia" w:ascii="宋体" w:hAnsi="宋体" w:cs="宋体"/>
          <w:color w:val="auto"/>
          <w:szCs w:val="21"/>
          <w:highlight w:val="none"/>
        </w:rPr>
        <w:t>项目编号：</w:t>
      </w:r>
      <w:r>
        <w:rPr>
          <w:rFonts w:ascii="宋体" w:hAnsi="宋体" w:cs="宋体"/>
          <w:color w:val="auto"/>
          <w:szCs w:val="21"/>
          <w:highlight w:val="none"/>
          <w:u w:val="single"/>
        </w:rPr>
        <w:t xml:space="preserve">                          </w:t>
      </w:r>
    </w:p>
    <w:p>
      <w:pPr>
        <w:spacing w:line="500" w:lineRule="exact"/>
        <w:rPr>
          <w:rFonts w:ascii="宋体" w:hAnsi="宋体" w:cs="宋体"/>
          <w:color w:val="auto"/>
          <w:szCs w:val="21"/>
          <w:highlight w:val="none"/>
          <w:u w:val="single"/>
        </w:rPr>
      </w:pPr>
      <w:r>
        <w:rPr>
          <w:rFonts w:hint="eastAsia" w:ascii="宋体" w:hAnsi="宋体" w:cs="宋体"/>
          <w:color w:val="auto"/>
          <w:szCs w:val="21"/>
          <w:highlight w:val="none"/>
        </w:rPr>
        <w:t>签订地点：</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签订时间：</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p>
    <w:p>
      <w:pPr>
        <w:spacing w:line="500" w:lineRule="exact"/>
        <w:rPr>
          <w:rFonts w:ascii="宋体" w:hAnsi="宋体" w:cs="宋体"/>
          <w:color w:val="auto"/>
          <w:szCs w:val="21"/>
          <w:highlight w:val="none"/>
        </w:rPr>
      </w:pPr>
      <w:r>
        <w:rPr>
          <w:rFonts w:hint="eastAsia" w:ascii="宋体" w:hAnsi="宋体" w:cs="宋体"/>
          <w:color w:val="auto"/>
          <w:szCs w:val="21"/>
          <w:highlight w:val="none"/>
        </w:rPr>
        <w:t>本合同为中小企业预留合同：</w:t>
      </w:r>
      <w:r>
        <w:rPr>
          <w:rFonts w:hint="eastAsia" w:ascii="宋体" w:hAnsi="宋体" w:cs="宋体"/>
          <w:color w:val="auto"/>
          <w:szCs w:val="21"/>
          <w:highlight w:val="none"/>
          <w:u w:val="single"/>
        </w:rPr>
        <w:t>（是）</w:t>
      </w:r>
      <w:r>
        <w:rPr>
          <w:rFonts w:hint="eastAsia" w:ascii="宋体" w:hAnsi="宋体" w:cs="宋体"/>
          <w:color w:val="auto"/>
          <w:szCs w:val="21"/>
          <w:highlight w:val="none"/>
        </w:rPr>
        <w:t>。</w:t>
      </w:r>
    </w:p>
    <w:p>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根据《中华人民共和国政府采购法》、《中华人民共和国民法典》等法律、法规规定，按照采购</w:t>
      </w:r>
      <w:r>
        <w:rPr>
          <w:rFonts w:hint="eastAsia" w:ascii="宋体" w:hAnsi="宋体"/>
          <w:color w:val="auto"/>
          <w:szCs w:val="21"/>
          <w:highlight w:val="none"/>
        </w:rPr>
        <w:t>文件规定条款和乙方响应文件及其承诺，甲乙双方签订本合同。</w:t>
      </w:r>
    </w:p>
    <w:p>
      <w:pPr>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第一条　合同标的</w:t>
      </w:r>
    </w:p>
    <w:p>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1、项目一览表</w:t>
      </w:r>
    </w:p>
    <w:tbl>
      <w:tblPr>
        <w:tblStyle w:val="23"/>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133"/>
        <w:gridCol w:w="1480"/>
        <w:gridCol w:w="1320"/>
        <w:gridCol w:w="1200"/>
        <w:gridCol w:w="1300"/>
        <w:gridCol w:w="1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213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名称</w:t>
            </w:r>
          </w:p>
        </w:tc>
        <w:tc>
          <w:tcPr>
            <w:tcW w:w="148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服务内容</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数  量</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单  价</w:t>
            </w:r>
          </w:p>
          <w:p>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（元）</w:t>
            </w:r>
          </w:p>
        </w:tc>
        <w:tc>
          <w:tcPr>
            <w:tcW w:w="12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 xml:space="preserve">总 </w:t>
            </w:r>
            <w:r>
              <w:rPr>
                <w:rFonts w:ascii="宋体" w:hAnsi="宋体" w:cs="宋体"/>
                <w:color w:val="auto"/>
                <w:szCs w:val="21"/>
                <w:highlight w:val="none"/>
              </w:rPr>
              <w:t xml:space="preserve"> </w:t>
            </w:r>
            <w:r>
              <w:rPr>
                <w:rFonts w:hint="eastAsia" w:ascii="宋体" w:hAnsi="宋体" w:cs="宋体"/>
                <w:color w:val="auto"/>
                <w:szCs w:val="21"/>
                <w:highlight w:val="none"/>
              </w:rPr>
              <w:t>价</w:t>
            </w:r>
          </w:p>
          <w:p>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213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2025年度广西全民所有自然资源资产清查（土地、矿产、森林、草原、湿地）</w:t>
            </w:r>
          </w:p>
        </w:tc>
        <w:tc>
          <w:tcPr>
            <w:tcW w:w="148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详见采购需求</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2335200</w:t>
            </w:r>
          </w:p>
        </w:tc>
        <w:tc>
          <w:tcPr>
            <w:tcW w:w="12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2335200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w:t>
            </w:r>
          </w:p>
        </w:tc>
        <w:tc>
          <w:tcPr>
            <w:tcW w:w="21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w:t>
            </w:r>
          </w:p>
        </w:tc>
        <w:tc>
          <w:tcPr>
            <w:tcW w:w="148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cs="宋体"/>
                <w:color w:val="auto"/>
                <w:szCs w:val="21"/>
                <w:highlight w:val="none"/>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cs="宋体"/>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cs="宋体"/>
                <w:color w:val="auto"/>
                <w:szCs w:val="21"/>
                <w:highlight w:val="none"/>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cs="宋体"/>
                <w:color w:val="auto"/>
                <w:szCs w:val="21"/>
                <w:highlight w:val="none"/>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360" w:type="dxa"/>
            <w:gridSpan w:val="7"/>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详见最终报价表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360" w:type="dxa"/>
            <w:gridSpan w:val="7"/>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宋体" w:hAnsi="宋体" w:cs="宋体"/>
                <w:color w:val="auto"/>
                <w:szCs w:val="21"/>
                <w:highlight w:val="none"/>
              </w:rPr>
            </w:pPr>
            <w:r>
              <w:rPr>
                <w:rFonts w:hint="eastAsia" w:ascii="宋体" w:hAnsi="宋体" w:cs="宋体"/>
                <w:color w:val="auto"/>
                <w:szCs w:val="21"/>
                <w:highlight w:val="none"/>
              </w:rPr>
              <w:t>人民币合计金额（大写）：</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元整（¥</w:t>
            </w:r>
            <w:r>
              <w:rPr>
                <w:rFonts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tc>
      </w:tr>
    </w:tbl>
    <w:p>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bidi="ar"/>
        </w:rPr>
        <w:t>本合同价款采用固定总价方式确定。合同总价包括完成本项目采购要求所产生的全部费用及税费，甲方不再另行向乙方支付其他任何费用。</w:t>
      </w:r>
    </w:p>
    <w:p>
      <w:pPr>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第二条　质量保证</w:t>
      </w:r>
    </w:p>
    <w:p>
      <w:pPr>
        <w:snapToGrid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乙方所提供的服务内容、技术规格、技术参数等质量必须与承诺相一致，提交项目成果一式三份。</w:t>
      </w:r>
    </w:p>
    <w:p>
      <w:pPr>
        <w:snapToGrid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验收的标准以《采购合同书》、《竞争性磋商文件》和有关的补充协议或项目要求等作为验收合格的根据。经</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验收不符合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响应文件</w:t>
      </w:r>
      <w:r>
        <w:rPr>
          <w:rFonts w:hint="eastAsia" w:ascii="宋体" w:hAnsi="宋体" w:eastAsia="宋体" w:cs="宋体"/>
          <w:color w:val="auto"/>
          <w:szCs w:val="21"/>
          <w:highlight w:val="none"/>
        </w:rPr>
        <w:t>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合同规定的成果，</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有权拒绝接受。</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rPr>
        <w:t>应根据国家及广西壮族自治区的标准及相关要求进行返工，所造成的经济损失由</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rPr>
        <w:t>承担</w:t>
      </w:r>
      <w:r>
        <w:rPr>
          <w:rFonts w:hint="eastAsia" w:ascii="宋体" w:hAnsi="宋体" w:cs="宋体"/>
          <w:color w:val="auto"/>
          <w:szCs w:val="21"/>
          <w:highlight w:val="none"/>
        </w:rPr>
        <w:t>。</w:t>
      </w:r>
    </w:p>
    <w:p>
      <w:pPr>
        <w:spacing w:line="50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第三条　权利保证</w:t>
      </w:r>
    </w:p>
    <w:p>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1、乙方应保证所提供服务成果（或其任何一部分）在使用时不会侵犯任何第三方的专利权、商标权、著作权、工业设计权或其他权利。</w:t>
      </w:r>
    </w:p>
    <w:p>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2、乙方在甲方已按规定时间（合同签订后一个月内）提供必要数据资料的前提下应按合同约定的时间向甲方提交服务成果。</w:t>
      </w:r>
    </w:p>
    <w:p>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乙方未履行保密义务的，按第八条第5款承担违约责任。本合同终止后本保密条款继续有效。</w:t>
      </w:r>
    </w:p>
    <w:p>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4、没有甲方同意，乙方不得将涉及服务成果的相关文本、表格、图件等资料提供任何其他人使用。</w:t>
      </w:r>
    </w:p>
    <w:p>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5、如乙方所交付的服务成果侵犯第三人合法权益的，视为乙方违约，乙方应向甲方支付合同总价5%的违约金，若上述违约金不足以弥补甲方的损失的，乙方应另行赔偿。</w:t>
      </w:r>
    </w:p>
    <w:p>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6.乙方配合甲方完成绩效考核工作。</w:t>
      </w:r>
    </w:p>
    <w:p>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7.服务过程中形成的所有知识产权成果归甲方所有。</w:t>
      </w:r>
    </w:p>
    <w:p>
      <w:pPr>
        <w:spacing w:line="50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第四条　成果交付</w:t>
      </w:r>
    </w:p>
    <w:p>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olor w:val="auto"/>
          <w:szCs w:val="21"/>
          <w:highlight w:val="none"/>
        </w:rPr>
        <w:t>服务期限</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年12月31日前完成成果交付并通过验收。</w:t>
      </w:r>
    </w:p>
    <w:p>
      <w:pPr>
        <w:spacing w:line="500" w:lineRule="exact"/>
        <w:ind w:firstLine="630" w:firstLineChars="300"/>
        <w:rPr>
          <w:rFonts w:ascii="宋体" w:hAnsi="宋体" w:cs="宋体"/>
          <w:color w:val="auto"/>
          <w:szCs w:val="21"/>
          <w:highlight w:val="none"/>
        </w:rPr>
      </w:pPr>
      <w:r>
        <w:rPr>
          <w:rFonts w:hint="eastAsia" w:ascii="宋体" w:hAnsi="宋体"/>
          <w:color w:val="auto"/>
          <w:szCs w:val="21"/>
          <w:highlight w:val="none"/>
        </w:rPr>
        <w:t>服务地点</w:t>
      </w:r>
      <w:r>
        <w:rPr>
          <w:rFonts w:hint="eastAsia" w:ascii="宋体" w:hAnsi="宋体" w:cs="宋体"/>
          <w:color w:val="auto"/>
          <w:szCs w:val="21"/>
          <w:highlight w:val="none"/>
        </w:rPr>
        <w:t>：</w:t>
      </w:r>
      <w:r>
        <w:rPr>
          <w:rFonts w:hint="eastAsia" w:ascii="宋体" w:hAnsi="宋体" w:cs="宋体"/>
          <w:color w:val="auto"/>
          <w:szCs w:val="21"/>
          <w:highlight w:val="none"/>
          <w:u w:val="single"/>
        </w:rPr>
        <w:t>广西区内甲方指定地点</w:t>
      </w:r>
      <w:r>
        <w:rPr>
          <w:rFonts w:hint="eastAsia" w:ascii="宋体" w:hAnsi="宋体" w:cs="宋体"/>
          <w:color w:val="auto"/>
          <w:szCs w:val="21"/>
          <w:highlight w:val="none"/>
        </w:rPr>
        <w:t>。</w:t>
      </w:r>
    </w:p>
    <w:p>
      <w:pPr>
        <w:snapToGrid w:val="0"/>
        <w:spacing w:line="5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2、乙方提供不符合本合同规定的服务或服务成果的，甲方有权拒绝接受。</w:t>
      </w:r>
    </w:p>
    <w:p>
      <w:pPr>
        <w:snapToGrid w:val="0"/>
        <w:spacing w:line="5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3、乙方必须按承诺的服务响应条款向甲方提供服务及服务成果。</w:t>
      </w:r>
    </w:p>
    <w:p>
      <w:pPr>
        <w:snapToGrid w:val="0"/>
        <w:spacing w:line="5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4、乙方应对提交的服务成果作出全面检查和整理，并列出清单，经甲方确认后，清单应随提交的服务成果交给甲方。</w:t>
      </w:r>
    </w:p>
    <w:p>
      <w:pPr>
        <w:snapToGrid w:val="0"/>
        <w:spacing w:line="5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5、乙方在指定地点提交服务成果后，甲方应在7个工作日内依据合同约定组织验收。验收合格后由甲乙双方签署服务成果验收单并加盖甲方公章，甲乙双方各执一份。甲方未按约定期限进行验收的，视同乙方交付的服务成果质量合格，符合合同约定。</w:t>
      </w:r>
    </w:p>
    <w:p>
      <w:pPr>
        <w:snapToGrid w:val="0"/>
        <w:spacing w:line="5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6、甲方委托采购代理机构组织验收的项目，其验收时间以该项目验收方案确定的验收时间为准，验收结果以该项目验收报告结论为准。在验收过程中发现乙方有违约问题且未整改完毕的，可暂缓资金结算，待违约问题解决后，方可办理资金结算事宜。</w:t>
      </w:r>
    </w:p>
    <w:p>
      <w:pPr>
        <w:spacing w:line="500" w:lineRule="exact"/>
        <w:ind w:firstLine="420" w:firstLineChars="200"/>
        <w:rPr>
          <w:rFonts w:hint="eastAsia" w:ascii="宋体" w:hAnsi="宋体" w:cs="宋体"/>
          <w:color w:val="auto"/>
          <w:sz w:val="24"/>
          <w:highlight w:val="none"/>
        </w:rPr>
      </w:pPr>
      <w:r>
        <w:rPr>
          <w:rFonts w:hint="eastAsia" w:ascii="宋体" w:hAnsi="宋体" w:cs="宋体"/>
          <w:color w:val="auto"/>
          <w:sz w:val="21"/>
          <w:szCs w:val="21"/>
          <w:highlight w:val="none"/>
        </w:rPr>
        <w:t>7、甲方对服务成果的质量有异议的，在列出清单后</w:t>
      </w:r>
      <w:r>
        <w:rPr>
          <w:rFonts w:hint="eastAsia" w:ascii="宋体" w:hAnsi="宋体" w:cs="宋体"/>
          <w:color w:val="auto"/>
          <w:sz w:val="21"/>
          <w:szCs w:val="21"/>
          <w:highlight w:val="none"/>
          <w:u w:val="single"/>
        </w:rPr>
        <w:t>5</w:t>
      </w:r>
      <w:r>
        <w:rPr>
          <w:rFonts w:hint="eastAsia" w:ascii="宋体" w:hAnsi="宋体" w:cs="宋体"/>
          <w:color w:val="auto"/>
          <w:sz w:val="21"/>
          <w:szCs w:val="21"/>
          <w:highlight w:val="none"/>
        </w:rPr>
        <w:t>个工作日内以书面形式向乙方提出，乙方应自收到甲方书面异议后</w:t>
      </w:r>
      <w:r>
        <w:rPr>
          <w:rFonts w:hint="eastAsia" w:ascii="宋体" w:hAnsi="宋体" w:cs="宋体"/>
          <w:color w:val="auto"/>
          <w:sz w:val="21"/>
          <w:szCs w:val="21"/>
          <w:highlight w:val="none"/>
          <w:u w:val="single"/>
        </w:rPr>
        <w:t>5</w:t>
      </w:r>
      <w:r>
        <w:rPr>
          <w:rFonts w:hint="eastAsia" w:ascii="宋体" w:hAnsi="宋体" w:cs="宋体"/>
          <w:color w:val="auto"/>
          <w:sz w:val="21"/>
          <w:szCs w:val="21"/>
          <w:highlight w:val="none"/>
        </w:rPr>
        <w:t>个工作日内及时予以解决，乙方必须无条件进行整改、修正，直至甲方验收通过。</w:t>
      </w:r>
    </w:p>
    <w:p>
      <w:pPr>
        <w:snapToGrid w:val="0"/>
        <w:spacing w:line="560" w:lineRule="exact"/>
        <w:ind w:firstLine="422" w:firstLineChars="200"/>
        <w:rPr>
          <w:rFonts w:ascii="宋体" w:hAnsi="宋体" w:cs="宋体"/>
          <w:color w:val="auto"/>
          <w:sz w:val="21"/>
          <w:szCs w:val="21"/>
          <w:highlight w:val="none"/>
        </w:rPr>
      </w:pPr>
      <w:r>
        <w:rPr>
          <w:rFonts w:hint="eastAsia" w:ascii="宋体" w:hAnsi="宋体" w:cs="宋体"/>
          <w:b/>
          <w:bCs/>
          <w:color w:val="auto"/>
          <w:sz w:val="21"/>
          <w:szCs w:val="21"/>
          <w:highlight w:val="none"/>
        </w:rPr>
        <w:t>第五条</w:t>
      </w:r>
      <w:r>
        <w:rPr>
          <w:rFonts w:hint="eastAsia" w:ascii="宋体" w:hAnsi="宋体" w:cs="宋体"/>
          <w:b/>
          <w:bCs/>
          <w:color w:val="auto"/>
          <w:sz w:val="21"/>
          <w:szCs w:val="21"/>
          <w:highlight w:val="none"/>
        </w:rPr>
        <w:tab/>
      </w:r>
      <w:r>
        <w:rPr>
          <w:rFonts w:hint="eastAsia" w:ascii="宋体" w:hAnsi="宋体" w:cs="宋体"/>
          <w:b/>
          <w:bCs/>
          <w:color w:val="auto"/>
          <w:sz w:val="21"/>
          <w:szCs w:val="21"/>
          <w:highlight w:val="none"/>
        </w:rPr>
        <w:t>付款方式</w:t>
      </w:r>
    </w:p>
    <w:p>
      <w:pPr>
        <w:snapToGrid w:val="0"/>
        <w:spacing w:line="5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1、资金性质：财政资金。</w:t>
      </w:r>
    </w:p>
    <w:p>
      <w:pPr>
        <w:snapToGrid w:val="0"/>
        <w:spacing w:line="5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2、付款方式：</w:t>
      </w:r>
      <w:r>
        <w:rPr>
          <w:rFonts w:hint="eastAsia" w:ascii="宋体" w:hAnsi="宋体" w:cs="宋体"/>
          <w:color w:val="auto"/>
          <w:szCs w:val="21"/>
          <w:highlight w:val="none"/>
          <w:lang w:val="en-US" w:eastAsia="zh-CN"/>
        </w:rPr>
        <w:t>甲方</w:t>
      </w:r>
      <w:r>
        <w:rPr>
          <w:rFonts w:hint="eastAsia" w:ascii="宋体" w:hAnsi="宋体" w:eastAsia="宋体" w:cs="宋体"/>
          <w:color w:val="auto"/>
          <w:szCs w:val="21"/>
          <w:highlight w:val="none"/>
        </w:rPr>
        <w:t>和</w:t>
      </w:r>
      <w:r>
        <w:rPr>
          <w:rFonts w:hint="eastAsia" w:ascii="宋体" w:hAnsi="宋体" w:cs="宋体"/>
          <w:color w:val="auto"/>
          <w:szCs w:val="21"/>
          <w:highlight w:val="none"/>
          <w:lang w:val="en-US" w:eastAsia="zh-CN"/>
        </w:rPr>
        <w:t>乙方</w:t>
      </w:r>
      <w:r>
        <w:rPr>
          <w:rFonts w:hint="eastAsia" w:ascii="宋体" w:hAnsi="宋体" w:eastAsia="宋体" w:cs="宋体"/>
          <w:color w:val="auto"/>
          <w:szCs w:val="21"/>
          <w:highlight w:val="none"/>
        </w:rPr>
        <w:t>双方签署合同后的10个工作日内，</w:t>
      </w:r>
      <w:r>
        <w:rPr>
          <w:rFonts w:hint="eastAsia" w:ascii="宋体" w:hAnsi="宋体" w:cs="宋体"/>
          <w:color w:val="auto"/>
          <w:szCs w:val="21"/>
          <w:highlight w:val="none"/>
          <w:lang w:val="en-US" w:eastAsia="zh-CN"/>
        </w:rPr>
        <w:t>甲方</w:t>
      </w:r>
      <w:r>
        <w:rPr>
          <w:rFonts w:hint="eastAsia" w:ascii="宋体" w:hAnsi="宋体" w:eastAsia="宋体" w:cs="宋体"/>
          <w:color w:val="auto"/>
          <w:szCs w:val="21"/>
          <w:highlight w:val="none"/>
        </w:rPr>
        <w:t>向</w:t>
      </w:r>
      <w:r>
        <w:rPr>
          <w:rFonts w:hint="eastAsia" w:ascii="宋体" w:hAnsi="宋体" w:cs="宋体"/>
          <w:color w:val="auto"/>
          <w:szCs w:val="21"/>
          <w:highlight w:val="none"/>
          <w:lang w:val="en-US" w:eastAsia="zh-CN"/>
        </w:rPr>
        <w:t>乙方</w:t>
      </w:r>
      <w:r>
        <w:rPr>
          <w:rFonts w:hint="eastAsia" w:ascii="宋体" w:hAnsi="宋体" w:eastAsia="宋体" w:cs="宋体"/>
          <w:color w:val="auto"/>
          <w:szCs w:val="21"/>
          <w:highlight w:val="none"/>
        </w:rPr>
        <w:t>支付合同总价款的30%作为预付款；</w:t>
      </w:r>
      <w:r>
        <w:rPr>
          <w:rFonts w:hint="eastAsia" w:ascii="宋体" w:hAnsi="宋体" w:cs="宋体"/>
          <w:color w:val="auto"/>
          <w:szCs w:val="21"/>
          <w:highlight w:val="none"/>
          <w:lang w:val="en-US" w:eastAsia="zh-CN"/>
        </w:rPr>
        <w:t>乙方</w:t>
      </w:r>
      <w:r>
        <w:rPr>
          <w:rFonts w:hint="eastAsia" w:ascii="宋体" w:hAnsi="宋体" w:eastAsia="宋体" w:cs="宋体"/>
          <w:color w:val="auto"/>
          <w:szCs w:val="21"/>
          <w:highlight w:val="none"/>
        </w:rPr>
        <w:t>按要求完成《广西全民所有自然资源资产清查工作方案》，</w:t>
      </w:r>
      <w:r>
        <w:rPr>
          <w:rFonts w:hint="eastAsia" w:ascii="宋体" w:hAnsi="宋体" w:cs="宋体"/>
          <w:color w:val="auto"/>
          <w:szCs w:val="21"/>
          <w:highlight w:val="none"/>
          <w:lang w:eastAsia="zh-CN"/>
        </w:rPr>
        <w:t>且</w:t>
      </w:r>
      <w:bookmarkStart w:id="231" w:name="OLE_LINK26"/>
      <w:r>
        <w:rPr>
          <w:rFonts w:hint="eastAsia" w:ascii="宋体" w:hAnsi="宋体" w:cs="宋体"/>
          <w:color w:val="auto"/>
          <w:szCs w:val="21"/>
          <w:highlight w:val="none"/>
          <w:lang w:eastAsia="zh-CN"/>
        </w:rPr>
        <w:t>乙方</w:t>
      </w:r>
      <w:r>
        <w:rPr>
          <w:rFonts w:hint="eastAsia" w:ascii="宋体" w:hAnsi="宋体" w:eastAsia="宋体" w:cs="宋体"/>
          <w:color w:val="auto"/>
          <w:szCs w:val="21"/>
          <w:highlight w:val="none"/>
        </w:rPr>
        <w:t>为大中型企业的，应提供分包协议后，</w:t>
      </w:r>
      <w:bookmarkEnd w:id="231"/>
      <w:r>
        <w:rPr>
          <w:rFonts w:hint="eastAsia" w:ascii="宋体" w:hAnsi="宋体" w:eastAsia="宋体" w:cs="宋体"/>
          <w:color w:val="auto"/>
          <w:szCs w:val="21"/>
          <w:highlight w:val="none"/>
        </w:rPr>
        <w:t>并获得</w:t>
      </w:r>
      <w:r>
        <w:rPr>
          <w:rFonts w:hint="eastAsia" w:ascii="宋体" w:hAnsi="宋体" w:cs="宋体"/>
          <w:color w:val="auto"/>
          <w:szCs w:val="21"/>
          <w:highlight w:val="none"/>
          <w:lang w:val="en-US" w:eastAsia="zh-CN"/>
        </w:rPr>
        <w:t>甲方</w:t>
      </w:r>
      <w:r>
        <w:rPr>
          <w:rFonts w:hint="eastAsia" w:ascii="宋体" w:hAnsi="宋体" w:eastAsia="宋体" w:cs="宋体"/>
          <w:color w:val="auto"/>
          <w:szCs w:val="21"/>
          <w:highlight w:val="none"/>
        </w:rPr>
        <w:t>确认后的10个工作日内，</w:t>
      </w:r>
      <w:r>
        <w:rPr>
          <w:rFonts w:hint="eastAsia" w:ascii="宋体" w:hAnsi="宋体" w:cs="宋体"/>
          <w:color w:val="auto"/>
          <w:szCs w:val="21"/>
          <w:highlight w:val="none"/>
          <w:lang w:val="en-US" w:eastAsia="zh-CN"/>
        </w:rPr>
        <w:t>甲方</w:t>
      </w:r>
      <w:r>
        <w:rPr>
          <w:rFonts w:hint="eastAsia" w:ascii="宋体" w:hAnsi="宋体" w:eastAsia="宋体" w:cs="宋体"/>
          <w:color w:val="auto"/>
          <w:szCs w:val="21"/>
          <w:highlight w:val="none"/>
        </w:rPr>
        <w:t>向</w:t>
      </w:r>
      <w:r>
        <w:rPr>
          <w:rFonts w:hint="eastAsia" w:ascii="宋体" w:hAnsi="宋体" w:cs="宋体"/>
          <w:color w:val="auto"/>
          <w:szCs w:val="21"/>
          <w:highlight w:val="none"/>
          <w:lang w:val="en-US" w:eastAsia="zh-CN"/>
        </w:rPr>
        <w:t>乙方</w:t>
      </w:r>
      <w:r>
        <w:rPr>
          <w:rFonts w:hint="eastAsia" w:ascii="宋体" w:hAnsi="宋体" w:eastAsia="宋体" w:cs="宋体"/>
          <w:color w:val="auto"/>
          <w:szCs w:val="21"/>
          <w:highlight w:val="none"/>
        </w:rPr>
        <w:t>支付合同总价款的30%；</w:t>
      </w:r>
      <w:r>
        <w:rPr>
          <w:rFonts w:hint="eastAsia" w:ascii="宋体" w:hAnsi="宋体" w:cs="宋体"/>
          <w:color w:val="auto"/>
          <w:szCs w:val="21"/>
          <w:highlight w:val="none"/>
          <w:lang w:val="en-US" w:eastAsia="zh-CN"/>
        </w:rPr>
        <w:t>乙方</w:t>
      </w:r>
      <w:r>
        <w:rPr>
          <w:rFonts w:hint="eastAsia" w:ascii="宋体" w:hAnsi="宋体" w:eastAsia="宋体" w:cs="宋体"/>
          <w:color w:val="auto"/>
          <w:szCs w:val="21"/>
          <w:highlight w:val="none"/>
        </w:rPr>
        <w:t>按要求完成</w:t>
      </w:r>
      <w:r>
        <w:rPr>
          <w:rFonts w:hint="eastAsia" w:ascii="宋体" w:hAnsi="宋体" w:cs="宋体"/>
          <w:color w:val="auto"/>
          <w:szCs w:val="21"/>
          <w:highlight w:val="none"/>
          <w:lang w:val="en-US" w:eastAsia="zh-CN"/>
        </w:rPr>
        <w:t>广西全民所有自然资源资产清查价格体系更新数据库、</w:t>
      </w:r>
      <w:r>
        <w:rPr>
          <w:rFonts w:hint="eastAsia" w:ascii="宋体" w:hAnsi="宋体" w:eastAsia="宋体" w:cs="宋体"/>
          <w:color w:val="auto"/>
          <w:szCs w:val="21"/>
          <w:highlight w:val="none"/>
        </w:rPr>
        <w:t>《广西全民所有自然资源资产清查成果分析报告》初步成果，并获得</w:t>
      </w:r>
      <w:r>
        <w:rPr>
          <w:rFonts w:hint="eastAsia" w:ascii="宋体" w:hAnsi="宋体" w:cs="宋体"/>
          <w:color w:val="auto"/>
          <w:szCs w:val="21"/>
          <w:highlight w:val="none"/>
          <w:lang w:val="en-US" w:eastAsia="zh-CN"/>
        </w:rPr>
        <w:t>甲方</w:t>
      </w:r>
      <w:r>
        <w:rPr>
          <w:rFonts w:hint="eastAsia" w:ascii="宋体" w:hAnsi="宋体" w:eastAsia="宋体" w:cs="宋体"/>
          <w:color w:val="auto"/>
          <w:szCs w:val="21"/>
          <w:highlight w:val="none"/>
        </w:rPr>
        <w:t>确认后的10个工作日内，</w:t>
      </w:r>
      <w:r>
        <w:rPr>
          <w:rFonts w:hint="eastAsia" w:ascii="宋体" w:hAnsi="宋体" w:cs="宋体"/>
          <w:color w:val="auto"/>
          <w:szCs w:val="21"/>
          <w:highlight w:val="none"/>
          <w:lang w:val="en-US" w:eastAsia="zh-CN"/>
        </w:rPr>
        <w:t>甲方</w:t>
      </w:r>
      <w:r>
        <w:rPr>
          <w:rFonts w:hint="eastAsia" w:ascii="宋体" w:hAnsi="宋体" w:eastAsia="宋体" w:cs="宋体"/>
          <w:color w:val="auto"/>
          <w:szCs w:val="21"/>
          <w:highlight w:val="none"/>
        </w:rPr>
        <w:t>向</w:t>
      </w:r>
      <w:r>
        <w:rPr>
          <w:rFonts w:hint="eastAsia" w:ascii="宋体" w:hAnsi="宋体" w:cs="宋体"/>
          <w:color w:val="auto"/>
          <w:szCs w:val="21"/>
          <w:highlight w:val="none"/>
          <w:lang w:val="en-US" w:eastAsia="zh-CN"/>
        </w:rPr>
        <w:t>乙方</w:t>
      </w:r>
      <w:r>
        <w:rPr>
          <w:rFonts w:hint="eastAsia" w:ascii="宋体" w:hAnsi="宋体" w:eastAsia="宋体" w:cs="宋体"/>
          <w:color w:val="auto"/>
          <w:szCs w:val="21"/>
          <w:highlight w:val="none"/>
        </w:rPr>
        <w:t>支付合同总价款的30%；</w:t>
      </w:r>
      <w:r>
        <w:rPr>
          <w:rFonts w:hint="eastAsia" w:ascii="宋体" w:hAnsi="宋体" w:cs="宋体"/>
          <w:color w:val="auto"/>
          <w:szCs w:val="21"/>
          <w:highlight w:val="none"/>
          <w:lang w:val="en-US" w:eastAsia="zh-CN"/>
        </w:rPr>
        <w:t>乙方</w:t>
      </w:r>
      <w:r>
        <w:rPr>
          <w:rFonts w:hint="eastAsia" w:ascii="宋体" w:hAnsi="宋体" w:eastAsia="宋体" w:cs="宋体"/>
          <w:color w:val="auto"/>
          <w:szCs w:val="21"/>
          <w:highlight w:val="none"/>
        </w:rPr>
        <w:t>按要求完成</w:t>
      </w:r>
      <w:r>
        <w:rPr>
          <w:rFonts w:hint="eastAsia" w:ascii="宋体" w:hAnsi="宋体" w:eastAsia="宋体" w:cs="宋体"/>
          <w:color w:val="auto"/>
          <w:szCs w:val="21"/>
          <w:highlight w:val="none"/>
          <w:lang w:val="en-US" w:eastAsia="zh-CN"/>
        </w:rPr>
        <w:t>广西全民所有自然资源资产</w:t>
      </w:r>
      <w:r>
        <w:rPr>
          <w:rFonts w:hint="eastAsia" w:ascii="宋体" w:hAnsi="宋体" w:cs="宋体"/>
          <w:color w:val="auto"/>
          <w:szCs w:val="21"/>
          <w:highlight w:val="none"/>
          <w:lang w:val="en-US" w:eastAsia="zh-CN"/>
        </w:rPr>
        <w:t>实物量</w:t>
      </w:r>
      <w:r>
        <w:rPr>
          <w:rFonts w:hint="eastAsia" w:ascii="宋体" w:hAnsi="宋体" w:eastAsia="宋体" w:cs="宋体"/>
          <w:color w:val="auto"/>
          <w:szCs w:val="21"/>
          <w:highlight w:val="none"/>
          <w:lang w:val="en-US" w:eastAsia="zh-CN"/>
        </w:rPr>
        <w:t>清查</w:t>
      </w:r>
      <w:r>
        <w:rPr>
          <w:rFonts w:hint="eastAsia" w:ascii="宋体" w:hAnsi="宋体" w:cs="宋体"/>
          <w:color w:val="auto"/>
          <w:szCs w:val="21"/>
          <w:highlight w:val="none"/>
          <w:lang w:val="en-US" w:eastAsia="zh-CN"/>
        </w:rPr>
        <w:t>及经济价值核算</w:t>
      </w:r>
      <w:r>
        <w:rPr>
          <w:rFonts w:hint="eastAsia" w:ascii="宋体" w:hAnsi="宋体" w:eastAsia="宋体" w:cs="宋体"/>
          <w:color w:val="auto"/>
          <w:szCs w:val="21"/>
          <w:highlight w:val="none"/>
          <w:lang w:val="en-US" w:eastAsia="zh-CN"/>
        </w:rPr>
        <w:t>成果数据库</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广西全民所有自然资源资产</w:t>
      </w:r>
      <w:r>
        <w:rPr>
          <w:rFonts w:hint="eastAsia" w:ascii="宋体" w:hAnsi="宋体" w:cs="宋体"/>
          <w:color w:val="auto"/>
          <w:szCs w:val="21"/>
          <w:highlight w:val="none"/>
          <w:lang w:val="en-US" w:eastAsia="zh-CN"/>
        </w:rPr>
        <w:t>使用权状况清查</w:t>
      </w:r>
      <w:r>
        <w:rPr>
          <w:rFonts w:hint="eastAsia" w:ascii="宋体" w:hAnsi="宋体" w:eastAsia="宋体" w:cs="宋体"/>
          <w:color w:val="auto"/>
          <w:szCs w:val="21"/>
          <w:highlight w:val="none"/>
          <w:lang w:val="en-US" w:eastAsia="zh-CN"/>
        </w:rPr>
        <w:t>成果数据库</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《广西全民所有自然资源资产清查成果分析报告》</w:t>
      </w:r>
      <w:r>
        <w:rPr>
          <w:rFonts w:hint="eastAsia" w:ascii="宋体" w:hAnsi="宋体" w:cs="宋体"/>
          <w:color w:val="auto"/>
          <w:szCs w:val="21"/>
          <w:highlight w:val="none"/>
          <w:lang w:eastAsia="zh-CN"/>
        </w:rPr>
        <w:t>《</w:t>
      </w:r>
      <w:r>
        <w:rPr>
          <w:rFonts w:hint="eastAsia" w:hAnsi="宋体" w:cs="宋体"/>
          <w:b w:val="0"/>
          <w:bCs/>
          <w:color w:val="auto"/>
          <w:sz w:val="21"/>
          <w:highlight w:val="none"/>
          <w:lang w:val="en-US" w:eastAsia="zh-CN"/>
        </w:rPr>
        <w:t>2026年度广西国有自然资源清查盘活工作总结报告</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最终成果，提交</w:t>
      </w:r>
      <w:r>
        <w:rPr>
          <w:rFonts w:hint="eastAsia" w:ascii="宋体" w:hAnsi="宋体" w:cs="宋体"/>
          <w:color w:val="auto"/>
          <w:szCs w:val="21"/>
          <w:highlight w:val="none"/>
          <w:lang w:val="en-US" w:eastAsia="zh-CN"/>
        </w:rPr>
        <w:t>甲方</w:t>
      </w:r>
      <w:r>
        <w:rPr>
          <w:rFonts w:hint="eastAsia" w:ascii="宋体" w:hAnsi="宋体" w:eastAsia="宋体" w:cs="宋体"/>
          <w:color w:val="auto"/>
          <w:szCs w:val="21"/>
          <w:highlight w:val="none"/>
        </w:rPr>
        <w:t>验收合格并移交成果数据至厅信息中心后10个工作日内，</w:t>
      </w:r>
      <w:r>
        <w:rPr>
          <w:rFonts w:hint="eastAsia" w:ascii="宋体" w:hAnsi="宋体" w:cs="宋体"/>
          <w:color w:val="auto"/>
          <w:szCs w:val="21"/>
          <w:highlight w:val="none"/>
          <w:lang w:val="en-US" w:eastAsia="zh-CN"/>
        </w:rPr>
        <w:t>甲方</w:t>
      </w:r>
      <w:r>
        <w:rPr>
          <w:rFonts w:hint="eastAsia" w:ascii="宋体" w:hAnsi="宋体" w:eastAsia="宋体" w:cs="宋体"/>
          <w:color w:val="auto"/>
          <w:szCs w:val="21"/>
          <w:highlight w:val="none"/>
        </w:rPr>
        <w:t>向</w:t>
      </w:r>
      <w:r>
        <w:rPr>
          <w:rFonts w:hint="eastAsia" w:ascii="宋体" w:hAnsi="宋体" w:cs="宋体"/>
          <w:color w:val="auto"/>
          <w:szCs w:val="21"/>
          <w:highlight w:val="none"/>
          <w:lang w:val="en-US" w:eastAsia="zh-CN"/>
        </w:rPr>
        <w:t>乙方</w:t>
      </w:r>
      <w:r>
        <w:rPr>
          <w:rFonts w:hint="eastAsia" w:ascii="宋体" w:hAnsi="宋体" w:eastAsia="宋体" w:cs="宋体"/>
          <w:color w:val="auto"/>
          <w:szCs w:val="21"/>
          <w:highlight w:val="none"/>
        </w:rPr>
        <w:t>支付合同总价款的10%。</w:t>
      </w:r>
    </w:p>
    <w:p>
      <w:pPr>
        <w:snapToGrid w:val="0"/>
        <w:spacing w:line="560" w:lineRule="exact"/>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第六条</w:t>
      </w:r>
      <w:r>
        <w:rPr>
          <w:rFonts w:hint="eastAsia" w:ascii="宋体" w:hAnsi="宋体" w:cs="宋体"/>
          <w:b/>
          <w:bCs/>
          <w:color w:val="auto"/>
          <w:sz w:val="21"/>
          <w:szCs w:val="21"/>
          <w:highlight w:val="none"/>
        </w:rPr>
        <w:tab/>
      </w:r>
      <w:r>
        <w:rPr>
          <w:rFonts w:hint="eastAsia" w:ascii="宋体" w:hAnsi="宋体" w:cs="宋体"/>
          <w:b/>
          <w:bCs/>
          <w:color w:val="auto"/>
          <w:sz w:val="21"/>
          <w:szCs w:val="21"/>
          <w:highlight w:val="none"/>
        </w:rPr>
        <w:t>税费</w:t>
      </w:r>
    </w:p>
    <w:p>
      <w:pPr>
        <w:snapToGrid w:val="0"/>
        <w:spacing w:line="5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本合同执行中相关的一切税费均由乙方依法负担，乙方每次收款后应在5个工作日内向甲方提交等额有效合法税务发票。</w:t>
      </w:r>
    </w:p>
    <w:p>
      <w:pPr>
        <w:snapToGrid w:val="0"/>
        <w:spacing w:line="560" w:lineRule="exact"/>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第七条</w:t>
      </w:r>
      <w:r>
        <w:rPr>
          <w:rFonts w:hint="eastAsia" w:ascii="宋体" w:hAnsi="宋体" w:cs="宋体"/>
          <w:b/>
          <w:bCs/>
          <w:color w:val="auto"/>
          <w:sz w:val="21"/>
          <w:szCs w:val="21"/>
          <w:highlight w:val="none"/>
        </w:rPr>
        <w:tab/>
      </w:r>
      <w:r>
        <w:rPr>
          <w:rFonts w:hint="eastAsia" w:ascii="宋体" w:hAnsi="宋体" w:cs="宋体"/>
          <w:b/>
          <w:bCs/>
          <w:color w:val="auto"/>
          <w:sz w:val="21"/>
          <w:szCs w:val="21"/>
          <w:highlight w:val="none"/>
        </w:rPr>
        <w:t>服务成果质量保证及售后服务</w:t>
      </w:r>
    </w:p>
    <w:p>
      <w:pPr>
        <w:snapToGrid w:val="0"/>
        <w:spacing w:line="5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乙方应按采购文件规定的采购服务内容、数量、服务项目要求(技术参数需求)等向甲方提交质量必须为合格的服务成果，因乙方原因导致乙方提交的成果不符合要求的，根据实际情况，经双方协商，可按以下办法处理：</w:t>
      </w:r>
    </w:p>
    <w:p>
      <w:pPr>
        <w:snapToGrid w:val="0"/>
        <w:spacing w:line="5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（1）更换：由乙方承担更换所发生的全部费用，若因此导致逾期向甲方提交成果的，按本合同第八条第3款约定处理。</w:t>
      </w:r>
    </w:p>
    <w:p>
      <w:pPr>
        <w:snapToGrid w:val="0"/>
        <w:spacing w:line="5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（2）贬值处理：合同总价由甲乙双方重新合议确定，此外乙方还应向甲方支付合同总价5%的违约金。</w:t>
      </w:r>
    </w:p>
    <w:p>
      <w:pPr>
        <w:snapToGrid w:val="0"/>
        <w:spacing w:line="5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（3）退服务成果处理：乙方须按本合同第八条第1款中乙方无法提供质量符合采购及响应文件、国家有关质量标准或本合同约定的服务成果情形的约定处理。</w:t>
      </w:r>
    </w:p>
    <w:p>
      <w:pPr>
        <w:snapToGrid w:val="0"/>
        <w:spacing w:line="5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2、如在使用过程中发生质量问题，乙方在接到甲方通知后在 8 小时内到达甲方现场。</w:t>
      </w:r>
    </w:p>
    <w:p>
      <w:pPr>
        <w:snapToGrid w:val="0"/>
        <w:spacing w:line="5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质保期为乙方提交的成果经甲方验收合格之日起6个月。在质保期内，乙方应对服务成果出现的质量及安全问题负责处理解决并承担一切费用，并无偿为甲方提供项目日常服务工作，因人为因素出现的故障不在免费质保范围内。超过质保期的服务成果，终生维护，维护时只收成本费。</w:t>
      </w:r>
    </w:p>
    <w:p>
      <w:pPr>
        <w:snapToGrid w:val="0"/>
        <w:spacing w:line="560" w:lineRule="exact"/>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第八条 违约责任</w:t>
      </w:r>
    </w:p>
    <w:p>
      <w:pPr>
        <w:snapToGrid w:val="0"/>
        <w:spacing w:line="560" w:lineRule="exact"/>
        <w:ind w:firstLine="525" w:firstLineChars="250"/>
        <w:rPr>
          <w:rFonts w:ascii="宋体" w:hAnsi="宋体" w:cs="宋体"/>
          <w:color w:val="auto"/>
          <w:sz w:val="21"/>
          <w:szCs w:val="21"/>
          <w:highlight w:val="none"/>
        </w:rPr>
      </w:pPr>
      <w:r>
        <w:rPr>
          <w:rFonts w:hint="eastAsia" w:ascii="宋体" w:hAnsi="宋体" w:cs="宋体"/>
          <w:color w:val="auto"/>
          <w:sz w:val="21"/>
          <w:szCs w:val="21"/>
          <w:highlight w:val="none"/>
        </w:rPr>
        <w:t>1、因乙方原因，乙方所提交的服务成果内容、数量、服务项目要求（技术参数需求）等不符合</w:t>
      </w:r>
      <w:r>
        <w:rPr>
          <w:rFonts w:hint="eastAsia" w:ascii="宋体" w:hAnsi="宋体" w:cs="宋体"/>
          <w:color w:val="auto"/>
          <w:sz w:val="21"/>
          <w:szCs w:val="21"/>
          <w:highlight w:val="none"/>
          <w:lang w:val="en-US" w:eastAsia="zh-CN"/>
        </w:rPr>
        <w:t>采购文件及响应</w:t>
      </w:r>
      <w:r>
        <w:rPr>
          <w:rFonts w:hint="eastAsia" w:ascii="宋体" w:hAnsi="宋体" w:cs="宋体"/>
          <w:color w:val="auto"/>
          <w:sz w:val="21"/>
          <w:szCs w:val="21"/>
          <w:highlight w:val="none"/>
        </w:rPr>
        <w:t>文件、国家有关质量标准或本合同约定的，应及时调整，调整不及时的按本条第3款的约定按逾期提交成果处理；因特殊情况甲方同意接收不符合</w:t>
      </w:r>
      <w:r>
        <w:rPr>
          <w:rFonts w:hint="eastAsia" w:ascii="宋体" w:hAnsi="宋体" w:cs="宋体"/>
          <w:color w:val="auto"/>
          <w:sz w:val="21"/>
          <w:szCs w:val="21"/>
          <w:highlight w:val="none"/>
          <w:lang w:val="en-US" w:eastAsia="zh-CN"/>
        </w:rPr>
        <w:t>采购文件及响应</w:t>
      </w:r>
      <w:r>
        <w:rPr>
          <w:rFonts w:hint="eastAsia" w:ascii="宋体" w:hAnsi="宋体" w:cs="宋体"/>
          <w:color w:val="auto"/>
          <w:sz w:val="21"/>
          <w:szCs w:val="21"/>
          <w:highlight w:val="none"/>
        </w:rPr>
        <w:t xml:space="preserve">文件、国家有关质量标准或本合同约定的服务或报告的，乙方除承担逾期违约责任外，还应向甲方支付合同总价5%违约金。因乙方无法提供质量符合招投标文件、国家有关质量标准或本合同约定的服务或报告的，甲方有权解除合同。 </w:t>
      </w:r>
    </w:p>
    <w:p>
      <w:pPr>
        <w:snapToGrid w:val="0"/>
        <w:spacing w:line="560" w:lineRule="exact"/>
        <w:ind w:firstLine="472" w:firstLineChars="225"/>
        <w:rPr>
          <w:rFonts w:ascii="宋体" w:hAnsi="宋体" w:cs="宋体"/>
          <w:color w:val="auto"/>
          <w:sz w:val="21"/>
          <w:szCs w:val="21"/>
          <w:highlight w:val="none"/>
        </w:rPr>
      </w:pPr>
      <w:r>
        <w:rPr>
          <w:rFonts w:hint="eastAsia" w:ascii="宋体" w:hAnsi="宋体" w:cs="宋体"/>
          <w:color w:val="auto"/>
          <w:sz w:val="21"/>
          <w:szCs w:val="21"/>
          <w:highlight w:val="none"/>
        </w:rPr>
        <w:t>2、乙方提供的服务成果如侵犯第三方合法权益而引发的任何纠纷或诉讼，均由乙方负责交涉并承担全部责任。如甲方为解决纠纷先行支付了费用，乙方应当在收到甲方关于要求偿还已支付款项的通知之日起5个工作日内将甲方已支付的合理费用赔偿给甲方。</w:t>
      </w:r>
    </w:p>
    <w:p>
      <w:pPr>
        <w:snapToGrid w:val="0"/>
        <w:spacing w:line="5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3、因乙方原因，乙方逾期交付服务成果的，每天向甲方支付合同总价0.5‰的违约金，但违约金累计不超过合同总价的5%。乙方逾期交付超过15日的，甲方有权解除合同。</w:t>
      </w:r>
    </w:p>
    <w:p>
      <w:pPr>
        <w:snapToGrid w:val="0"/>
        <w:spacing w:line="5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4、乙方未按本合同和投标文件中规定的服务承诺提供售后服务的，乙方应按合同总</w:t>
      </w:r>
      <w:r>
        <w:rPr>
          <w:rFonts w:hint="eastAsia" w:ascii="宋体" w:hAnsi="宋体" w:cs="宋体"/>
          <w:color w:val="auto"/>
          <w:sz w:val="21"/>
          <w:szCs w:val="21"/>
          <w:highlight w:val="none"/>
          <w:u w:val="single"/>
        </w:rPr>
        <w:t>价的5%</w:t>
      </w:r>
      <w:r>
        <w:rPr>
          <w:rFonts w:hint="eastAsia" w:ascii="宋体" w:hAnsi="宋体" w:cs="宋体"/>
          <w:color w:val="auto"/>
          <w:sz w:val="21"/>
          <w:szCs w:val="21"/>
          <w:highlight w:val="none"/>
        </w:rPr>
        <w:t>向甲方支付违约金。</w:t>
      </w:r>
    </w:p>
    <w:p>
      <w:pPr>
        <w:snapToGrid w:val="0"/>
        <w:spacing w:line="5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5、乙方有其它严重影响合同目的实现的违约行为的，每发生一次按合同总价的</w:t>
      </w:r>
      <w:r>
        <w:rPr>
          <w:rFonts w:hint="eastAsia" w:ascii="宋体" w:hAnsi="宋体" w:cs="宋体"/>
          <w:color w:val="auto"/>
          <w:sz w:val="21"/>
          <w:szCs w:val="21"/>
          <w:highlight w:val="none"/>
          <w:u w:val="single"/>
        </w:rPr>
        <w:t>5%</w:t>
      </w:r>
      <w:r>
        <w:rPr>
          <w:rFonts w:hint="eastAsia" w:ascii="宋体" w:hAnsi="宋体" w:cs="宋体"/>
          <w:color w:val="auto"/>
          <w:sz w:val="21"/>
          <w:szCs w:val="21"/>
          <w:highlight w:val="none"/>
        </w:rPr>
        <w:t>支付违约金。</w:t>
      </w:r>
    </w:p>
    <w:p>
      <w:pPr>
        <w:snapToGrid w:val="0"/>
        <w:spacing w:line="5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6、甲方根据本合同约定解除合同的，有权不予支付任何款项给乙方，已经支付的，乙方应当自甲方要求返还之日起5日内予以返还，此外乙方还应支付合同总价5%的违约金给甲方。但甲方接受或利用乙方已完成的服务的，应按乙方完成的工作量支付费用。</w:t>
      </w:r>
    </w:p>
    <w:p>
      <w:pPr>
        <w:snapToGrid w:val="0"/>
        <w:spacing w:line="5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7、当以上违约金不足以弥补甲方损失时，乙方还应对甲方超过违约金部分的损失依法承担赔偿责任，甲方有权继续向乙方追偿。乙方应当赔偿因此给甲方造成的所有损失，包括但不限于甲方直接损失、向第三人承担的违约金、赔偿金、为索赔支出的费用、律师费、诉讼费、仲裁费、调查费、公证费、鉴定费等。</w:t>
      </w:r>
    </w:p>
    <w:p>
      <w:pPr>
        <w:snapToGrid w:val="0"/>
        <w:spacing w:before="120" w:after="120" w:line="560" w:lineRule="exact"/>
        <w:ind w:firstLine="413" w:firstLineChars="196"/>
        <w:rPr>
          <w:rFonts w:ascii="宋体" w:hAnsi="宋体" w:cs="宋体"/>
          <w:b/>
          <w:bCs/>
          <w:color w:val="auto"/>
          <w:sz w:val="21"/>
          <w:szCs w:val="21"/>
          <w:highlight w:val="none"/>
        </w:rPr>
      </w:pPr>
      <w:r>
        <w:rPr>
          <w:rFonts w:hint="eastAsia" w:ascii="宋体" w:hAnsi="宋体" w:cs="宋体"/>
          <w:b/>
          <w:bCs/>
          <w:color w:val="auto"/>
          <w:sz w:val="21"/>
          <w:szCs w:val="21"/>
          <w:highlight w:val="none"/>
        </w:rPr>
        <w:t>第九条</w:t>
      </w:r>
      <w:r>
        <w:rPr>
          <w:rFonts w:hint="eastAsia" w:ascii="宋体" w:hAnsi="宋体" w:cs="宋体"/>
          <w:b/>
          <w:bCs/>
          <w:color w:val="auto"/>
          <w:sz w:val="21"/>
          <w:szCs w:val="21"/>
          <w:highlight w:val="none"/>
        </w:rPr>
        <w:tab/>
      </w:r>
      <w:r>
        <w:rPr>
          <w:rFonts w:hint="eastAsia" w:ascii="宋体" w:hAnsi="宋体" w:cs="宋体"/>
          <w:b/>
          <w:bCs/>
          <w:color w:val="auto"/>
          <w:sz w:val="21"/>
          <w:szCs w:val="21"/>
          <w:highlight w:val="none"/>
        </w:rPr>
        <w:t>不可抗力事件处理</w:t>
      </w:r>
    </w:p>
    <w:p>
      <w:pPr>
        <w:snapToGrid w:val="0"/>
        <w:spacing w:line="5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1、在合同有效期内，任何一方因不可抗力事件导致不能履行合同的，则合同履行期可延长，其延长期与不可抗力影响期相同。</w:t>
      </w:r>
    </w:p>
    <w:p>
      <w:pPr>
        <w:snapToGrid w:val="0"/>
        <w:spacing w:line="5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2、由于不可抗力事件不能全部或部分履行合同义务时，任一方可中止履行其在本合同项下的义务。</w:t>
      </w:r>
    </w:p>
    <w:p>
      <w:pPr>
        <w:snapToGrid w:val="0"/>
        <w:spacing w:line="5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不可抗力事件发生后，受影响方应立即通知对方，并寄送有关不可抗力发生的有效证明。声称受到不可抗力的一方应在任何时候采取合理的行动，以避免或尽量减少不可抗力事件的影响。因主观原因延误，未及时采取必要措施而导致损失扩大的，不能免除相应责任。</w:t>
      </w:r>
    </w:p>
    <w:p>
      <w:pPr>
        <w:snapToGrid w:val="0"/>
        <w:spacing w:line="5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4、不可抗力事件延续一百二十天以上时，双方应通过友好协商，确定是否继续履行合同。若双方协商解除合同，甲方应按乙方完成的工作量支付费用。</w:t>
      </w:r>
    </w:p>
    <w:p>
      <w:pPr>
        <w:snapToGrid w:val="0"/>
        <w:spacing w:line="560" w:lineRule="exact"/>
        <w:ind w:firstLine="422" w:firstLineChars="200"/>
        <w:rPr>
          <w:rFonts w:ascii="宋体" w:hAnsi="宋体" w:cs="宋体"/>
          <w:color w:val="auto"/>
          <w:sz w:val="21"/>
          <w:szCs w:val="21"/>
          <w:highlight w:val="none"/>
        </w:rPr>
      </w:pPr>
      <w:r>
        <w:rPr>
          <w:rFonts w:hint="eastAsia" w:ascii="宋体" w:hAnsi="宋体" w:cs="宋体"/>
          <w:b/>
          <w:bCs/>
          <w:color w:val="auto"/>
          <w:sz w:val="21"/>
          <w:szCs w:val="21"/>
          <w:highlight w:val="none"/>
        </w:rPr>
        <w:t>第十条</w:t>
      </w:r>
      <w:r>
        <w:rPr>
          <w:rFonts w:hint="eastAsia" w:ascii="宋体" w:hAnsi="宋体" w:cs="宋体"/>
          <w:b/>
          <w:bCs/>
          <w:color w:val="auto"/>
          <w:sz w:val="21"/>
          <w:szCs w:val="21"/>
          <w:highlight w:val="none"/>
        </w:rPr>
        <w:tab/>
      </w:r>
      <w:r>
        <w:rPr>
          <w:rFonts w:hint="eastAsia" w:ascii="宋体" w:hAnsi="宋体" w:cs="宋体"/>
          <w:b/>
          <w:bCs/>
          <w:color w:val="auto"/>
          <w:sz w:val="21"/>
          <w:szCs w:val="21"/>
          <w:highlight w:val="none"/>
        </w:rPr>
        <w:t>合同争议解决</w:t>
      </w:r>
    </w:p>
    <w:p>
      <w:pPr>
        <w:snapToGrid w:val="0"/>
        <w:spacing w:line="5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1、因服务成果质量问题发生争议的，应邀请国家认可的质量检测机构对服务成果质量进行鉴定。服务成果符合标准的，鉴定费由甲方承担；服务成果不符合标准的，鉴定费由乙方承担。</w:t>
      </w:r>
    </w:p>
    <w:p>
      <w:pPr>
        <w:snapToGrid w:val="0"/>
        <w:spacing w:line="5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2、因履行本合同引起的或与本合同有关的争议，甲乙双方应首先通过友好协商解决，如果协商不能解决，任何一方均可向甲方所在地有管辖权的人民法院提起诉讼。</w:t>
      </w:r>
    </w:p>
    <w:p>
      <w:pPr>
        <w:snapToGrid w:val="0"/>
        <w:spacing w:line="560" w:lineRule="exact"/>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第十一条  合同生效及其它</w:t>
      </w:r>
    </w:p>
    <w:p>
      <w:pPr>
        <w:snapToGrid w:val="0"/>
        <w:spacing w:line="5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1、本合同经双方法定代表人或授权代表签字并加盖单位公章后生效。</w:t>
      </w:r>
    </w:p>
    <w:p>
      <w:pPr>
        <w:snapToGrid w:val="0"/>
        <w:spacing w:line="5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2、本合同未尽事宜，双方另行协商。</w:t>
      </w:r>
    </w:p>
    <w:p>
      <w:pPr>
        <w:snapToGrid w:val="0"/>
        <w:spacing w:line="560" w:lineRule="exact"/>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第十二条  合同的变更、终止与转让</w:t>
      </w:r>
    </w:p>
    <w:p>
      <w:pPr>
        <w:snapToGrid w:val="0"/>
        <w:spacing w:line="5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1、除《中华人民共和国政府采购法》第五十条规定的情形外，本合同一经签订，甲乙双方不得擅自变更、中止或终止。</w:t>
      </w:r>
    </w:p>
    <w:p>
      <w:pPr>
        <w:snapToGrid w:val="0"/>
        <w:spacing w:line="5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2、未经甲方书面同意，乙方不得转让其应履行的任何合同义务。</w:t>
      </w:r>
    </w:p>
    <w:p>
      <w:pPr>
        <w:snapToGrid w:val="0"/>
        <w:spacing w:line="560" w:lineRule="exact"/>
        <w:ind w:firstLine="422" w:firstLineChars="200"/>
        <w:rPr>
          <w:rFonts w:ascii="宋体" w:hAnsi="宋体" w:cs="宋体"/>
          <w:color w:val="auto"/>
          <w:sz w:val="21"/>
          <w:szCs w:val="21"/>
          <w:highlight w:val="none"/>
        </w:rPr>
      </w:pPr>
      <w:r>
        <w:rPr>
          <w:rFonts w:hint="eastAsia" w:ascii="宋体" w:hAnsi="宋体" w:cs="宋体"/>
          <w:b/>
          <w:bCs/>
          <w:color w:val="auto"/>
          <w:sz w:val="21"/>
          <w:szCs w:val="21"/>
          <w:highlight w:val="none"/>
        </w:rPr>
        <w:t xml:space="preserve">第十三条 </w:t>
      </w:r>
      <w:r>
        <w:rPr>
          <w:rFonts w:hint="eastAsia" w:ascii="宋体" w:hAnsi="宋体" w:cs="宋体"/>
          <w:color w:val="auto"/>
          <w:sz w:val="21"/>
          <w:szCs w:val="21"/>
          <w:highlight w:val="none"/>
        </w:rPr>
        <w:t>本合同一式陆份，具有同等法律效力，甲乙双方各执叁份。</w:t>
      </w:r>
    </w:p>
    <w:tbl>
      <w:tblPr>
        <w:tblStyle w:val="23"/>
        <w:tblW w:w="90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516" w:type="dxa"/>
            <w:noWrap w:val="0"/>
            <w:vAlign w:val="center"/>
          </w:tcPr>
          <w:p>
            <w:pPr>
              <w:snapToGrid w:val="0"/>
              <w:spacing w:line="500" w:lineRule="exact"/>
              <w:rPr>
                <w:rFonts w:ascii="宋体" w:hAnsi="宋体"/>
                <w:color w:val="auto"/>
                <w:szCs w:val="21"/>
                <w:highlight w:val="none"/>
              </w:rPr>
            </w:pPr>
            <w:r>
              <w:rPr>
                <w:rFonts w:hint="eastAsia" w:ascii="宋体" w:hAnsi="宋体"/>
                <w:color w:val="auto"/>
                <w:szCs w:val="21"/>
                <w:highlight w:val="none"/>
              </w:rPr>
              <w:t xml:space="preserve">甲方（章）           </w:t>
            </w:r>
          </w:p>
          <w:p>
            <w:pPr>
              <w:snapToGrid w:val="0"/>
              <w:spacing w:line="500" w:lineRule="exact"/>
              <w:rPr>
                <w:rFonts w:ascii="宋体" w:hAnsi="宋体"/>
                <w:color w:val="auto"/>
                <w:szCs w:val="21"/>
                <w:highlight w:val="none"/>
              </w:rPr>
            </w:pPr>
          </w:p>
          <w:p>
            <w:pPr>
              <w:snapToGrid w:val="0"/>
              <w:spacing w:line="500" w:lineRule="exact"/>
              <w:ind w:firstLine="945" w:firstLineChars="450"/>
              <w:jc w:val="right"/>
              <w:rPr>
                <w:rFonts w:ascii="宋体" w:hAnsi="宋体"/>
                <w:color w:val="auto"/>
                <w:szCs w:val="21"/>
                <w:highlight w:val="none"/>
              </w:rPr>
            </w:pPr>
            <w:r>
              <w:rPr>
                <w:rFonts w:hint="eastAsia" w:ascii="宋体" w:hAnsi="宋体"/>
                <w:color w:val="auto"/>
                <w:szCs w:val="21"/>
                <w:highlight w:val="none"/>
              </w:rPr>
              <w:t>年   月   日</w:t>
            </w:r>
          </w:p>
        </w:tc>
        <w:tc>
          <w:tcPr>
            <w:tcW w:w="4517" w:type="dxa"/>
            <w:noWrap w:val="0"/>
            <w:vAlign w:val="center"/>
          </w:tcPr>
          <w:p>
            <w:pPr>
              <w:snapToGrid w:val="0"/>
              <w:spacing w:line="500" w:lineRule="exact"/>
              <w:rPr>
                <w:rFonts w:ascii="宋体" w:hAnsi="宋体"/>
                <w:color w:val="auto"/>
                <w:szCs w:val="21"/>
                <w:highlight w:val="none"/>
              </w:rPr>
            </w:pPr>
            <w:r>
              <w:rPr>
                <w:rFonts w:hint="eastAsia" w:ascii="宋体" w:hAnsi="宋体"/>
                <w:color w:val="auto"/>
                <w:szCs w:val="21"/>
                <w:highlight w:val="none"/>
              </w:rPr>
              <w:t xml:space="preserve">乙方（章）              </w:t>
            </w:r>
          </w:p>
          <w:p>
            <w:pPr>
              <w:snapToGrid w:val="0"/>
              <w:spacing w:line="500" w:lineRule="exact"/>
              <w:rPr>
                <w:rFonts w:ascii="宋体" w:hAnsi="宋体"/>
                <w:color w:val="auto"/>
                <w:szCs w:val="21"/>
                <w:highlight w:val="none"/>
              </w:rPr>
            </w:pPr>
          </w:p>
          <w:p>
            <w:pPr>
              <w:snapToGrid w:val="0"/>
              <w:spacing w:line="500" w:lineRule="exact"/>
              <w:jc w:val="right"/>
              <w:rPr>
                <w:rFonts w:ascii="宋体" w:hAnsi="宋体"/>
                <w:color w:val="auto"/>
                <w:szCs w:val="21"/>
                <w:highlight w:val="none"/>
              </w:rPr>
            </w:pPr>
            <w:r>
              <w:rPr>
                <w:rFonts w:hint="eastAsia" w:ascii="宋体" w:hAnsi="宋体"/>
                <w:color w:val="auto"/>
                <w:szCs w:val="21"/>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4516" w:type="dxa"/>
            <w:noWrap w:val="0"/>
            <w:vAlign w:val="center"/>
          </w:tcPr>
          <w:p>
            <w:pPr>
              <w:snapToGrid w:val="0"/>
              <w:spacing w:line="500" w:lineRule="exact"/>
              <w:rPr>
                <w:rFonts w:ascii="宋体" w:hAnsi="宋体"/>
                <w:color w:val="auto"/>
                <w:szCs w:val="21"/>
                <w:highlight w:val="none"/>
              </w:rPr>
            </w:pPr>
            <w:r>
              <w:rPr>
                <w:rFonts w:hint="eastAsia" w:ascii="宋体" w:hAnsi="宋体"/>
                <w:color w:val="auto"/>
                <w:szCs w:val="21"/>
                <w:highlight w:val="none"/>
              </w:rPr>
              <w:t>单位地址：</w:t>
            </w:r>
          </w:p>
        </w:tc>
        <w:tc>
          <w:tcPr>
            <w:tcW w:w="4517" w:type="dxa"/>
            <w:noWrap w:val="0"/>
            <w:vAlign w:val="center"/>
          </w:tcPr>
          <w:p>
            <w:pPr>
              <w:snapToGrid w:val="0"/>
              <w:spacing w:line="500" w:lineRule="exact"/>
              <w:rPr>
                <w:rFonts w:ascii="宋体" w:hAnsi="宋体"/>
                <w:color w:val="auto"/>
                <w:szCs w:val="21"/>
                <w:highlight w:val="none"/>
              </w:rPr>
            </w:pPr>
            <w:r>
              <w:rPr>
                <w:rFonts w:hint="eastAsia" w:ascii="宋体" w:hAnsi="宋体"/>
                <w:color w:val="auto"/>
                <w:szCs w:val="21"/>
                <w:highlight w:val="none"/>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4516" w:type="dxa"/>
            <w:noWrap w:val="0"/>
            <w:vAlign w:val="top"/>
          </w:tcPr>
          <w:p>
            <w:pPr>
              <w:snapToGrid w:val="0"/>
              <w:spacing w:line="500" w:lineRule="exact"/>
              <w:rPr>
                <w:rFonts w:ascii="宋体" w:hAnsi="宋体"/>
                <w:color w:val="auto"/>
                <w:szCs w:val="21"/>
                <w:highlight w:val="none"/>
              </w:rPr>
            </w:pPr>
            <w:r>
              <w:rPr>
                <w:rFonts w:hint="eastAsia" w:ascii="宋体" w:hAnsi="宋体"/>
                <w:color w:val="auto"/>
                <w:szCs w:val="21"/>
                <w:highlight w:val="none"/>
              </w:rPr>
              <w:t>法定代表人或者委托代理人：</w:t>
            </w:r>
          </w:p>
        </w:tc>
        <w:tc>
          <w:tcPr>
            <w:tcW w:w="4517" w:type="dxa"/>
            <w:noWrap w:val="0"/>
            <w:vAlign w:val="top"/>
          </w:tcPr>
          <w:p>
            <w:pPr>
              <w:snapToGrid w:val="0"/>
              <w:spacing w:line="500" w:lineRule="exact"/>
              <w:rPr>
                <w:rFonts w:ascii="宋体" w:hAnsi="宋体"/>
                <w:color w:val="auto"/>
                <w:szCs w:val="21"/>
                <w:highlight w:val="none"/>
              </w:rPr>
            </w:pPr>
            <w:r>
              <w:rPr>
                <w:rFonts w:hint="eastAsia" w:ascii="宋体" w:hAnsi="宋体"/>
                <w:color w:val="auto"/>
                <w:szCs w:val="21"/>
                <w:highlight w:val="none"/>
              </w:rPr>
              <w:t>法定代表人或者委托代理人：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516" w:type="dxa"/>
            <w:noWrap w:val="0"/>
            <w:vAlign w:val="center"/>
          </w:tcPr>
          <w:p>
            <w:pPr>
              <w:snapToGrid w:val="0"/>
              <w:spacing w:line="500" w:lineRule="exact"/>
              <w:rPr>
                <w:rFonts w:ascii="宋体" w:hAnsi="宋体"/>
                <w:color w:val="auto"/>
                <w:szCs w:val="21"/>
                <w:highlight w:val="none"/>
              </w:rPr>
            </w:pPr>
            <w:r>
              <w:rPr>
                <w:rFonts w:hint="eastAsia" w:ascii="宋体" w:hAnsi="宋体"/>
                <w:color w:val="auto"/>
                <w:szCs w:val="21"/>
                <w:highlight w:val="none"/>
              </w:rPr>
              <w:t>电话：</w:t>
            </w:r>
          </w:p>
        </w:tc>
        <w:tc>
          <w:tcPr>
            <w:tcW w:w="4517" w:type="dxa"/>
            <w:noWrap w:val="0"/>
            <w:vAlign w:val="center"/>
          </w:tcPr>
          <w:p>
            <w:pPr>
              <w:snapToGrid w:val="0"/>
              <w:spacing w:line="500" w:lineRule="exact"/>
              <w:rPr>
                <w:rFonts w:ascii="宋体" w:hAnsi="宋体"/>
                <w:color w:val="auto"/>
                <w:szCs w:val="21"/>
                <w:highlight w:val="none"/>
              </w:rPr>
            </w:pPr>
            <w:r>
              <w:rPr>
                <w:rFonts w:hint="eastAsia" w:ascii="宋体" w:hAnsi="宋体"/>
                <w:color w:val="auto"/>
                <w:szCs w:val="21"/>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516" w:type="dxa"/>
            <w:noWrap w:val="0"/>
            <w:vAlign w:val="center"/>
          </w:tcPr>
          <w:p>
            <w:pPr>
              <w:snapToGrid w:val="0"/>
              <w:spacing w:line="500" w:lineRule="exact"/>
              <w:rPr>
                <w:rFonts w:ascii="宋体" w:hAnsi="宋体"/>
                <w:color w:val="auto"/>
                <w:szCs w:val="21"/>
                <w:highlight w:val="none"/>
              </w:rPr>
            </w:pPr>
            <w:r>
              <w:rPr>
                <w:rFonts w:hint="eastAsia" w:ascii="宋体" w:hAnsi="宋体"/>
                <w:color w:val="auto"/>
                <w:szCs w:val="21"/>
                <w:highlight w:val="none"/>
              </w:rPr>
              <w:t>电子邮箱：</w:t>
            </w:r>
          </w:p>
        </w:tc>
        <w:tc>
          <w:tcPr>
            <w:tcW w:w="4517" w:type="dxa"/>
            <w:noWrap w:val="0"/>
            <w:vAlign w:val="center"/>
          </w:tcPr>
          <w:p>
            <w:pPr>
              <w:snapToGrid w:val="0"/>
              <w:spacing w:line="500" w:lineRule="exact"/>
              <w:rPr>
                <w:rFonts w:ascii="宋体" w:hAnsi="宋体"/>
                <w:color w:val="auto"/>
                <w:szCs w:val="21"/>
                <w:highlight w:val="none"/>
              </w:rPr>
            </w:pPr>
            <w:r>
              <w:rPr>
                <w:rFonts w:hint="eastAsia" w:ascii="宋体" w:hAnsi="宋体"/>
                <w:color w:val="auto"/>
                <w:szCs w:val="21"/>
                <w:highlight w:val="none"/>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16" w:type="dxa"/>
            <w:noWrap w:val="0"/>
            <w:vAlign w:val="center"/>
          </w:tcPr>
          <w:p>
            <w:pPr>
              <w:snapToGrid w:val="0"/>
              <w:spacing w:line="500" w:lineRule="exact"/>
              <w:rPr>
                <w:rFonts w:ascii="宋体" w:hAnsi="宋体"/>
                <w:color w:val="auto"/>
                <w:szCs w:val="21"/>
                <w:highlight w:val="none"/>
              </w:rPr>
            </w:pPr>
            <w:r>
              <w:rPr>
                <w:rFonts w:hint="eastAsia" w:ascii="宋体" w:hAnsi="宋体"/>
                <w:color w:val="auto"/>
                <w:szCs w:val="21"/>
                <w:highlight w:val="none"/>
              </w:rPr>
              <w:t>开户银行：</w:t>
            </w:r>
          </w:p>
        </w:tc>
        <w:tc>
          <w:tcPr>
            <w:tcW w:w="4517" w:type="dxa"/>
            <w:noWrap w:val="0"/>
            <w:vAlign w:val="center"/>
          </w:tcPr>
          <w:p>
            <w:pPr>
              <w:snapToGrid w:val="0"/>
              <w:spacing w:line="500" w:lineRule="exact"/>
              <w:rPr>
                <w:rFonts w:ascii="宋体" w:hAnsi="宋体"/>
                <w:color w:val="auto"/>
                <w:szCs w:val="21"/>
                <w:highlight w:val="none"/>
              </w:rPr>
            </w:pPr>
            <w:r>
              <w:rPr>
                <w:rFonts w:hint="eastAsia" w:ascii="宋体" w:hAnsi="宋体"/>
                <w:color w:val="auto"/>
                <w:szCs w:val="21"/>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16" w:type="dxa"/>
            <w:noWrap w:val="0"/>
            <w:vAlign w:val="center"/>
          </w:tcPr>
          <w:p>
            <w:pPr>
              <w:snapToGrid w:val="0"/>
              <w:spacing w:line="500" w:lineRule="exact"/>
              <w:rPr>
                <w:rFonts w:ascii="宋体" w:hAnsi="宋体"/>
                <w:color w:val="auto"/>
                <w:szCs w:val="21"/>
                <w:highlight w:val="none"/>
              </w:rPr>
            </w:pPr>
            <w:r>
              <w:rPr>
                <w:rFonts w:hint="eastAsia" w:ascii="宋体" w:hAnsi="宋体"/>
                <w:color w:val="auto"/>
                <w:szCs w:val="21"/>
                <w:highlight w:val="none"/>
              </w:rPr>
              <w:t>账号：</w:t>
            </w:r>
          </w:p>
        </w:tc>
        <w:tc>
          <w:tcPr>
            <w:tcW w:w="4517" w:type="dxa"/>
            <w:noWrap w:val="0"/>
            <w:vAlign w:val="center"/>
          </w:tcPr>
          <w:p>
            <w:pPr>
              <w:snapToGrid w:val="0"/>
              <w:spacing w:line="500" w:lineRule="exact"/>
              <w:rPr>
                <w:rFonts w:ascii="宋体" w:hAnsi="宋体"/>
                <w:color w:val="auto"/>
                <w:szCs w:val="21"/>
                <w:highlight w:val="none"/>
              </w:rPr>
            </w:pPr>
            <w:r>
              <w:rPr>
                <w:rFonts w:hint="eastAsia" w:ascii="宋体" w:hAnsi="宋体"/>
                <w:color w:val="auto"/>
                <w:szCs w:val="21"/>
                <w:highlight w:val="none"/>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516" w:type="dxa"/>
            <w:noWrap w:val="0"/>
            <w:vAlign w:val="center"/>
          </w:tcPr>
          <w:p>
            <w:pPr>
              <w:snapToGrid w:val="0"/>
              <w:spacing w:line="500" w:lineRule="exact"/>
              <w:rPr>
                <w:rFonts w:ascii="宋体" w:hAnsi="宋体"/>
                <w:color w:val="auto"/>
                <w:szCs w:val="21"/>
                <w:highlight w:val="none"/>
              </w:rPr>
            </w:pPr>
            <w:r>
              <w:rPr>
                <w:rFonts w:hint="eastAsia" w:ascii="宋体" w:hAnsi="宋体"/>
                <w:color w:val="auto"/>
                <w:szCs w:val="21"/>
                <w:highlight w:val="none"/>
              </w:rPr>
              <w:t>邮政编码：</w:t>
            </w:r>
          </w:p>
        </w:tc>
        <w:tc>
          <w:tcPr>
            <w:tcW w:w="4517" w:type="dxa"/>
            <w:noWrap w:val="0"/>
            <w:vAlign w:val="center"/>
          </w:tcPr>
          <w:p>
            <w:pPr>
              <w:snapToGrid w:val="0"/>
              <w:spacing w:line="500" w:lineRule="exact"/>
              <w:rPr>
                <w:rFonts w:ascii="宋体" w:hAnsi="宋体"/>
                <w:color w:val="auto"/>
                <w:szCs w:val="21"/>
                <w:highlight w:val="none"/>
              </w:rPr>
            </w:pPr>
            <w:r>
              <w:rPr>
                <w:rFonts w:hint="eastAsia" w:ascii="宋体" w:hAnsi="宋体"/>
                <w:color w:val="auto"/>
                <w:szCs w:val="21"/>
                <w:highlight w:val="none"/>
              </w:rPr>
              <w:t>邮政编码：</w:t>
            </w:r>
          </w:p>
        </w:tc>
      </w:tr>
    </w:tbl>
    <w:p>
      <w:pPr>
        <w:spacing w:line="400" w:lineRule="exact"/>
        <w:jc w:val="center"/>
        <w:rPr>
          <w:rFonts w:hint="eastAsia" w:ascii="宋体" w:hAnsi="宋体" w:eastAsia="宋体" w:cs="宋体"/>
          <w:color w:val="auto"/>
          <w:kern w:val="0"/>
          <w:szCs w:val="21"/>
          <w:highlight w:val="none"/>
          <w:lang w:val="en-US" w:eastAsia="zh-CN"/>
        </w:rPr>
        <w:sectPr>
          <w:pgSz w:w="11910" w:h="16840"/>
          <w:pgMar w:top="1340" w:right="1500" w:bottom="280" w:left="1680" w:header="720" w:footer="567" w:gutter="0"/>
          <w:pgNumType w:fmt="decimal"/>
          <w:cols w:space="720" w:num="1"/>
        </w:sectPr>
      </w:pPr>
    </w:p>
    <w:p>
      <w:pPr>
        <w:wordWrap w:val="0"/>
        <w:snapToGrid w:val="0"/>
        <w:spacing w:line="360" w:lineRule="auto"/>
        <w:jc w:val="center"/>
        <w:outlineLvl w:val="9"/>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广西壮族自治区政府采购合同</w:t>
      </w:r>
    </w:p>
    <w:p>
      <w:pPr>
        <w:wordWrap w:val="0"/>
        <w:snapToGrid w:val="0"/>
        <w:spacing w:line="360" w:lineRule="auto"/>
        <w:jc w:val="center"/>
        <w:outlineLvl w:val="2"/>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（分标</w:t>
      </w:r>
      <w:r>
        <w:rPr>
          <w:rFonts w:hint="eastAsia" w:ascii="宋体" w:hAnsi="宋体" w:cs="宋体"/>
          <w:b/>
          <w:bCs/>
          <w:color w:val="auto"/>
          <w:sz w:val="36"/>
          <w:szCs w:val="36"/>
          <w:highlight w:val="none"/>
          <w:lang w:val="en-US" w:eastAsia="zh-CN"/>
        </w:rPr>
        <w:t>2</w:t>
      </w:r>
      <w:r>
        <w:rPr>
          <w:rFonts w:hint="eastAsia" w:ascii="宋体" w:hAnsi="宋体" w:cs="宋体"/>
          <w:b/>
          <w:bCs/>
          <w:color w:val="auto"/>
          <w:sz w:val="36"/>
          <w:szCs w:val="36"/>
          <w:highlight w:val="none"/>
        </w:rPr>
        <w:t>合同格式）</w:t>
      </w:r>
    </w:p>
    <w:p>
      <w:pPr>
        <w:wordWrap w:val="0"/>
        <w:snapToGrid w:val="0"/>
        <w:spacing w:line="360" w:lineRule="auto"/>
        <w:ind w:right="480" w:firstLine="5280" w:firstLineChars="2200"/>
        <w:rPr>
          <w:rFonts w:hint="eastAsia" w:ascii="宋体" w:hAnsi="宋体" w:cs="宋体"/>
          <w:bCs/>
          <w:color w:val="auto"/>
          <w:sz w:val="24"/>
          <w:highlight w:val="none"/>
        </w:rPr>
      </w:pPr>
    </w:p>
    <w:p>
      <w:pPr>
        <w:wordWrap w:val="0"/>
        <w:snapToGrid w:val="0"/>
        <w:spacing w:line="360" w:lineRule="auto"/>
        <w:ind w:right="480"/>
        <w:rPr>
          <w:rFonts w:hint="eastAsia" w:ascii="宋体" w:hAnsi="宋体" w:cs="宋体"/>
          <w:bCs/>
          <w:color w:val="auto"/>
          <w:szCs w:val="21"/>
          <w:highlight w:val="none"/>
          <w:u w:val="single"/>
        </w:rPr>
      </w:pPr>
      <w:r>
        <w:rPr>
          <w:rFonts w:hint="eastAsia" w:ascii="宋体" w:hAnsi="宋体" w:cs="宋体"/>
          <w:bCs/>
          <w:color w:val="auto"/>
          <w:szCs w:val="21"/>
          <w:highlight w:val="none"/>
        </w:rPr>
        <w:t>合同编号：</w:t>
      </w:r>
      <w:r>
        <w:rPr>
          <w:rFonts w:hint="eastAsia" w:ascii="宋体" w:hAnsi="宋体" w:cs="宋体"/>
          <w:bCs/>
          <w:color w:val="auto"/>
          <w:szCs w:val="21"/>
          <w:highlight w:val="none"/>
          <w:u w:val="single"/>
        </w:rPr>
        <w:t xml:space="preserve">                     </w:t>
      </w:r>
    </w:p>
    <w:p>
      <w:pPr>
        <w:wordWrap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采购计划号：</w:t>
      </w:r>
      <w:r>
        <w:rPr>
          <w:rFonts w:hint="eastAsia" w:ascii="宋体" w:hAnsi="宋体" w:cs="宋体"/>
          <w:color w:val="auto"/>
          <w:szCs w:val="21"/>
          <w:highlight w:val="none"/>
          <w:u w:val="single"/>
        </w:rPr>
        <w:t xml:space="preserve">                    </w:t>
      </w:r>
    </w:p>
    <w:p>
      <w:pPr>
        <w:wordWrap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采购单位（甲方）：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wordWrap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供应商（乙方）：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wordWrap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项目名称：</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p>
    <w:p>
      <w:pPr>
        <w:wordWrap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p>
    <w:p>
      <w:pPr>
        <w:wordWrap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签订地点：</w:t>
      </w:r>
      <w:r>
        <w:rPr>
          <w:rFonts w:hint="eastAsia" w:ascii="宋体" w:hAnsi="宋体" w:cs="宋体"/>
          <w:color w:val="auto"/>
          <w:szCs w:val="21"/>
          <w:highlight w:val="none"/>
          <w:u w:val="single"/>
          <w:lang w:eastAsia="zh-CN"/>
        </w:rPr>
        <w:t>广西壮族自治区自然资源厅</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签订时间：</w:t>
      </w:r>
      <w:r>
        <w:rPr>
          <w:rFonts w:hint="eastAsia" w:ascii="宋体" w:hAnsi="宋体" w:cs="宋体"/>
          <w:color w:val="auto"/>
          <w:szCs w:val="21"/>
          <w:highlight w:val="none"/>
          <w:u w:val="single"/>
        </w:rPr>
        <w:t xml:space="preserve">                 </w:t>
      </w:r>
    </w:p>
    <w:p>
      <w:pPr>
        <w:wordWrap/>
        <w:snapToGrid/>
        <w:spacing w:line="500" w:lineRule="exact"/>
        <w:ind w:firstLine="0" w:firstLineChars="0"/>
        <w:rPr>
          <w:rFonts w:hint="eastAsia" w:ascii="宋体" w:hAnsi="宋体" w:cs="宋体"/>
          <w:color w:val="auto"/>
          <w:szCs w:val="21"/>
          <w:highlight w:val="none"/>
        </w:rPr>
      </w:pPr>
      <w:r>
        <w:rPr>
          <w:rFonts w:hint="eastAsia" w:ascii="宋体" w:hAnsi="宋体" w:cs="宋体"/>
          <w:color w:val="auto"/>
          <w:szCs w:val="21"/>
          <w:highlight w:val="none"/>
        </w:rPr>
        <w:t xml:space="preserve"> 本合同为中小企业预留合同：</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是</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p>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根据《中华人民共和国政府采购法》、《中华人民共和国民法典》等法律、法规规定，按照采购</w:t>
      </w:r>
      <w:r>
        <w:rPr>
          <w:rFonts w:hint="eastAsia" w:ascii="宋体" w:hAnsi="宋体"/>
          <w:color w:val="auto"/>
          <w:szCs w:val="21"/>
          <w:highlight w:val="none"/>
        </w:rPr>
        <w:t>文件规定条款和乙方响应文件及其承诺，甲乙双方签订本合同。</w:t>
      </w:r>
    </w:p>
    <w:p>
      <w:pPr>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第一条　合同标的</w:t>
      </w:r>
    </w:p>
    <w:p>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1、项目一览表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13"/>
        <w:gridCol w:w="2400"/>
        <w:gridCol w:w="1320"/>
        <w:gridCol w:w="1200"/>
        <w:gridCol w:w="1300"/>
        <w:gridCol w:w="1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21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名称</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服务内容</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数  量</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单  价</w:t>
            </w:r>
          </w:p>
          <w:p>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（元）</w:t>
            </w:r>
          </w:p>
        </w:tc>
        <w:tc>
          <w:tcPr>
            <w:tcW w:w="12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 xml:space="preserve">总 </w:t>
            </w:r>
            <w:r>
              <w:rPr>
                <w:rFonts w:ascii="宋体" w:hAnsi="宋体" w:cs="宋体"/>
                <w:color w:val="auto"/>
                <w:szCs w:val="21"/>
                <w:highlight w:val="none"/>
              </w:rPr>
              <w:t xml:space="preserve"> </w:t>
            </w:r>
            <w:r>
              <w:rPr>
                <w:rFonts w:hint="eastAsia" w:ascii="宋体" w:hAnsi="宋体" w:cs="宋体"/>
                <w:color w:val="auto"/>
                <w:szCs w:val="21"/>
                <w:highlight w:val="none"/>
              </w:rPr>
              <w:t>价</w:t>
            </w:r>
          </w:p>
          <w:p>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cs="宋体"/>
                <w:color w:val="auto"/>
                <w:szCs w:val="21"/>
                <w:highlight w:val="none"/>
              </w:rPr>
            </w:pPr>
            <w:r>
              <w:rPr>
                <w:rFonts w:hint="eastAsia" w:ascii="宋体" w:hAnsi="宋体" w:cs="宋体"/>
                <w:color w:val="auto"/>
                <w:szCs w:val="21"/>
                <w:highlight w:val="none"/>
                <w:lang w:val="en-US" w:eastAsia="zh-CN"/>
              </w:rPr>
              <w:t>1</w:t>
            </w:r>
          </w:p>
        </w:tc>
        <w:tc>
          <w:tcPr>
            <w:tcW w:w="121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cs="宋体"/>
                <w:color w:val="auto"/>
                <w:szCs w:val="21"/>
                <w:highlight w:val="none"/>
              </w:rPr>
            </w:pPr>
            <w:r>
              <w:rPr>
                <w:rFonts w:hint="eastAsia" w:ascii="宋体" w:hAnsi="宋体" w:eastAsia="宋体" w:cs="宋体"/>
                <w:bCs/>
                <w:color w:val="auto"/>
                <w:kern w:val="0"/>
                <w:szCs w:val="21"/>
                <w:highlight w:val="none"/>
                <w:lang w:val="en-US" w:eastAsia="zh-CN"/>
              </w:rPr>
              <w:t>广西全民所有自然资源资产清查成果质量监督评价</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详见采购需求</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cs="宋体"/>
                <w:color w:val="auto"/>
                <w:szCs w:val="21"/>
                <w:highlight w:val="none"/>
              </w:rPr>
            </w:pPr>
            <w:r>
              <w:rPr>
                <w:rFonts w:hint="eastAsia" w:ascii="宋体" w:hAnsi="宋体" w:cs="宋体"/>
                <w:color w:val="auto"/>
                <w:szCs w:val="21"/>
                <w:highlight w:val="none"/>
                <w:lang w:val="en-US" w:eastAsia="zh-CN"/>
              </w:rPr>
              <w:t>1</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cs="宋体"/>
                <w:color w:val="auto"/>
                <w:szCs w:val="21"/>
                <w:highlight w:val="none"/>
              </w:rPr>
            </w:pPr>
            <w:r>
              <w:rPr>
                <w:rFonts w:hint="eastAsia" w:ascii="宋体" w:hAnsi="宋体" w:cs="宋体"/>
                <w:color w:val="auto"/>
                <w:szCs w:val="21"/>
                <w:highlight w:val="none"/>
                <w:lang w:val="en-US" w:eastAsia="zh-CN"/>
              </w:rPr>
              <w:t>1</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cs="宋体"/>
                <w:color w:val="auto"/>
                <w:szCs w:val="21"/>
                <w:highlight w:val="none"/>
              </w:rPr>
            </w:pPr>
            <w:r>
              <w:rPr>
                <w:rFonts w:hint="eastAsia" w:ascii="宋体" w:hAnsi="宋体" w:eastAsia="宋体" w:cs="宋体"/>
                <w:color w:val="auto"/>
                <w:szCs w:val="21"/>
                <w:highlight w:val="none"/>
                <w:lang w:val="en-US" w:eastAsia="zh-CN"/>
              </w:rPr>
              <w:t>417600.00</w:t>
            </w:r>
          </w:p>
        </w:tc>
        <w:tc>
          <w:tcPr>
            <w:tcW w:w="12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cs="宋体"/>
                <w:color w:val="auto"/>
                <w:szCs w:val="21"/>
                <w:highlight w:val="none"/>
              </w:rPr>
            </w:pPr>
            <w:r>
              <w:rPr>
                <w:rFonts w:hint="eastAsia" w:ascii="宋体" w:hAnsi="宋体" w:eastAsia="宋体" w:cs="宋体"/>
                <w:color w:val="auto"/>
                <w:szCs w:val="21"/>
                <w:highlight w:val="none"/>
                <w:lang w:val="en-US" w:eastAsia="zh-CN"/>
              </w:rPr>
              <w:t>417600.00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w:t>
            </w:r>
          </w:p>
        </w:tc>
        <w:tc>
          <w:tcPr>
            <w:tcW w:w="121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cs="宋体"/>
                <w:color w:val="auto"/>
                <w:szCs w:val="21"/>
                <w:highlight w:val="none"/>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cs="宋体"/>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cs="宋体"/>
                <w:color w:val="auto"/>
                <w:szCs w:val="21"/>
                <w:highlight w:val="none"/>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cs="宋体"/>
                <w:color w:val="auto"/>
                <w:szCs w:val="21"/>
                <w:highlight w:val="none"/>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360" w:type="dxa"/>
            <w:gridSpan w:val="7"/>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详见最终报价表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360" w:type="dxa"/>
            <w:gridSpan w:val="7"/>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宋体" w:hAnsi="宋体" w:cs="宋体"/>
                <w:color w:val="auto"/>
                <w:szCs w:val="21"/>
                <w:highlight w:val="none"/>
              </w:rPr>
            </w:pPr>
            <w:r>
              <w:rPr>
                <w:rFonts w:hint="eastAsia" w:ascii="宋体" w:hAnsi="宋体" w:cs="宋体"/>
                <w:color w:val="auto"/>
                <w:szCs w:val="21"/>
                <w:highlight w:val="none"/>
              </w:rPr>
              <w:t>人民币合计金额（大写）：</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元整（¥</w:t>
            </w:r>
            <w:r>
              <w:rPr>
                <w:rFonts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tc>
      </w:tr>
    </w:tbl>
    <w:p>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bidi="ar"/>
        </w:rPr>
        <w:t>本合同价款采用固定总价方式确定。合同总价包括完成本项目采购要求所产生的全部费用及税费，甲方不再另行向乙方支付其他任何费用。</w:t>
      </w:r>
    </w:p>
    <w:p>
      <w:pPr>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第二条　质量保证</w:t>
      </w:r>
    </w:p>
    <w:p>
      <w:pPr>
        <w:snapToGrid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乙方所提供的服务内容、技术规格、技术参数等质量必须与承诺相一致，提交项目成果一式三份。</w:t>
      </w:r>
    </w:p>
    <w:p>
      <w:pPr>
        <w:snapToGrid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验收的标准以《采购合同书》、《竞争性磋商文件》和有关的补充协议或项目要求等作为验收合格的根据。经</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验收不符合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响应文件</w:t>
      </w:r>
      <w:r>
        <w:rPr>
          <w:rFonts w:hint="eastAsia" w:ascii="宋体" w:hAnsi="宋体" w:eastAsia="宋体" w:cs="宋体"/>
          <w:color w:val="auto"/>
          <w:szCs w:val="21"/>
          <w:highlight w:val="none"/>
        </w:rPr>
        <w:t>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合同规定的成果，</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有权拒绝接受。</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rPr>
        <w:t>应根据国家及广西壮族自治区的标准及相关要求进行返工，所造成的经济损失由</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rPr>
        <w:t>承担</w:t>
      </w:r>
      <w:r>
        <w:rPr>
          <w:rFonts w:hint="eastAsia" w:ascii="宋体" w:hAnsi="宋体" w:cs="宋体"/>
          <w:color w:val="auto"/>
          <w:szCs w:val="21"/>
          <w:highlight w:val="none"/>
        </w:rPr>
        <w:t>。</w:t>
      </w:r>
    </w:p>
    <w:p>
      <w:pPr>
        <w:spacing w:line="50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第三条　权利保证</w:t>
      </w:r>
    </w:p>
    <w:p>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1、乙方应保证所提供服务成果（或其任何一部分）在使用时不会侵犯任何第三方的专利权、商标权、著作权、工业设计权或其他权利。</w:t>
      </w:r>
    </w:p>
    <w:p>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2、乙方在甲方已按规定时间（合同签订后一个月内）提供必要数据资料的前提下应按合同约定的时间向甲方提交服务成果。</w:t>
      </w:r>
    </w:p>
    <w:p>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乙方未履行保密义务的，按第八条第5款承担违约责任。本合同终止后本保密条款继续有效。</w:t>
      </w:r>
    </w:p>
    <w:p>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4、没有甲方同意，乙方不得将涉及服务成果的相关文本、表格、图件等资料提供任何其他人使用。</w:t>
      </w:r>
    </w:p>
    <w:p>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5、如乙方所交付的服务成果侵犯第三人合法权益的，视为乙方违约，乙方应向甲方支付合同总价5%的违约金，若上述违约金不足以弥补甲方的损失的，乙方应另行赔偿。</w:t>
      </w:r>
    </w:p>
    <w:p>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6.乙方配合甲方完成绩效考核工作。</w:t>
      </w:r>
    </w:p>
    <w:p>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7.服务过程中形成的所有知识产权成果归甲方所有。</w:t>
      </w:r>
    </w:p>
    <w:p>
      <w:pPr>
        <w:spacing w:line="50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第四条　成果交付</w:t>
      </w:r>
    </w:p>
    <w:p>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olor w:val="auto"/>
          <w:szCs w:val="21"/>
          <w:highlight w:val="none"/>
        </w:rPr>
        <w:t>服务期限</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年12月31日前完成成果交付并通过验收。</w:t>
      </w:r>
    </w:p>
    <w:p>
      <w:pPr>
        <w:spacing w:line="500" w:lineRule="exact"/>
        <w:ind w:firstLine="630" w:firstLineChars="300"/>
        <w:rPr>
          <w:rFonts w:ascii="宋体" w:hAnsi="宋体" w:cs="宋体"/>
          <w:color w:val="auto"/>
          <w:szCs w:val="21"/>
          <w:highlight w:val="none"/>
        </w:rPr>
      </w:pPr>
      <w:r>
        <w:rPr>
          <w:rFonts w:hint="eastAsia" w:ascii="宋体" w:hAnsi="宋体"/>
          <w:color w:val="auto"/>
          <w:szCs w:val="21"/>
          <w:highlight w:val="none"/>
        </w:rPr>
        <w:t>服务地点</w:t>
      </w:r>
      <w:r>
        <w:rPr>
          <w:rFonts w:hint="eastAsia" w:ascii="宋体" w:hAnsi="宋体" w:cs="宋体"/>
          <w:color w:val="auto"/>
          <w:szCs w:val="21"/>
          <w:highlight w:val="none"/>
        </w:rPr>
        <w:t>：</w:t>
      </w:r>
      <w:r>
        <w:rPr>
          <w:rFonts w:hint="eastAsia" w:ascii="宋体" w:hAnsi="宋体" w:cs="宋体"/>
          <w:color w:val="auto"/>
          <w:szCs w:val="21"/>
          <w:highlight w:val="none"/>
          <w:u w:val="single"/>
        </w:rPr>
        <w:t>广西区内甲方指定地点</w:t>
      </w:r>
      <w:r>
        <w:rPr>
          <w:rFonts w:hint="eastAsia" w:ascii="宋体" w:hAnsi="宋体" w:cs="宋体"/>
          <w:color w:val="auto"/>
          <w:szCs w:val="21"/>
          <w:highlight w:val="none"/>
        </w:rPr>
        <w:t>。</w:t>
      </w:r>
    </w:p>
    <w:p>
      <w:pPr>
        <w:snapToGrid w:val="0"/>
        <w:spacing w:line="5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2、乙方提供不符合本合同规定的服务或服务成果的，甲方有权拒绝接受。</w:t>
      </w:r>
    </w:p>
    <w:p>
      <w:pPr>
        <w:snapToGrid w:val="0"/>
        <w:spacing w:line="5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3、乙方必须按承诺的服务响应条款向甲方提供服务及服务成果。</w:t>
      </w:r>
    </w:p>
    <w:p>
      <w:pPr>
        <w:snapToGrid w:val="0"/>
        <w:spacing w:line="5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4、乙方应对提交的服务成果作出全面检查和整理，并列出清单，经甲方确认后，清单应随提交的服务成果交给甲方。</w:t>
      </w:r>
    </w:p>
    <w:p>
      <w:pPr>
        <w:snapToGrid w:val="0"/>
        <w:spacing w:line="5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5、乙方在指定地点提交服务成果后，甲方应在7个工作日内依据合同约定组织验收。验收合格后由甲乙双方签署服务成果验收单并加盖甲方公章，甲乙双方各执一份。甲方未按约定期限进行验收的，视同乙方交付的服务成果质量合格，符合合同约定。</w:t>
      </w:r>
    </w:p>
    <w:p>
      <w:pPr>
        <w:snapToGrid w:val="0"/>
        <w:spacing w:line="5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6、甲方委托采购代理机构组织验收的项目，其验收时间以该项目验收方案确定的验收时间为准，验收结果以该项目验收报告结论为准。在验收过程中发现乙方有违约问题且未整改完毕的，可暂缓资金结算，待违约问题解决后，方可办理资金结算事宜。</w:t>
      </w:r>
    </w:p>
    <w:p>
      <w:pPr>
        <w:spacing w:line="500" w:lineRule="exact"/>
        <w:ind w:firstLine="420" w:firstLineChars="200"/>
        <w:rPr>
          <w:rFonts w:hint="eastAsia" w:ascii="宋体" w:hAnsi="宋体" w:cs="宋体"/>
          <w:color w:val="auto"/>
          <w:sz w:val="24"/>
          <w:highlight w:val="none"/>
        </w:rPr>
      </w:pPr>
      <w:r>
        <w:rPr>
          <w:rFonts w:hint="eastAsia" w:ascii="宋体" w:hAnsi="宋体" w:cs="宋体"/>
          <w:color w:val="auto"/>
          <w:sz w:val="21"/>
          <w:szCs w:val="21"/>
          <w:highlight w:val="none"/>
        </w:rPr>
        <w:t>7、甲方对服务成果的质量有异议的，在列出清单后</w:t>
      </w:r>
      <w:r>
        <w:rPr>
          <w:rFonts w:hint="eastAsia" w:ascii="宋体" w:hAnsi="宋体" w:cs="宋体"/>
          <w:color w:val="auto"/>
          <w:sz w:val="21"/>
          <w:szCs w:val="21"/>
          <w:highlight w:val="none"/>
          <w:u w:val="single"/>
        </w:rPr>
        <w:t>5</w:t>
      </w:r>
      <w:r>
        <w:rPr>
          <w:rFonts w:hint="eastAsia" w:ascii="宋体" w:hAnsi="宋体" w:cs="宋体"/>
          <w:color w:val="auto"/>
          <w:sz w:val="21"/>
          <w:szCs w:val="21"/>
          <w:highlight w:val="none"/>
        </w:rPr>
        <w:t>个工作日内以书面形式向乙方提出，乙方应自收到甲方书面异议后</w:t>
      </w:r>
      <w:r>
        <w:rPr>
          <w:rFonts w:hint="eastAsia" w:ascii="宋体" w:hAnsi="宋体" w:cs="宋体"/>
          <w:color w:val="auto"/>
          <w:sz w:val="21"/>
          <w:szCs w:val="21"/>
          <w:highlight w:val="none"/>
          <w:u w:val="single"/>
        </w:rPr>
        <w:t>5</w:t>
      </w:r>
      <w:r>
        <w:rPr>
          <w:rFonts w:hint="eastAsia" w:ascii="宋体" w:hAnsi="宋体" w:cs="宋体"/>
          <w:color w:val="auto"/>
          <w:sz w:val="21"/>
          <w:szCs w:val="21"/>
          <w:highlight w:val="none"/>
        </w:rPr>
        <w:t>个工作日内及时予以解决，乙方必须无条件进行整改、修正，直至甲方验收通过。</w:t>
      </w:r>
    </w:p>
    <w:p>
      <w:pPr>
        <w:snapToGrid w:val="0"/>
        <w:spacing w:line="560" w:lineRule="exact"/>
        <w:ind w:firstLine="422" w:firstLineChars="200"/>
        <w:rPr>
          <w:rFonts w:ascii="宋体" w:hAnsi="宋体" w:cs="宋体"/>
          <w:color w:val="auto"/>
          <w:sz w:val="21"/>
          <w:szCs w:val="21"/>
          <w:highlight w:val="none"/>
        </w:rPr>
      </w:pPr>
      <w:r>
        <w:rPr>
          <w:rFonts w:hint="eastAsia" w:ascii="宋体" w:hAnsi="宋体" w:cs="宋体"/>
          <w:b/>
          <w:bCs/>
          <w:color w:val="auto"/>
          <w:sz w:val="21"/>
          <w:szCs w:val="21"/>
          <w:highlight w:val="none"/>
        </w:rPr>
        <w:t>第五条</w:t>
      </w:r>
      <w:r>
        <w:rPr>
          <w:rFonts w:hint="eastAsia" w:ascii="宋体" w:hAnsi="宋体" w:cs="宋体"/>
          <w:b/>
          <w:bCs/>
          <w:color w:val="auto"/>
          <w:sz w:val="21"/>
          <w:szCs w:val="21"/>
          <w:highlight w:val="none"/>
        </w:rPr>
        <w:tab/>
      </w:r>
      <w:r>
        <w:rPr>
          <w:rFonts w:hint="eastAsia" w:ascii="宋体" w:hAnsi="宋体" w:cs="宋体"/>
          <w:b/>
          <w:bCs/>
          <w:color w:val="auto"/>
          <w:sz w:val="21"/>
          <w:szCs w:val="21"/>
          <w:highlight w:val="none"/>
        </w:rPr>
        <w:t>付款方式</w:t>
      </w:r>
    </w:p>
    <w:p>
      <w:pPr>
        <w:snapToGrid w:val="0"/>
        <w:spacing w:line="5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1、资金性质：财政资金。</w:t>
      </w:r>
    </w:p>
    <w:p>
      <w:pPr>
        <w:snapToGrid w:val="0"/>
        <w:spacing w:line="5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2、付款方式：甲方和乙方双方签署合同后的10个工作日内，甲方向乙方支付合同总价款的30%</w:t>
      </w:r>
      <w:r>
        <w:rPr>
          <w:rFonts w:hint="eastAsia" w:ascii="宋体" w:hAnsi="宋体" w:cs="宋体"/>
          <w:color w:val="auto"/>
          <w:sz w:val="21"/>
          <w:szCs w:val="21"/>
          <w:highlight w:val="none"/>
          <w:lang w:eastAsia="zh-CN"/>
        </w:rPr>
        <w:t>作为预付款</w:t>
      </w:r>
      <w:r>
        <w:rPr>
          <w:rFonts w:hint="eastAsia" w:ascii="宋体" w:hAnsi="宋体" w:cs="宋体"/>
          <w:color w:val="auto"/>
          <w:sz w:val="21"/>
          <w:szCs w:val="21"/>
          <w:highlight w:val="none"/>
        </w:rPr>
        <w:t>；乙方按要求完成202</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年度全民所有自然资源资产清查质量检查工作方案，并获得甲方确认后的10个工作日内，甲方向乙方支付合同总价款的30%；乙方按要求完成202</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年度全民所有自然资源资产清查过程成果质量检查工作报告，并获得甲方确认后的10个工作日内，甲方向乙方支付合同总价款的30%；乙方按要求完成202</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年度全民所有自然资源资产清查成果质量检查工作报告，将质量检查矢量数据和相关报告提交甲方验收合格后10个工作日内，甲方向乙方支付合同总价款的10%。</w:t>
      </w:r>
    </w:p>
    <w:p>
      <w:pPr>
        <w:snapToGrid w:val="0"/>
        <w:spacing w:line="560" w:lineRule="exact"/>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第六条</w:t>
      </w:r>
      <w:r>
        <w:rPr>
          <w:rFonts w:hint="eastAsia" w:ascii="宋体" w:hAnsi="宋体" w:cs="宋体"/>
          <w:b/>
          <w:bCs/>
          <w:color w:val="auto"/>
          <w:sz w:val="21"/>
          <w:szCs w:val="21"/>
          <w:highlight w:val="none"/>
        </w:rPr>
        <w:tab/>
      </w:r>
      <w:r>
        <w:rPr>
          <w:rFonts w:hint="eastAsia" w:ascii="宋体" w:hAnsi="宋体" w:cs="宋体"/>
          <w:b/>
          <w:bCs/>
          <w:color w:val="auto"/>
          <w:sz w:val="21"/>
          <w:szCs w:val="21"/>
          <w:highlight w:val="none"/>
        </w:rPr>
        <w:t>税费</w:t>
      </w:r>
    </w:p>
    <w:p>
      <w:pPr>
        <w:snapToGrid w:val="0"/>
        <w:spacing w:line="5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本合同执行中相关的一切税费均由乙方依法负担，乙方每次收款后应在5个工作日内向甲方提交等额有效合法税务发票。</w:t>
      </w:r>
    </w:p>
    <w:p>
      <w:pPr>
        <w:snapToGrid w:val="0"/>
        <w:spacing w:line="560" w:lineRule="exact"/>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第七条</w:t>
      </w:r>
      <w:r>
        <w:rPr>
          <w:rFonts w:hint="eastAsia" w:ascii="宋体" w:hAnsi="宋体" w:cs="宋体"/>
          <w:b/>
          <w:bCs/>
          <w:color w:val="auto"/>
          <w:sz w:val="21"/>
          <w:szCs w:val="21"/>
          <w:highlight w:val="none"/>
        </w:rPr>
        <w:tab/>
      </w:r>
      <w:r>
        <w:rPr>
          <w:rFonts w:hint="eastAsia" w:ascii="宋体" w:hAnsi="宋体" w:cs="宋体"/>
          <w:b/>
          <w:bCs/>
          <w:color w:val="auto"/>
          <w:sz w:val="21"/>
          <w:szCs w:val="21"/>
          <w:highlight w:val="none"/>
        </w:rPr>
        <w:t>服务成果质量保证及售后服务</w:t>
      </w:r>
    </w:p>
    <w:p>
      <w:pPr>
        <w:snapToGrid w:val="0"/>
        <w:spacing w:line="5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乙方应按采购文件规定的采购服务内容、数量、服务项目要求(技术参数需求)等向甲方提交质量必须为合格的服务成果，因乙方原因导致乙方提交的成果不符合要求的，根据实际情况，经双方协商，可按以下办法处理：</w:t>
      </w:r>
    </w:p>
    <w:p>
      <w:pPr>
        <w:snapToGrid w:val="0"/>
        <w:spacing w:line="5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（1）更换：由乙方承担更换所发生的全部费用，若因此导致逾期向甲方提交成果的，按本合同第八条第3款约定处理。</w:t>
      </w:r>
    </w:p>
    <w:p>
      <w:pPr>
        <w:snapToGrid w:val="0"/>
        <w:spacing w:line="5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（2）贬值处理：合同总价由甲乙双方重新合议确定，此外乙方还应向甲方支付合同总价5%的违约金。</w:t>
      </w:r>
    </w:p>
    <w:p>
      <w:pPr>
        <w:snapToGrid w:val="0"/>
        <w:spacing w:line="5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（3）退服务成果处理：乙方须按本合同第八条第1款中乙方无法提供质量符合采购及响应文件、国家有关质量标准或本合同约定的服务成果情形的约定处理。</w:t>
      </w:r>
    </w:p>
    <w:p>
      <w:pPr>
        <w:snapToGrid w:val="0"/>
        <w:spacing w:line="5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2、如在使用过程中发生质量问题，乙方在接到甲方通知后在 8 小时内到达甲方现场。</w:t>
      </w:r>
    </w:p>
    <w:p>
      <w:pPr>
        <w:snapToGrid w:val="0"/>
        <w:spacing w:line="5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质保期为乙方提交的成果经甲方验收合格之日起6个月。在质保期内，乙方应对服务成果出现的质量及安全问题负责处理解决并承担一切费用，并无偿为甲方提供项目日常服务工作，因人为因素出现的故障不在免费质保范围内。超过质保期的服务成果，终生维护，维护时只收成本费。</w:t>
      </w:r>
    </w:p>
    <w:p>
      <w:pPr>
        <w:snapToGrid w:val="0"/>
        <w:spacing w:line="560" w:lineRule="exact"/>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第八条 违约责任</w:t>
      </w:r>
    </w:p>
    <w:p>
      <w:pPr>
        <w:snapToGrid w:val="0"/>
        <w:spacing w:line="560" w:lineRule="exact"/>
        <w:ind w:firstLine="525" w:firstLineChars="250"/>
        <w:rPr>
          <w:rFonts w:ascii="宋体" w:hAnsi="宋体" w:cs="宋体"/>
          <w:color w:val="auto"/>
          <w:sz w:val="21"/>
          <w:szCs w:val="21"/>
          <w:highlight w:val="none"/>
        </w:rPr>
      </w:pPr>
      <w:r>
        <w:rPr>
          <w:rFonts w:hint="eastAsia" w:ascii="宋体" w:hAnsi="宋体" w:cs="宋体"/>
          <w:color w:val="auto"/>
          <w:sz w:val="21"/>
          <w:szCs w:val="21"/>
          <w:highlight w:val="none"/>
        </w:rPr>
        <w:t>1、因乙方原因，乙方所提交的服务成果内容、数量、服务项目要求（技术参数需求）等不符合</w:t>
      </w:r>
      <w:r>
        <w:rPr>
          <w:rFonts w:hint="eastAsia" w:ascii="宋体" w:hAnsi="宋体" w:cs="宋体"/>
          <w:color w:val="auto"/>
          <w:sz w:val="21"/>
          <w:szCs w:val="21"/>
          <w:highlight w:val="none"/>
          <w:lang w:val="en-US" w:eastAsia="zh-CN"/>
        </w:rPr>
        <w:t>采购文件及响应</w:t>
      </w:r>
      <w:r>
        <w:rPr>
          <w:rFonts w:hint="eastAsia" w:ascii="宋体" w:hAnsi="宋体" w:cs="宋体"/>
          <w:color w:val="auto"/>
          <w:sz w:val="21"/>
          <w:szCs w:val="21"/>
          <w:highlight w:val="none"/>
        </w:rPr>
        <w:t>文件、国家有关质量标准或本合同约定的，应及时调整，调整不及时的按本条第3款的约定按逾期提交成果处理；因特殊情况甲方同意接收不符合</w:t>
      </w:r>
      <w:r>
        <w:rPr>
          <w:rFonts w:hint="eastAsia" w:ascii="宋体" w:hAnsi="宋体" w:cs="宋体"/>
          <w:color w:val="auto"/>
          <w:sz w:val="21"/>
          <w:szCs w:val="21"/>
          <w:highlight w:val="none"/>
          <w:lang w:val="en-US" w:eastAsia="zh-CN"/>
        </w:rPr>
        <w:t>采购文件及响应</w:t>
      </w:r>
      <w:r>
        <w:rPr>
          <w:rFonts w:hint="eastAsia" w:ascii="宋体" w:hAnsi="宋体" w:cs="宋体"/>
          <w:color w:val="auto"/>
          <w:sz w:val="21"/>
          <w:szCs w:val="21"/>
          <w:highlight w:val="none"/>
        </w:rPr>
        <w:t xml:space="preserve">文件、国家有关质量标准或本合同约定的服务或报告的，乙方除承担逾期违约责任外，还应向甲方支付合同总价5%违约金。因乙方无法提供质量符合招投标文件、国家有关质量标准或本合同约定的服务或报告的，甲方有权解除合同。 </w:t>
      </w:r>
    </w:p>
    <w:p>
      <w:pPr>
        <w:snapToGrid w:val="0"/>
        <w:spacing w:line="560" w:lineRule="exact"/>
        <w:ind w:firstLine="472" w:firstLineChars="225"/>
        <w:rPr>
          <w:rFonts w:ascii="宋体" w:hAnsi="宋体" w:cs="宋体"/>
          <w:color w:val="auto"/>
          <w:sz w:val="21"/>
          <w:szCs w:val="21"/>
          <w:highlight w:val="none"/>
        </w:rPr>
      </w:pPr>
      <w:r>
        <w:rPr>
          <w:rFonts w:hint="eastAsia" w:ascii="宋体" w:hAnsi="宋体" w:cs="宋体"/>
          <w:color w:val="auto"/>
          <w:sz w:val="21"/>
          <w:szCs w:val="21"/>
          <w:highlight w:val="none"/>
        </w:rPr>
        <w:t>2、乙方提供的服务成果如侵犯第三方合法权益而引发的任何纠纷或诉讼，均由乙方负责交涉并承担全部责任。如甲方为解决纠纷先行支付了费用，乙方应当在收到甲方关于要求偿还已支付款项的通知之日起5个工作日内将甲方已支付的合理费用赔偿给甲方。</w:t>
      </w:r>
    </w:p>
    <w:p>
      <w:pPr>
        <w:snapToGrid w:val="0"/>
        <w:spacing w:line="5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3、因乙方原因，乙方逾期交付服务成果的，每天向甲方支付合同总价0.5‰的违约金，但违约金累计不超过合同总价的5%。乙方逾期交付超过15日的，甲方有权解除合同。</w:t>
      </w:r>
    </w:p>
    <w:p>
      <w:pPr>
        <w:snapToGrid w:val="0"/>
        <w:spacing w:line="5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4、乙方未按本合同和投标文件中规定的服务承诺提供售后服务的，乙方应按合同总</w:t>
      </w:r>
      <w:r>
        <w:rPr>
          <w:rFonts w:hint="eastAsia" w:ascii="宋体" w:hAnsi="宋体" w:cs="宋体"/>
          <w:color w:val="auto"/>
          <w:sz w:val="21"/>
          <w:szCs w:val="21"/>
          <w:highlight w:val="none"/>
          <w:u w:val="single"/>
        </w:rPr>
        <w:t>价的5%</w:t>
      </w:r>
      <w:r>
        <w:rPr>
          <w:rFonts w:hint="eastAsia" w:ascii="宋体" w:hAnsi="宋体" w:cs="宋体"/>
          <w:color w:val="auto"/>
          <w:sz w:val="21"/>
          <w:szCs w:val="21"/>
          <w:highlight w:val="none"/>
        </w:rPr>
        <w:t>向甲方支付违约金。</w:t>
      </w:r>
    </w:p>
    <w:p>
      <w:pPr>
        <w:snapToGrid w:val="0"/>
        <w:spacing w:line="5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5、乙方有其它严重影响合同目的实现的违约行为的，每发生一次按合同总价的</w:t>
      </w:r>
      <w:r>
        <w:rPr>
          <w:rFonts w:hint="eastAsia" w:ascii="宋体" w:hAnsi="宋体" w:cs="宋体"/>
          <w:color w:val="auto"/>
          <w:sz w:val="21"/>
          <w:szCs w:val="21"/>
          <w:highlight w:val="none"/>
          <w:u w:val="single"/>
        </w:rPr>
        <w:t>5%</w:t>
      </w:r>
      <w:r>
        <w:rPr>
          <w:rFonts w:hint="eastAsia" w:ascii="宋体" w:hAnsi="宋体" w:cs="宋体"/>
          <w:color w:val="auto"/>
          <w:sz w:val="21"/>
          <w:szCs w:val="21"/>
          <w:highlight w:val="none"/>
        </w:rPr>
        <w:t>支付违约金。</w:t>
      </w:r>
    </w:p>
    <w:p>
      <w:pPr>
        <w:snapToGrid w:val="0"/>
        <w:spacing w:line="5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6、甲方根据本合同约定解除合同的，有权不予支付任何款项给乙方，已经支付的，乙方应当自甲方要求返还之日起5日内予以返还，此外乙方还应支付合同总价5%的违约金给甲方。但甲方接受或利用乙方已完成的服务的，应按乙方完成的工作量支付费用。</w:t>
      </w:r>
    </w:p>
    <w:p>
      <w:pPr>
        <w:snapToGrid w:val="0"/>
        <w:spacing w:line="5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7、当以上违约金不足以弥补甲方损失时，乙方还应对甲方超过违约金部分的损失依法承担赔偿责任，甲方有权继续向乙方追偿。乙方应当赔偿因此给甲方造成的所有损失，包括但不限于甲方直接损失、向第三人承担的违约金、赔偿金、为索赔支出的费用、律师费、诉讼费、仲裁费、调查费、公证费、鉴定费等。</w:t>
      </w:r>
    </w:p>
    <w:p>
      <w:pPr>
        <w:snapToGrid w:val="0"/>
        <w:spacing w:before="120" w:after="120" w:line="560" w:lineRule="exact"/>
        <w:ind w:firstLine="413" w:firstLineChars="196"/>
        <w:rPr>
          <w:rFonts w:ascii="宋体" w:hAnsi="宋体" w:cs="宋体"/>
          <w:b/>
          <w:bCs/>
          <w:color w:val="auto"/>
          <w:sz w:val="21"/>
          <w:szCs w:val="21"/>
          <w:highlight w:val="none"/>
        </w:rPr>
      </w:pPr>
      <w:r>
        <w:rPr>
          <w:rFonts w:hint="eastAsia" w:ascii="宋体" w:hAnsi="宋体" w:cs="宋体"/>
          <w:b/>
          <w:bCs/>
          <w:color w:val="auto"/>
          <w:sz w:val="21"/>
          <w:szCs w:val="21"/>
          <w:highlight w:val="none"/>
        </w:rPr>
        <w:t>第九条</w:t>
      </w:r>
      <w:r>
        <w:rPr>
          <w:rFonts w:hint="eastAsia" w:ascii="宋体" w:hAnsi="宋体" w:cs="宋体"/>
          <w:b/>
          <w:bCs/>
          <w:color w:val="auto"/>
          <w:sz w:val="21"/>
          <w:szCs w:val="21"/>
          <w:highlight w:val="none"/>
        </w:rPr>
        <w:tab/>
      </w:r>
      <w:r>
        <w:rPr>
          <w:rFonts w:hint="eastAsia" w:ascii="宋体" w:hAnsi="宋体" w:cs="宋体"/>
          <w:b/>
          <w:bCs/>
          <w:color w:val="auto"/>
          <w:sz w:val="21"/>
          <w:szCs w:val="21"/>
          <w:highlight w:val="none"/>
        </w:rPr>
        <w:t>不可抗力事件处理</w:t>
      </w:r>
    </w:p>
    <w:p>
      <w:pPr>
        <w:snapToGrid w:val="0"/>
        <w:spacing w:line="5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1、在合同有效期内，任何一方因不可抗力事件导致不能履行合同的，则合同履行期可延长，其延长期与不可抗力影响期相同。</w:t>
      </w:r>
    </w:p>
    <w:p>
      <w:pPr>
        <w:snapToGrid w:val="0"/>
        <w:spacing w:line="5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2、由于不可抗力事件不能全部或部分履行合同义务时，任一方可中止履行其在本合同项下的义务。</w:t>
      </w:r>
    </w:p>
    <w:p>
      <w:pPr>
        <w:snapToGrid w:val="0"/>
        <w:spacing w:line="5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不可抗力事件发生后，受影响方应立即通知对方，并寄送有关不可抗力发生的有效证明。声称受到不可抗力的一方应在任何时候采取合理的行动，以避免或尽量减少不可抗力事件的影响。因主观原因延误，未及时采取必要措施而导致损失扩大的，不能免除相应责任。</w:t>
      </w:r>
    </w:p>
    <w:p>
      <w:pPr>
        <w:snapToGrid w:val="0"/>
        <w:spacing w:line="5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4、不可抗力事件延续一百二十天以上时，双方应通过友好协商，确定是否继续履行合同。若双方协商解除合同，甲方应按乙方完成的工作量支付费用。</w:t>
      </w:r>
    </w:p>
    <w:p>
      <w:pPr>
        <w:snapToGrid w:val="0"/>
        <w:spacing w:line="560" w:lineRule="exact"/>
        <w:ind w:firstLine="422" w:firstLineChars="200"/>
        <w:rPr>
          <w:rFonts w:ascii="宋体" w:hAnsi="宋体" w:cs="宋体"/>
          <w:color w:val="auto"/>
          <w:sz w:val="21"/>
          <w:szCs w:val="21"/>
          <w:highlight w:val="none"/>
        </w:rPr>
      </w:pPr>
      <w:r>
        <w:rPr>
          <w:rFonts w:hint="eastAsia" w:ascii="宋体" w:hAnsi="宋体" w:cs="宋体"/>
          <w:b/>
          <w:bCs/>
          <w:color w:val="auto"/>
          <w:sz w:val="21"/>
          <w:szCs w:val="21"/>
          <w:highlight w:val="none"/>
        </w:rPr>
        <w:t>第十条</w:t>
      </w:r>
      <w:r>
        <w:rPr>
          <w:rFonts w:hint="eastAsia" w:ascii="宋体" w:hAnsi="宋体" w:cs="宋体"/>
          <w:b/>
          <w:bCs/>
          <w:color w:val="auto"/>
          <w:sz w:val="21"/>
          <w:szCs w:val="21"/>
          <w:highlight w:val="none"/>
        </w:rPr>
        <w:tab/>
      </w:r>
      <w:r>
        <w:rPr>
          <w:rFonts w:hint="eastAsia" w:ascii="宋体" w:hAnsi="宋体" w:cs="宋体"/>
          <w:b/>
          <w:bCs/>
          <w:color w:val="auto"/>
          <w:sz w:val="21"/>
          <w:szCs w:val="21"/>
          <w:highlight w:val="none"/>
        </w:rPr>
        <w:t>合同争议解决</w:t>
      </w:r>
    </w:p>
    <w:p>
      <w:pPr>
        <w:snapToGrid w:val="0"/>
        <w:spacing w:line="5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1、因服务成果质量问题发生争议的，应邀请国家认可的质量检测机构对服务成果质量进行鉴定。服务成果符合标准的，鉴定费由甲方承担；服务成果不符合标准的，鉴定费由乙方承担。</w:t>
      </w:r>
    </w:p>
    <w:p>
      <w:pPr>
        <w:snapToGrid w:val="0"/>
        <w:spacing w:line="5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2、因履行本合同引起的或与本合同有关的争议，甲乙双方应首先通过友好协商解决，如果协商不能解决，任何一方均可向甲方所在地有管辖权的人民法院提起诉讼。</w:t>
      </w:r>
    </w:p>
    <w:p>
      <w:pPr>
        <w:snapToGrid w:val="0"/>
        <w:spacing w:line="560" w:lineRule="exact"/>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第十一条  合同生效及其它</w:t>
      </w:r>
    </w:p>
    <w:p>
      <w:pPr>
        <w:snapToGrid w:val="0"/>
        <w:spacing w:line="5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1、本合同经双方法定代表人或授权代表签字并加盖单位公章后生效。</w:t>
      </w:r>
    </w:p>
    <w:p>
      <w:pPr>
        <w:snapToGrid w:val="0"/>
        <w:spacing w:line="5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2、本合同未尽事宜，双方另行协商。</w:t>
      </w:r>
    </w:p>
    <w:p>
      <w:pPr>
        <w:snapToGrid w:val="0"/>
        <w:spacing w:line="560" w:lineRule="exact"/>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第十二条  合同的变更、终止与转让</w:t>
      </w:r>
    </w:p>
    <w:p>
      <w:pPr>
        <w:snapToGrid w:val="0"/>
        <w:spacing w:line="5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1、除《中华人民共和国政府采购法》第五十条规定的情形外，本合同一经签订，甲乙双方不得擅自变更、中止或终止。</w:t>
      </w:r>
    </w:p>
    <w:p>
      <w:pPr>
        <w:snapToGrid w:val="0"/>
        <w:spacing w:line="5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2、未经甲方书面同意，乙方不得转让其应履行的任何合同义务。</w:t>
      </w:r>
    </w:p>
    <w:p>
      <w:pPr>
        <w:snapToGrid w:val="0"/>
        <w:spacing w:line="560" w:lineRule="exact"/>
        <w:ind w:firstLine="422" w:firstLineChars="200"/>
        <w:rPr>
          <w:rFonts w:ascii="宋体" w:hAnsi="宋体" w:cs="宋体"/>
          <w:color w:val="auto"/>
          <w:sz w:val="21"/>
          <w:szCs w:val="21"/>
          <w:highlight w:val="none"/>
        </w:rPr>
      </w:pPr>
      <w:r>
        <w:rPr>
          <w:rFonts w:hint="eastAsia" w:ascii="宋体" w:hAnsi="宋体" w:cs="宋体"/>
          <w:b/>
          <w:bCs/>
          <w:color w:val="auto"/>
          <w:sz w:val="21"/>
          <w:szCs w:val="21"/>
          <w:highlight w:val="none"/>
        </w:rPr>
        <w:t xml:space="preserve">第十三条 </w:t>
      </w:r>
      <w:r>
        <w:rPr>
          <w:rFonts w:hint="eastAsia" w:ascii="宋体" w:hAnsi="宋体" w:cs="宋体"/>
          <w:color w:val="auto"/>
          <w:sz w:val="21"/>
          <w:szCs w:val="21"/>
          <w:highlight w:val="none"/>
        </w:rPr>
        <w:t>本合同一式陆份，具有同等法律效力，甲乙双方各执叁份。</w:t>
      </w:r>
    </w:p>
    <w:tbl>
      <w:tblPr>
        <w:tblStyle w:val="23"/>
        <w:tblW w:w="90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516" w:type="dxa"/>
            <w:noWrap w:val="0"/>
            <w:vAlign w:val="center"/>
          </w:tcPr>
          <w:p>
            <w:pPr>
              <w:snapToGrid w:val="0"/>
              <w:spacing w:line="500" w:lineRule="exact"/>
              <w:rPr>
                <w:rFonts w:ascii="宋体" w:hAnsi="宋体"/>
                <w:color w:val="auto"/>
                <w:szCs w:val="21"/>
                <w:highlight w:val="none"/>
              </w:rPr>
            </w:pPr>
            <w:r>
              <w:rPr>
                <w:rFonts w:hint="eastAsia" w:ascii="宋体" w:hAnsi="宋体"/>
                <w:color w:val="auto"/>
                <w:szCs w:val="21"/>
                <w:highlight w:val="none"/>
              </w:rPr>
              <w:t xml:space="preserve">甲方（章）           </w:t>
            </w:r>
          </w:p>
          <w:p>
            <w:pPr>
              <w:snapToGrid w:val="0"/>
              <w:spacing w:line="500" w:lineRule="exact"/>
              <w:rPr>
                <w:rFonts w:ascii="宋体" w:hAnsi="宋体"/>
                <w:color w:val="auto"/>
                <w:szCs w:val="21"/>
                <w:highlight w:val="none"/>
              </w:rPr>
            </w:pPr>
          </w:p>
          <w:p>
            <w:pPr>
              <w:snapToGrid w:val="0"/>
              <w:spacing w:line="500" w:lineRule="exact"/>
              <w:ind w:firstLine="945" w:firstLineChars="450"/>
              <w:jc w:val="right"/>
              <w:rPr>
                <w:rFonts w:ascii="宋体" w:hAnsi="宋体"/>
                <w:color w:val="auto"/>
                <w:szCs w:val="21"/>
                <w:highlight w:val="none"/>
              </w:rPr>
            </w:pPr>
            <w:r>
              <w:rPr>
                <w:rFonts w:hint="eastAsia" w:ascii="宋体" w:hAnsi="宋体"/>
                <w:color w:val="auto"/>
                <w:szCs w:val="21"/>
                <w:highlight w:val="none"/>
              </w:rPr>
              <w:t>年   月   日</w:t>
            </w:r>
          </w:p>
        </w:tc>
        <w:tc>
          <w:tcPr>
            <w:tcW w:w="4517" w:type="dxa"/>
            <w:noWrap w:val="0"/>
            <w:vAlign w:val="center"/>
          </w:tcPr>
          <w:p>
            <w:pPr>
              <w:snapToGrid w:val="0"/>
              <w:spacing w:line="500" w:lineRule="exact"/>
              <w:rPr>
                <w:rFonts w:ascii="宋体" w:hAnsi="宋体"/>
                <w:color w:val="auto"/>
                <w:szCs w:val="21"/>
                <w:highlight w:val="none"/>
              </w:rPr>
            </w:pPr>
            <w:r>
              <w:rPr>
                <w:rFonts w:hint="eastAsia" w:ascii="宋体" w:hAnsi="宋体"/>
                <w:color w:val="auto"/>
                <w:szCs w:val="21"/>
                <w:highlight w:val="none"/>
              </w:rPr>
              <w:t xml:space="preserve">乙方（章）              </w:t>
            </w:r>
          </w:p>
          <w:p>
            <w:pPr>
              <w:snapToGrid w:val="0"/>
              <w:spacing w:line="500" w:lineRule="exact"/>
              <w:rPr>
                <w:rFonts w:ascii="宋体" w:hAnsi="宋体"/>
                <w:color w:val="auto"/>
                <w:szCs w:val="21"/>
                <w:highlight w:val="none"/>
              </w:rPr>
            </w:pPr>
          </w:p>
          <w:p>
            <w:pPr>
              <w:snapToGrid w:val="0"/>
              <w:spacing w:line="500" w:lineRule="exact"/>
              <w:jc w:val="right"/>
              <w:rPr>
                <w:rFonts w:ascii="宋体" w:hAnsi="宋体"/>
                <w:color w:val="auto"/>
                <w:szCs w:val="21"/>
                <w:highlight w:val="none"/>
              </w:rPr>
            </w:pPr>
            <w:r>
              <w:rPr>
                <w:rFonts w:hint="eastAsia" w:ascii="宋体" w:hAnsi="宋体"/>
                <w:color w:val="auto"/>
                <w:szCs w:val="21"/>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4516" w:type="dxa"/>
            <w:noWrap w:val="0"/>
            <w:vAlign w:val="center"/>
          </w:tcPr>
          <w:p>
            <w:pPr>
              <w:snapToGrid w:val="0"/>
              <w:spacing w:line="500" w:lineRule="exact"/>
              <w:rPr>
                <w:rFonts w:ascii="宋体" w:hAnsi="宋体"/>
                <w:color w:val="auto"/>
                <w:szCs w:val="21"/>
                <w:highlight w:val="none"/>
              </w:rPr>
            </w:pPr>
            <w:r>
              <w:rPr>
                <w:rFonts w:hint="eastAsia" w:ascii="宋体" w:hAnsi="宋体"/>
                <w:color w:val="auto"/>
                <w:szCs w:val="21"/>
                <w:highlight w:val="none"/>
              </w:rPr>
              <w:t>单位地址：</w:t>
            </w:r>
          </w:p>
        </w:tc>
        <w:tc>
          <w:tcPr>
            <w:tcW w:w="4517" w:type="dxa"/>
            <w:noWrap w:val="0"/>
            <w:vAlign w:val="center"/>
          </w:tcPr>
          <w:p>
            <w:pPr>
              <w:snapToGrid w:val="0"/>
              <w:spacing w:line="500" w:lineRule="exact"/>
              <w:rPr>
                <w:rFonts w:ascii="宋体" w:hAnsi="宋体"/>
                <w:color w:val="auto"/>
                <w:szCs w:val="21"/>
                <w:highlight w:val="none"/>
              </w:rPr>
            </w:pPr>
            <w:r>
              <w:rPr>
                <w:rFonts w:hint="eastAsia" w:ascii="宋体" w:hAnsi="宋体"/>
                <w:color w:val="auto"/>
                <w:szCs w:val="21"/>
                <w:highlight w:val="none"/>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4516" w:type="dxa"/>
            <w:noWrap w:val="0"/>
            <w:vAlign w:val="top"/>
          </w:tcPr>
          <w:p>
            <w:pPr>
              <w:snapToGrid w:val="0"/>
              <w:spacing w:line="500" w:lineRule="exact"/>
              <w:rPr>
                <w:rFonts w:ascii="宋体" w:hAnsi="宋体"/>
                <w:color w:val="auto"/>
                <w:szCs w:val="21"/>
                <w:highlight w:val="none"/>
              </w:rPr>
            </w:pPr>
            <w:r>
              <w:rPr>
                <w:rFonts w:hint="eastAsia" w:ascii="宋体" w:hAnsi="宋体"/>
                <w:color w:val="auto"/>
                <w:szCs w:val="21"/>
                <w:highlight w:val="none"/>
              </w:rPr>
              <w:t>法定代表人或者委托代理人：</w:t>
            </w:r>
          </w:p>
        </w:tc>
        <w:tc>
          <w:tcPr>
            <w:tcW w:w="4517" w:type="dxa"/>
            <w:noWrap w:val="0"/>
            <w:vAlign w:val="top"/>
          </w:tcPr>
          <w:p>
            <w:pPr>
              <w:snapToGrid w:val="0"/>
              <w:spacing w:line="500" w:lineRule="exact"/>
              <w:rPr>
                <w:rFonts w:ascii="宋体" w:hAnsi="宋体"/>
                <w:color w:val="auto"/>
                <w:szCs w:val="21"/>
                <w:highlight w:val="none"/>
              </w:rPr>
            </w:pPr>
            <w:r>
              <w:rPr>
                <w:rFonts w:hint="eastAsia" w:ascii="宋体" w:hAnsi="宋体"/>
                <w:color w:val="auto"/>
                <w:szCs w:val="21"/>
                <w:highlight w:val="none"/>
              </w:rPr>
              <w:t>法定代表人或者委托代理人：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516" w:type="dxa"/>
            <w:noWrap w:val="0"/>
            <w:vAlign w:val="center"/>
          </w:tcPr>
          <w:p>
            <w:pPr>
              <w:snapToGrid w:val="0"/>
              <w:spacing w:line="500" w:lineRule="exact"/>
              <w:rPr>
                <w:rFonts w:ascii="宋体" w:hAnsi="宋体"/>
                <w:color w:val="auto"/>
                <w:szCs w:val="21"/>
                <w:highlight w:val="none"/>
              </w:rPr>
            </w:pPr>
            <w:r>
              <w:rPr>
                <w:rFonts w:hint="eastAsia" w:ascii="宋体" w:hAnsi="宋体"/>
                <w:color w:val="auto"/>
                <w:szCs w:val="21"/>
                <w:highlight w:val="none"/>
              </w:rPr>
              <w:t>电话：</w:t>
            </w:r>
          </w:p>
        </w:tc>
        <w:tc>
          <w:tcPr>
            <w:tcW w:w="4517" w:type="dxa"/>
            <w:noWrap w:val="0"/>
            <w:vAlign w:val="center"/>
          </w:tcPr>
          <w:p>
            <w:pPr>
              <w:snapToGrid w:val="0"/>
              <w:spacing w:line="500" w:lineRule="exact"/>
              <w:rPr>
                <w:rFonts w:ascii="宋体" w:hAnsi="宋体"/>
                <w:color w:val="auto"/>
                <w:szCs w:val="21"/>
                <w:highlight w:val="none"/>
              </w:rPr>
            </w:pPr>
            <w:r>
              <w:rPr>
                <w:rFonts w:hint="eastAsia" w:ascii="宋体" w:hAnsi="宋体"/>
                <w:color w:val="auto"/>
                <w:szCs w:val="21"/>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516" w:type="dxa"/>
            <w:noWrap w:val="0"/>
            <w:vAlign w:val="center"/>
          </w:tcPr>
          <w:p>
            <w:pPr>
              <w:snapToGrid w:val="0"/>
              <w:spacing w:line="500" w:lineRule="exact"/>
              <w:rPr>
                <w:rFonts w:ascii="宋体" w:hAnsi="宋体"/>
                <w:color w:val="auto"/>
                <w:szCs w:val="21"/>
                <w:highlight w:val="none"/>
              </w:rPr>
            </w:pPr>
            <w:r>
              <w:rPr>
                <w:rFonts w:hint="eastAsia" w:ascii="宋体" w:hAnsi="宋体"/>
                <w:color w:val="auto"/>
                <w:szCs w:val="21"/>
                <w:highlight w:val="none"/>
              </w:rPr>
              <w:t>电子邮箱：</w:t>
            </w:r>
          </w:p>
        </w:tc>
        <w:tc>
          <w:tcPr>
            <w:tcW w:w="4517" w:type="dxa"/>
            <w:noWrap w:val="0"/>
            <w:vAlign w:val="center"/>
          </w:tcPr>
          <w:p>
            <w:pPr>
              <w:snapToGrid w:val="0"/>
              <w:spacing w:line="500" w:lineRule="exact"/>
              <w:rPr>
                <w:rFonts w:ascii="宋体" w:hAnsi="宋体"/>
                <w:color w:val="auto"/>
                <w:szCs w:val="21"/>
                <w:highlight w:val="none"/>
              </w:rPr>
            </w:pPr>
            <w:r>
              <w:rPr>
                <w:rFonts w:hint="eastAsia" w:ascii="宋体" w:hAnsi="宋体"/>
                <w:color w:val="auto"/>
                <w:szCs w:val="21"/>
                <w:highlight w:val="none"/>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16" w:type="dxa"/>
            <w:noWrap w:val="0"/>
            <w:vAlign w:val="center"/>
          </w:tcPr>
          <w:p>
            <w:pPr>
              <w:snapToGrid w:val="0"/>
              <w:spacing w:line="500" w:lineRule="exact"/>
              <w:rPr>
                <w:rFonts w:ascii="宋体" w:hAnsi="宋体"/>
                <w:color w:val="auto"/>
                <w:szCs w:val="21"/>
                <w:highlight w:val="none"/>
              </w:rPr>
            </w:pPr>
            <w:r>
              <w:rPr>
                <w:rFonts w:hint="eastAsia" w:ascii="宋体" w:hAnsi="宋体"/>
                <w:color w:val="auto"/>
                <w:szCs w:val="21"/>
                <w:highlight w:val="none"/>
              </w:rPr>
              <w:t>开户银行：</w:t>
            </w:r>
          </w:p>
        </w:tc>
        <w:tc>
          <w:tcPr>
            <w:tcW w:w="4517" w:type="dxa"/>
            <w:noWrap w:val="0"/>
            <w:vAlign w:val="center"/>
          </w:tcPr>
          <w:p>
            <w:pPr>
              <w:snapToGrid w:val="0"/>
              <w:spacing w:line="500" w:lineRule="exact"/>
              <w:rPr>
                <w:rFonts w:ascii="宋体" w:hAnsi="宋体"/>
                <w:color w:val="auto"/>
                <w:szCs w:val="21"/>
                <w:highlight w:val="none"/>
              </w:rPr>
            </w:pPr>
            <w:r>
              <w:rPr>
                <w:rFonts w:hint="eastAsia" w:ascii="宋体" w:hAnsi="宋体"/>
                <w:color w:val="auto"/>
                <w:szCs w:val="21"/>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16" w:type="dxa"/>
            <w:noWrap w:val="0"/>
            <w:vAlign w:val="center"/>
          </w:tcPr>
          <w:p>
            <w:pPr>
              <w:snapToGrid w:val="0"/>
              <w:spacing w:line="500" w:lineRule="exact"/>
              <w:rPr>
                <w:rFonts w:ascii="宋体" w:hAnsi="宋体"/>
                <w:color w:val="auto"/>
                <w:szCs w:val="21"/>
                <w:highlight w:val="none"/>
              </w:rPr>
            </w:pPr>
            <w:r>
              <w:rPr>
                <w:rFonts w:hint="eastAsia" w:ascii="宋体" w:hAnsi="宋体"/>
                <w:color w:val="auto"/>
                <w:szCs w:val="21"/>
                <w:highlight w:val="none"/>
              </w:rPr>
              <w:t>账号：</w:t>
            </w:r>
          </w:p>
        </w:tc>
        <w:tc>
          <w:tcPr>
            <w:tcW w:w="4517" w:type="dxa"/>
            <w:noWrap w:val="0"/>
            <w:vAlign w:val="center"/>
          </w:tcPr>
          <w:p>
            <w:pPr>
              <w:snapToGrid w:val="0"/>
              <w:spacing w:line="500" w:lineRule="exact"/>
              <w:rPr>
                <w:rFonts w:ascii="宋体" w:hAnsi="宋体"/>
                <w:color w:val="auto"/>
                <w:szCs w:val="21"/>
                <w:highlight w:val="none"/>
              </w:rPr>
            </w:pPr>
            <w:r>
              <w:rPr>
                <w:rFonts w:hint="eastAsia" w:ascii="宋体" w:hAnsi="宋体"/>
                <w:color w:val="auto"/>
                <w:szCs w:val="21"/>
                <w:highlight w:val="none"/>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516" w:type="dxa"/>
            <w:noWrap w:val="0"/>
            <w:vAlign w:val="center"/>
          </w:tcPr>
          <w:p>
            <w:pPr>
              <w:snapToGrid w:val="0"/>
              <w:spacing w:line="500" w:lineRule="exact"/>
              <w:rPr>
                <w:rFonts w:ascii="宋体" w:hAnsi="宋体"/>
                <w:color w:val="auto"/>
                <w:szCs w:val="21"/>
                <w:highlight w:val="none"/>
              </w:rPr>
            </w:pPr>
            <w:r>
              <w:rPr>
                <w:rFonts w:hint="eastAsia" w:ascii="宋体" w:hAnsi="宋体"/>
                <w:color w:val="auto"/>
                <w:szCs w:val="21"/>
                <w:highlight w:val="none"/>
              </w:rPr>
              <w:t>邮政编码：</w:t>
            </w:r>
          </w:p>
        </w:tc>
        <w:tc>
          <w:tcPr>
            <w:tcW w:w="4517" w:type="dxa"/>
            <w:noWrap w:val="0"/>
            <w:vAlign w:val="center"/>
          </w:tcPr>
          <w:p>
            <w:pPr>
              <w:snapToGrid w:val="0"/>
              <w:spacing w:line="500" w:lineRule="exact"/>
              <w:rPr>
                <w:rFonts w:ascii="宋体" w:hAnsi="宋体"/>
                <w:color w:val="auto"/>
                <w:szCs w:val="21"/>
                <w:highlight w:val="none"/>
              </w:rPr>
            </w:pPr>
            <w:r>
              <w:rPr>
                <w:rFonts w:hint="eastAsia" w:ascii="宋体" w:hAnsi="宋体"/>
                <w:color w:val="auto"/>
                <w:szCs w:val="21"/>
                <w:highlight w:val="none"/>
              </w:rPr>
              <w:t>邮政编码：</w:t>
            </w:r>
          </w:p>
        </w:tc>
      </w:tr>
      <w:bookmarkEnd w:id="229"/>
      <w:bookmarkEnd w:id="230"/>
    </w:tbl>
    <w:p>
      <w:pPr>
        <w:rPr>
          <w:rFonts w:hint="eastAsia" w:ascii="宋体" w:hAnsi="宋体" w:eastAsia="宋体" w:cs="宋体"/>
          <w:color w:val="auto"/>
          <w:highlight w:val="none"/>
        </w:rPr>
        <w:sectPr>
          <w:pgSz w:w="11910" w:h="16840"/>
          <w:pgMar w:top="1340" w:right="1500" w:bottom="280" w:left="1680" w:header="720" w:footer="567" w:gutter="0"/>
          <w:pgNumType w:fmt="decimal"/>
          <w:cols w:space="720" w:num="1"/>
        </w:sectPr>
      </w:pPr>
    </w:p>
    <w:p>
      <w:pPr>
        <w:widowControl/>
        <w:jc w:val="cente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广西壮族自治区政府采购项目合同验收书（格式）</w:t>
      </w:r>
    </w:p>
    <w:p>
      <w:pPr>
        <w:widowControl/>
        <w:snapToGrid w:val="0"/>
        <w:spacing w:before="100" w:beforeAutospacing="1" w:after="100" w:afterAutospacing="1" w:line="320" w:lineRule="exact"/>
        <w:ind w:left="-359" w:leftChars="-171"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根据政府采购项目（</w:t>
      </w:r>
      <w:r>
        <w:rPr>
          <w:rFonts w:hint="eastAsia" w:ascii="宋体" w:hAnsi="宋体" w:eastAsia="宋体" w:cs="宋体"/>
          <w:color w:val="auto"/>
          <w:kern w:val="0"/>
          <w:szCs w:val="21"/>
          <w:highlight w:val="none"/>
          <w:u w:val="single"/>
        </w:rPr>
        <w:t>采购合同编号：</w:t>
      </w:r>
      <w:r>
        <w:rPr>
          <w:rFonts w:hint="eastAsia" w:ascii="宋体" w:hAnsi="宋体" w:eastAsia="宋体" w:cs="宋体"/>
          <w:color w:val="auto"/>
          <w:kern w:val="0"/>
          <w:szCs w:val="21"/>
          <w:highlight w:val="none"/>
          <w:u w:val="single"/>
        </w:rPr>
        <w:softHyphen/>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）的约定，我单位对（</w:t>
      </w:r>
      <w:r>
        <w:rPr>
          <w:rFonts w:hint="eastAsia" w:ascii="宋体" w:hAnsi="宋体" w:eastAsia="宋体" w:cs="宋体"/>
          <w:color w:val="auto"/>
          <w:kern w:val="0"/>
          <w:szCs w:val="21"/>
          <w:highlight w:val="none"/>
          <w:u w:val="single"/>
        </w:rPr>
        <w:t xml:space="preserve">  项目名称   </w:t>
      </w:r>
      <w:r>
        <w:rPr>
          <w:rFonts w:hint="eastAsia" w:ascii="宋体" w:hAnsi="宋体" w:eastAsia="宋体" w:cs="宋体"/>
          <w:color w:val="auto"/>
          <w:kern w:val="0"/>
          <w:szCs w:val="21"/>
          <w:highlight w:val="none"/>
        </w:rPr>
        <w:t>）政府采购项目成交供应商（</w:t>
      </w:r>
      <w:r>
        <w:rPr>
          <w:rFonts w:hint="eastAsia" w:ascii="宋体" w:hAnsi="宋体" w:eastAsia="宋体" w:cs="宋体"/>
          <w:color w:val="auto"/>
          <w:kern w:val="0"/>
          <w:szCs w:val="21"/>
          <w:highlight w:val="none"/>
          <w:u w:val="single"/>
        </w:rPr>
        <w:t xml:space="preserve">            公司名称              </w:t>
      </w:r>
      <w:r>
        <w:rPr>
          <w:rFonts w:hint="eastAsia" w:ascii="宋体" w:hAnsi="宋体" w:eastAsia="宋体" w:cs="宋体"/>
          <w:color w:val="auto"/>
          <w:kern w:val="0"/>
          <w:szCs w:val="21"/>
          <w:highlight w:val="none"/>
        </w:rPr>
        <w:t>）提供的货物及服务进行了验收，验收情况如下：</w:t>
      </w:r>
    </w:p>
    <w:tbl>
      <w:tblPr>
        <w:tblStyle w:val="23"/>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527"/>
        <w:gridCol w:w="2294"/>
        <w:gridCol w:w="946"/>
        <w:gridCol w:w="2495"/>
        <w:gridCol w:w="205"/>
        <w:gridCol w:w="793"/>
        <w:gridCol w:w="136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97" w:hRule="atLeast"/>
          <w:jc w:val="center"/>
        </w:trPr>
        <w:tc>
          <w:tcPr>
            <w:tcW w:w="3821" w:type="dxa"/>
            <w:gridSpan w:val="2"/>
            <w:tcBorders>
              <w:top w:val="single" w:color="auto" w:sz="8" w:space="0"/>
              <w:left w:val="single" w:color="auto" w:sz="8" w:space="0"/>
              <w:bottom w:val="single" w:color="auto" w:sz="8" w:space="0"/>
              <w:right w:val="single" w:color="auto" w:sz="8" w:space="0"/>
            </w:tcBorders>
            <w:noWrap w:val="0"/>
            <w:vAlign w:val="center"/>
          </w:tcPr>
          <w:p>
            <w:pPr>
              <w:widowControl/>
              <w:snapToGrid w:val="0"/>
              <w:spacing w:before="100" w:beforeAutospacing="1" w:after="100" w:afterAutospacing="1" w:line="320" w:lineRule="exact"/>
              <w:ind w:left="-3" w:firstLine="4" w:firstLineChars="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验收方式：</w:t>
            </w:r>
          </w:p>
        </w:tc>
        <w:tc>
          <w:tcPr>
            <w:tcW w:w="5806" w:type="dxa"/>
            <w:gridSpan w:val="5"/>
            <w:tcBorders>
              <w:top w:val="single" w:color="auto" w:sz="8" w:space="0"/>
              <w:left w:val="single" w:color="auto" w:sz="8" w:space="0"/>
              <w:bottom w:val="single" w:color="auto" w:sz="8" w:space="0"/>
              <w:right w:val="single" w:color="auto" w:sz="8" w:space="0"/>
            </w:tcBorders>
            <w:noWrap w:val="0"/>
            <w:vAlign w:val="center"/>
          </w:tcPr>
          <w:p>
            <w:pPr>
              <w:widowControl/>
              <w:snapToGrid w:val="0"/>
              <w:spacing w:before="100" w:beforeAutospacing="1" w:after="100" w:afterAutospacing="1" w:line="320" w:lineRule="exact"/>
              <w:ind w:left="-3" w:firstLine="420" w:firstLineChars="20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□自行验收         □委托验收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22" w:hRule="atLeast"/>
          <w:jc w:val="center"/>
        </w:trPr>
        <w:tc>
          <w:tcPr>
            <w:tcW w:w="1527" w:type="dxa"/>
            <w:tcBorders>
              <w:top w:val="single" w:color="auto" w:sz="8" w:space="0"/>
              <w:left w:val="single" w:color="auto" w:sz="8" w:space="0"/>
              <w:bottom w:val="single" w:color="auto" w:sz="8" w:space="0"/>
              <w:right w:val="single" w:color="auto" w:sz="8" w:space="0"/>
            </w:tcBorders>
            <w:noWrap w:val="0"/>
            <w:vAlign w:val="center"/>
          </w:tcPr>
          <w:p>
            <w:pPr>
              <w:widowControl/>
              <w:snapToGrid w:val="0"/>
              <w:spacing w:before="100" w:beforeAutospacing="1" w:after="100" w:afterAutospacing="1" w:line="320" w:lineRule="exact"/>
              <w:ind w:firstLine="2" w:firstLineChars="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2294" w:type="dxa"/>
            <w:tcBorders>
              <w:top w:val="single" w:color="auto" w:sz="8" w:space="0"/>
              <w:left w:val="single" w:color="auto" w:sz="8" w:space="0"/>
              <w:bottom w:val="single" w:color="auto" w:sz="8" w:space="0"/>
              <w:right w:val="single" w:color="auto" w:sz="8" w:space="0"/>
            </w:tcBorders>
            <w:noWrap w:val="0"/>
            <w:vAlign w:val="center"/>
          </w:tcPr>
          <w:p>
            <w:pPr>
              <w:widowControl/>
              <w:snapToGrid w:val="0"/>
              <w:spacing w:before="100" w:beforeAutospacing="1" w:after="100" w:afterAutospacing="1" w:line="320" w:lineRule="exact"/>
              <w:ind w:left="-3" w:firstLine="2" w:firstLineChars="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名  称</w:t>
            </w:r>
          </w:p>
        </w:tc>
        <w:tc>
          <w:tcPr>
            <w:tcW w:w="3441" w:type="dxa"/>
            <w:gridSpan w:val="2"/>
            <w:tcBorders>
              <w:top w:val="single" w:color="auto" w:sz="8" w:space="0"/>
              <w:left w:val="single" w:color="auto" w:sz="8" w:space="0"/>
              <w:bottom w:val="single" w:color="auto" w:sz="8" w:space="0"/>
              <w:right w:val="single" w:color="auto" w:sz="8" w:space="0"/>
            </w:tcBorders>
            <w:noWrap w:val="0"/>
            <w:vAlign w:val="center"/>
          </w:tcPr>
          <w:p>
            <w:pPr>
              <w:widowControl/>
              <w:snapToGrid w:val="0"/>
              <w:spacing w:before="100" w:beforeAutospacing="1" w:after="100" w:afterAutospacing="1" w:line="320" w:lineRule="exact"/>
              <w:ind w:left="-3" w:firstLine="2" w:firstLineChars="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货物及服务内容、标准</w:t>
            </w:r>
          </w:p>
        </w:tc>
        <w:tc>
          <w:tcPr>
            <w:tcW w:w="998" w:type="dxa"/>
            <w:gridSpan w:val="2"/>
            <w:tcBorders>
              <w:top w:val="single" w:color="auto" w:sz="8" w:space="0"/>
              <w:left w:val="single" w:color="auto" w:sz="8" w:space="0"/>
              <w:bottom w:val="single" w:color="auto" w:sz="8" w:space="0"/>
              <w:right w:val="single" w:color="auto" w:sz="8" w:space="0"/>
            </w:tcBorders>
            <w:noWrap w:val="0"/>
            <w:vAlign w:val="center"/>
          </w:tcPr>
          <w:p>
            <w:pPr>
              <w:widowControl/>
              <w:snapToGrid w:val="0"/>
              <w:spacing w:before="100" w:beforeAutospacing="1" w:after="100" w:afterAutospacing="1" w:line="32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数量</w:t>
            </w:r>
          </w:p>
        </w:tc>
        <w:tc>
          <w:tcPr>
            <w:tcW w:w="1367" w:type="dxa"/>
            <w:tcBorders>
              <w:top w:val="single" w:color="auto" w:sz="8" w:space="0"/>
              <w:left w:val="single" w:color="auto" w:sz="8" w:space="0"/>
              <w:bottom w:val="single" w:color="auto" w:sz="8" w:space="0"/>
              <w:right w:val="single" w:color="auto" w:sz="8" w:space="0"/>
            </w:tcBorders>
            <w:noWrap w:val="0"/>
            <w:vAlign w:val="center"/>
          </w:tcPr>
          <w:p>
            <w:pPr>
              <w:widowControl/>
              <w:snapToGrid w:val="0"/>
              <w:spacing w:before="100" w:beforeAutospacing="1" w:after="100" w:afterAutospacing="1" w:line="320" w:lineRule="exact"/>
              <w:ind w:left="-3" w:firstLine="2" w:firstLineChars="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金  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27" w:type="dxa"/>
            <w:tcBorders>
              <w:top w:val="single" w:color="auto" w:sz="8" w:space="0"/>
              <w:left w:val="single" w:color="auto" w:sz="8" w:space="0"/>
              <w:bottom w:val="single" w:color="auto" w:sz="8" w:space="0"/>
              <w:right w:val="single" w:color="auto" w:sz="8" w:space="0"/>
            </w:tcBorders>
            <w:noWrap w:val="0"/>
            <w:vAlign w:val="center"/>
          </w:tcPr>
          <w:p>
            <w:pPr>
              <w:widowControl/>
              <w:snapToGrid w:val="0"/>
              <w:spacing w:before="100" w:beforeAutospacing="1" w:after="100" w:afterAutospacing="1" w:line="320" w:lineRule="exact"/>
              <w:ind w:left="-3" w:firstLine="4" w:firstLineChars="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294" w:type="dxa"/>
            <w:tcBorders>
              <w:top w:val="single" w:color="auto" w:sz="8" w:space="0"/>
              <w:left w:val="single" w:color="auto" w:sz="8" w:space="0"/>
              <w:bottom w:val="single" w:color="auto" w:sz="8" w:space="0"/>
              <w:right w:val="single" w:color="auto" w:sz="8" w:space="0"/>
            </w:tcBorders>
            <w:noWrap w:val="0"/>
            <w:vAlign w:val="center"/>
          </w:tcPr>
          <w:p>
            <w:pPr>
              <w:widowControl/>
              <w:snapToGrid w:val="0"/>
              <w:spacing w:before="100" w:beforeAutospacing="1" w:after="100" w:afterAutospacing="1" w:line="320" w:lineRule="exact"/>
              <w:ind w:left="-3"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441" w:type="dxa"/>
            <w:gridSpan w:val="2"/>
            <w:tcBorders>
              <w:top w:val="single" w:color="auto" w:sz="8" w:space="0"/>
              <w:left w:val="single" w:color="auto" w:sz="8" w:space="0"/>
              <w:bottom w:val="single" w:color="auto" w:sz="8" w:space="0"/>
              <w:right w:val="single" w:color="auto" w:sz="8" w:space="0"/>
            </w:tcBorders>
            <w:noWrap w:val="0"/>
            <w:vAlign w:val="center"/>
          </w:tcPr>
          <w:p>
            <w:pPr>
              <w:widowControl/>
              <w:snapToGrid w:val="0"/>
              <w:spacing w:before="100" w:beforeAutospacing="1" w:after="100" w:afterAutospacing="1" w:line="320" w:lineRule="exact"/>
              <w:ind w:left="-3"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998" w:type="dxa"/>
            <w:gridSpan w:val="2"/>
            <w:tcBorders>
              <w:top w:val="single" w:color="auto" w:sz="8" w:space="0"/>
              <w:left w:val="single" w:color="auto" w:sz="8" w:space="0"/>
              <w:bottom w:val="single" w:color="auto" w:sz="8" w:space="0"/>
              <w:right w:val="single" w:color="auto" w:sz="8" w:space="0"/>
            </w:tcBorders>
            <w:noWrap w:val="0"/>
            <w:vAlign w:val="center"/>
          </w:tcPr>
          <w:p>
            <w:pPr>
              <w:widowControl/>
              <w:snapToGrid w:val="0"/>
              <w:spacing w:before="100" w:beforeAutospacing="1" w:after="100" w:afterAutospacing="1" w:line="32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367" w:type="dxa"/>
            <w:tcBorders>
              <w:top w:val="single" w:color="auto" w:sz="8" w:space="0"/>
              <w:left w:val="single" w:color="auto" w:sz="8" w:space="0"/>
              <w:bottom w:val="single" w:color="auto" w:sz="8" w:space="0"/>
              <w:right w:val="single" w:color="auto" w:sz="8" w:space="0"/>
            </w:tcBorders>
            <w:noWrap w:val="0"/>
            <w:vAlign w:val="center"/>
          </w:tcPr>
          <w:p>
            <w:pPr>
              <w:widowControl/>
              <w:snapToGrid w:val="0"/>
              <w:spacing w:before="100" w:beforeAutospacing="1" w:after="100" w:afterAutospacing="1" w:line="32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27" w:type="dxa"/>
            <w:tcBorders>
              <w:top w:val="single" w:color="auto" w:sz="8" w:space="0"/>
              <w:left w:val="single" w:color="auto" w:sz="8" w:space="0"/>
              <w:bottom w:val="single" w:color="auto" w:sz="8" w:space="0"/>
              <w:right w:val="single" w:color="auto" w:sz="8" w:space="0"/>
            </w:tcBorders>
            <w:noWrap w:val="0"/>
            <w:vAlign w:val="center"/>
          </w:tcPr>
          <w:p>
            <w:pPr>
              <w:widowControl/>
              <w:snapToGrid w:val="0"/>
              <w:spacing w:before="100" w:beforeAutospacing="1" w:after="100" w:afterAutospacing="1" w:line="320" w:lineRule="exact"/>
              <w:ind w:left="-3"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294" w:type="dxa"/>
            <w:tcBorders>
              <w:top w:val="single" w:color="auto" w:sz="8" w:space="0"/>
              <w:left w:val="single" w:color="auto" w:sz="8" w:space="0"/>
              <w:bottom w:val="single" w:color="auto" w:sz="8" w:space="0"/>
              <w:right w:val="single" w:color="auto" w:sz="8" w:space="0"/>
            </w:tcBorders>
            <w:noWrap w:val="0"/>
            <w:vAlign w:val="center"/>
          </w:tcPr>
          <w:p>
            <w:pPr>
              <w:widowControl/>
              <w:snapToGrid w:val="0"/>
              <w:spacing w:before="100" w:beforeAutospacing="1" w:after="100" w:afterAutospacing="1" w:line="320" w:lineRule="exact"/>
              <w:ind w:left="-3"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441" w:type="dxa"/>
            <w:gridSpan w:val="2"/>
            <w:tcBorders>
              <w:top w:val="single" w:color="auto" w:sz="8" w:space="0"/>
              <w:left w:val="single" w:color="auto" w:sz="8" w:space="0"/>
              <w:bottom w:val="single" w:color="auto" w:sz="8" w:space="0"/>
              <w:right w:val="single" w:color="auto" w:sz="8" w:space="0"/>
            </w:tcBorders>
            <w:noWrap w:val="0"/>
            <w:vAlign w:val="center"/>
          </w:tcPr>
          <w:p>
            <w:pPr>
              <w:widowControl/>
              <w:snapToGrid w:val="0"/>
              <w:spacing w:before="100" w:beforeAutospacing="1" w:after="100" w:afterAutospacing="1" w:line="320" w:lineRule="exact"/>
              <w:ind w:left="-3"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998" w:type="dxa"/>
            <w:gridSpan w:val="2"/>
            <w:tcBorders>
              <w:top w:val="single" w:color="auto" w:sz="8" w:space="0"/>
              <w:left w:val="single" w:color="auto" w:sz="8" w:space="0"/>
              <w:bottom w:val="single" w:color="auto" w:sz="8" w:space="0"/>
              <w:right w:val="single" w:color="auto" w:sz="8" w:space="0"/>
            </w:tcBorders>
            <w:noWrap w:val="0"/>
            <w:vAlign w:val="center"/>
          </w:tcPr>
          <w:p>
            <w:pPr>
              <w:widowControl/>
              <w:snapToGrid w:val="0"/>
              <w:spacing w:before="100" w:beforeAutospacing="1" w:after="100" w:afterAutospacing="1" w:line="32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367" w:type="dxa"/>
            <w:tcBorders>
              <w:top w:val="single" w:color="auto" w:sz="8" w:space="0"/>
              <w:left w:val="single" w:color="auto" w:sz="8" w:space="0"/>
              <w:bottom w:val="single" w:color="auto" w:sz="8" w:space="0"/>
              <w:right w:val="single" w:color="auto" w:sz="8" w:space="0"/>
            </w:tcBorders>
            <w:noWrap w:val="0"/>
            <w:vAlign w:val="center"/>
          </w:tcPr>
          <w:p>
            <w:pPr>
              <w:widowControl/>
              <w:snapToGrid w:val="0"/>
              <w:spacing w:before="100" w:beforeAutospacing="1" w:after="100" w:afterAutospacing="1" w:line="32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27" w:type="dxa"/>
            <w:tcBorders>
              <w:top w:val="single" w:color="auto" w:sz="8" w:space="0"/>
              <w:left w:val="single" w:color="auto" w:sz="8" w:space="0"/>
              <w:bottom w:val="single" w:color="auto" w:sz="8" w:space="0"/>
              <w:right w:val="single" w:color="auto" w:sz="8" w:space="0"/>
            </w:tcBorders>
            <w:noWrap w:val="0"/>
            <w:vAlign w:val="center"/>
          </w:tcPr>
          <w:p>
            <w:pPr>
              <w:widowControl/>
              <w:snapToGrid w:val="0"/>
              <w:spacing w:before="100" w:beforeAutospacing="1" w:after="100" w:afterAutospacing="1" w:line="320" w:lineRule="exact"/>
              <w:ind w:left="-3"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294" w:type="dxa"/>
            <w:tcBorders>
              <w:top w:val="single" w:color="auto" w:sz="8" w:space="0"/>
              <w:left w:val="single" w:color="auto" w:sz="8" w:space="0"/>
              <w:bottom w:val="single" w:color="auto" w:sz="8" w:space="0"/>
              <w:right w:val="single" w:color="auto" w:sz="8" w:space="0"/>
            </w:tcBorders>
            <w:noWrap w:val="0"/>
            <w:vAlign w:val="center"/>
          </w:tcPr>
          <w:p>
            <w:pPr>
              <w:widowControl/>
              <w:snapToGrid w:val="0"/>
              <w:spacing w:before="100" w:beforeAutospacing="1" w:after="100" w:afterAutospacing="1" w:line="320" w:lineRule="exact"/>
              <w:ind w:left="-3"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441" w:type="dxa"/>
            <w:gridSpan w:val="2"/>
            <w:tcBorders>
              <w:top w:val="single" w:color="auto" w:sz="8" w:space="0"/>
              <w:left w:val="single" w:color="auto" w:sz="8" w:space="0"/>
              <w:bottom w:val="single" w:color="auto" w:sz="8" w:space="0"/>
              <w:right w:val="single" w:color="auto" w:sz="8" w:space="0"/>
            </w:tcBorders>
            <w:noWrap w:val="0"/>
            <w:vAlign w:val="center"/>
          </w:tcPr>
          <w:p>
            <w:pPr>
              <w:widowControl/>
              <w:snapToGrid w:val="0"/>
              <w:spacing w:before="100" w:beforeAutospacing="1" w:after="100" w:afterAutospacing="1" w:line="320" w:lineRule="exact"/>
              <w:ind w:left="-3"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998" w:type="dxa"/>
            <w:gridSpan w:val="2"/>
            <w:tcBorders>
              <w:top w:val="single" w:color="auto" w:sz="8" w:space="0"/>
              <w:left w:val="single" w:color="auto" w:sz="8" w:space="0"/>
              <w:bottom w:val="single" w:color="auto" w:sz="8" w:space="0"/>
              <w:right w:val="single" w:color="auto" w:sz="8" w:space="0"/>
            </w:tcBorders>
            <w:noWrap w:val="0"/>
            <w:vAlign w:val="center"/>
          </w:tcPr>
          <w:p>
            <w:pPr>
              <w:widowControl/>
              <w:snapToGrid w:val="0"/>
              <w:spacing w:before="100" w:beforeAutospacing="1" w:after="100" w:afterAutospacing="1" w:line="32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367" w:type="dxa"/>
            <w:tcBorders>
              <w:top w:val="single" w:color="auto" w:sz="8" w:space="0"/>
              <w:left w:val="single" w:color="auto" w:sz="8" w:space="0"/>
              <w:bottom w:val="single" w:color="auto" w:sz="8" w:space="0"/>
              <w:right w:val="single" w:color="auto" w:sz="8" w:space="0"/>
            </w:tcBorders>
            <w:noWrap w:val="0"/>
            <w:vAlign w:val="center"/>
          </w:tcPr>
          <w:p>
            <w:pPr>
              <w:widowControl/>
              <w:snapToGrid w:val="0"/>
              <w:spacing w:before="100" w:beforeAutospacing="1" w:after="100" w:afterAutospacing="1" w:line="32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7262" w:type="dxa"/>
            <w:gridSpan w:val="4"/>
            <w:tcBorders>
              <w:top w:val="single" w:color="auto" w:sz="8" w:space="0"/>
              <w:left w:val="single" w:color="auto" w:sz="8" w:space="0"/>
              <w:bottom w:val="single" w:color="auto" w:sz="8" w:space="0"/>
              <w:right w:val="single" w:color="auto" w:sz="8" w:space="0"/>
            </w:tcBorders>
            <w:noWrap w:val="0"/>
            <w:vAlign w:val="center"/>
          </w:tcPr>
          <w:p>
            <w:pPr>
              <w:widowControl/>
              <w:snapToGrid w:val="0"/>
              <w:spacing w:before="100" w:beforeAutospacing="1" w:after="100" w:afterAutospacing="1" w:line="320" w:lineRule="exact"/>
              <w:ind w:left="-3" w:firstLine="4" w:firstLineChars="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        计</w:t>
            </w:r>
          </w:p>
        </w:tc>
        <w:tc>
          <w:tcPr>
            <w:tcW w:w="998" w:type="dxa"/>
            <w:gridSpan w:val="2"/>
            <w:tcBorders>
              <w:top w:val="single" w:color="auto" w:sz="8" w:space="0"/>
              <w:left w:val="single" w:color="auto" w:sz="8" w:space="0"/>
              <w:bottom w:val="single" w:color="auto" w:sz="8" w:space="0"/>
              <w:right w:val="single" w:color="auto" w:sz="8" w:space="0"/>
            </w:tcBorders>
            <w:noWrap w:val="0"/>
            <w:vAlign w:val="center"/>
          </w:tcPr>
          <w:p>
            <w:pPr>
              <w:widowControl/>
              <w:snapToGrid w:val="0"/>
              <w:spacing w:before="100" w:beforeAutospacing="1" w:after="100" w:afterAutospacing="1" w:line="32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367" w:type="dxa"/>
            <w:tcBorders>
              <w:top w:val="single" w:color="auto" w:sz="8" w:space="0"/>
              <w:left w:val="single" w:color="auto" w:sz="8" w:space="0"/>
              <w:bottom w:val="single" w:color="auto" w:sz="8" w:space="0"/>
              <w:right w:val="single" w:color="auto" w:sz="8" w:space="0"/>
            </w:tcBorders>
            <w:noWrap w:val="0"/>
            <w:vAlign w:val="center"/>
          </w:tcPr>
          <w:p>
            <w:pPr>
              <w:widowControl/>
              <w:snapToGrid w:val="0"/>
              <w:spacing w:before="100" w:beforeAutospacing="1" w:after="100" w:afterAutospacing="1" w:line="32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jc w:val="center"/>
        </w:trPr>
        <w:tc>
          <w:tcPr>
            <w:tcW w:w="9627" w:type="dxa"/>
            <w:gridSpan w:val="7"/>
            <w:tcBorders>
              <w:top w:val="single" w:color="auto" w:sz="8" w:space="0"/>
              <w:left w:val="single" w:color="auto" w:sz="8" w:space="0"/>
              <w:bottom w:val="single" w:color="auto" w:sz="8" w:space="0"/>
              <w:right w:val="single" w:color="auto" w:sz="8" w:space="0"/>
            </w:tcBorders>
            <w:noWrap w:val="0"/>
            <w:vAlign w:val="center"/>
          </w:tcPr>
          <w:p>
            <w:pPr>
              <w:widowControl/>
              <w:snapToGrid w:val="0"/>
              <w:spacing w:before="100" w:beforeAutospacing="1" w:after="100" w:afterAutospacing="1" w:line="320" w:lineRule="exact"/>
              <w:ind w:firstLine="2" w:firstLineChars="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合计大写金额：   仟    佰    拾    万    仟    佰    拾    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jc w:val="center"/>
        </w:trPr>
        <w:tc>
          <w:tcPr>
            <w:tcW w:w="1527" w:type="dxa"/>
            <w:tcBorders>
              <w:top w:val="single" w:color="auto" w:sz="8" w:space="0"/>
              <w:left w:val="single" w:color="auto" w:sz="8" w:space="0"/>
              <w:bottom w:val="single" w:color="auto" w:sz="8" w:space="0"/>
              <w:right w:val="single" w:color="auto" w:sz="8" w:space="0"/>
            </w:tcBorders>
            <w:noWrap w:val="0"/>
            <w:vAlign w:val="center"/>
          </w:tcPr>
          <w:p>
            <w:pPr>
              <w:widowControl/>
              <w:snapToGrid w:val="0"/>
              <w:spacing w:before="100" w:beforeAutospacing="1" w:after="100" w:afterAutospacing="1" w:line="320" w:lineRule="exact"/>
              <w:ind w:firstLine="2" w:firstLineChars="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实际完成日期</w:t>
            </w:r>
          </w:p>
        </w:tc>
        <w:tc>
          <w:tcPr>
            <w:tcW w:w="3240" w:type="dxa"/>
            <w:gridSpan w:val="2"/>
            <w:tcBorders>
              <w:top w:val="single" w:color="auto" w:sz="8" w:space="0"/>
              <w:left w:val="single" w:color="auto" w:sz="8" w:space="0"/>
              <w:bottom w:val="single" w:color="auto" w:sz="8" w:space="0"/>
              <w:right w:val="single" w:color="auto" w:sz="8" w:space="0"/>
            </w:tcBorders>
            <w:noWrap w:val="0"/>
            <w:vAlign w:val="center"/>
          </w:tcPr>
          <w:p>
            <w:pPr>
              <w:snapToGrid w:val="0"/>
              <w:spacing w:before="100" w:beforeAutospacing="1" w:after="100" w:afterAutospacing="1" w:line="320" w:lineRule="exact"/>
              <w:ind w:firstLine="420" w:firstLineChars="200"/>
              <w:jc w:val="left"/>
              <w:rPr>
                <w:rFonts w:hint="eastAsia" w:ascii="宋体" w:hAnsi="宋体" w:eastAsia="宋体" w:cs="宋体"/>
                <w:color w:val="auto"/>
                <w:kern w:val="0"/>
                <w:szCs w:val="21"/>
                <w:highlight w:val="none"/>
              </w:rPr>
            </w:pPr>
          </w:p>
        </w:tc>
        <w:tc>
          <w:tcPr>
            <w:tcW w:w="2700" w:type="dxa"/>
            <w:gridSpan w:val="2"/>
            <w:tcBorders>
              <w:top w:val="single" w:color="auto" w:sz="8" w:space="0"/>
              <w:left w:val="single" w:color="auto" w:sz="8" w:space="0"/>
              <w:bottom w:val="single" w:color="auto" w:sz="8" w:space="0"/>
              <w:right w:val="single" w:color="auto" w:sz="8" w:space="0"/>
            </w:tcBorders>
            <w:noWrap w:val="0"/>
            <w:vAlign w:val="center"/>
          </w:tcPr>
          <w:p>
            <w:pPr>
              <w:snapToGrid w:val="0"/>
              <w:spacing w:before="100" w:beforeAutospacing="1" w:after="100" w:afterAutospacing="1" w:line="320" w:lineRule="exact"/>
              <w:ind w:firstLine="39" w:firstLineChars="19"/>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合同验收日期</w:t>
            </w:r>
          </w:p>
        </w:tc>
        <w:tc>
          <w:tcPr>
            <w:tcW w:w="2160" w:type="dxa"/>
            <w:gridSpan w:val="2"/>
            <w:tcBorders>
              <w:top w:val="single" w:color="auto" w:sz="8" w:space="0"/>
              <w:left w:val="single" w:color="auto" w:sz="8" w:space="0"/>
              <w:bottom w:val="single" w:color="auto" w:sz="8" w:space="0"/>
              <w:right w:val="single" w:color="auto" w:sz="8" w:space="0"/>
            </w:tcBorders>
            <w:noWrap w:val="0"/>
            <w:vAlign w:val="center"/>
          </w:tcPr>
          <w:p>
            <w:pPr>
              <w:snapToGrid w:val="0"/>
              <w:spacing w:before="100" w:beforeAutospacing="1" w:after="100" w:afterAutospacing="1" w:line="320" w:lineRule="exact"/>
              <w:ind w:firstLine="420" w:firstLineChars="200"/>
              <w:jc w:val="left"/>
              <w:rPr>
                <w:rFonts w:hint="eastAsia" w:ascii="宋体" w:hAnsi="宋体" w:eastAsia="宋体" w:cs="宋体"/>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4" w:hRule="atLeast"/>
          <w:jc w:val="center"/>
        </w:trPr>
        <w:tc>
          <w:tcPr>
            <w:tcW w:w="1527" w:type="dxa"/>
            <w:tcBorders>
              <w:top w:val="single" w:color="auto" w:sz="8" w:space="0"/>
              <w:left w:val="single" w:color="auto" w:sz="8" w:space="0"/>
              <w:bottom w:val="single" w:color="auto" w:sz="8" w:space="0"/>
              <w:right w:val="single" w:color="auto" w:sz="8" w:space="0"/>
            </w:tcBorders>
            <w:noWrap w:val="0"/>
            <w:vAlign w:val="center"/>
          </w:tcPr>
          <w:p>
            <w:pPr>
              <w:widowControl/>
              <w:snapToGrid w:val="0"/>
              <w:spacing w:before="100" w:beforeAutospacing="1" w:after="100" w:afterAutospacing="1" w:line="320" w:lineRule="exact"/>
              <w:ind w:firstLine="420" w:firstLineChars="200"/>
              <w:jc w:val="left"/>
              <w:rPr>
                <w:rFonts w:hint="eastAsia" w:ascii="宋体" w:hAnsi="宋体" w:eastAsia="宋体" w:cs="宋体"/>
                <w:color w:val="auto"/>
                <w:kern w:val="0"/>
                <w:szCs w:val="21"/>
                <w:highlight w:val="none"/>
              </w:rPr>
            </w:pPr>
          </w:p>
        </w:tc>
        <w:tc>
          <w:tcPr>
            <w:tcW w:w="3240" w:type="dxa"/>
            <w:gridSpan w:val="2"/>
            <w:tcBorders>
              <w:top w:val="single" w:color="auto" w:sz="8" w:space="0"/>
              <w:left w:val="single" w:color="auto" w:sz="8" w:space="0"/>
              <w:bottom w:val="single" w:color="auto" w:sz="8" w:space="0"/>
              <w:right w:val="single" w:color="auto" w:sz="8" w:space="0"/>
            </w:tcBorders>
            <w:noWrap w:val="0"/>
            <w:vAlign w:val="center"/>
          </w:tcPr>
          <w:p>
            <w:pPr>
              <w:snapToGrid w:val="0"/>
              <w:spacing w:before="100" w:beforeAutospacing="1" w:after="100" w:afterAutospacing="1" w:line="320" w:lineRule="exact"/>
              <w:ind w:firstLine="420" w:firstLineChars="200"/>
              <w:jc w:val="left"/>
              <w:rPr>
                <w:rFonts w:hint="eastAsia" w:ascii="宋体" w:hAnsi="宋体" w:eastAsia="宋体" w:cs="宋体"/>
                <w:color w:val="auto"/>
                <w:kern w:val="0"/>
                <w:szCs w:val="21"/>
                <w:highlight w:val="none"/>
              </w:rPr>
            </w:pPr>
          </w:p>
        </w:tc>
        <w:tc>
          <w:tcPr>
            <w:tcW w:w="2700" w:type="dxa"/>
            <w:gridSpan w:val="2"/>
            <w:tcBorders>
              <w:top w:val="single" w:color="auto" w:sz="8" w:space="0"/>
              <w:left w:val="single" w:color="auto" w:sz="8" w:space="0"/>
              <w:bottom w:val="single" w:color="auto" w:sz="8" w:space="0"/>
              <w:right w:val="single" w:color="auto" w:sz="8" w:space="0"/>
            </w:tcBorders>
            <w:noWrap w:val="0"/>
            <w:vAlign w:val="center"/>
          </w:tcPr>
          <w:p>
            <w:pPr>
              <w:snapToGrid w:val="0"/>
              <w:spacing w:before="100" w:beforeAutospacing="1" w:after="100" w:afterAutospacing="1" w:line="320" w:lineRule="exact"/>
              <w:ind w:left="590" w:firstLine="420" w:firstLineChars="200"/>
              <w:jc w:val="left"/>
              <w:rPr>
                <w:rFonts w:hint="eastAsia" w:ascii="宋体" w:hAnsi="宋体" w:eastAsia="宋体" w:cs="宋体"/>
                <w:color w:val="auto"/>
                <w:kern w:val="0"/>
                <w:szCs w:val="21"/>
                <w:highlight w:val="none"/>
              </w:rPr>
            </w:pPr>
          </w:p>
        </w:tc>
        <w:tc>
          <w:tcPr>
            <w:tcW w:w="2160" w:type="dxa"/>
            <w:gridSpan w:val="2"/>
            <w:tcBorders>
              <w:top w:val="single" w:color="auto" w:sz="8" w:space="0"/>
              <w:left w:val="single" w:color="auto" w:sz="8" w:space="0"/>
              <w:bottom w:val="single" w:color="auto" w:sz="8" w:space="0"/>
              <w:right w:val="single" w:color="auto" w:sz="8" w:space="0"/>
            </w:tcBorders>
            <w:noWrap w:val="0"/>
            <w:vAlign w:val="center"/>
          </w:tcPr>
          <w:p>
            <w:pPr>
              <w:snapToGrid w:val="0"/>
              <w:spacing w:before="100" w:beforeAutospacing="1" w:after="100" w:afterAutospacing="1" w:line="320" w:lineRule="exact"/>
              <w:ind w:firstLine="420" w:firstLineChars="200"/>
              <w:jc w:val="left"/>
              <w:rPr>
                <w:rFonts w:hint="eastAsia" w:ascii="宋体" w:hAnsi="宋体" w:eastAsia="宋体" w:cs="宋体"/>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152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napToGrid w:val="0"/>
              <w:spacing w:before="100" w:beforeAutospacing="1" w:after="100" w:afterAutospacing="1" w:line="32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验收具体内容</w:t>
            </w:r>
          </w:p>
        </w:tc>
        <w:tc>
          <w:tcPr>
            <w:tcW w:w="8100" w:type="dxa"/>
            <w:gridSpan w:val="6"/>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napToGrid w:val="0"/>
              <w:spacing w:before="100" w:beforeAutospacing="1" w:after="100" w:afterAutospacing="1" w:line="32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（应</w:t>
            </w:r>
            <w:r>
              <w:rPr>
                <w:rFonts w:hint="eastAsia" w:ascii="宋体" w:hAnsi="宋体" w:eastAsia="宋体" w:cs="宋体"/>
                <w:color w:val="auto"/>
                <w:kern w:val="0"/>
                <w:szCs w:val="21"/>
                <w:highlight w:val="none"/>
              </w:rPr>
              <w:t>按采购合同、采购文件、响应文件及验收方案等进行验收；并核对</w:t>
            </w:r>
            <w:r>
              <w:rPr>
                <w:rFonts w:hint="eastAsia" w:ascii="宋体" w:hAnsi="宋体" w:eastAsia="宋体" w:cs="宋体"/>
                <w:color w:val="auto"/>
                <w:szCs w:val="21"/>
                <w:highlight w:val="none"/>
              </w:rPr>
              <w:t>成交供应商在供货、服务、培训等方面是否违反合同约定或服务规范要求、提供的质量保证证明材料是否齐全并达到合同约定等</w:t>
            </w:r>
            <w:r>
              <w:rPr>
                <w:rFonts w:hint="eastAsia" w:ascii="宋体" w:hAnsi="宋体" w:eastAsia="宋体" w:cs="宋体"/>
                <w:color w:val="auto"/>
                <w:kern w:val="0"/>
                <w:szCs w:val="21"/>
                <w:highlight w:val="none"/>
              </w:rPr>
              <w:t>。可附件)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32" w:hRule="atLeast"/>
          <w:jc w:val="center"/>
        </w:trPr>
        <w:tc>
          <w:tcPr>
            <w:tcW w:w="1527"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line="32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验收小组意见</w:t>
            </w:r>
          </w:p>
        </w:tc>
        <w:tc>
          <w:tcPr>
            <w:tcW w:w="8100" w:type="dxa"/>
            <w:gridSpan w:val="6"/>
            <w:tcBorders>
              <w:top w:val="single" w:color="auto" w:sz="8" w:space="0"/>
              <w:left w:val="single" w:color="auto" w:sz="8" w:space="0"/>
              <w:bottom w:val="single" w:color="auto" w:sz="4" w:space="0"/>
              <w:right w:val="single" w:color="auto" w:sz="8" w:space="0"/>
            </w:tcBorders>
            <w:noWrap w:val="0"/>
            <w:vAlign w:val="center"/>
          </w:tcPr>
          <w:p>
            <w:pPr>
              <w:widowControl/>
              <w:spacing w:before="100" w:beforeAutospacing="1" w:after="100" w:afterAutospacing="1" w:line="32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验收结论性意见：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07" w:hRule="atLeast"/>
          <w:jc w:val="center"/>
        </w:trPr>
        <w:tc>
          <w:tcPr>
            <w:tcW w:w="1527"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spacing w:line="320" w:lineRule="exact"/>
              <w:jc w:val="left"/>
              <w:rPr>
                <w:rFonts w:hint="eastAsia" w:ascii="宋体" w:hAnsi="宋体" w:eastAsia="宋体" w:cs="宋体"/>
                <w:color w:val="auto"/>
                <w:kern w:val="0"/>
                <w:szCs w:val="21"/>
                <w:highlight w:val="none"/>
              </w:rPr>
            </w:pPr>
          </w:p>
        </w:tc>
        <w:tc>
          <w:tcPr>
            <w:tcW w:w="8100" w:type="dxa"/>
            <w:gridSpan w:val="6"/>
            <w:tcBorders>
              <w:top w:val="single" w:color="auto" w:sz="4" w:space="0"/>
              <w:left w:val="single" w:color="auto" w:sz="8" w:space="0"/>
              <w:bottom w:val="single" w:color="auto" w:sz="8" w:space="0"/>
              <w:right w:val="single" w:color="auto" w:sz="8" w:space="0"/>
            </w:tcBorders>
            <w:noWrap w:val="0"/>
            <w:vAlign w:val="center"/>
          </w:tcPr>
          <w:p>
            <w:pPr>
              <w:spacing w:before="100" w:beforeAutospacing="1" w:after="100" w:afterAutospacing="1" w:line="320" w:lineRule="exact"/>
              <w:ind w:firstLine="84" w:firstLineChars="4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有异议的意见和说明理由：</w:t>
            </w:r>
          </w:p>
          <w:p>
            <w:pPr>
              <w:spacing w:before="100" w:beforeAutospacing="1" w:after="100" w:afterAutospacing="1" w:line="32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签字：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7" w:hRule="atLeast"/>
          <w:jc w:val="center"/>
        </w:trPr>
        <w:tc>
          <w:tcPr>
            <w:tcW w:w="9627" w:type="dxa"/>
            <w:gridSpan w:val="7"/>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line="32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验收小组成员签字：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36" w:hRule="atLeast"/>
          <w:jc w:val="center"/>
        </w:trPr>
        <w:tc>
          <w:tcPr>
            <w:tcW w:w="9627" w:type="dxa"/>
            <w:gridSpan w:val="7"/>
            <w:tcBorders>
              <w:top w:val="single" w:color="auto" w:sz="8" w:space="0"/>
              <w:left w:val="single" w:color="auto" w:sz="8" w:space="0"/>
              <w:bottom w:val="single" w:color="auto" w:sz="4"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line="32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监督人员或其他相关人员签字：</w:t>
            </w:r>
          </w:p>
          <w:p>
            <w:pPr>
              <w:widowControl/>
              <w:spacing w:before="100" w:beforeAutospacing="1" w:after="100" w:afterAutospacing="1" w:line="320" w:lineRule="exact"/>
              <w:ind w:firstLine="65" w:firstLineChars="3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或受邀机构的意见（盖章）：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812" w:hRule="atLeast"/>
          <w:jc w:val="center"/>
        </w:trPr>
        <w:tc>
          <w:tcPr>
            <w:tcW w:w="4767"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before="100" w:beforeAutospacing="1" w:after="100" w:afterAutospacing="1" w:line="320" w:lineRule="exact"/>
              <w:ind w:firstLine="65" w:firstLineChars="3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成交或者成交供应商负责人签字或盖章：</w:t>
            </w:r>
          </w:p>
          <w:p>
            <w:pPr>
              <w:widowControl/>
              <w:spacing w:before="100" w:beforeAutospacing="1" w:after="100" w:afterAutospacing="1" w:line="320" w:lineRule="exact"/>
              <w:ind w:firstLine="65" w:firstLineChars="31"/>
              <w:jc w:val="left"/>
              <w:rPr>
                <w:rFonts w:hint="eastAsia" w:ascii="宋体" w:hAnsi="宋体" w:eastAsia="宋体" w:cs="宋体"/>
                <w:color w:val="auto"/>
                <w:kern w:val="0"/>
                <w:szCs w:val="21"/>
                <w:highlight w:val="none"/>
              </w:rPr>
            </w:pPr>
          </w:p>
          <w:p>
            <w:pPr>
              <w:widowControl/>
              <w:spacing w:before="100" w:beforeAutospacing="1" w:after="100" w:afterAutospacing="1" w:line="32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         年 月 日</w:t>
            </w:r>
          </w:p>
        </w:tc>
        <w:tc>
          <w:tcPr>
            <w:tcW w:w="4860"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2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采购人或受托机构的意见（盖章）：</w:t>
            </w:r>
          </w:p>
          <w:p>
            <w:pPr>
              <w:widowControl/>
              <w:spacing w:before="100" w:beforeAutospacing="1" w:after="100" w:afterAutospacing="1" w:line="320" w:lineRule="exact"/>
              <w:jc w:val="left"/>
              <w:rPr>
                <w:rFonts w:hint="eastAsia" w:ascii="宋体" w:hAnsi="宋体" w:eastAsia="宋体" w:cs="宋体"/>
                <w:color w:val="auto"/>
                <w:kern w:val="0"/>
                <w:szCs w:val="21"/>
                <w:highlight w:val="none"/>
              </w:rPr>
            </w:pPr>
          </w:p>
          <w:p>
            <w:pPr>
              <w:widowControl/>
              <w:spacing w:before="100" w:beforeAutospacing="1" w:after="100" w:afterAutospacing="1" w:line="32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                 年   月   日</w:t>
            </w:r>
          </w:p>
        </w:tc>
      </w:tr>
    </w:tbl>
    <w:p>
      <w:pPr>
        <w:widowControl/>
        <w:jc w:val="left"/>
        <w:rPr>
          <w:rFonts w:hint="eastAsia" w:ascii="宋体" w:hAnsi="宋体" w:eastAsia="宋体" w:cs="宋体"/>
          <w:color w:val="auto"/>
          <w:spacing w:val="-10"/>
          <w:kern w:val="0"/>
          <w:szCs w:val="21"/>
          <w:highlight w:val="none"/>
        </w:rPr>
      </w:pPr>
    </w:p>
    <w:p>
      <w:pPr>
        <w:spacing w:before="4"/>
        <w:rPr>
          <w:rFonts w:hint="eastAsia" w:ascii="宋体" w:hAnsi="宋体" w:eastAsia="宋体" w:cs="宋体"/>
          <w:color w:val="auto"/>
          <w:sz w:val="6"/>
          <w:szCs w:val="6"/>
          <w:highlight w:val="none"/>
        </w:rPr>
      </w:pPr>
      <w:r>
        <w:rPr>
          <w:rFonts w:hint="eastAsia" w:ascii="宋体" w:hAnsi="宋体" w:eastAsia="宋体" w:cs="宋体"/>
          <w:color w:val="auto"/>
          <w:spacing w:val="-10"/>
          <w:kern w:val="0"/>
          <w:szCs w:val="21"/>
          <w:highlight w:val="none"/>
        </w:rPr>
        <w:t>备注：本报告单一式4份（采购单位1份、供应商1份、采购监督部门备案1份、采购代理机构1份）。</w:t>
      </w:r>
    </w:p>
    <w:p>
      <w:pPr>
        <w:rPr>
          <w:rFonts w:hint="eastAsia" w:ascii="宋体" w:hAnsi="宋体" w:eastAsia="宋体" w:cs="宋体"/>
          <w:color w:val="auto"/>
          <w:highlight w:val="none"/>
        </w:rPr>
      </w:pPr>
    </w:p>
    <w:sectPr>
      <w:pgSz w:w="11910" w:h="16840"/>
      <w:pgMar w:top="1340" w:right="1500" w:bottom="280" w:left="1680" w:header="720" w:footer="567"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embedRegular r:id="rId1" w:fontKey="{F1716122-9B0C-4DB3-A172-0C1AF36A7A43}"/>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783A4EF9-11B0-4041-ACE0-D1C13C3F5A7A}"/>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3CCB74D7-DFE7-4E4D-9D09-88218C2F5B80}"/>
  </w:font>
  <w:font w:name="Times New Roman)">
    <w:altName w:val="Times New Roman"/>
    <w:panose1 w:val="00000000000000000000"/>
    <w:charset w:val="00"/>
    <w:family w:val="auto"/>
    <w:pitch w:val="default"/>
    <w:sig w:usb0="00000000" w:usb1="00000000" w:usb2="00000000" w:usb3="00000000" w:csb0="00040001" w:csb1="00000000"/>
  </w:font>
  <w:font w:name="宋体正文">
    <w:altName w:val="宋体"/>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4" w:fontKey="{FF0112FE-35AC-4865-9DA0-6BCAEE76BCBB}"/>
  </w:font>
  <w:font w:name="Wingdings 2">
    <w:panose1 w:val="05020102010507070707"/>
    <w:charset w:val="02"/>
    <w:family w:val="roman"/>
    <w:pitch w:val="default"/>
    <w:sig w:usb0="00000000" w:usb1="00000000" w:usb2="00000000" w:usb3="00000000" w:csb0="80000000" w:csb1="00000000"/>
    <w:embedRegular r:id="rId5" w:fontKey="{3C76F045-A871-4E3B-B3FE-32551E542BC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439"/>
        <w:tab w:val="clear" w:pos="4153"/>
      </w:tabs>
      <w:jc w:val="both"/>
      <w:rPr>
        <w:rFonts w:ascii="Times New Roman" w:hAnsi="Times New Roman" w:eastAsia="宋体" w:cs="Times New Roman"/>
      </w:rPr>
    </w:pPr>
  </w:p>
  <w:p>
    <w:pPr>
      <w:pStyle w:val="16"/>
      <w:rPr>
        <w:rFonts w:ascii="Times New Roman" w:hAnsi="Times New Roman" w:eastAsia="宋体"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439"/>
        <w:tab w:val="clear" w:pos="4153"/>
      </w:tabs>
      <w:rPr>
        <w:rFonts w:ascii="Times New Roman" w:hAnsi="Times New Roman" w:eastAsia="宋体" w:cs="Times New Roman"/>
      </w:rPr>
    </w:pPr>
    <w:r>
      <w:rPr>
        <w:rFonts w:ascii="Times New Roman" w:hAnsi="Times New Roman" w:eastAsia="宋体" w:cs="Times New Roma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ascii="Times New Roman" w:hAnsi="Times New Roman" w:eastAsia="宋体" w:cs="Times New Roman"/>
                            </w:rPr>
                          </w:pPr>
                        </w:p>
                      </w:txbxContent>
                    </wps:txbx>
                    <wps:bodyPr wrap="none" lIns="0" tIns="0" rIns="0" bIns="0" upright="0">
                      <a:spAutoFit/>
                    </wps:bodyPr>
                  </wps:wsp>
                </a:graphicData>
              </a:graphic>
            </wp:anchor>
          </w:drawing>
        </mc:Choice>
        <mc:Fallback>
          <w:pict>
            <v:shape id="文本框 512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siNWHLAQAAnAMAAA4AAAAAAAAAAQAgAAAAHgEAAGRycy9lMm9E&#10;b2MueG1sUEsFBgAAAAAGAAYAWQEAAFsFAAAAAA==&#10;">
              <v:fill on="f" focussize="0,0"/>
              <v:stroke on="f"/>
              <v:imagedata o:title=""/>
              <o:lock v:ext="edit" aspectratio="f"/>
              <v:textbox inset="0mm,0mm,0mm,0mm" style="mso-fit-shape-to-text:t;">
                <w:txbxContent>
                  <w:p>
                    <w:pPr>
                      <w:rPr>
                        <w:rFonts w:ascii="Times New Roman" w:hAnsi="Times New Roman" w:eastAsia="宋体" w:cs="Times New Roma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439"/>
        <w:tab w:val="clear" w:pos="4153"/>
      </w:tabs>
      <w:jc w:val="both"/>
      <w:rPr>
        <w:rFonts w:ascii="Times New Roman" w:hAnsi="Times New Roman" w:eastAsia="宋体" w:cs="Times New Roma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0</w:t>
                    </w:r>
                    <w:r>
                      <w:fldChar w:fldCharType="end"/>
                    </w:r>
                  </w:p>
                </w:txbxContent>
              </v:textbox>
            </v:shape>
          </w:pict>
        </mc:Fallback>
      </mc:AlternateContent>
    </w:r>
  </w:p>
  <w:p>
    <w:pPr>
      <w:pStyle w:val="16"/>
      <w:rPr>
        <w:rFonts w:ascii="Times New Roman" w:hAnsi="Times New Roman" w:eastAsia="宋体"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439"/>
        <w:tab w:val="clear" w:pos="4153"/>
      </w:tabs>
      <w:rPr>
        <w:rFonts w:ascii="Times New Roman" w:hAnsi="Times New Roman" w:eastAsia="宋体" w:cs="Times New Roma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宋体" w:cs="Times New Roma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ascii="Times New Roman" w:hAnsi="Times New Roman" w:eastAsia="宋体" w:cs="Times New Roman"/>
                            </w:rPr>
                          </w:pPr>
                        </w:p>
                      </w:txbxContent>
                    </wps:txbx>
                    <wps:bodyPr wrap="none" lIns="0" tIns="0" rIns="0" bIns="0" upright="0">
                      <a:spAutoFit/>
                    </wps:bodyPr>
                  </wps:wsp>
                </a:graphicData>
              </a:graphic>
            </wp:anchor>
          </w:drawing>
        </mc:Choice>
        <mc:Fallback>
          <w:pict>
            <v:shape id="文本框 512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0NPFssBAACcAwAADgAAAGRycy9lMm9Eb2MueG1srVPNjtMwEL4j8Q6W&#10;79RpV6A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vaHEcYsDv3z/dvnx6/LzK3m5&#10;XN1khfoANSbeB0xNwxs/4N7MfkBnJj6oaPMXKRGMo77nq75ySETkR+vVel1hSGBsviA+e3geIqS3&#10;0luSjYZGHGDRlZ/eQxpT55Rczfk7bUwZonF/ORAze1jufewxW2nYDxOhvW/PyKfH2TfU4apTYt45&#10;lDavyWzE2djPxjFEfejKHuV6EF4fEzZRessVRtipMA6tsJsWLG/Fn/eS9fB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9DTxbLAQAAnAMAAA4AAAAAAAAAAQAgAAAAHgEAAGRycy9lMm9E&#10;b2MueG1sUEsFBgAAAAAGAAYAWQEAAFsFAAAAAA==&#10;">
              <v:fill on="f" focussize="0,0"/>
              <v:stroke on="f"/>
              <v:imagedata o:title=""/>
              <o:lock v:ext="edit" aspectratio="f"/>
              <v:textbox inset="0mm,0mm,0mm,0mm" style="mso-fit-shape-to-text:t;">
                <w:txbxContent>
                  <w:p>
                    <w:pPr>
                      <w:rPr>
                        <w:rFonts w:ascii="Times New Roman" w:hAnsi="Times New Roman" w:eastAsia="宋体" w:cs="Times New Roman"/>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28</w:t>
                    </w:r>
                    <w:r>
                      <w:fldChar w:fldCharType="end"/>
                    </w:r>
                  </w:p>
                </w:txbxContent>
              </v:textbox>
            </v:shape>
          </w:pict>
        </mc:Fallback>
      </mc:AlternateContent>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rPr>
        <w:rFonts w:ascii="Times New Roman" w:hAnsi="Times New Roman" w:eastAsia="宋体"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rPr>
        <w:rFonts w:ascii="Times New Roman" w:hAnsi="Times New Roman" w:eastAsia="宋体"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ascii="Times New Roman" w:hAnsi="Times New Roman" w:eastAsia="宋体" w:cs="Times New Roman"/>
        <w:highlight w:val="yellow"/>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A68680"/>
    <w:multiLevelType w:val="singleLevel"/>
    <w:tmpl w:val="AEA68680"/>
    <w:lvl w:ilvl="0" w:tentative="0">
      <w:start w:val="1"/>
      <w:numFmt w:val="decimal"/>
      <w:suff w:val="nothing"/>
      <w:lvlText w:val="（%1）"/>
      <w:lvlJc w:val="left"/>
    </w:lvl>
  </w:abstractNum>
  <w:abstractNum w:abstractNumId="1">
    <w:nsid w:val="33284793"/>
    <w:multiLevelType w:val="singleLevel"/>
    <w:tmpl w:val="33284793"/>
    <w:lvl w:ilvl="0" w:tentative="0">
      <w:start w:val="6"/>
      <w:numFmt w:val="chineseCounting"/>
      <w:suff w:val="space"/>
      <w:lvlText w:val="第%1章"/>
      <w:lvlJc w:val="left"/>
      <w:rPr>
        <w:rFonts w:hint="eastAsia"/>
      </w:rPr>
    </w:lvl>
  </w:abstractNum>
  <w:abstractNum w:abstractNumId="2">
    <w:nsid w:val="508DC1A0"/>
    <w:multiLevelType w:val="singleLevel"/>
    <w:tmpl w:val="508DC1A0"/>
    <w:lvl w:ilvl="0" w:tentative="0">
      <w:start w:val="1"/>
      <w:numFmt w:val="decimal"/>
      <w:pStyle w:val="10"/>
      <w:lvlText w:val="%1."/>
      <w:lvlJc w:val="left"/>
      <w:pPr>
        <w:tabs>
          <w:tab w:val="left" w:pos="360"/>
        </w:tabs>
        <w:ind w:left="36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zNGZjOTcxYWVlYjliZGNjMGE1NjQwMTFhMmY2ZWIifQ=="/>
  </w:docVars>
  <w:rsids>
    <w:rsidRoot w:val="00000000"/>
    <w:rsid w:val="006836D3"/>
    <w:rsid w:val="019064FD"/>
    <w:rsid w:val="022742A1"/>
    <w:rsid w:val="02C2434F"/>
    <w:rsid w:val="031A3CF7"/>
    <w:rsid w:val="031A5C16"/>
    <w:rsid w:val="04554E96"/>
    <w:rsid w:val="057127F0"/>
    <w:rsid w:val="05A16914"/>
    <w:rsid w:val="05BE5E8D"/>
    <w:rsid w:val="06745814"/>
    <w:rsid w:val="081043B7"/>
    <w:rsid w:val="08A5151B"/>
    <w:rsid w:val="098F072D"/>
    <w:rsid w:val="0AF83C42"/>
    <w:rsid w:val="0BAF4F65"/>
    <w:rsid w:val="0BB7154B"/>
    <w:rsid w:val="0CF602B9"/>
    <w:rsid w:val="0D527755"/>
    <w:rsid w:val="0DB41E8C"/>
    <w:rsid w:val="0DFA7629"/>
    <w:rsid w:val="0E6220D1"/>
    <w:rsid w:val="0EB54604"/>
    <w:rsid w:val="0EE94185"/>
    <w:rsid w:val="0F54738D"/>
    <w:rsid w:val="102551BD"/>
    <w:rsid w:val="1132558D"/>
    <w:rsid w:val="115E2F3D"/>
    <w:rsid w:val="12AE0195"/>
    <w:rsid w:val="12E272BD"/>
    <w:rsid w:val="148701AF"/>
    <w:rsid w:val="15C0266D"/>
    <w:rsid w:val="168D5D2C"/>
    <w:rsid w:val="16E424AF"/>
    <w:rsid w:val="175D340E"/>
    <w:rsid w:val="176C75E6"/>
    <w:rsid w:val="181A32E9"/>
    <w:rsid w:val="18E13238"/>
    <w:rsid w:val="19B4343D"/>
    <w:rsid w:val="19C33978"/>
    <w:rsid w:val="1ACF4FFD"/>
    <w:rsid w:val="1B9C0B51"/>
    <w:rsid w:val="1BA10C1F"/>
    <w:rsid w:val="1C1E610B"/>
    <w:rsid w:val="1D0E4FD1"/>
    <w:rsid w:val="1D6152DA"/>
    <w:rsid w:val="1DA249EF"/>
    <w:rsid w:val="1ECE5B9C"/>
    <w:rsid w:val="1F041901"/>
    <w:rsid w:val="1F6A0170"/>
    <w:rsid w:val="20754A55"/>
    <w:rsid w:val="209824C6"/>
    <w:rsid w:val="212A5349"/>
    <w:rsid w:val="24897F1B"/>
    <w:rsid w:val="24B31C19"/>
    <w:rsid w:val="25503507"/>
    <w:rsid w:val="2575791A"/>
    <w:rsid w:val="2579112E"/>
    <w:rsid w:val="270B3EAA"/>
    <w:rsid w:val="27A40BE5"/>
    <w:rsid w:val="27EF169D"/>
    <w:rsid w:val="283C6D97"/>
    <w:rsid w:val="28C45C09"/>
    <w:rsid w:val="28F74D45"/>
    <w:rsid w:val="29212CFD"/>
    <w:rsid w:val="29444DBD"/>
    <w:rsid w:val="29FC3FA7"/>
    <w:rsid w:val="2A2167F8"/>
    <w:rsid w:val="2A5A456C"/>
    <w:rsid w:val="2AEE2239"/>
    <w:rsid w:val="2BAF5479"/>
    <w:rsid w:val="2BEE5789"/>
    <w:rsid w:val="2C941A07"/>
    <w:rsid w:val="2CAF2AC6"/>
    <w:rsid w:val="2E1450C3"/>
    <w:rsid w:val="2E4278AB"/>
    <w:rsid w:val="2EEE0998"/>
    <w:rsid w:val="31302F7B"/>
    <w:rsid w:val="315B6AA0"/>
    <w:rsid w:val="32A20FA3"/>
    <w:rsid w:val="32BF2268"/>
    <w:rsid w:val="32CE57C6"/>
    <w:rsid w:val="354D3D89"/>
    <w:rsid w:val="35680ADC"/>
    <w:rsid w:val="35B4284F"/>
    <w:rsid w:val="370249DE"/>
    <w:rsid w:val="386F3594"/>
    <w:rsid w:val="38EA14F0"/>
    <w:rsid w:val="397F500E"/>
    <w:rsid w:val="39DE095F"/>
    <w:rsid w:val="3A0E7C83"/>
    <w:rsid w:val="3A9C5DB7"/>
    <w:rsid w:val="3AC566D5"/>
    <w:rsid w:val="3BEB59F3"/>
    <w:rsid w:val="3BF31A7C"/>
    <w:rsid w:val="3C2D2080"/>
    <w:rsid w:val="3CB80DC3"/>
    <w:rsid w:val="3DA37E27"/>
    <w:rsid w:val="3E261EFC"/>
    <w:rsid w:val="3E575B06"/>
    <w:rsid w:val="3E78778F"/>
    <w:rsid w:val="3EE06749"/>
    <w:rsid w:val="3FB44AD4"/>
    <w:rsid w:val="3FE60850"/>
    <w:rsid w:val="3FFA18F8"/>
    <w:rsid w:val="406B4F76"/>
    <w:rsid w:val="406B63DC"/>
    <w:rsid w:val="40963817"/>
    <w:rsid w:val="416B53AF"/>
    <w:rsid w:val="4256200A"/>
    <w:rsid w:val="42AA177A"/>
    <w:rsid w:val="43FF2A04"/>
    <w:rsid w:val="44CC36D1"/>
    <w:rsid w:val="45F233C5"/>
    <w:rsid w:val="45FB723F"/>
    <w:rsid w:val="464B5580"/>
    <w:rsid w:val="465530A9"/>
    <w:rsid w:val="466D6781"/>
    <w:rsid w:val="469B43DA"/>
    <w:rsid w:val="46C02478"/>
    <w:rsid w:val="46F632D8"/>
    <w:rsid w:val="49851753"/>
    <w:rsid w:val="49F66488"/>
    <w:rsid w:val="4A3032F6"/>
    <w:rsid w:val="4AB020AB"/>
    <w:rsid w:val="4B02786A"/>
    <w:rsid w:val="4B0C1EBA"/>
    <w:rsid w:val="4CE3006F"/>
    <w:rsid w:val="4D61785D"/>
    <w:rsid w:val="4DDC5B96"/>
    <w:rsid w:val="4E341B60"/>
    <w:rsid w:val="4F3560B9"/>
    <w:rsid w:val="4F6E725F"/>
    <w:rsid w:val="4F9A15C2"/>
    <w:rsid w:val="50F72592"/>
    <w:rsid w:val="51B94724"/>
    <w:rsid w:val="5200523F"/>
    <w:rsid w:val="52D43851"/>
    <w:rsid w:val="540C1BB2"/>
    <w:rsid w:val="54A17099"/>
    <w:rsid w:val="54A5557B"/>
    <w:rsid w:val="54C2591C"/>
    <w:rsid w:val="54FA4345"/>
    <w:rsid w:val="55091963"/>
    <w:rsid w:val="560617CE"/>
    <w:rsid w:val="584F5994"/>
    <w:rsid w:val="585B31E3"/>
    <w:rsid w:val="586C4558"/>
    <w:rsid w:val="58C70658"/>
    <w:rsid w:val="5A207E54"/>
    <w:rsid w:val="5A433873"/>
    <w:rsid w:val="5ACB35AD"/>
    <w:rsid w:val="5B0B3D5B"/>
    <w:rsid w:val="5B3E21DC"/>
    <w:rsid w:val="5B413A7A"/>
    <w:rsid w:val="5BB71F8E"/>
    <w:rsid w:val="5C6940A4"/>
    <w:rsid w:val="5D075102"/>
    <w:rsid w:val="5FA510E0"/>
    <w:rsid w:val="5FE5188C"/>
    <w:rsid w:val="600A42ED"/>
    <w:rsid w:val="607A79EA"/>
    <w:rsid w:val="619531FC"/>
    <w:rsid w:val="619D7F48"/>
    <w:rsid w:val="61EE525C"/>
    <w:rsid w:val="622E296B"/>
    <w:rsid w:val="62397BA1"/>
    <w:rsid w:val="63904078"/>
    <w:rsid w:val="661E50E3"/>
    <w:rsid w:val="67E64A49"/>
    <w:rsid w:val="6814388E"/>
    <w:rsid w:val="681A1D36"/>
    <w:rsid w:val="68297BC3"/>
    <w:rsid w:val="688519CA"/>
    <w:rsid w:val="689D31D3"/>
    <w:rsid w:val="698504CC"/>
    <w:rsid w:val="6A3A2708"/>
    <w:rsid w:val="6A45021C"/>
    <w:rsid w:val="6AB74D7E"/>
    <w:rsid w:val="6BB57E78"/>
    <w:rsid w:val="6C2D65EF"/>
    <w:rsid w:val="6CC2656C"/>
    <w:rsid w:val="6D905FD1"/>
    <w:rsid w:val="6E237777"/>
    <w:rsid w:val="6E5416F9"/>
    <w:rsid w:val="6E963C85"/>
    <w:rsid w:val="6EA6671E"/>
    <w:rsid w:val="6ED70525"/>
    <w:rsid w:val="6F8D6E73"/>
    <w:rsid w:val="70C45E02"/>
    <w:rsid w:val="71026815"/>
    <w:rsid w:val="71412EFE"/>
    <w:rsid w:val="71EA4A14"/>
    <w:rsid w:val="722F3B9E"/>
    <w:rsid w:val="722F605C"/>
    <w:rsid w:val="72AA5244"/>
    <w:rsid w:val="735C36EF"/>
    <w:rsid w:val="73835CF5"/>
    <w:rsid w:val="74B135C7"/>
    <w:rsid w:val="754B1461"/>
    <w:rsid w:val="75574141"/>
    <w:rsid w:val="76C42203"/>
    <w:rsid w:val="76CF7BCF"/>
    <w:rsid w:val="77366005"/>
    <w:rsid w:val="77B355B0"/>
    <w:rsid w:val="786E2327"/>
    <w:rsid w:val="78FA447F"/>
    <w:rsid w:val="798C05D1"/>
    <w:rsid w:val="7A042367"/>
    <w:rsid w:val="7AB32CE9"/>
    <w:rsid w:val="7AFB4AF9"/>
    <w:rsid w:val="7B212B22"/>
    <w:rsid w:val="7B6B0973"/>
    <w:rsid w:val="7BAA59A3"/>
    <w:rsid w:val="7C9A310C"/>
    <w:rsid w:val="7C9E0940"/>
    <w:rsid w:val="7CB56777"/>
    <w:rsid w:val="7D675A01"/>
    <w:rsid w:val="7DA72E63"/>
    <w:rsid w:val="7EBE6330"/>
    <w:rsid w:val="7EE301C5"/>
    <w:rsid w:val="7F083D9E"/>
    <w:rsid w:val="7F975F57"/>
    <w:rsid w:val="7FD1045A"/>
    <w:rsid w:val="7FE7146E"/>
    <w:rsid w:val="7FFDBB60"/>
    <w:rsid w:val="BEDFA1E0"/>
    <w:rsid w:val="DFFF3495"/>
    <w:rsid w:val="FF7592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autoRedefine/>
    <w:unhideWhenUsed/>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autoRedefine/>
    <w:unhideWhenUsed/>
    <w:qFormat/>
    <w:uiPriority w:val="0"/>
    <w:pPr>
      <w:keepNext/>
      <w:keepLines/>
      <w:spacing w:before="260" w:after="260" w:line="416" w:lineRule="auto"/>
      <w:outlineLvl w:val="2"/>
    </w:pPr>
    <w:rPr>
      <w:b/>
      <w:bCs/>
      <w:sz w:val="32"/>
      <w:szCs w:val="32"/>
    </w:rPr>
  </w:style>
  <w:style w:type="paragraph" w:styleId="6">
    <w:name w:val="heading 4"/>
    <w:basedOn w:val="1"/>
    <w:next w:val="1"/>
    <w:autoRedefine/>
    <w:qFormat/>
    <w:uiPriority w:val="0"/>
    <w:pPr>
      <w:tabs>
        <w:tab w:val="left" w:pos="2155"/>
      </w:tabs>
      <w:adjustRightInd w:val="0"/>
      <w:spacing w:line="360" w:lineRule="auto"/>
      <w:ind w:left="2155" w:hanging="1078"/>
      <w:textAlignment w:val="baseline"/>
      <w:outlineLvl w:val="3"/>
    </w:pPr>
    <w:rPr>
      <w:rFonts w:ascii="Arial" w:eastAsia="黑体"/>
      <w:kern w:val="0"/>
      <w:sz w:val="28"/>
      <w:szCs w:val="20"/>
    </w:rPr>
  </w:style>
  <w:style w:type="paragraph" w:styleId="7">
    <w:name w:val="heading 5"/>
    <w:basedOn w:val="1"/>
    <w:next w:val="8"/>
    <w:autoRedefine/>
    <w:unhideWhenUsed/>
    <w:qFormat/>
    <w:uiPriority w:val="0"/>
    <w:pPr>
      <w:keepNext/>
      <w:keepLines/>
      <w:spacing w:before="280" w:after="290" w:line="376" w:lineRule="auto"/>
      <w:outlineLvl w:val="4"/>
    </w:pPr>
    <w:rPr>
      <w:b/>
      <w:bCs/>
      <w:sz w:val="28"/>
      <w:szCs w:val="28"/>
    </w:rPr>
  </w:style>
  <w:style w:type="character" w:default="1" w:styleId="24">
    <w:name w:val="Default Paragraph Font"/>
    <w:autoRedefine/>
    <w:semiHidden/>
    <w:qFormat/>
    <w:uiPriority w:val="0"/>
  </w:style>
  <w:style w:type="table" w:default="1" w:styleId="2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unhideWhenUsed/>
    <w:qFormat/>
    <w:uiPriority w:val="0"/>
    <w:pPr>
      <w:spacing w:after="120"/>
    </w:pPr>
  </w:style>
  <w:style w:type="paragraph" w:styleId="8">
    <w:name w:val="Normal Indent"/>
    <w:basedOn w:val="1"/>
    <w:next w:val="1"/>
    <w:autoRedefine/>
    <w:qFormat/>
    <w:uiPriority w:val="0"/>
    <w:pPr>
      <w:ind w:firstLine="420"/>
    </w:pPr>
    <w:rPr>
      <w:szCs w:val="20"/>
    </w:rPr>
  </w:style>
  <w:style w:type="paragraph" w:styleId="9">
    <w:name w:val="index 8"/>
    <w:basedOn w:val="1"/>
    <w:next w:val="1"/>
    <w:autoRedefine/>
    <w:unhideWhenUsed/>
    <w:qFormat/>
    <w:uiPriority w:val="99"/>
    <w:pPr>
      <w:ind w:left="1400" w:leftChars="1400"/>
    </w:pPr>
  </w:style>
  <w:style w:type="paragraph" w:styleId="10">
    <w:name w:val="List Number"/>
    <w:basedOn w:val="1"/>
    <w:autoRedefine/>
    <w:qFormat/>
    <w:uiPriority w:val="0"/>
    <w:pPr>
      <w:numPr>
        <w:ilvl w:val="0"/>
        <w:numId w:val="1"/>
      </w:numPr>
    </w:pPr>
  </w:style>
  <w:style w:type="paragraph" w:styleId="11">
    <w:name w:val="annotation text"/>
    <w:basedOn w:val="1"/>
    <w:autoRedefine/>
    <w:qFormat/>
    <w:uiPriority w:val="0"/>
    <w:pPr>
      <w:jc w:val="left"/>
    </w:pPr>
  </w:style>
  <w:style w:type="paragraph" w:styleId="12">
    <w:name w:val="Body Text 3"/>
    <w:basedOn w:val="1"/>
    <w:autoRedefine/>
    <w:qFormat/>
    <w:uiPriority w:val="0"/>
    <w:pPr>
      <w:spacing w:after="120"/>
    </w:pPr>
    <w:rPr>
      <w:sz w:val="16"/>
      <w:szCs w:val="16"/>
    </w:rPr>
  </w:style>
  <w:style w:type="paragraph" w:styleId="13">
    <w:name w:val="Body Text Indent"/>
    <w:basedOn w:val="1"/>
    <w:autoRedefine/>
    <w:qFormat/>
    <w:uiPriority w:val="0"/>
    <w:pPr>
      <w:ind w:firstLine="830" w:firstLineChars="352"/>
    </w:pPr>
    <w:rPr>
      <w:rFonts w:ascii="仿宋_GB2312" w:eastAsia="仿宋_GB2312"/>
      <w:kern w:val="0"/>
      <w:sz w:val="32"/>
      <w:szCs w:val="20"/>
    </w:rPr>
  </w:style>
  <w:style w:type="paragraph" w:styleId="14">
    <w:name w:val="List 2"/>
    <w:basedOn w:val="1"/>
    <w:autoRedefine/>
    <w:qFormat/>
    <w:uiPriority w:val="0"/>
    <w:pPr>
      <w:ind w:left="100" w:leftChars="200" w:hanging="200" w:hangingChars="200"/>
      <w:contextualSpacing/>
    </w:pPr>
  </w:style>
  <w:style w:type="paragraph" w:styleId="15">
    <w:name w:val="Plain Text"/>
    <w:basedOn w:val="1"/>
    <w:next w:val="9"/>
    <w:autoRedefine/>
    <w:qFormat/>
    <w:uiPriority w:val="0"/>
    <w:rPr>
      <w:rFonts w:ascii="宋体" w:hAnsi="Courier New"/>
      <w:kern w:val="0"/>
      <w:sz w:val="20"/>
      <w:szCs w:val="21"/>
    </w:rPr>
  </w:style>
  <w:style w:type="paragraph" w:styleId="16">
    <w:name w:val="footer"/>
    <w:basedOn w:val="1"/>
    <w:autoRedefine/>
    <w:qFormat/>
    <w:uiPriority w:val="0"/>
    <w:pPr>
      <w:tabs>
        <w:tab w:val="center" w:pos="4153"/>
        <w:tab w:val="right" w:pos="8306"/>
      </w:tabs>
      <w:snapToGrid w:val="0"/>
      <w:jc w:val="left"/>
    </w:pPr>
    <w:rPr>
      <w:kern w:val="0"/>
      <w:sz w:val="18"/>
      <w:szCs w:val="18"/>
    </w:rPr>
  </w:style>
  <w:style w:type="paragraph" w:styleId="17">
    <w:name w:val="header"/>
    <w:basedOn w:val="1"/>
    <w:autoRedefine/>
    <w:qFormat/>
    <w:uiPriority w:val="0"/>
    <w:pPr>
      <w:pBdr>
        <w:bottom w:val="single" w:color="auto" w:sz="6" w:space="1"/>
      </w:pBdr>
      <w:tabs>
        <w:tab w:val="center" w:pos="4153"/>
        <w:tab w:val="right" w:pos="8306"/>
      </w:tabs>
      <w:snapToGrid w:val="0"/>
      <w:jc w:val="center"/>
    </w:pPr>
    <w:rPr>
      <w:kern w:val="0"/>
      <w:sz w:val="18"/>
      <w:szCs w:val="18"/>
    </w:rPr>
  </w:style>
  <w:style w:type="paragraph" w:styleId="18">
    <w:name w:val="toc 1"/>
    <w:basedOn w:val="1"/>
    <w:next w:val="1"/>
    <w:autoRedefine/>
    <w:qFormat/>
    <w:uiPriority w:val="0"/>
  </w:style>
  <w:style w:type="paragraph" w:styleId="19">
    <w:name w:val="toc 2"/>
    <w:basedOn w:val="1"/>
    <w:next w:val="1"/>
    <w:autoRedefine/>
    <w:qFormat/>
    <w:uiPriority w:val="0"/>
    <w:pPr>
      <w:tabs>
        <w:tab w:val="right" w:leader="dot" w:pos="8296"/>
      </w:tabs>
      <w:ind w:left="420" w:leftChars="200"/>
    </w:pPr>
  </w:style>
  <w:style w:type="paragraph" w:styleId="20">
    <w:name w:val="Title"/>
    <w:basedOn w:val="1"/>
    <w:next w:val="1"/>
    <w:autoRedefine/>
    <w:qFormat/>
    <w:uiPriority w:val="10"/>
    <w:pPr>
      <w:spacing w:before="240" w:after="60"/>
      <w:jc w:val="center"/>
      <w:outlineLvl w:val="0"/>
    </w:pPr>
    <w:rPr>
      <w:rFonts w:ascii="Cambria" w:hAnsi="Cambria"/>
      <w:b/>
      <w:bCs/>
      <w:sz w:val="32"/>
      <w:szCs w:val="32"/>
    </w:rPr>
  </w:style>
  <w:style w:type="paragraph" w:styleId="21">
    <w:name w:val="Body Text First Indent"/>
    <w:basedOn w:val="2"/>
    <w:autoRedefine/>
    <w:qFormat/>
    <w:uiPriority w:val="0"/>
    <w:pPr>
      <w:spacing w:after="120" w:afterLines="0"/>
      <w:ind w:firstLine="420" w:firstLineChars="100"/>
    </w:pPr>
    <w:rPr>
      <w:rFonts w:ascii="宋体"/>
      <w:sz w:val="21"/>
    </w:rPr>
  </w:style>
  <w:style w:type="paragraph" w:styleId="22">
    <w:name w:val="Body Text First Indent 2"/>
    <w:basedOn w:val="1"/>
    <w:next w:val="21"/>
    <w:autoRedefine/>
    <w:unhideWhenUsed/>
    <w:qFormat/>
    <w:uiPriority w:val="0"/>
    <w:pPr>
      <w:spacing w:after="120"/>
      <w:ind w:left="420" w:leftChars="200" w:firstLine="420" w:firstLineChars="200"/>
    </w:pPr>
    <w:rPr>
      <w:rFonts w:ascii="宋体" w:eastAsia="宋体"/>
      <w:sz w:val="34"/>
      <w:szCs w:val="24"/>
    </w:rPr>
  </w:style>
  <w:style w:type="character" w:styleId="25">
    <w:name w:val="Strong"/>
    <w:basedOn w:val="24"/>
    <w:autoRedefine/>
    <w:qFormat/>
    <w:uiPriority w:val="0"/>
    <w:rPr>
      <w:b/>
    </w:rPr>
  </w:style>
  <w:style w:type="character" w:styleId="26">
    <w:name w:val="Hyperlink"/>
    <w:autoRedefine/>
    <w:qFormat/>
    <w:uiPriority w:val="0"/>
    <w:rPr>
      <w:color w:val="0000FF"/>
      <w:u w:val="single"/>
    </w:rPr>
  </w:style>
  <w:style w:type="character" w:styleId="27">
    <w:name w:val="HTML Sample"/>
    <w:basedOn w:val="24"/>
    <w:autoRedefine/>
    <w:qFormat/>
    <w:uiPriority w:val="0"/>
    <w:rPr>
      <w:rFonts w:ascii="Courier New" w:hAnsi="Courier New"/>
    </w:rPr>
  </w:style>
  <w:style w:type="paragraph" w:customStyle="1" w:styleId="28">
    <w:name w:val="Default"/>
    <w:basedOn w:val="20"/>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9">
    <w:name w:val="List Paragraph"/>
    <w:basedOn w:val="1"/>
    <w:autoRedefine/>
    <w:qFormat/>
    <w:uiPriority w:val="34"/>
    <w:pPr>
      <w:ind w:firstLine="420" w:firstLineChars="200"/>
    </w:pPr>
  </w:style>
  <w:style w:type="paragraph" w:customStyle="1" w:styleId="30">
    <w:name w:val="No Spacing"/>
    <w:autoRedefine/>
    <w:qFormat/>
    <w:uiPriority w:val="1"/>
    <w:pPr>
      <w:widowControl w:val="0"/>
      <w:jc w:val="center"/>
    </w:pPr>
    <w:rPr>
      <w:rFonts w:ascii="Times New Roman" w:hAnsi="Times New Roman" w:eastAsia="宋体" w:cs="Times New Roman"/>
      <w:kern w:val="2"/>
      <w:sz w:val="21"/>
      <w:szCs w:val="22"/>
      <w:lang w:val="en-US" w:eastAsia="zh-CN" w:bidi="ar-SA"/>
    </w:rPr>
  </w:style>
  <w:style w:type="paragraph" w:customStyle="1" w:styleId="31">
    <w:name w:val="正文1"/>
    <w:basedOn w:val="1"/>
    <w:autoRedefine/>
    <w:qFormat/>
    <w:uiPriority w:val="0"/>
    <w:pPr>
      <w:spacing w:line="360" w:lineRule="auto"/>
      <w:ind w:firstLine="200" w:firstLineChars="200"/>
      <w:jc w:val="left"/>
    </w:pPr>
    <w:rPr>
      <w:rFonts w:ascii="Times New Roman)" w:hAnsi="Times New Roman)" w:eastAsia="宋体正文"/>
      <w:color w:val="000000"/>
      <w:kern w:val="0"/>
      <w:sz w:val="24"/>
      <w:lang w:eastAsia="en-US" w:bidi="en-US"/>
    </w:rPr>
  </w:style>
  <w:style w:type="paragraph" w:customStyle="1" w:styleId="32">
    <w:name w:val="Char Char Char Char Char Char Char"/>
    <w:basedOn w:val="1"/>
    <w:autoRedefine/>
    <w:qFormat/>
    <w:uiPriority w:val="0"/>
    <w:pPr>
      <w:tabs>
        <w:tab w:val="left" w:pos="432"/>
      </w:tabs>
      <w:ind w:left="432" w:hanging="432"/>
    </w:pPr>
    <w:rPr>
      <w:rFonts w:ascii="Tahoma" w:hAnsi="Tahoma"/>
      <w:sz w:val="24"/>
      <w:szCs w:val="20"/>
    </w:rPr>
  </w:style>
  <w:style w:type="paragraph" w:customStyle="1" w:styleId="33">
    <w:name w:val="正文 + 仿宋_GB2312"/>
    <w:basedOn w:val="1"/>
    <w:autoRedefine/>
    <w:qFormat/>
    <w:uiPriority w:val="0"/>
    <w:pPr>
      <w:jc w:val="center"/>
    </w:pPr>
    <w:rPr>
      <w:rFonts w:ascii="仿宋" w:hAnsi="仿宋" w:eastAsia="仿宋" w:cs="宋体"/>
      <w:color w:val="000000"/>
      <w:szCs w:val="21"/>
    </w:rPr>
  </w:style>
  <w:style w:type="paragraph" w:customStyle="1" w:styleId="34">
    <w:name w:val="正文首行缩进 21"/>
    <w:basedOn w:val="35"/>
    <w:autoRedefine/>
    <w:qFormat/>
    <w:uiPriority w:val="0"/>
    <w:pPr>
      <w:ind w:firstLine="420" w:firstLineChars="200"/>
    </w:pPr>
    <w:rPr>
      <w:rFonts w:ascii="Calibri" w:hAnsi="Calibri"/>
      <w:szCs w:val="22"/>
    </w:rPr>
  </w:style>
  <w:style w:type="paragraph" w:customStyle="1" w:styleId="35">
    <w:name w:val="Body Text Indent1"/>
    <w:basedOn w:val="1"/>
    <w:autoRedefine/>
    <w:qFormat/>
    <w:uiPriority w:val="0"/>
    <w:pPr>
      <w:spacing w:after="120"/>
      <w:ind w:left="420" w:leftChars="200"/>
    </w:pPr>
  </w:style>
  <w:style w:type="character" w:customStyle="1" w:styleId="36">
    <w:name w:val="font21"/>
    <w:basedOn w:val="24"/>
    <w:autoRedefine/>
    <w:qFormat/>
    <w:uiPriority w:val="0"/>
    <w:rPr>
      <w:rFonts w:hint="eastAsia" w:ascii="宋体" w:hAnsi="宋体" w:eastAsia="宋体" w:cs="宋体"/>
      <w:color w:val="000000"/>
      <w:sz w:val="28"/>
      <w:szCs w:val="28"/>
      <w:u w:val="none"/>
    </w:rPr>
  </w:style>
  <w:style w:type="character" w:customStyle="1" w:styleId="37">
    <w:name w:val="font31"/>
    <w:basedOn w:val="24"/>
    <w:autoRedefine/>
    <w:qFormat/>
    <w:uiPriority w:val="0"/>
    <w:rPr>
      <w:rFonts w:hint="default" w:ascii="Times New Roman" w:hAnsi="Times New Roman" w:cs="Times New Roman"/>
      <w:color w:val="000000"/>
      <w:sz w:val="28"/>
      <w:szCs w:val="28"/>
      <w:u w:val="none"/>
    </w:rPr>
  </w:style>
  <w:style w:type="character" w:customStyle="1" w:styleId="38">
    <w:name w:val="font11"/>
    <w:basedOn w:val="24"/>
    <w:autoRedefine/>
    <w:qFormat/>
    <w:uiPriority w:val="0"/>
    <w:rPr>
      <w:rFonts w:hint="eastAsia" w:ascii="宋体" w:hAnsi="宋体" w:eastAsia="宋体" w:cs="宋体"/>
      <w:b/>
      <w:bCs/>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85</Pages>
  <Words>18476</Words>
  <Characters>19665</Characters>
  <Lines>0</Lines>
  <Paragraphs>0</Paragraphs>
  <TotalTime>56</TotalTime>
  <ScaleCrop>false</ScaleCrop>
  <LinksUpToDate>false</LinksUpToDate>
  <CharactersWithSpaces>19904</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2025-10-01T09:31:00Z</dcterms:created>
  <dc:creator>Administrator</dc:creator>
  <cp:lastModifiedBy>LZ</cp:lastModifiedBy>
  <dcterms:modified xsi:type="dcterms:W3CDTF">2026-03-27T11:00:32Z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FC0AEDC78609408584EEA7964EB75CE2</vt:lpwstr>
  </property>
  <property fmtid="{D5CDD505-2E9C-101B-9397-08002B2CF9AE}" pid="4" name="KSOTemplateDocerSaveRecord">
    <vt:lpwstr>eyJoZGlkIjoiYzdlZTgyYjdjNGQ0Zjc2NDZmYzVhYTc5M2ViMTA5ZGIifQ==</vt:lpwstr>
  </property>
</Properties>
</file>