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EF446">
      <w:pPr>
        <w:spacing w:line="360" w:lineRule="auto"/>
        <w:jc w:val="center"/>
        <w:rPr>
          <w:rFonts w:ascii="方正小标宋简体" w:hAnsi="方正小标宋简体" w:eastAsia="方正小标宋简体" w:cs="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42FB8419">
      <w:pPr>
        <w:spacing w:before="156" w:line="360" w:lineRule="auto"/>
        <w:jc w:val="center"/>
        <w:rPr>
          <w:rFonts w:ascii="宋体" w:hAnsi="宋体"/>
          <w:color w:val="auto"/>
          <w:sz w:val="52"/>
          <w:szCs w:val="52"/>
          <w:highlight w:val="none"/>
        </w:rPr>
      </w:pPr>
    </w:p>
    <w:p w14:paraId="47076CD1">
      <w:pPr>
        <w:spacing w:line="360" w:lineRule="auto"/>
        <w:jc w:val="center"/>
        <w:rPr>
          <w:rFonts w:ascii="方正小标宋简体" w:hAnsi="方正小标宋简体" w:eastAsia="方正小标宋简体" w:cs="方正小标宋简体"/>
          <w:b/>
          <w:color w:val="auto"/>
          <w:sz w:val="44"/>
          <w:szCs w:val="44"/>
          <w:highlight w:val="none"/>
        </w:rPr>
      </w:pPr>
    </w:p>
    <w:p w14:paraId="2D25F458">
      <w:pPr>
        <w:spacing w:line="360" w:lineRule="auto"/>
        <w:jc w:val="center"/>
        <w:rPr>
          <w:rFonts w:ascii="方正小标宋简体" w:hAnsi="方正小标宋简体" w:eastAsia="方正小标宋简体" w:cs="方正小标宋简体"/>
          <w:b/>
          <w:color w:val="auto"/>
          <w:sz w:val="44"/>
          <w:szCs w:val="44"/>
          <w:highlight w:val="none"/>
        </w:rPr>
      </w:pPr>
    </w:p>
    <w:p w14:paraId="1E47875A">
      <w:pPr>
        <w:spacing w:before="156"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竞争性谈判文件</w:t>
      </w:r>
    </w:p>
    <w:p w14:paraId="3F60C5B4">
      <w:pPr>
        <w:spacing w:before="156"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28571001">
      <w:pPr>
        <w:spacing w:line="360" w:lineRule="auto"/>
        <w:rPr>
          <w:rFonts w:ascii="仿宋_GB2312" w:hAnsi="宋体" w:eastAsia="仿宋_GB2312"/>
          <w:color w:val="auto"/>
          <w:sz w:val="30"/>
          <w:szCs w:val="72"/>
          <w:highlight w:val="none"/>
        </w:rPr>
      </w:pPr>
    </w:p>
    <w:p w14:paraId="3CFAA730">
      <w:pPr>
        <w:pStyle w:val="214"/>
        <w:spacing w:line="360" w:lineRule="auto"/>
        <w:ind w:firstLine="1193"/>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梧州市公安局万秀分局</w:t>
      </w:r>
      <w:r>
        <w:rPr>
          <w:rFonts w:hint="eastAsia" w:ascii="仿宋_GB2312" w:hAnsi="宋体" w:eastAsia="仿宋_GB2312"/>
          <w:b/>
          <w:bCs/>
          <w:color w:val="auto"/>
          <w:sz w:val="30"/>
          <w:szCs w:val="30"/>
          <w:highlight w:val="none"/>
        </w:rPr>
        <w:t>公安机关2026-2027</w:t>
      </w:r>
    </w:p>
    <w:p w14:paraId="16FE56EE">
      <w:pPr>
        <w:pStyle w:val="214"/>
        <w:spacing w:line="360" w:lineRule="auto"/>
        <w:ind w:firstLine="1193"/>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年度移动警务系统终端流量租赁服务采购项目</w:t>
      </w:r>
    </w:p>
    <w:p w14:paraId="4105BFE2">
      <w:pPr>
        <w:spacing w:line="360" w:lineRule="auto"/>
        <w:ind w:firstLine="1145"/>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sz w:val="30"/>
          <w:szCs w:val="30"/>
          <w:highlight w:val="none"/>
        </w:rPr>
        <w:t>：</w:t>
      </w:r>
      <w:r>
        <w:rPr>
          <w:rFonts w:hint="eastAsia" w:ascii="仿宋_GB2312" w:hAnsi="宋体" w:eastAsia="仿宋_GB2312"/>
          <w:b/>
          <w:color w:val="auto"/>
          <w:sz w:val="30"/>
          <w:szCs w:val="48"/>
          <w:highlight w:val="none"/>
          <w:lang w:eastAsia="zh-CN"/>
        </w:rPr>
        <w:t>WZZC2026-J3-990067-YZLZ</w:t>
      </w:r>
    </w:p>
    <w:p w14:paraId="0C16C9EF">
      <w:pPr>
        <w:pStyle w:val="214"/>
        <w:spacing w:line="360" w:lineRule="auto"/>
        <w:ind w:firstLine="1125"/>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 购 人：</w:t>
      </w:r>
      <w:r>
        <w:rPr>
          <w:rFonts w:hint="eastAsia" w:ascii="仿宋_GB2312" w:hAnsi="宋体" w:eastAsia="仿宋_GB2312"/>
          <w:b/>
          <w:bCs/>
          <w:color w:val="auto"/>
          <w:sz w:val="30"/>
          <w:szCs w:val="30"/>
          <w:highlight w:val="none"/>
          <w:lang w:eastAsia="zh-CN"/>
        </w:rPr>
        <w:t>梧州市公安局万秀分局</w:t>
      </w:r>
      <w:r>
        <w:rPr>
          <w:rFonts w:hint="eastAsia" w:ascii="仿宋_GB2312" w:hAnsi="宋体" w:eastAsia="仿宋_GB2312"/>
          <w:b/>
          <w:bCs/>
          <w:color w:val="auto"/>
          <w:sz w:val="30"/>
          <w:szCs w:val="30"/>
          <w:highlight w:val="none"/>
        </w:rPr>
        <w:t xml:space="preserve"> </w:t>
      </w:r>
    </w:p>
    <w:p w14:paraId="540D2727">
      <w:pPr>
        <w:pStyle w:val="214"/>
        <w:spacing w:line="360" w:lineRule="auto"/>
        <w:ind w:firstLine="1125"/>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采购代理机构：云之龙咨询集团有限公司</w:t>
      </w:r>
    </w:p>
    <w:p w14:paraId="40322282">
      <w:pPr>
        <w:pStyle w:val="214"/>
        <w:spacing w:line="360" w:lineRule="auto"/>
        <w:ind w:firstLine="1125"/>
        <w:rPr>
          <w:rFonts w:ascii="仿宋_GB2312" w:hAnsi="宋体" w:eastAsia="仿宋_GB2312"/>
          <w:b/>
          <w:bCs/>
          <w:color w:val="auto"/>
          <w:sz w:val="30"/>
          <w:szCs w:val="30"/>
          <w:highlight w:val="none"/>
        </w:rPr>
      </w:pPr>
    </w:p>
    <w:p w14:paraId="09DD3098">
      <w:pPr>
        <w:pStyle w:val="214"/>
        <w:spacing w:line="360" w:lineRule="auto"/>
        <w:ind w:firstLine="1125"/>
        <w:rPr>
          <w:rFonts w:ascii="仿宋_GB2312" w:hAnsi="宋体" w:eastAsia="仿宋_GB2312"/>
          <w:b/>
          <w:bCs/>
          <w:color w:val="auto"/>
          <w:sz w:val="30"/>
          <w:szCs w:val="30"/>
          <w:highlight w:val="none"/>
        </w:rPr>
      </w:pPr>
    </w:p>
    <w:p w14:paraId="7E7970CE">
      <w:pPr>
        <w:pStyle w:val="214"/>
        <w:spacing w:line="360" w:lineRule="auto"/>
        <w:ind w:firstLine="841"/>
        <w:rPr>
          <w:rFonts w:ascii="仿宋_GB2312" w:eastAsia="仿宋_GB2312"/>
          <w:color w:val="auto"/>
          <w:szCs w:val="20"/>
          <w:highlight w:val="none"/>
        </w:rPr>
      </w:pPr>
      <w:r>
        <w:rPr>
          <w:rFonts w:hint="eastAsia" w:ascii="仿宋_GB2312" w:hAnsi="宋体" w:eastAsia="仿宋_GB2312"/>
          <w:b/>
          <w:bCs/>
          <w:color w:val="auto"/>
          <w:sz w:val="30"/>
          <w:szCs w:val="30"/>
          <w:highlight w:val="none"/>
        </w:rPr>
        <w:t xml:space="preserve">               </w:t>
      </w:r>
      <w:r>
        <w:rPr>
          <w:rFonts w:hint="eastAsia" w:ascii="仿宋_GB2312" w:hAnsi="宋体" w:eastAsia="仿宋_GB2312"/>
          <w:b/>
          <w:bCs/>
          <w:color w:val="auto"/>
          <w:sz w:val="30"/>
          <w:szCs w:val="30"/>
          <w:highlight w:val="none"/>
          <w:lang w:val="en-US" w:eastAsia="zh-CN"/>
        </w:rPr>
        <w:t>2026</w:t>
      </w:r>
      <w:r>
        <w:rPr>
          <w:rFonts w:hint="eastAsia" w:ascii="仿宋_GB2312" w:hAnsi="宋体" w:eastAsia="仿宋_GB2312"/>
          <w:b/>
          <w:bCs/>
          <w:color w:val="auto"/>
          <w:sz w:val="30"/>
          <w:szCs w:val="30"/>
          <w:highlight w:val="none"/>
        </w:rPr>
        <w:t>年</w:t>
      </w:r>
      <w:r>
        <w:rPr>
          <w:rFonts w:hint="eastAsia" w:ascii="仿宋_GB2312" w:hAnsi="宋体" w:eastAsia="仿宋_GB2312"/>
          <w:b/>
          <w:bCs/>
          <w:color w:val="auto"/>
          <w:sz w:val="30"/>
          <w:szCs w:val="30"/>
          <w:highlight w:val="none"/>
          <w:lang w:val="en-US" w:eastAsia="zh-CN"/>
        </w:rPr>
        <w:t>4</w:t>
      </w:r>
      <w:r>
        <w:rPr>
          <w:rFonts w:hint="eastAsia" w:ascii="仿宋_GB2312" w:hAnsi="宋体" w:eastAsia="仿宋_GB2312"/>
          <w:b/>
          <w:bCs/>
          <w:color w:val="auto"/>
          <w:sz w:val="30"/>
          <w:szCs w:val="30"/>
          <w:highlight w:val="none"/>
        </w:rPr>
        <w:t>月</w:t>
      </w:r>
      <w:r>
        <w:rPr>
          <w:rFonts w:hint="eastAsia" w:ascii="仿宋_GB2312" w:hAnsi="宋体" w:eastAsia="仿宋_GB2312"/>
          <w:b/>
          <w:bCs/>
          <w:color w:val="auto"/>
          <w:sz w:val="30"/>
          <w:szCs w:val="30"/>
          <w:highlight w:val="none"/>
          <w:lang w:val="en-US" w:eastAsia="zh-CN"/>
        </w:rPr>
        <w:t>21</w:t>
      </w:r>
      <w:r>
        <w:rPr>
          <w:rFonts w:hint="eastAsia" w:ascii="仿宋_GB2312" w:hAnsi="宋体" w:eastAsia="仿宋_GB2312"/>
          <w:b/>
          <w:bCs/>
          <w:color w:val="auto"/>
          <w:sz w:val="30"/>
          <w:szCs w:val="30"/>
          <w:highlight w:val="none"/>
        </w:rPr>
        <w:t>日</w:t>
      </w:r>
    </w:p>
    <w:p w14:paraId="3DA184F1">
      <w:pPr>
        <w:tabs>
          <w:tab w:val="left" w:pos="1080"/>
        </w:tabs>
        <w:spacing w:line="360" w:lineRule="auto"/>
        <w:ind w:firstLine="602"/>
        <w:rPr>
          <w:rFonts w:ascii="宋体" w:hAnsi="宋体"/>
          <w:b/>
          <w:color w:val="auto"/>
          <w:sz w:val="44"/>
          <w:szCs w:val="44"/>
          <w:highlight w:val="none"/>
        </w:rPr>
      </w:pPr>
      <w:r>
        <w:rPr>
          <w:rFonts w:ascii="仿宋_GB2312" w:hAnsi="宋体" w:eastAsia="仿宋_GB2312"/>
          <w:b/>
          <w:color w:val="auto"/>
          <w:sz w:val="30"/>
          <w:szCs w:val="30"/>
          <w:highlight w:val="none"/>
        </w:rPr>
        <w:br w:type="page" w:clear="all"/>
      </w:r>
    </w:p>
    <w:p w14:paraId="6FB934C0">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7A00C195">
      <w:pPr>
        <w:spacing w:line="400" w:lineRule="exact"/>
        <w:jc w:val="center"/>
        <w:rPr>
          <w:rFonts w:ascii="宋体" w:hAnsi="宋体"/>
          <w:b/>
          <w:color w:val="auto"/>
          <w:sz w:val="44"/>
          <w:szCs w:val="44"/>
          <w:highlight w:val="none"/>
        </w:rPr>
      </w:pPr>
    </w:p>
    <w:p w14:paraId="28E050DD">
      <w:pPr>
        <w:pStyle w:val="223"/>
        <w:tabs>
          <w:tab w:val="right" w:leader="dot" w:pos="8879"/>
        </w:tabs>
        <w:spacing w:line="500" w:lineRule="exact"/>
        <w:rPr>
          <w:b/>
          <w:bCs/>
          <w:color w:val="auto"/>
          <w:sz w:val="24"/>
          <w:highlight w:val="none"/>
        </w:rPr>
      </w:pPr>
      <w:r>
        <w:rPr>
          <w:rFonts w:ascii="宋体" w:hAnsi="宋体"/>
          <w:b/>
          <w:bCs/>
          <w:color w:val="auto"/>
          <w:sz w:val="24"/>
          <w:highlight w:val="none"/>
        </w:rPr>
        <w:fldChar w:fldCharType="begin"/>
      </w:r>
      <w:r>
        <w:rPr>
          <w:rFonts w:ascii="宋体" w:hAnsi="宋体"/>
          <w:b/>
          <w:bCs/>
          <w:color w:val="auto"/>
          <w:sz w:val="24"/>
          <w:highlight w:val="none"/>
        </w:rPr>
        <w:instrText xml:space="preserve"> </w:instrText>
      </w:r>
      <w:r>
        <w:rPr>
          <w:rFonts w:hint="eastAsia" w:ascii="宋体" w:hAnsi="宋体"/>
          <w:b/>
          <w:bCs/>
          <w:color w:val="auto"/>
          <w:sz w:val="24"/>
          <w:highlight w:val="none"/>
        </w:rPr>
        <w:instrText xml:space="preserve">TOC \o "1-3" \h \z \u</w:instrText>
      </w:r>
      <w:r>
        <w:rPr>
          <w:rFonts w:ascii="宋体" w:hAnsi="宋体"/>
          <w:b/>
          <w:bCs/>
          <w:color w:val="auto"/>
          <w:sz w:val="24"/>
          <w:highlight w:val="none"/>
        </w:rPr>
        <w:instrText xml:space="preserve"> </w:instrText>
      </w:r>
      <w:r>
        <w:rPr>
          <w:rFonts w:ascii="宋体" w:hAnsi="宋体"/>
          <w:b/>
          <w:bCs/>
          <w:color w:val="auto"/>
          <w:sz w:val="24"/>
          <w:highlight w:val="none"/>
        </w:rPr>
        <w:fldChar w:fldCharType="separate"/>
      </w:r>
      <w:r>
        <w:rPr>
          <w:color w:val="auto"/>
          <w:highlight w:val="none"/>
        </w:rPr>
        <w:fldChar w:fldCharType="begin"/>
      </w:r>
      <w:r>
        <w:rPr>
          <w:color w:val="auto"/>
          <w:highlight w:val="none"/>
        </w:rPr>
        <w:instrText xml:space="preserve"> HYPERLINK \l "_Toc29089" </w:instrText>
      </w:r>
      <w:r>
        <w:rPr>
          <w:color w:val="auto"/>
          <w:highlight w:val="none"/>
        </w:rPr>
        <w:fldChar w:fldCharType="separate"/>
      </w:r>
      <w:r>
        <w:rPr>
          <w:rFonts w:hint="eastAsia"/>
          <w:b/>
          <w:bCs/>
          <w:color w:val="auto"/>
          <w:sz w:val="24"/>
          <w:highlight w:val="none"/>
        </w:rPr>
        <w:t>第一章 竞争性谈判公告</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_Toc29089 \h </w:instrText>
      </w:r>
      <w:r>
        <w:rPr>
          <w:b/>
          <w:bCs/>
          <w:color w:val="auto"/>
          <w:sz w:val="24"/>
          <w:highlight w:val="none"/>
        </w:rPr>
        <w:fldChar w:fldCharType="separate"/>
      </w:r>
      <w:r>
        <w:rPr>
          <w:b/>
          <w:bCs/>
          <w:color w:val="auto"/>
          <w:sz w:val="24"/>
          <w:highlight w:val="none"/>
        </w:rPr>
        <w:t>2</w:t>
      </w:r>
      <w:r>
        <w:rPr>
          <w:b/>
          <w:bCs/>
          <w:color w:val="auto"/>
          <w:sz w:val="24"/>
          <w:highlight w:val="none"/>
        </w:rPr>
        <w:fldChar w:fldCharType="end"/>
      </w:r>
      <w:r>
        <w:rPr>
          <w:b/>
          <w:bCs/>
          <w:color w:val="auto"/>
          <w:sz w:val="24"/>
          <w:highlight w:val="none"/>
        </w:rPr>
        <w:fldChar w:fldCharType="end"/>
      </w:r>
    </w:p>
    <w:p w14:paraId="001B8E86">
      <w:pPr>
        <w:pStyle w:val="223"/>
        <w:tabs>
          <w:tab w:val="right" w:leader="dot" w:pos="8879"/>
        </w:tabs>
        <w:spacing w:line="500" w:lineRule="exact"/>
        <w:rPr>
          <w:b/>
          <w:bCs/>
          <w:color w:val="auto"/>
          <w:sz w:val="24"/>
          <w:highlight w:val="none"/>
        </w:rPr>
      </w:pPr>
      <w:r>
        <w:rPr>
          <w:color w:val="auto"/>
          <w:highlight w:val="none"/>
        </w:rPr>
        <w:fldChar w:fldCharType="begin"/>
      </w:r>
      <w:r>
        <w:rPr>
          <w:color w:val="auto"/>
          <w:highlight w:val="none"/>
        </w:rPr>
        <w:instrText xml:space="preserve"> HYPERLINK \l "_Toc1873" </w:instrText>
      </w:r>
      <w:r>
        <w:rPr>
          <w:color w:val="auto"/>
          <w:highlight w:val="none"/>
        </w:rPr>
        <w:fldChar w:fldCharType="separate"/>
      </w:r>
      <w:r>
        <w:rPr>
          <w:rFonts w:hint="eastAsia"/>
          <w:b/>
          <w:bCs/>
          <w:color w:val="auto"/>
          <w:sz w:val="24"/>
          <w:highlight w:val="none"/>
        </w:rPr>
        <w:t>第二章 供应商须知</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_Toc1873 \h </w:instrText>
      </w:r>
      <w:r>
        <w:rPr>
          <w:b/>
          <w:bCs/>
          <w:color w:val="auto"/>
          <w:sz w:val="24"/>
          <w:highlight w:val="none"/>
        </w:rPr>
        <w:fldChar w:fldCharType="separate"/>
      </w:r>
      <w:r>
        <w:rPr>
          <w:b/>
          <w:bCs/>
          <w:color w:val="auto"/>
          <w:sz w:val="24"/>
          <w:highlight w:val="none"/>
        </w:rPr>
        <w:t>5</w:t>
      </w:r>
      <w:r>
        <w:rPr>
          <w:b/>
          <w:bCs/>
          <w:color w:val="auto"/>
          <w:sz w:val="24"/>
          <w:highlight w:val="none"/>
        </w:rPr>
        <w:fldChar w:fldCharType="end"/>
      </w:r>
      <w:r>
        <w:rPr>
          <w:b/>
          <w:bCs/>
          <w:color w:val="auto"/>
          <w:sz w:val="24"/>
          <w:highlight w:val="none"/>
        </w:rPr>
        <w:fldChar w:fldCharType="end"/>
      </w:r>
    </w:p>
    <w:p w14:paraId="1D6B55FD">
      <w:pPr>
        <w:pStyle w:val="223"/>
        <w:tabs>
          <w:tab w:val="right" w:leader="dot" w:pos="8879"/>
        </w:tabs>
        <w:spacing w:line="500" w:lineRule="exact"/>
        <w:rPr>
          <w:b/>
          <w:bCs/>
          <w:color w:val="auto"/>
          <w:sz w:val="24"/>
          <w:highlight w:val="none"/>
        </w:rPr>
      </w:pPr>
      <w:r>
        <w:rPr>
          <w:color w:val="auto"/>
          <w:highlight w:val="none"/>
        </w:rPr>
        <w:fldChar w:fldCharType="begin"/>
      </w:r>
      <w:r>
        <w:rPr>
          <w:color w:val="auto"/>
          <w:highlight w:val="none"/>
        </w:rPr>
        <w:instrText xml:space="preserve"> HYPERLINK \l "_Toc7402" </w:instrText>
      </w:r>
      <w:r>
        <w:rPr>
          <w:color w:val="auto"/>
          <w:highlight w:val="none"/>
        </w:rPr>
        <w:fldChar w:fldCharType="separate"/>
      </w:r>
      <w:r>
        <w:rPr>
          <w:rFonts w:hint="eastAsia"/>
          <w:b/>
          <w:bCs/>
          <w:color w:val="auto"/>
          <w:sz w:val="24"/>
          <w:highlight w:val="none"/>
        </w:rPr>
        <w:t>第三章 采购需求</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_Toc7402 \h </w:instrText>
      </w:r>
      <w:r>
        <w:rPr>
          <w:b/>
          <w:bCs/>
          <w:color w:val="auto"/>
          <w:sz w:val="24"/>
          <w:highlight w:val="none"/>
        </w:rPr>
        <w:fldChar w:fldCharType="separate"/>
      </w:r>
      <w:r>
        <w:rPr>
          <w:b/>
          <w:bCs/>
          <w:color w:val="auto"/>
          <w:sz w:val="24"/>
          <w:highlight w:val="none"/>
        </w:rPr>
        <w:t>24</w:t>
      </w:r>
      <w:r>
        <w:rPr>
          <w:b/>
          <w:bCs/>
          <w:color w:val="auto"/>
          <w:sz w:val="24"/>
          <w:highlight w:val="none"/>
        </w:rPr>
        <w:fldChar w:fldCharType="end"/>
      </w:r>
      <w:r>
        <w:rPr>
          <w:b/>
          <w:bCs/>
          <w:color w:val="auto"/>
          <w:sz w:val="24"/>
          <w:highlight w:val="none"/>
        </w:rPr>
        <w:fldChar w:fldCharType="end"/>
      </w:r>
    </w:p>
    <w:p w14:paraId="550DA45F">
      <w:pPr>
        <w:pStyle w:val="223"/>
        <w:tabs>
          <w:tab w:val="right" w:leader="dot" w:pos="8879"/>
        </w:tabs>
        <w:spacing w:line="500" w:lineRule="exact"/>
        <w:rPr>
          <w:b/>
          <w:bCs/>
          <w:color w:val="auto"/>
          <w:sz w:val="24"/>
          <w:highlight w:val="none"/>
        </w:rPr>
      </w:pPr>
      <w:r>
        <w:rPr>
          <w:color w:val="auto"/>
          <w:highlight w:val="none"/>
        </w:rPr>
        <w:fldChar w:fldCharType="begin"/>
      </w:r>
      <w:r>
        <w:rPr>
          <w:color w:val="auto"/>
          <w:highlight w:val="none"/>
        </w:rPr>
        <w:instrText xml:space="preserve"> HYPERLINK \l "_Toc24728" </w:instrText>
      </w:r>
      <w:r>
        <w:rPr>
          <w:color w:val="auto"/>
          <w:highlight w:val="none"/>
        </w:rPr>
        <w:fldChar w:fldCharType="separate"/>
      </w:r>
      <w:r>
        <w:rPr>
          <w:rFonts w:hint="eastAsia"/>
          <w:b/>
          <w:bCs/>
          <w:color w:val="auto"/>
          <w:sz w:val="24"/>
          <w:highlight w:val="none"/>
        </w:rPr>
        <w:t>第四章 评审程序和评定成交的标准</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_Toc24728 \h </w:instrText>
      </w:r>
      <w:r>
        <w:rPr>
          <w:b/>
          <w:bCs/>
          <w:color w:val="auto"/>
          <w:sz w:val="24"/>
          <w:highlight w:val="none"/>
        </w:rPr>
        <w:fldChar w:fldCharType="separate"/>
      </w:r>
      <w:r>
        <w:rPr>
          <w:b/>
          <w:bCs/>
          <w:color w:val="auto"/>
          <w:sz w:val="24"/>
          <w:highlight w:val="none"/>
        </w:rPr>
        <w:t>31</w:t>
      </w:r>
      <w:r>
        <w:rPr>
          <w:b/>
          <w:bCs/>
          <w:color w:val="auto"/>
          <w:sz w:val="24"/>
          <w:highlight w:val="none"/>
        </w:rPr>
        <w:fldChar w:fldCharType="end"/>
      </w:r>
      <w:r>
        <w:rPr>
          <w:b/>
          <w:bCs/>
          <w:color w:val="auto"/>
          <w:sz w:val="24"/>
          <w:highlight w:val="none"/>
        </w:rPr>
        <w:fldChar w:fldCharType="end"/>
      </w:r>
    </w:p>
    <w:p w14:paraId="53D8B301">
      <w:pPr>
        <w:pStyle w:val="223"/>
        <w:tabs>
          <w:tab w:val="right" w:leader="dot" w:pos="8879"/>
        </w:tabs>
        <w:spacing w:line="500" w:lineRule="exact"/>
        <w:rPr>
          <w:b/>
          <w:bCs/>
          <w:color w:val="auto"/>
          <w:sz w:val="24"/>
          <w:highlight w:val="none"/>
        </w:rPr>
      </w:pPr>
      <w:r>
        <w:rPr>
          <w:color w:val="auto"/>
          <w:highlight w:val="none"/>
        </w:rPr>
        <w:fldChar w:fldCharType="begin"/>
      </w:r>
      <w:r>
        <w:rPr>
          <w:color w:val="auto"/>
          <w:highlight w:val="none"/>
        </w:rPr>
        <w:instrText xml:space="preserve"> HYPERLINK \l "_Toc11983" </w:instrText>
      </w:r>
      <w:r>
        <w:rPr>
          <w:color w:val="auto"/>
          <w:highlight w:val="none"/>
        </w:rPr>
        <w:fldChar w:fldCharType="separate"/>
      </w:r>
      <w:r>
        <w:rPr>
          <w:rFonts w:hint="eastAsia"/>
          <w:b/>
          <w:bCs/>
          <w:color w:val="auto"/>
          <w:sz w:val="24"/>
          <w:highlight w:val="none"/>
        </w:rPr>
        <w:t>第五章 响应文件格式</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_Toc11983 \h </w:instrText>
      </w:r>
      <w:r>
        <w:rPr>
          <w:b/>
          <w:bCs/>
          <w:color w:val="auto"/>
          <w:sz w:val="24"/>
          <w:highlight w:val="none"/>
        </w:rPr>
        <w:fldChar w:fldCharType="separate"/>
      </w:r>
      <w:r>
        <w:rPr>
          <w:b/>
          <w:bCs/>
          <w:color w:val="auto"/>
          <w:sz w:val="24"/>
          <w:highlight w:val="none"/>
        </w:rPr>
        <w:t>38</w:t>
      </w:r>
      <w:r>
        <w:rPr>
          <w:b/>
          <w:bCs/>
          <w:color w:val="auto"/>
          <w:sz w:val="24"/>
          <w:highlight w:val="none"/>
        </w:rPr>
        <w:fldChar w:fldCharType="end"/>
      </w:r>
      <w:r>
        <w:rPr>
          <w:b/>
          <w:bCs/>
          <w:color w:val="auto"/>
          <w:sz w:val="24"/>
          <w:highlight w:val="none"/>
        </w:rPr>
        <w:fldChar w:fldCharType="end"/>
      </w:r>
    </w:p>
    <w:p w14:paraId="6544BABA">
      <w:pPr>
        <w:pStyle w:val="223"/>
        <w:tabs>
          <w:tab w:val="right" w:leader="dot" w:pos="8879"/>
        </w:tabs>
        <w:spacing w:line="500" w:lineRule="exact"/>
        <w:rPr>
          <w:b/>
          <w:bCs/>
          <w:color w:val="auto"/>
          <w:sz w:val="24"/>
          <w:highlight w:val="none"/>
        </w:rPr>
      </w:pPr>
      <w:r>
        <w:rPr>
          <w:color w:val="auto"/>
          <w:highlight w:val="none"/>
        </w:rPr>
        <w:fldChar w:fldCharType="begin"/>
      </w:r>
      <w:r>
        <w:rPr>
          <w:color w:val="auto"/>
          <w:highlight w:val="none"/>
        </w:rPr>
        <w:instrText xml:space="preserve"> HYPERLINK \l "_Toc17493" </w:instrText>
      </w:r>
      <w:r>
        <w:rPr>
          <w:color w:val="auto"/>
          <w:highlight w:val="none"/>
        </w:rPr>
        <w:fldChar w:fldCharType="separate"/>
      </w:r>
      <w:r>
        <w:rPr>
          <w:rFonts w:hint="eastAsia"/>
          <w:b/>
          <w:bCs/>
          <w:color w:val="auto"/>
          <w:sz w:val="24"/>
          <w:highlight w:val="none"/>
        </w:rPr>
        <w:t>第六章</w:t>
      </w:r>
      <w:r>
        <w:rPr>
          <w:b/>
          <w:bCs/>
          <w:color w:val="auto"/>
          <w:sz w:val="24"/>
          <w:highlight w:val="none"/>
        </w:rPr>
        <w:t xml:space="preserve"> </w:t>
      </w:r>
      <w:r>
        <w:rPr>
          <w:rFonts w:hint="eastAsia"/>
          <w:b/>
          <w:bCs/>
          <w:color w:val="auto"/>
          <w:sz w:val="24"/>
          <w:highlight w:val="none"/>
        </w:rPr>
        <w:t>合同文本</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_Toc17493 \h </w:instrText>
      </w:r>
      <w:r>
        <w:rPr>
          <w:b/>
          <w:bCs/>
          <w:color w:val="auto"/>
          <w:sz w:val="24"/>
          <w:highlight w:val="none"/>
        </w:rPr>
        <w:fldChar w:fldCharType="separate"/>
      </w:r>
      <w:r>
        <w:rPr>
          <w:b/>
          <w:bCs/>
          <w:color w:val="auto"/>
          <w:sz w:val="24"/>
          <w:highlight w:val="none"/>
        </w:rPr>
        <w:t>64</w:t>
      </w:r>
      <w:r>
        <w:rPr>
          <w:b/>
          <w:bCs/>
          <w:color w:val="auto"/>
          <w:sz w:val="24"/>
          <w:highlight w:val="none"/>
        </w:rPr>
        <w:fldChar w:fldCharType="end"/>
      </w:r>
      <w:r>
        <w:rPr>
          <w:b/>
          <w:bCs/>
          <w:color w:val="auto"/>
          <w:sz w:val="24"/>
          <w:highlight w:val="none"/>
        </w:rPr>
        <w:fldChar w:fldCharType="end"/>
      </w:r>
    </w:p>
    <w:p w14:paraId="235433F6">
      <w:pPr>
        <w:pStyle w:val="224"/>
        <w:tabs>
          <w:tab w:val="right" w:leader="dot" w:pos="8931"/>
        </w:tabs>
        <w:spacing w:line="500" w:lineRule="exact"/>
        <w:ind w:left="0"/>
        <w:rPr>
          <w:rFonts w:ascii="宋体" w:hAnsi="宋体"/>
          <w:b/>
          <w:color w:val="auto"/>
          <w:sz w:val="24"/>
          <w:highlight w:val="none"/>
        </w:rPr>
      </w:pPr>
      <w:r>
        <w:rPr>
          <w:rFonts w:ascii="宋体" w:hAnsi="宋体"/>
          <w:b/>
          <w:bCs/>
          <w:color w:val="auto"/>
          <w:sz w:val="24"/>
          <w:highlight w:val="none"/>
        </w:rPr>
        <w:fldChar w:fldCharType="end"/>
      </w:r>
    </w:p>
    <w:p w14:paraId="63DB9DE0">
      <w:pPr>
        <w:spacing w:line="400" w:lineRule="exact"/>
        <w:jc w:val="left"/>
        <w:rPr>
          <w:rFonts w:ascii="宋体" w:hAnsi="宋体"/>
          <w:b/>
          <w:color w:val="auto"/>
          <w:sz w:val="32"/>
          <w:szCs w:val="32"/>
          <w:highlight w:val="none"/>
        </w:rPr>
      </w:pPr>
    </w:p>
    <w:p w14:paraId="30B1FC03">
      <w:pPr>
        <w:spacing w:line="400" w:lineRule="exact"/>
        <w:jc w:val="center"/>
        <w:rPr>
          <w:rFonts w:ascii="宋体" w:hAnsi="宋体"/>
          <w:b/>
          <w:color w:val="auto"/>
          <w:sz w:val="32"/>
          <w:szCs w:val="32"/>
          <w:highlight w:val="none"/>
        </w:rPr>
      </w:pPr>
    </w:p>
    <w:p w14:paraId="3257FE08">
      <w:pPr>
        <w:spacing w:line="400" w:lineRule="exact"/>
        <w:jc w:val="center"/>
        <w:rPr>
          <w:rFonts w:ascii="宋体" w:hAnsi="宋体"/>
          <w:b/>
          <w:color w:val="auto"/>
          <w:sz w:val="32"/>
          <w:szCs w:val="32"/>
          <w:highlight w:val="none"/>
        </w:rPr>
      </w:pPr>
    </w:p>
    <w:p w14:paraId="407E4A8D">
      <w:pPr>
        <w:spacing w:line="400" w:lineRule="exact"/>
        <w:jc w:val="center"/>
        <w:rPr>
          <w:rFonts w:ascii="宋体" w:hAnsi="宋体"/>
          <w:b/>
          <w:color w:val="auto"/>
          <w:sz w:val="32"/>
          <w:szCs w:val="32"/>
          <w:highlight w:val="none"/>
        </w:rPr>
      </w:pPr>
    </w:p>
    <w:p w14:paraId="1463B1EB">
      <w:pPr>
        <w:spacing w:line="400" w:lineRule="exact"/>
        <w:jc w:val="center"/>
        <w:rPr>
          <w:rFonts w:ascii="宋体" w:hAnsi="宋体"/>
          <w:b/>
          <w:color w:val="auto"/>
          <w:sz w:val="32"/>
          <w:szCs w:val="32"/>
          <w:highlight w:val="none"/>
        </w:rPr>
      </w:pPr>
    </w:p>
    <w:p w14:paraId="14FC12D1">
      <w:pPr>
        <w:spacing w:line="400" w:lineRule="exact"/>
        <w:rPr>
          <w:rFonts w:ascii="宋体" w:hAnsi="宋体"/>
          <w:b/>
          <w:color w:val="auto"/>
          <w:sz w:val="32"/>
          <w:szCs w:val="32"/>
          <w:highlight w:val="none"/>
        </w:rPr>
        <w:sectPr>
          <w:headerReference r:id="rId3" w:type="default"/>
          <w:footerReference r:id="rId4" w:type="default"/>
          <w:pgSz w:w="11906" w:h="16838"/>
          <w:pgMar w:top="1440" w:right="1440" w:bottom="1440" w:left="1587" w:header="851" w:footer="992" w:gutter="0"/>
          <w:cols w:space="1701" w:num="1"/>
          <w:titlePg/>
        </w:sectPr>
      </w:pPr>
    </w:p>
    <w:p w14:paraId="5A33A93A">
      <w:pPr>
        <w:pStyle w:val="194"/>
        <w:jc w:val="center"/>
        <w:rPr>
          <w:color w:val="auto"/>
          <w:highlight w:val="none"/>
        </w:rPr>
      </w:pPr>
      <w:bookmarkStart w:id="0" w:name="_Toc29089"/>
      <w:r>
        <w:rPr>
          <w:rFonts w:hint="eastAsia"/>
          <w:color w:val="auto"/>
          <w:highlight w:val="none"/>
        </w:rPr>
        <w:t>第一章 竞争性谈判公告</w:t>
      </w:r>
      <w:bookmarkEnd w:id="0"/>
    </w:p>
    <w:p w14:paraId="78A3E9BC">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竞争性谈判公告</w:t>
      </w:r>
    </w:p>
    <w:p w14:paraId="3CBC6FFF">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2806BAF7">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梧州市公安局万秀分局</w:t>
      </w:r>
      <w:r>
        <w:rPr>
          <w:rFonts w:hint="eastAsia" w:ascii="宋体" w:hAnsi="宋体"/>
          <w:color w:val="auto"/>
          <w:szCs w:val="21"/>
          <w:highlight w:val="none"/>
          <w:u w:val="single"/>
        </w:rPr>
        <w:t>公安机关2026-2027年度移动警务系统终端流量租赁服务采购项目</w:t>
      </w:r>
      <w:r>
        <w:rPr>
          <w:rFonts w:hint="eastAsia" w:ascii="宋体" w:hAnsi="宋体"/>
          <w:color w:val="auto"/>
          <w:szCs w:val="21"/>
          <w:highlight w:val="none"/>
        </w:rPr>
        <w:t xml:space="preserve"> 采购项目的潜在供应商应在广西政府采购云平台（https://www.gcy.zfcg.gxzf.gov.cn/）获取（下载）竞争性谈判文件，并于</w:t>
      </w:r>
      <w:r>
        <w:rPr>
          <w:rFonts w:hint="eastAsia" w:ascii="宋体" w:hAnsi="宋体"/>
          <w:color w:val="auto"/>
          <w:szCs w:val="21"/>
          <w:highlight w:val="none"/>
          <w:u w:val="single"/>
          <w:lang w:val="en-US" w:eastAsia="zh-CN"/>
        </w:rPr>
        <w:t>2026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27</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 xml:space="preserve"> 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2A0BD5B0">
      <w:pPr>
        <w:spacing w:line="360" w:lineRule="auto"/>
        <w:rPr>
          <w:rFonts w:ascii="宋体" w:hAnsi="宋体"/>
          <w:color w:val="auto"/>
          <w:szCs w:val="21"/>
          <w:highlight w:val="none"/>
        </w:rPr>
      </w:pPr>
    </w:p>
    <w:p w14:paraId="41E12EFC">
      <w:pPr>
        <w:spacing w:line="360" w:lineRule="auto"/>
        <w:ind w:firstLine="360"/>
        <w:rPr>
          <w:rFonts w:ascii="黑体" w:hAnsi="黑体" w:eastAsia="黑体"/>
          <w:color w:val="auto"/>
          <w:sz w:val="24"/>
          <w:highlight w:val="none"/>
        </w:rPr>
      </w:pPr>
      <w:bookmarkStart w:id="2" w:name="_Toc35393798"/>
      <w:bookmarkStart w:id="3" w:name="_Toc28359089"/>
      <w:bookmarkStart w:id="4" w:name="_Toc71366040"/>
      <w:bookmarkStart w:id="5" w:name="_Toc71365362"/>
      <w:bookmarkStart w:id="6" w:name="_Toc28359012"/>
      <w:bookmarkStart w:id="7" w:name="_Toc35393629"/>
      <w:r>
        <w:rPr>
          <w:rFonts w:hint="eastAsia" w:ascii="黑体" w:hAnsi="黑体" w:eastAsia="黑体"/>
          <w:color w:val="auto"/>
          <w:sz w:val="24"/>
          <w:highlight w:val="none"/>
        </w:rPr>
        <w:t>一、项目基本情况</w:t>
      </w:r>
      <w:bookmarkEnd w:id="1"/>
      <w:bookmarkEnd w:id="2"/>
      <w:bookmarkEnd w:id="3"/>
      <w:bookmarkEnd w:id="4"/>
      <w:bookmarkEnd w:id="5"/>
      <w:bookmarkEnd w:id="6"/>
    </w:p>
    <w:p w14:paraId="36B9009A">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WZZC2026-J3-990067-YZLZ</w:t>
      </w:r>
    </w:p>
    <w:p w14:paraId="7C00A694">
      <w:pPr>
        <w:spacing w:line="360" w:lineRule="auto"/>
        <w:ind w:firstLine="420"/>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lang w:eastAsia="zh-CN"/>
        </w:rPr>
        <w:t>梧州市公安局万秀分局</w:t>
      </w:r>
      <w:r>
        <w:rPr>
          <w:rFonts w:hint="eastAsia" w:ascii="宋体" w:hAnsi="宋体"/>
          <w:color w:val="auto"/>
          <w:szCs w:val="21"/>
          <w:highlight w:val="none"/>
        </w:rPr>
        <w:t>公安机关2026-2027年度移动警务系统终端流量租赁服务采购项目</w:t>
      </w:r>
    </w:p>
    <w:p w14:paraId="16A86411">
      <w:pPr>
        <w:spacing w:line="360" w:lineRule="auto"/>
        <w:ind w:firstLine="420"/>
        <w:rPr>
          <w:rFonts w:ascii="宋体" w:hAnsi="宋体"/>
          <w:color w:val="auto"/>
          <w:szCs w:val="21"/>
          <w:highlight w:val="none"/>
        </w:rPr>
      </w:pPr>
      <w:r>
        <w:rPr>
          <w:rFonts w:hint="eastAsia" w:ascii="宋体" w:hAnsi="宋体"/>
          <w:color w:val="auto"/>
          <w:szCs w:val="21"/>
          <w:highlight w:val="none"/>
        </w:rPr>
        <w:t>采购方式：竞争性谈判</w:t>
      </w:r>
    </w:p>
    <w:p w14:paraId="799A317D">
      <w:pPr>
        <w:spacing w:line="360" w:lineRule="auto"/>
        <w:ind w:firstLine="420"/>
        <w:rPr>
          <w:rFonts w:ascii="宋体" w:hAnsi="宋体"/>
          <w:color w:val="auto"/>
          <w:szCs w:val="21"/>
          <w:highlight w:val="none"/>
        </w:rPr>
      </w:pPr>
      <w:r>
        <w:rPr>
          <w:rFonts w:hint="eastAsia" w:ascii="宋体" w:hAnsi="宋体"/>
          <w:color w:val="auto"/>
          <w:szCs w:val="21"/>
          <w:highlight w:val="none"/>
        </w:rPr>
        <w:t>预算金额：2192224.32</w:t>
      </w:r>
    </w:p>
    <w:p w14:paraId="624B0277">
      <w:pPr>
        <w:spacing w:line="360" w:lineRule="auto"/>
        <w:ind w:firstLine="420"/>
        <w:rPr>
          <w:rFonts w:ascii="宋体" w:hAnsi="宋体"/>
          <w:color w:val="auto"/>
          <w:szCs w:val="21"/>
          <w:highlight w:val="none"/>
        </w:rPr>
      </w:pPr>
      <w:r>
        <w:rPr>
          <w:rFonts w:hint="eastAsia" w:ascii="宋体" w:hAnsi="宋体"/>
          <w:color w:val="auto"/>
          <w:szCs w:val="21"/>
          <w:highlight w:val="none"/>
        </w:rPr>
        <w:t>最高限价（如有）：2192224.32</w:t>
      </w:r>
    </w:p>
    <w:p w14:paraId="610A7DA1">
      <w:pPr>
        <w:spacing w:line="360" w:lineRule="auto"/>
        <w:ind w:firstLine="420"/>
        <w:rPr>
          <w:rFonts w:ascii="宋体" w:hAnsi="宋体"/>
          <w:color w:val="auto"/>
          <w:szCs w:val="21"/>
          <w:highlight w:val="none"/>
        </w:rPr>
      </w:pPr>
      <w:r>
        <w:rPr>
          <w:rFonts w:hint="eastAsia" w:ascii="宋体" w:hAnsi="宋体"/>
          <w:color w:val="auto"/>
          <w:szCs w:val="21"/>
          <w:highlight w:val="none"/>
        </w:rPr>
        <w:t>采购需求：</w:t>
      </w:r>
    </w:p>
    <w:tbl>
      <w:tblPr>
        <w:tblStyle w:val="3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5"/>
        <w:gridCol w:w="1950"/>
        <w:gridCol w:w="930"/>
        <w:gridCol w:w="5210"/>
      </w:tblGrid>
      <w:tr w14:paraId="28C4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vAlign w:val="center"/>
          </w:tcPr>
          <w:p w14:paraId="2DD4FB21">
            <w:pPr>
              <w:spacing w:line="360" w:lineRule="auto"/>
              <w:ind w:firstLine="420"/>
              <w:rPr>
                <w:rFonts w:ascii="宋体" w:hAnsi="宋体"/>
                <w:color w:val="auto"/>
                <w:szCs w:val="21"/>
                <w:highlight w:val="none"/>
              </w:rPr>
            </w:pPr>
            <w:r>
              <w:rPr>
                <w:rFonts w:hint="eastAsia" w:ascii="宋体" w:hAnsi="宋体"/>
                <w:color w:val="auto"/>
                <w:szCs w:val="21"/>
                <w:highlight w:val="none"/>
                <w:u w:val="single"/>
              </w:rPr>
              <w:t xml:space="preserve"> 1 </w:t>
            </w:r>
            <w:r>
              <w:rPr>
                <w:rFonts w:hint="eastAsia" w:ascii="宋体" w:hAnsi="宋体"/>
                <w:color w:val="auto"/>
                <w:szCs w:val="21"/>
                <w:highlight w:val="none"/>
              </w:rPr>
              <w:t>分标；预算金额：2192224.32元</w:t>
            </w:r>
          </w:p>
        </w:tc>
      </w:tr>
      <w:tr w14:paraId="4E1BC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14:paraId="411C4E3C">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950" w:type="dxa"/>
            <w:tcBorders>
              <w:top w:val="single" w:color="auto" w:sz="4" w:space="0"/>
              <w:left w:val="single" w:color="auto" w:sz="4" w:space="0"/>
              <w:bottom w:val="single" w:color="auto" w:sz="4" w:space="0"/>
              <w:right w:val="single" w:color="auto" w:sz="4" w:space="0"/>
            </w:tcBorders>
            <w:vAlign w:val="center"/>
          </w:tcPr>
          <w:p w14:paraId="0AD08CD1">
            <w:pPr>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930" w:type="dxa"/>
            <w:tcBorders>
              <w:top w:val="single" w:color="auto" w:sz="4" w:space="0"/>
              <w:left w:val="single" w:color="auto" w:sz="4" w:space="0"/>
              <w:bottom w:val="single" w:color="auto" w:sz="4" w:space="0"/>
              <w:right w:val="single" w:color="auto" w:sz="4" w:space="0"/>
            </w:tcBorders>
            <w:vAlign w:val="center"/>
          </w:tcPr>
          <w:p w14:paraId="56BE6EC2">
            <w:pPr>
              <w:spacing w:line="360" w:lineRule="auto"/>
              <w:jc w:val="center"/>
              <w:rPr>
                <w:rFonts w:ascii="宋体" w:hAnsi="宋体"/>
                <w:color w:val="auto"/>
                <w:szCs w:val="21"/>
                <w:highlight w:val="none"/>
              </w:rPr>
            </w:pPr>
            <w:r>
              <w:rPr>
                <w:rFonts w:hint="eastAsia" w:ascii="宋体" w:hAnsi="宋体"/>
                <w:color w:val="auto"/>
                <w:szCs w:val="21"/>
                <w:highlight w:val="none"/>
              </w:rPr>
              <w:t>数量及</w:t>
            </w:r>
          </w:p>
          <w:p w14:paraId="01601A1B">
            <w:pPr>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5210" w:type="dxa"/>
            <w:tcBorders>
              <w:top w:val="single" w:color="auto" w:sz="4" w:space="0"/>
              <w:left w:val="single" w:color="auto" w:sz="4" w:space="0"/>
              <w:bottom w:val="single" w:color="auto" w:sz="4" w:space="0"/>
              <w:right w:val="single" w:color="auto" w:sz="4" w:space="0"/>
            </w:tcBorders>
            <w:vAlign w:val="center"/>
          </w:tcPr>
          <w:p w14:paraId="39E796C3">
            <w:pPr>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298D0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vAlign w:val="center"/>
          </w:tcPr>
          <w:p w14:paraId="18556F65">
            <w:pPr>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1950" w:type="dxa"/>
            <w:tcBorders>
              <w:top w:val="single" w:color="auto" w:sz="4" w:space="0"/>
              <w:left w:val="single" w:color="auto" w:sz="4" w:space="0"/>
              <w:bottom w:val="single" w:color="auto" w:sz="4" w:space="0"/>
              <w:right w:val="single" w:color="auto" w:sz="4" w:space="0"/>
            </w:tcBorders>
            <w:vAlign w:val="center"/>
          </w:tcPr>
          <w:p w14:paraId="3590BEBB">
            <w:pPr>
              <w:spacing w:line="360" w:lineRule="auto"/>
              <w:jc w:val="center"/>
              <w:rPr>
                <w:rFonts w:ascii="宋体" w:hAnsi="宋体"/>
                <w:color w:val="auto"/>
                <w:szCs w:val="21"/>
                <w:highlight w:val="none"/>
              </w:rPr>
            </w:pPr>
            <w:r>
              <w:rPr>
                <w:rFonts w:hint="eastAsia" w:ascii="宋体" w:hAnsi="宋体"/>
                <w:color w:val="auto"/>
                <w:szCs w:val="21"/>
                <w:highlight w:val="none"/>
                <w:lang w:eastAsia="zh-CN"/>
              </w:rPr>
              <w:t>梧州市公安局万秀分局</w:t>
            </w:r>
            <w:r>
              <w:rPr>
                <w:rFonts w:hint="eastAsia" w:ascii="宋体" w:hAnsi="宋体"/>
                <w:color w:val="auto"/>
                <w:szCs w:val="21"/>
                <w:highlight w:val="none"/>
              </w:rPr>
              <w:t>公安机关2026-2027年度移动警务系统终端流量租赁服务</w:t>
            </w:r>
          </w:p>
        </w:tc>
        <w:tc>
          <w:tcPr>
            <w:tcW w:w="930" w:type="dxa"/>
            <w:tcBorders>
              <w:top w:val="single" w:color="auto" w:sz="4" w:space="0"/>
              <w:left w:val="single" w:color="auto" w:sz="4" w:space="0"/>
              <w:bottom w:val="single" w:color="auto" w:sz="4" w:space="0"/>
              <w:right w:val="single" w:color="auto" w:sz="4" w:space="0"/>
            </w:tcBorders>
            <w:vAlign w:val="center"/>
          </w:tcPr>
          <w:p w14:paraId="6ECB01FA">
            <w:pPr>
              <w:tabs>
                <w:tab w:val="left" w:pos="180"/>
                <w:tab w:val="left" w:pos="1620"/>
              </w:tabs>
              <w:spacing w:line="360" w:lineRule="auto"/>
              <w:jc w:val="center"/>
              <w:rPr>
                <w:rFonts w:ascii="宋体" w:hAnsi="宋体"/>
                <w:color w:val="auto"/>
                <w:szCs w:val="21"/>
                <w:highlight w:val="none"/>
              </w:rPr>
            </w:pPr>
            <w:r>
              <w:rPr>
                <w:rFonts w:hint="eastAsia" w:ascii="宋体" w:hAnsi="宋体" w:cs="宋体"/>
                <w:color w:val="auto"/>
                <w:szCs w:val="21"/>
                <w:highlight w:val="none"/>
              </w:rPr>
              <w:t>1项</w:t>
            </w:r>
          </w:p>
        </w:tc>
        <w:tc>
          <w:tcPr>
            <w:tcW w:w="5210" w:type="dxa"/>
            <w:tcBorders>
              <w:top w:val="single" w:color="auto" w:sz="4" w:space="0"/>
              <w:left w:val="single" w:color="auto" w:sz="4" w:space="0"/>
              <w:bottom w:val="single" w:color="auto" w:sz="4" w:space="0"/>
              <w:right w:val="single" w:color="auto" w:sz="4" w:space="0"/>
            </w:tcBorders>
            <w:vAlign w:val="center"/>
          </w:tcPr>
          <w:p w14:paraId="24249F20">
            <w:pPr>
              <w:pStyle w:val="196"/>
              <w:spacing w:before="0" w:after="0" w:line="360" w:lineRule="auto"/>
              <w:ind w:firstLine="42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一、基本要求：</w:t>
            </w:r>
          </w:p>
          <w:p w14:paraId="1D6C40EC">
            <w:pPr>
              <w:pStyle w:val="196"/>
              <w:spacing w:before="0" w:after="0" w:line="360" w:lineRule="auto"/>
              <w:ind w:firstLine="42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为保障民警正常使用移动警务应用，满足移动办公、指挥调度等工作需要，供应商需提供共286套移动警务系统终端流量租赁服务，服务期为24个月。</w:t>
            </w:r>
          </w:p>
          <w:p w14:paraId="0D6F0A17">
            <w:pPr>
              <w:pStyle w:val="196"/>
              <w:spacing w:before="0" w:after="0" w:line="360" w:lineRule="auto"/>
              <w:ind w:firstLine="420"/>
              <w:rPr>
                <w:rFonts w:ascii="宋体" w:hAnsi="宋体"/>
                <w:color w:val="auto"/>
                <w:szCs w:val="21"/>
                <w:highlight w:val="none"/>
              </w:rPr>
            </w:pPr>
            <w:r>
              <w:rPr>
                <w:rFonts w:hint="eastAsia" w:ascii="宋体" w:hAnsi="宋体" w:eastAsia="宋体" w:cs="宋体"/>
                <w:b w:val="0"/>
                <w:bCs w:val="0"/>
                <w:color w:val="auto"/>
                <w:sz w:val="21"/>
                <w:szCs w:val="21"/>
                <w:highlight w:val="none"/>
              </w:rPr>
              <w:t>具体内容详见竞争性谈判文件。</w:t>
            </w:r>
          </w:p>
        </w:tc>
      </w:tr>
    </w:tbl>
    <w:p w14:paraId="73ED90B7">
      <w:pPr>
        <w:spacing w:line="360" w:lineRule="auto"/>
        <w:ind w:firstLine="420"/>
        <w:rPr>
          <w:rFonts w:ascii="宋体" w:hAnsi="宋体"/>
          <w:color w:val="auto"/>
          <w:szCs w:val="21"/>
          <w:highlight w:val="none"/>
          <w:u w:val="single"/>
        </w:rPr>
      </w:pPr>
      <w:r>
        <w:rPr>
          <w:rFonts w:hint="eastAsia" w:ascii="宋体" w:hAnsi="宋体"/>
          <w:color w:val="auto"/>
          <w:szCs w:val="21"/>
          <w:highlight w:val="none"/>
        </w:rPr>
        <w:t>合同履行期限：采购人确定本次使用服务所配套的终端及其他服务全部交付之日起24个月。</w:t>
      </w:r>
    </w:p>
    <w:p w14:paraId="64023CC2">
      <w:pPr>
        <w:spacing w:line="360" w:lineRule="auto"/>
        <w:ind w:firstLine="420"/>
        <w:rPr>
          <w:rFonts w:ascii="宋体" w:hAnsi="宋体"/>
          <w:color w:val="auto"/>
          <w:szCs w:val="21"/>
          <w:highlight w:val="none"/>
        </w:rPr>
      </w:pPr>
      <w:r>
        <w:rPr>
          <w:rFonts w:hint="eastAsia" w:ascii="宋体" w:hAnsi="宋体"/>
          <w:color w:val="auto"/>
          <w:szCs w:val="21"/>
          <w:highlight w:val="none"/>
        </w:rPr>
        <w:t>本项目（否）接受联合体。</w:t>
      </w:r>
    </w:p>
    <w:p w14:paraId="60CE9E6C">
      <w:pPr>
        <w:spacing w:line="360" w:lineRule="auto"/>
        <w:ind w:firstLine="480"/>
        <w:rPr>
          <w:rFonts w:ascii="黑体" w:hAnsi="黑体" w:eastAsia="黑体"/>
          <w:color w:val="auto"/>
          <w:sz w:val="24"/>
          <w:highlight w:val="none"/>
        </w:rPr>
      </w:pPr>
      <w:bookmarkStart w:id="8" w:name="_Toc28359013"/>
      <w:bookmarkStart w:id="9" w:name="_Toc35393630"/>
      <w:bookmarkStart w:id="10" w:name="_Toc35393799"/>
      <w:bookmarkStart w:id="11" w:name="_Toc28359090"/>
      <w:bookmarkStart w:id="12" w:name="_Toc71365363"/>
      <w:bookmarkStart w:id="13" w:name="_Toc71366041"/>
      <w:r>
        <w:rPr>
          <w:rFonts w:hint="eastAsia" w:ascii="黑体" w:hAnsi="黑体" w:eastAsia="黑体"/>
          <w:color w:val="auto"/>
          <w:sz w:val="24"/>
          <w:highlight w:val="none"/>
        </w:rPr>
        <w:t>二、供应商的资格条件：</w:t>
      </w:r>
      <w:bookmarkEnd w:id="7"/>
      <w:bookmarkEnd w:id="8"/>
      <w:bookmarkEnd w:id="9"/>
      <w:bookmarkEnd w:id="10"/>
      <w:bookmarkEnd w:id="11"/>
      <w:bookmarkEnd w:id="12"/>
    </w:p>
    <w:p w14:paraId="1BF79530">
      <w:pPr>
        <w:spacing w:line="360" w:lineRule="auto"/>
        <w:ind w:firstLine="420"/>
        <w:rPr>
          <w:rFonts w:ascii="宋体" w:hAnsi="宋体"/>
          <w:color w:val="auto"/>
          <w:szCs w:val="21"/>
          <w:highlight w:val="none"/>
        </w:rPr>
      </w:pPr>
      <w:bookmarkStart w:id="14" w:name="_Toc28359014"/>
      <w:bookmarkStart w:id="15" w:name="_Toc28359091"/>
      <w:r>
        <w:rPr>
          <w:rFonts w:hint="eastAsia" w:ascii="宋体" w:hAnsi="宋体"/>
          <w:color w:val="auto"/>
          <w:szCs w:val="21"/>
          <w:highlight w:val="none"/>
        </w:rPr>
        <w:t>1.满足《中华人民共和国政府采购法》第二十二条规定；</w:t>
      </w:r>
    </w:p>
    <w:p w14:paraId="21446FF7">
      <w:pPr>
        <w:spacing w:line="360" w:lineRule="auto"/>
        <w:ind w:firstLine="420"/>
        <w:rPr>
          <w:rFonts w:ascii="宋体" w:hAnsi="宋体"/>
          <w:color w:val="auto"/>
          <w:szCs w:val="21"/>
          <w:highlight w:val="none"/>
        </w:rPr>
      </w:pPr>
      <w:r>
        <w:rPr>
          <w:rFonts w:hint="eastAsia" w:ascii="宋体" w:hAnsi="宋体"/>
          <w:color w:val="auto"/>
          <w:szCs w:val="21"/>
          <w:highlight w:val="none"/>
        </w:rPr>
        <w:t>2.落实政府采购政策需满足的资格要求：无；</w:t>
      </w:r>
    </w:p>
    <w:p w14:paraId="130B3842">
      <w:pPr>
        <w:spacing w:line="360" w:lineRule="auto"/>
        <w:ind w:firstLine="420"/>
        <w:rPr>
          <w:rFonts w:ascii="宋体" w:hAnsi="宋体"/>
          <w:color w:val="auto"/>
          <w:szCs w:val="21"/>
          <w:highlight w:val="none"/>
          <w:u w:val="single"/>
        </w:rPr>
      </w:pPr>
      <w:r>
        <w:rPr>
          <w:rFonts w:hint="eastAsia" w:ascii="宋体" w:hAnsi="宋体"/>
          <w:color w:val="auto"/>
          <w:szCs w:val="21"/>
          <w:highlight w:val="none"/>
        </w:rPr>
        <w:t>3.本项目的特定资格要求：供应商具备基础电信业务经营许可证，业务种类须包含LTE/第四代数字蜂窝移动通信业务（TD-LTE/LTE-FDD）。</w:t>
      </w:r>
    </w:p>
    <w:p w14:paraId="539DE0C7">
      <w:pPr>
        <w:spacing w:line="360" w:lineRule="auto"/>
        <w:ind w:firstLine="480"/>
        <w:rPr>
          <w:rFonts w:ascii="黑体" w:hAnsi="黑体" w:eastAsia="黑体"/>
          <w:color w:val="auto"/>
          <w:sz w:val="24"/>
          <w:highlight w:val="none"/>
        </w:rPr>
      </w:pPr>
      <w:bookmarkStart w:id="16" w:name="_Toc71366042"/>
      <w:bookmarkStart w:id="17" w:name="_Toc35393800"/>
      <w:bookmarkStart w:id="18" w:name="_Toc71365364"/>
      <w:bookmarkStart w:id="19" w:name="_Toc35393631"/>
      <w:r>
        <w:rPr>
          <w:rFonts w:hint="eastAsia" w:ascii="黑体" w:hAnsi="黑体" w:eastAsia="黑体"/>
          <w:color w:val="auto"/>
          <w:sz w:val="24"/>
          <w:highlight w:val="none"/>
        </w:rPr>
        <w:t>三、获取竞争性谈判文件</w:t>
      </w:r>
      <w:bookmarkEnd w:id="13"/>
      <w:bookmarkEnd w:id="14"/>
      <w:bookmarkEnd w:id="15"/>
      <w:bookmarkEnd w:id="16"/>
      <w:bookmarkEnd w:id="17"/>
      <w:bookmarkEnd w:id="18"/>
    </w:p>
    <w:p w14:paraId="2F5A1FF8">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时间：2026 年</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21</w:t>
      </w:r>
      <w:r>
        <w:rPr>
          <w:rFonts w:hint="eastAsia" w:ascii="宋体" w:hAnsi="宋体" w:cs="宋体"/>
          <w:bCs/>
          <w:color w:val="auto"/>
          <w:szCs w:val="21"/>
          <w:highlight w:val="none"/>
        </w:rPr>
        <w:t>日至2026 年</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24</w:t>
      </w:r>
      <w:r>
        <w:rPr>
          <w:rFonts w:hint="eastAsia" w:ascii="宋体" w:hAnsi="宋体" w:cs="宋体"/>
          <w:bCs/>
          <w:color w:val="auto"/>
          <w:szCs w:val="21"/>
          <w:highlight w:val="none"/>
        </w:rPr>
        <w:t>日，每天上午8:00至12:00，下午3:00至6:00（北京时间，法定节假日除外）</w:t>
      </w:r>
    </w:p>
    <w:p w14:paraId="024FEEF5">
      <w:pPr>
        <w:spacing w:line="360" w:lineRule="auto"/>
        <w:ind w:firstLine="540"/>
        <w:rPr>
          <w:rFonts w:ascii="宋体" w:hAnsi="宋体" w:cs="宋体"/>
          <w:bCs/>
          <w:color w:val="auto"/>
          <w:szCs w:val="21"/>
          <w:highlight w:val="none"/>
        </w:rPr>
      </w:pPr>
      <w:r>
        <w:rPr>
          <w:rFonts w:hint="eastAsia" w:ascii="宋体" w:hAnsi="宋体" w:cs="宋体"/>
          <w:bCs/>
          <w:color w:val="auto"/>
          <w:szCs w:val="21"/>
          <w:highlight w:val="none"/>
        </w:rPr>
        <w:t>地点：广西政府采购云平台（https://www.gcy.zfcg.gxzf.gov.cn/）</w:t>
      </w:r>
    </w:p>
    <w:p w14:paraId="7BEAAC19">
      <w:pPr>
        <w:spacing w:line="360" w:lineRule="auto"/>
        <w:ind w:firstLine="540"/>
        <w:rPr>
          <w:rFonts w:ascii="宋体" w:hAnsi="宋体" w:cs="宋体"/>
          <w:bCs/>
          <w:color w:val="auto"/>
          <w:szCs w:val="21"/>
          <w:highlight w:val="none"/>
        </w:rPr>
      </w:pPr>
      <w:r>
        <w:rPr>
          <w:rFonts w:hint="eastAsia" w:ascii="宋体" w:hAnsi="宋体" w:cs="宋体"/>
          <w:bCs/>
          <w:color w:val="auto"/>
          <w:szCs w:val="21"/>
          <w:highlight w:val="none"/>
        </w:rPr>
        <w:t>方式：网上下载。本项目不提供纸质文件，潜在供应商需使用账号登录或者使用CA登录广西政府采购云平台（https://www.gcy.zfcg.gxzf.gov.cn/）-进入“项目采购”应用，在获取采购文件菜单中选择项目，获取竞争性谈判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制作需要基于广西政府采购云平台获取的谈判文件编制，</w:t>
      </w:r>
      <w:r>
        <w:rPr>
          <w:rFonts w:hint="eastAsia" w:ascii="宋体" w:hAnsi="宋体" w:cs="宋体"/>
          <w:bCs/>
          <w:color w:val="auto"/>
          <w:szCs w:val="21"/>
          <w:highlight w:val="none"/>
        </w:rPr>
        <w:t>通过其他方式获取谈判文件的，将有可能导致供应商无法在广西政府采购云平台编制及上传响应文件。</w:t>
      </w:r>
    </w:p>
    <w:p w14:paraId="0F0777F3">
      <w:pPr>
        <w:spacing w:line="360" w:lineRule="auto"/>
        <w:ind w:firstLine="540"/>
        <w:rPr>
          <w:rFonts w:ascii="宋体" w:hAnsi="宋体" w:cs="宋体"/>
          <w:color w:val="auto"/>
          <w:szCs w:val="21"/>
          <w:highlight w:val="none"/>
        </w:rPr>
      </w:pPr>
      <w:r>
        <w:rPr>
          <w:rFonts w:hint="eastAsia" w:ascii="宋体" w:hAnsi="宋体" w:cs="宋体"/>
          <w:bCs/>
          <w:color w:val="auto"/>
          <w:szCs w:val="21"/>
          <w:highlight w:val="none"/>
        </w:rPr>
        <w:t>售价：</w:t>
      </w:r>
      <w:r>
        <w:rPr>
          <w:rFonts w:hint="eastAsia" w:ascii="宋体" w:hAnsi="宋体" w:cs="宋体"/>
          <w:i w:val="0"/>
          <w:iCs/>
          <w:color w:val="auto"/>
          <w:szCs w:val="21"/>
          <w:highlight w:val="none"/>
          <w:u w:val="single"/>
        </w:rPr>
        <w:t>0</w:t>
      </w:r>
      <w:r>
        <w:rPr>
          <w:rFonts w:hint="eastAsia" w:ascii="宋体" w:hAnsi="宋体" w:cs="宋体"/>
          <w:color w:val="auto"/>
          <w:szCs w:val="21"/>
          <w:highlight w:val="none"/>
        </w:rPr>
        <w:t>元</w:t>
      </w:r>
    </w:p>
    <w:p w14:paraId="024088AC">
      <w:pPr>
        <w:spacing w:line="360" w:lineRule="auto"/>
        <w:ind w:firstLine="360"/>
        <w:rPr>
          <w:rFonts w:ascii="黑体" w:hAnsi="黑体" w:eastAsia="黑体"/>
          <w:color w:val="auto"/>
          <w:sz w:val="24"/>
          <w:highlight w:val="none"/>
        </w:rPr>
      </w:pPr>
      <w:bookmarkStart w:id="20" w:name="_Toc35393801"/>
      <w:bookmarkStart w:id="21" w:name="_Toc28359015"/>
      <w:bookmarkStart w:id="22" w:name="_Toc35393632"/>
      <w:bookmarkStart w:id="23" w:name="_Toc71366043"/>
      <w:bookmarkStart w:id="24" w:name="_Toc28359092"/>
      <w:bookmarkStart w:id="25" w:name="_Toc71365365"/>
      <w:r>
        <w:rPr>
          <w:rFonts w:hint="eastAsia" w:ascii="黑体" w:hAnsi="黑体" w:eastAsia="黑体"/>
          <w:color w:val="auto"/>
          <w:sz w:val="24"/>
          <w:highlight w:val="none"/>
        </w:rPr>
        <w:t>四、响应文件提交</w:t>
      </w:r>
      <w:bookmarkEnd w:id="19"/>
      <w:bookmarkEnd w:id="20"/>
      <w:bookmarkEnd w:id="21"/>
      <w:bookmarkEnd w:id="22"/>
      <w:bookmarkEnd w:id="23"/>
      <w:bookmarkEnd w:id="24"/>
    </w:p>
    <w:p w14:paraId="34191D15">
      <w:pPr>
        <w:spacing w:line="360" w:lineRule="auto"/>
        <w:ind w:firstLine="420"/>
        <w:rPr>
          <w:rFonts w:ascii="宋体" w:hAnsi="宋体"/>
          <w:bCs/>
          <w:color w:val="auto"/>
          <w:szCs w:val="21"/>
          <w:highlight w:val="none"/>
          <w:u w:val="single"/>
        </w:rPr>
      </w:pPr>
      <w:r>
        <w:rPr>
          <w:rFonts w:hint="eastAsia" w:ascii="宋体" w:hAnsi="宋体"/>
          <w:color w:val="auto"/>
          <w:szCs w:val="21"/>
          <w:highlight w:val="none"/>
        </w:rPr>
        <w:t>截止时间：</w:t>
      </w:r>
      <w:r>
        <w:rPr>
          <w:rFonts w:hint="eastAsia" w:ascii="宋体" w:hAnsi="宋体"/>
          <w:bCs/>
          <w:color w:val="auto"/>
          <w:szCs w:val="21"/>
          <w:highlight w:val="none"/>
          <w:u w:val="single"/>
        </w:rPr>
        <w:t>2026年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27</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09时30分</w:t>
      </w:r>
      <w:r>
        <w:rPr>
          <w:rFonts w:hint="eastAsia" w:ascii="宋体" w:hAnsi="宋体"/>
          <w:bCs/>
          <w:color w:val="auto"/>
          <w:szCs w:val="21"/>
          <w:highlight w:val="none"/>
        </w:rPr>
        <w:t>（北京时间）</w:t>
      </w:r>
    </w:p>
    <w:p w14:paraId="71217C07">
      <w:pPr>
        <w:spacing w:line="360" w:lineRule="auto"/>
        <w:ind w:left="422"/>
        <w:rPr>
          <w:rFonts w:ascii="宋体" w:hAnsi="宋体"/>
          <w:bCs/>
          <w:color w:val="auto"/>
          <w:szCs w:val="21"/>
          <w:highlight w:val="none"/>
          <w:u w:val="single"/>
        </w:rPr>
      </w:pPr>
      <w:r>
        <w:rPr>
          <w:rFonts w:hint="eastAsia" w:ascii="宋体" w:hAnsi="宋体"/>
          <w:color w:val="auto"/>
          <w:szCs w:val="21"/>
          <w:highlight w:val="none"/>
        </w:rPr>
        <w:t>地点：广西政府采购云平台（https://www.gcy.zfcg.gxzf.gov.cn/）</w:t>
      </w:r>
    </w:p>
    <w:p w14:paraId="03B59B50">
      <w:pPr>
        <w:spacing w:line="360" w:lineRule="auto"/>
        <w:ind w:firstLine="360"/>
        <w:rPr>
          <w:rFonts w:ascii="黑体" w:hAnsi="黑体" w:eastAsia="黑体"/>
          <w:color w:val="auto"/>
          <w:sz w:val="24"/>
          <w:highlight w:val="none"/>
        </w:rPr>
      </w:pPr>
      <w:bookmarkStart w:id="26" w:name="_Toc28359016"/>
      <w:bookmarkStart w:id="27" w:name="_Toc35393633"/>
      <w:bookmarkStart w:id="28" w:name="_Toc71366044"/>
      <w:bookmarkStart w:id="29" w:name="_Toc35393802"/>
      <w:bookmarkStart w:id="30" w:name="_Toc71365366"/>
      <w:bookmarkStart w:id="31" w:name="_Toc28359093"/>
      <w:r>
        <w:rPr>
          <w:rFonts w:hint="eastAsia" w:ascii="黑体" w:hAnsi="黑体" w:eastAsia="黑体"/>
          <w:color w:val="auto"/>
          <w:sz w:val="24"/>
          <w:highlight w:val="none"/>
        </w:rPr>
        <w:t>五、开启</w:t>
      </w:r>
      <w:bookmarkEnd w:id="25"/>
      <w:bookmarkEnd w:id="26"/>
      <w:bookmarkEnd w:id="27"/>
      <w:bookmarkEnd w:id="28"/>
      <w:bookmarkEnd w:id="29"/>
      <w:bookmarkEnd w:id="30"/>
    </w:p>
    <w:p w14:paraId="75FFA214">
      <w:pPr>
        <w:spacing w:line="360" w:lineRule="auto"/>
        <w:ind w:firstLine="420"/>
        <w:rPr>
          <w:rFonts w:ascii="宋体" w:hAnsi="宋体"/>
          <w:bCs/>
          <w:color w:val="auto"/>
          <w:szCs w:val="21"/>
          <w:highlight w:val="none"/>
          <w:u w:val="single"/>
        </w:rPr>
      </w:pPr>
      <w:r>
        <w:rPr>
          <w:rFonts w:hint="eastAsia" w:ascii="宋体" w:hAnsi="宋体"/>
          <w:color w:val="auto"/>
          <w:szCs w:val="21"/>
          <w:highlight w:val="none"/>
        </w:rPr>
        <w:t>时间：</w:t>
      </w:r>
      <w:r>
        <w:rPr>
          <w:rFonts w:hint="eastAsia" w:ascii="宋体" w:hAnsi="宋体"/>
          <w:color w:val="auto"/>
          <w:szCs w:val="21"/>
          <w:highlight w:val="none"/>
          <w:u w:val="single"/>
        </w:rPr>
        <w:t>2026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27</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09时30分</w:t>
      </w:r>
      <w:r>
        <w:rPr>
          <w:rFonts w:hint="eastAsia" w:ascii="宋体" w:hAnsi="宋体"/>
          <w:bCs/>
          <w:color w:val="auto"/>
          <w:szCs w:val="21"/>
          <w:highlight w:val="none"/>
          <w:u w:val="single"/>
        </w:rPr>
        <w:t>（北京时间）</w:t>
      </w:r>
    </w:p>
    <w:p w14:paraId="3E8E272D">
      <w:pPr>
        <w:spacing w:line="360" w:lineRule="auto"/>
        <w:ind w:firstLine="420"/>
        <w:rPr>
          <w:rFonts w:ascii="宋体" w:hAnsi="宋体"/>
          <w:bCs/>
          <w:color w:val="auto"/>
          <w:szCs w:val="21"/>
          <w:highlight w:val="none"/>
          <w:u w:val="single"/>
        </w:rPr>
      </w:pPr>
      <w:r>
        <w:rPr>
          <w:rFonts w:hint="eastAsia" w:ascii="宋体" w:hAnsi="宋体"/>
          <w:color w:val="auto"/>
          <w:szCs w:val="21"/>
          <w:highlight w:val="none"/>
        </w:rPr>
        <w:t>地点：广西政府采购云平台（https://www.gcy.zfcg.gxzf.gov.cn/）</w:t>
      </w:r>
    </w:p>
    <w:p w14:paraId="44849569">
      <w:pPr>
        <w:spacing w:line="360" w:lineRule="auto"/>
        <w:ind w:firstLine="360"/>
        <w:rPr>
          <w:rFonts w:ascii="黑体" w:hAnsi="黑体" w:eastAsia="黑体"/>
          <w:color w:val="auto"/>
          <w:sz w:val="24"/>
          <w:highlight w:val="none"/>
        </w:rPr>
      </w:pPr>
      <w:bookmarkStart w:id="32" w:name="_Toc35393803"/>
      <w:bookmarkStart w:id="33" w:name="_Toc71365367"/>
      <w:bookmarkStart w:id="34" w:name="_Toc35393634"/>
      <w:bookmarkStart w:id="35" w:name="_Toc28359017"/>
      <w:bookmarkStart w:id="36" w:name="_Toc71366045"/>
      <w:bookmarkStart w:id="37" w:name="_Toc28359094"/>
      <w:r>
        <w:rPr>
          <w:rFonts w:hint="eastAsia" w:ascii="黑体" w:hAnsi="黑体" w:eastAsia="黑体"/>
          <w:color w:val="auto"/>
          <w:sz w:val="24"/>
          <w:highlight w:val="none"/>
        </w:rPr>
        <w:t>六、公告期限</w:t>
      </w:r>
      <w:bookmarkEnd w:id="31"/>
      <w:bookmarkEnd w:id="32"/>
      <w:bookmarkEnd w:id="33"/>
      <w:bookmarkEnd w:id="34"/>
      <w:bookmarkEnd w:id="35"/>
      <w:bookmarkEnd w:id="36"/>
    </w:p>
    <w:p w14:paraId="1655323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自本公告发布之日起3个工作日。</w:t>
      </w:r>
    </w:p>
    <w:p w14:paraId="1D7AC453">
      <w:pPr>
        <w:spacing w:line="360" w:lineRule="auto"/>
        <w:ind w:firstLine="360"/>
        <w:rPr>
          <w:rFonts w:ascii="黑体" w:hAnsi="黑体" w:eastAsia="黑体"/>
          <w:color w:val="auto"/>
          <w:sz w:val="24"/>
          <w:highlight w:val="none"/>
        </w:rPr>
      </w:pPr>
      <w:bookmarkStart w:id="38" w:name="_Toc35393804"/>
      <w:bookmarkStart w:id="39" w:name="_Toc35393635"/>
      <w:bookmarkStart w:id="40" w:name="_Toc71366046"/>
      <w:bookmarkStart w:id="41" w:name="_Toc71365368"/>
      <w:r>
        <w:rPr>
          <w:rFonts w:hint="eastAsia" w:ascii="黑体" w:hAnsi="黑体" w:eastAsia="黑体"/>
          <w:color w:val="auto"/>
          <w:sz w:val="24"/>
          <w:highlight w:val="none"/>
        </w:rPr>
        <w:t>七、其他补充事宜</w:t>
      </w:r>
      <w:bookmarkEnd w:id="37"/>
      <w:bookmarkEnd w:id="38"/>
      <w:bookmarkEnd w:id="39"/>
      <w:bookmarkEnd w:id="40"/>
    </w:p>
    <w:p w14:paraId="3F00DAA8">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1.分公司（分支机构） 参与竞标的，分公司（分支机构） 须提供总公司的制度或能证明总公司授权其独立开展业务或提供总公司出具的授权其参与项目竞标的授权文件。</w:t>
      </w:r>
    </w:p>
    <w:p w14:paraId="3282078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2.网上查询地址</w:t>
      </w:r>
    </w:p>
    <w:p w14:paraId="2CD5C64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www.ccgp.gov.cn（中国政府采购网）、zfcg.gxzf.gov.cn（广西壮族自治区政府采购网）、http://117.141.250.58:10030/web/cgw/index.ptl（梧州市政府采购网）</w:t>
      </w:r>
    </w:p>
    <w:p w14:paraId="32FFDE20">
      <w:pPr>
        <w:spacing w:line="360" w:lineRule="auto"/>
        <w:ind w:firstLine="424"/>
        <w:rPr>
          <w:rFonts w:ascii="宋体" w:hAnsi="宋体" w:cs="宋体"/>
          <w:color w:val="auto"/>
          <w:szCs w:val="21"/>
          <w:highlight w:val="none"/>
        </w:rPr>
      </w:pPr>
      <w:bookmarkStart w:id="42" w:name="_Toc71365369"/>
      <w:bookmarkStart w:id="43" w:name="_Toc71366047"/>
      <w:bookmarkStart w:id="44" w:name="_Toc35393805"/>
      <w:bookmarkStart w:id="45" w:name="_Toc28359095"/>
      <w:bookmarkStart w:id="46" w:name="_Toc35393636"/>
      <w:bookmarkStart w:id="47" w:name="_Toc28359018"/>
      <w:bookmarkStart w:id="48" w:name="_Hlk37429674"/>
      <w:r>
        <w:rPr>
          <w:rFonts w:hint="eastAsia" w:ascii="宋体" w:hAnsi="宋体"/>
          <w:color w:val="auto"/>
          <w:szCs w:val="21"/>
          <w:highlight w:val="none"/>
        </w:rPr>
        <w:t>3.</w:t>
      </w:r>
      <w:r>
        <w:rPr>
          <w:rFonts w:hint="eastAsia" w:ascii="宋体" w:hAnsi="宋体" w:cs="宋体"/>
          <w:color w:val="auto"/>
          <w:szCs w:val="21"/>
          <w:highlight w:val="none"/>
        </w:rPr>
        <w:t>本项目需要落实的政府采购政策</w:t>
      </w:r>
    </w:p>
    <w:p w14:paraId="35083A9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787E034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7CD3845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5EFD78A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46F70DD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（5）政府采购支持监狱企业发展。</w:t>
      </w:r>
    </w:p>
    <w:p w14:paraId="255B4F69">
      <w:pPr>
        <w:widowControl/>
        <w:spacing w:line="360" w:lineRule="auto"/>
        <w:ind w:firstLine="420"/>
        <w:jc w:val="left"/>
        <w:rPr>
          <w:rFonts w:ascii="宋体" w:hAnsi="宋体"/>
          <w:color w:val="auto"/>
          <w:szCs w:val="21"/>
          <w:highlight w:val="none"/>
        </w:rPr>
      </w:pPr>
      <w:r>
        <w:rPr>
          <w:rFonts w:hint="eastAsia" w:ascii="宋体" w:hAnsi="宋体" w:cs="宋体"/>
          <w:color w:val="auto"/>
          <w:szCs w:val="21"/>
          <w:highlight w:val="none"/>
        </w:rPr>
        <w:t>4.供应商</w:t>
      </w:r>
      <w:r>
        <w:rPr>
          <w:rFonts w:hint="eastAsia" w:ascii="宋体" w:hAnsi="宋体"/>
          <w:color w:val="auto"/>
          <w:szCs w:val="21"/>
          <w:highlight w:val="none"/>
        </w:rPr>
        <w:t>竞标注意事项</w:t>
      </w:r>
    </w:p>
    <w:p w14:paraId="39E28F89">
      <w:pPr>
        <w:widowControl/>
        <w:spacing w:line="360" w:lineRule="auto"/>
        <w:ind w:firstLine="42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按照本项目竞争性谈判文件和广西政府采购云平台的要求编制、加密后在提交响应文件截止时间前通过网络上传至 广西政府采购云平台（加密的电子响应文件是指</w:t>
      </w:r>
      <w:r>
        <w:rPr>
          <w:rFonts w:hint="eastAsia"/>
          <w:color w:val="auto"/>
          <w:highlight w:val="none"/>
        </w:rPr>
        <w:t>后缀名为“</w:t>
      </w:r>
      <w:r>
        <w:rPr>
          <w:color w:val="auto"/>
          <w:highlight w:val="none"/>
        </w:rPr>
        <w:t>jmbs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”查看电子竞标具体操作流程。</w:t>
      </w:r>
    </w:p>
    <w:p w14:paraId="130E78AF">
      <w:pPr>
        <w:widowControl/>
        <w:spacing w:line="360" w:lineRule="auto"/>
        <w:ind w:firstLine="42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15A050B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0719C206">
      <w:pPr>
        <w:widowControl/>
        <w:spacing w:line="360" w:lineRule="auto"/>
        <w:ind w:firstLine="420"/>
        <w:jc w:val="left"/>
        <w:rPr>
          <w:rFonts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B72F9F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（4）供应商需要在具备有摄像头及语音功能且互联网网络状况良好的电脑登录广西政府采购云平台远程开标大厅参与本次竞标，否则后果自负。</w:t>
      </w:r>
    </w:p>
    <w:bookmarkEnd w:id="41"/>
    <w:p w14:paraId="0D087B19">
      <w:pPr>
        <w:spacing w:line="360" w:lineRule="auto"/>
        <w:ind w:firstLine="360"/>
        <w:rPr>
          <w:rFonts w:ascii="黑体" w:hAnsi="黑体" w:eastAsia="黑体"/>
          <w:color w:val="auto"/>
          <w:sz w:val="24"/>
          <w:highlight w:val="none"/>
        </w:rPr>
      </w:pPr>
      <w:r>
        <w:rPr>
          <w:rFonts w:hint="eastAsia" w:ascii="黑体" w:hAnsi="黑体" w:eastAsia="黑体"/>
          <w:color w:val="auto"/>
          <w:sz w:val="24"/>
          <w:highlight w:val="none"/>
        </w:rPr>
        <w:t>八、凡对本次采购提出询问，请按以下方式联系。</w:t>
      </w:r>
      <w:bookmarkEnd w:id="42"/>
      <w:bookmarkEnd w:id="43"/>
      <w:bookmarkEnd w:id="44"/>
      <w:bookmarkEnd w:id="45"/>
      <w:bookmarkEnd w:id="46"/>
      <w:bookmarkEnd w:id="47"/>
    </w:p>
    <w:p w14:paraId="5316D1BB">
      <w:pPr>
        <w:spacing w:line="360" w:lineRule="auto"/>
        <w:ind w:firstLine="420"/>
        <w:rPr>
          <w:rFonts w:ascii="宋体" w:hAnsi="宋体" w:cs="宋体"/>
          <w:color w:val="auto"/>
          <w:szCs w:val="21"/>
          <w:highlight w:val="none"/>
        </w:rPr>
      </w:pPr>
      <w:bookmarkStart w:id="49" w:name="_Toc28359019"/>
      <w:bookmarkStart w:id="50" w:name="_Toc35393637"/>
      <w:bookmarkStart w:id="51" w:name="_Toc28359096"/>
      <w:bookmarkStart w:id="52" w:name="_Toc35393806"/>
      <w:r>
        <w:rPr>
          <w:rFonts w:hint="eastAsia" w:ascii="宋体" w:hAnsi="宋体" w:cs="宋体"/>
          <w:color w:val="auto"/>
          <w:szCs w:val="21"/>
          <w:highlight w:val="none"/>
        </w:rPr>
        <w:t>1.采购人信息</w:t>
      </w:r>
      <w:bookmarkEnd w:id="48"/>
      <w:bookmarkEnd w:id="49"/>
      <w:bookmarkEnd w:id="50"/>
      <w:bookmarkEnd w:id="51"/>
      <w:bookmarkStart w:id="145" w:name="_GoBack"/>
      <w:bookmarkEnd w:id="145"/>
    </w:p>
    <w:p w14:paraId="1B69D288">
      <w:pPr>
        <w:spacing w:line="360" w:lineRule="auto"/>
        <w:ind w:firstLine="420"/>
        <w:jc w:val="left"/>
        <w:rPr>
          <w:rFonts w:hint="eastAsia" w:ascii="宋体" w:hAnsi="宋体" w:eastAsia="宋体"/>
          <w:color w:val="auto"/>
          <w:szCs w:val="21"/>
          <w:highlight w:val="none"/>
          <w:lang w:eastAsia="zh-CN"/>
        </w:rPr>
      </w:pPr>
      <w:bookmarkStart w:id="53" w:name="_Toc28359097"/>
      <w:bookmarkStart w:id="54" w:name="_Toc35393638"/>
      <w:bookmarkStart w:id="55" w:name="_Toc28359020"/>
      <w:bookmarkStart w:id="56" w:name="_Toc35393807"/>
      <w:r>
        <w:rPr>
          <w:rFonts w:hint="eastAsia" w:ascii="宋体" w:hAnsi="宋体"/>
          <w:color w:val="auto"/>
          <w:szCs w:val="21"/>
          <w:highlight w:val="none"/>
        </w:rPr>
        <w:t>名    称：</w:t>
      </w:r>
      <w:r>
        <w:rPr>
          <w:rFonts w:hint="eastAsia" w:ascii="宋体" w:hAnsi="宋体"/>
          <w:color w:val="auto"/>
          <w:szCs w:val="21"/>
          <w:highlight w:val="none"/>
          <w:u w:val="single"/>
          <w:lang w:eastAsia="zh-CN"/>
        </w:rPr>
        <w:t>梧州市公安局万秀分局</w:t>
      </w:r>
    </w:p>
    <w:p w14:paraId="701B8621">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万秀区钱鉴路独洲里2号</w:t>
      </w:r>
    </w:p>
    <w:p w14:paraId="6D80F332">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Cs w:val="21"/>
          <w:highlight w:val="none"/>
          <w:u w:val="single"/>
        </w:rPr>
        <w:t>徐</w:t>
      </w:r>
      <w:r>
        <w:rPr>
          <w:rFonts w:hint="eastAsia" w:ascii="宋体" w:hAnsi="宋体"/>
          <w:color w:val="auto"/>
          <w:szCs w:val="21"/>
          <w:highlight w:val="none"/>
          <w:u w:val="single"/>
          <w:lang w:val="en-US" w:eastAsia="zh-CN"/>
        </w:rPr>
        <w:t>爱媛</w:t>
      </w:r>
      <w:r>
        <w:rPr>
          <w:rFonts w:hint="eastAsia" w:ascii="宋体" w:hAnsi="宋体"/>
          <w:color w:val="auto"/>
          <w:szCs w:val="21"/>
          <w:highlight w:val="none"/>
          <w:u w:val="single"/>
        </w:rPr>
        <w:t>，0774-3887908</w:t>
      </w:r>
    </w:p>
    <w:p w14:paraId="0331E07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2.采购代理机构信息</w:t>
      </w:r>
      <w:bookmarkEnd w:id="52"/>
      <w:bookmarkEnd w:id="53"/>
      <w:bookmarkEnd w:id="54"/>
      <w:bookmarkEnd w:id="55"/>
    </w:p>
    <w:p w14:paraId="2FAD64D2">
      <w:pPr>
        <w:spacing w:line="360" w:lineRule="auto"/>
        <w:ind w:firstLine="420"/>
        <w:rPr>
          <w:rFonts w:ascii="宋体" w:hAnsi="宋体"/>
          <w:color w:val="auto"/>
          <w:szCs w:val="21"/>
          <w:highlight w:val="none"/>
        </w:rPr>
      </w:pPr>
      <w:bookmarkStart w:id="57" w:name="_Toc28359021"/>
      <w:bookmarkStart w:id="58" w:name="_Toc28359098"/>
      <w:bookmarkStart w:id="59" w:name="_Toc35393808"/>
      <w:bookmarkStart w:id="60" w:name="_Toc35393639"/>
      <w:r>
        <w:rPr>
          <w:rFonts w:hint="eastAsia" w:ascii="宋体" w:hAnsi="宋体"/>
          <w:color w:val="auto"/>
          <w:szCs w:val="21"/>
          <w:highlight w:val="none"/>
        </w:rPr>
        <w:t>名    称：</w:t>
      </w:r>
      <w:r>
        <w:rPr>
          <w:rFonts w:hint="eastAsia" w:ascii="宋体" w:hAnsi="宋体"/>
          <w:color w:val="auto"/>
          <w:szCs w:val="21"/>
          <w:highlight w:val="none"/>
          <w:u w:val="single"/>
        </w:rPr>
        <w:t>云之龙咨询集团有限公司</w:t>
      </w:r>
    </w:p>
    <w:p w14:paraId="639EF608">
      <w:pPr>
        <w:spacing w:line="360" w:lineRule="auto"/>
        <w:ind w:firstLine="42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梧州市新兴三路30号神冠豪都B栋1单元1008号房</w:t>
      </w:r>
    </w:p>
    <w:p w14:paraId="20E9B002">
      <w:pPr>
        <w:spacing w:line="360" w:lineRule="auto"/>
        <w:ind w:firstLine="420"/>
        <w:rPr>
          <w:rFonts w:ascii="宋体" w:hAnsi="宋体"/>
          <w:color w:val="auto"/>
          <w:szCs w:val="21"/>
          <w:highlight w:val="none"/>
          <w:u w:val="single"/>
        </w:rPr>
      </w:pPr>
      <w:r>
        <w:rPr>
          <w:rFonts w:hint="eastAsia" w:ascii="宋体" w:hAnsi="宋体"/>
          <w:color w:val="auto"/>
          <w:szCs w:val="21"/>
          <w:highlight w:val="none"/>
        </w:rPr>
        <w:t>联系方式：</w:t>
      </w:r>
      <w:r>
        <w:rPr>
          <w:rFonts w:hint="eastAsia" w:ascii="宋体" w:hAnsi="宋体"/>
          <w:color w:val="auto"/>
          <w:szCs w:val="21"/>
          <w:highlight w:val="none"/>
          <w:u w:val="single"/>
          <w:lang w:eastAsia="zh-CN"/>
        </w:rPr>
        <w:t>周子然、朱梓烨、陈丽莹</w:t>
      </w:r>
      <w:r>
        <w:rPr>
          <w:rFonts w:hint="eastAsia" w:ascii="宋体" w:hAnsi="宋体"/>
          <w:color w:val="auto"/>
          <w:szCs w:val="21"/>
          <w:highlight w:val="none"/>
          <w:u w:val="single"/>
        </w:rPr>
        <w:t>，0774-3859935</w:t>
      </w:r>
    </w:p>
    <w:p w14:paraId="28992B2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3.项目联系方式</w:t>
      </w:r>
      <w:bookmarkEnd w:id="56"/>
      <w:bookmarkEnd w:id="57"/>
      <w:bookmarkEnd w:id="58"/>
      <w:bookmarkEnd w:id="59"/>
    </w:p>
    <w:bookmarkEnd w:id="60"/>
    <w:p w14:paraId="1C4F40D2">
      <w:pPr>
        <w:spacing w:line="360" w:lineRule="auto"/>
        <w:ind w:firstLine="420"/>
        <w:rPr>
          <w:rFonts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u w:val="single"/>
          <w:lang w:eastAsia="zh-CN"/>
        </w:rPr>
        <w:t>周子然、朱梓烨、陈丽莹</w:t>
      </w:r>
    </w:p>
    <w:p w14:paraId="0656F05C">
      <w:pPr>
        <w:spacing w:line="360" w:lineRule="auto"/>
        <w:ind w:firstLine="420"/>
        <w:rPr>
          <w:rFonts w:ascii="宋体" w:hAnsi="宋体"/>
          <w:color w:val="auto"/>
          <w:szCs w:val="21"/>
          <w:highlight w:val="none"/>
          <w:u w:val="single"/>
        </w:rPr>
      </w:pPr>
      <w:r>
        <w:rPr>
          <w:rFonts w:hint="eastAsia" w:ascii="宋体" w:hAnsi="宋体"/>
          <w:color w:val="auto"/>
          <w:szCs w:val="21"/>
          <w:highlight w:val="none"/>
        </w:rPr>
        <w:t>电　　话：</w:t>
      </w:r>
      <w:r>
        <w:rPr>
          <w:rFonts w:ascii="宋体" w:hAnsi="宋体"/>
          <w:color w:val="auto"/>
          <w:szCs w:val="21"/>
          <w:highlight w:val="none"/>
          <w:u w:val="single"/>
        </w:rPr>
        <w:t>0774-3859935</w:t>
      </w:r>
    </w:p>
    <w:p w14:paraId="75B83B90">
      <w:pPr>
        <w:pStyle w:val="194"/>
        <w:jc w:val="center"/>
        <w:rPr>
          <w:color w:val="auto"/>
          <w:highlight w:val="none"/>
        </w:rPr>
      </w:pPr>
      <w:bookmarkStart w:id="61" w:name="_Toc1873"/>
      <w:r>
        <w:rPr>
          <w:rFonts w:hint="eastAsia"/>
          <w:color w:val="auto"/>
          <w:highlight w:val="none"/>
        </w:rPr>
        <w:t>第二章 供应商须知</w:t>
      </w:r>
      <w:bookmarkEnd w:id="61"/>
    </w:p>
    <w:p w14:paraId="33F09BF8">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647067D8">
      <w:pPr>
        <w:spacing w:line="400" w:lineRule="exact"/>
        <w:jc w:val="center"/>
        <w:rPr>
          <w:rFonts w:ascii="宋体" w:hAnsi="宋体"/>
          <w:b/>
          <w:color w:val="auto"/>
          <w:sz w:val="32"/>
          <w:szCs w:val="32"/>
          <w:highlight w:val="none"/>
        </w:rPr>
      </w:pPr>
    </w:p>
    <w:tbl>
      <w:tblPr>
        <w:tblStyle w:val="31"/>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7620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tcPr>
          <w:p w14:paraId="4D4762B9">
            <w:pPr>
              <w:spacing w:line="360" w:lineRule="auto"/>
              <w:contextualSpacing/>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Borders>
              <w:top w:val="single" w:color="000000" w:sz="4" w:space="0"/>
              <w:left w:val="single" w:color="000000" w:sz="4" w:space="0"/>
              <w:bottom w:val="single" w:color="000000" w:sz="4" w:space="0"/>
              <w:right w:val="single" w:color="000000" w:sz="4" w:space="0"/>
            </w:tcBorders>
          </w:tcPr>
          <w:p w14:paraId="73743F74">
            <w:pPr>
              <w:spacing w:line="360" w:lineRule="auto"/>
              <w:contextualSpacing/>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241CA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483D302">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tcBorders>
              <w:top w:val="single" w:color="000000" w:sz="4" w:space="0"/>
              <w:left w:val="single" w:color="000000" w:sz="4" w:space="0"/>
              <w:bottom w:val="single" w:color="000000" w:sz="4" w:space="0"/>
              <w:right w:val="single" w:color="000000" w:sz="4" w:space="0"/>
            </w:tcBorders>
            <w:vAlign w:val="center"/>
          </w:tcPr>
          <w:p w14:paraId="07BC649D">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00C170C5">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454F570B">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B186853">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0DC9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859F959">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tcBorders>
              <w:top w:val="single" w:color="000000" w:sz="4" w:space="0"/>
              <w:left w:val="single" w:color="000000" w:sz="4" w:space="0"/>
              <w:bottom w:val="single" w:color="000000" w:sz="4" w:space="0"/>
              <w:right w:val="single" w:color="000000" w:sz="4" w:space="0"/>
            </w:tcBorders>
            <w:vAlign w:val="center"/>
          </w:tcPr>
          <w:p w14:paraId="6DEF7E87">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209AD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AC69330">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tcBorders>
              <w:top w:val="single" w:color="000000" w:sz="4" w:space="0"/>
              <w:left w:val="single" w:color="000000" w:sz="4" w:space="0"/>
              <w:bottom w:val="single" w:color="000000" w:sz="4" w:space="0"/>
              <w:right w:val="single" w:color="000000" w:sz="4" w:space="0"/>
            </w:tcBorders>
            <w:vAlign w:val="center"/>
          </w:tcPr>
          <w:p w14:paraId="01EFC098">
            <w:pPr>
              <w:spacing w:line="360" w:lineRule="auto"/>
              <w:contextualSpacing/>
              <w:rPr>
                <w:rFonts w:ascii="宋体" w:hAnsi="宋体" w:cs="宋体"/>
                <w:color w:val="auto"/>
                <w:szCs w:val="21"/>
                <w:highlight w:val="none"/>
              </w:rPr>
            </w:pPr>
            <w:r>
              <w:rPr>
                <w:rFonts w:hint="eastAsia" w:ascii="宋体" w:hAnsi="宋体"/>
                <w:color w:val="auto"/>
                <w:szCs w:val="21"/>
                <w:highlight w:val="none"/>
              </w:rPr>
              <w:t>如接受联合体竞标，联合体竞标要求如下：不接受</w:t>
            </w:r>
          </w:p>
        </w:tc>
      </w:tr>
      <w:tr w14:paraId="271F9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994E11F">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tcBorders>
              <w:top w:val="single" w:color="000000" w:sz="4" w:space="0"/>
              <w:left w:val="single" w:color="000000" w:sz="4" w:space="0"/>
              <w:bottom w:val="single" w:color="000000" w:sz="4" w:space="0"/>
              <w:right w:val="single" w:color="000000" w:sz="4" w:space="0"/>
            </w:tcBorders>
            <w:vAlign w:val="center"/>
          </w:tcPr>
          <w:p w14:paraId="6DBBFC9F">
            <w:pPr>
              <w:pStyle w:val="205"/>
              <w:spacing w:line="360" w:lineRule="auto"/>
              <w:contextualSpacing/>
              <w:rPr>
                <w:color w:val="auto"/>
                <w:highlight w:val="none"/>
              </w:rPr>
            </w:pPr>
            <w:r>
              <w:rPr>
                <w:rFonts w:hint="eastAsia"/>
                <w:color w:val="auto"/>
                <w:highlight w:val="none"/>
              </w:rPr>
              <w:t>☑不允许分包</w:t>
            </w:r>
          </w:p>
          <w:p w14:paraId="7966C713">
            <w:pPr>
              <w:pStyle w:val="205"/>
              <w:spacing w:line="360" w:lineRule="auto"/>
              <w:contextualSpacing/>
              <w:rPr>
                <w:color w:val="auto"/>
                <w:highlight w:val="none"/>
              </w:rPr>
            </w:pPr>
            <w:r>
              <w:rPr>
                <w:rFonts w:hint="eastAsia"/>
                <w:color w:val="auto"/>
                <w:highlight w:val="none"/>
              </w:rPr>
              <w:t>□允许分包</w:t>
            </w:r>
          </w:p>
          <w:p w14:paraId="17BA3ED2">
            <w:pPr>
              <w:pStyle w:val="205"/>
              <w:spacing w:line="360" w:lineRule="auto"/>
              <w:contextualSpacing/>
              <w:rPr>
                <w:color w:val="auto"/>
                <w:highlight w:val="none"/>
                <w:u w:val="single"/>
              </w:rPr>
            </w:pPr>
            <w:r>
              <w:rPr>
                <w:rFonts w:hint="eastAsia"/>
                <w:color w:val="auto"/>
                <w:highlight w:val="none"/>
              </w:rPr>
              <w:t>分包内容：</w:t>
            </w:r>
            <w:r>
              <w:rPr>
                <w:rFonts w:hint="eastAsia"/>
                <w:color w:val="auto"/>
                <w:highlight w:val="none"/>
                <w:u w:val="single"/>
              </w:rPr>
              <w:t xml:space="preserve">                                     。</w:t>
            </w:r>
          </w:p>
          <w:p w14:paraId="70496076">
            <w:pPr>
              <w:pStyle w:val="205"/>
              <w:spacing w:line="360" w:lineRule="auto"/>
              <w:contextualSpacing/>
              <w:rPr>
                <w:color w:val="auto"/>
                <w:highlight w:val="none"/>
                <w:u w:val="single"/>
              </w:rPr>
            </w:pPr>
            <w:r>
              <w:rPr>
                <w:rFonts w:hint="eastAsia"/>
                <w:color w:val="auto"/>
                <w:highlight w:val="none"/>
              </w:rPr>
              <w:t>分包金额或者比例：</w:t>
            </w:r>
            <w:r>
              <w:rPr>
                <w:rFonts w:hint="eastAsia"/>
                <w:color w:val="auto"/>
                <w:highlight w:val="none"/>
                <w:u w:val="single"/>
              </w:rPr>
              <w:t xml:space="preserve">                                     。</w:t>
            </w:r>
          </w:p>
          <w:p w14:paraId="023F1788">
            <w:pPr>
              <w:pStyle w:val="205"/>
              <w:spacing w:line="360" w:lineRule="auto"/>
              <w:contextualSpacing/>
              <w:rPr>
                <w:color w:val="auto"/>
                <w:highlight w:val="none"/>
                <w:u w:val="single"/>
              </w:rPr>
            </w:pPr>
            <w:r>
              <w:rPr>
                <w:rFonts w:hint="eastAsia" w:ascii="宋体" w:hAnsi="宋体"/>
                <w:color w:val="auto"/>
                <w:szCs w:val="21"/>
                <w:highlight w:val="none"/>
              </w:rPr>
              <w:t>分包供应商必须具备的资质：</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p>
        </w:tc>
      </w:tr>
      <w:tr w14:paraId="4E5EC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F27E27E">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tcBorders>
              <w:top w:val="single" w:color="000000" w:sz="4" w:space="0"/>
              <w:left w:val="single" w:color="000000" w:sz="4" w:space="0"/>
              <w:bottom w:val="single" w:color="000000" w:sz="4" w:space="0"/>
              <w:right w:val="single" w:color="000000" w:sz="4" w:space="0"/>
            </w:tcBorders>
            <w:vAlign w:val="center"/>
          </w:tcPr>
          <w:p w14:paraId="3B173E34">
            <w:pPr>
              <w:spacing w:line="360" w:lineRule="auto"/>
              <w:contextualSpacing/>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63DE2518">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1. 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bCs/>
                <w:color w:val="auto"/>
                <w:szCs w:val="21"/>
                <w:highlight w:val="none"/>
              </w:rPr>
              <w:t>供应商如为分公司（分支机构）的，还须提供总公司的制度或能证明总公司授权其独立开展业务或提供总公司出具的授权其参与项目竞标的授权文件；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2609160">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 供应商依法缴纳税收的相关材料（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10</w:t>
            </w:r>
            <w:r>
              <w:rPr>
                <w:rFonts w:hint="eastAsia" w:ascii="宋体" w:hAnsi="宋体" w:cs="宋体"/>
                <w:color w:val="auto"/>
                <w:szCs w:val="21"/>
                <w:highlight w:val="none"/>
              </w:rPr>
              <w:t>月至</w:t>
            </w:r>
            <w:r>
              <w:rPr>
                <w:rFonts w:hint="eastAsia" w:ascii="宋体" w:hAnsi="宋体" w:cs="宋体"/>
                <w:color w:val="auto"/>
                <w:szCs w:val="21"/>
                <w:highlight w:val="none"/>
                <w:u w:val="single"/>
              </w:rPr>
              <w:t>响应文件提交</w:t>
            </w:r>
            <w:r>
              <w:rPr>
                <w:color w:val="auto"/>
                <w:highlight w:val="none"/>
              </w:rPr>
              <w:t>截止之日前</w:t>
            </w:r>
            <w:r>
              <w:rPr>
                <w:rFonts w:hint="eastAsia" w:ascii="宋体" w:hAnsi="宋体" w:cs="宋体"/>
                <w:color w:val="auto"/>
                <w:szCs w:val="21"/>
                <w:highlight w:val="none"/>
              </w:rPr>
              <w:t>任意</w:t>
            </w:r>
            <w:r>
              <w:rPr>
                <w:rFonts w:hint="eastAsia" w:ascii="宋体" w:hAnsi="宋体" w:cs="宋体"/>
                <w:color w:val="auto"/>
                <w:szCs w:val="21"/>
                <w:highlight w:val="none"/>
                <w:u w:val="single"/>
              </w:rPr>
              <w:t xml:space="preserve">1  </w:t>
            </w:r>
            <w:r>
              <w:rPr>
                <w:rFonts w:hint="eastAsia" w:ascii="宋体" w:hAnsi="宋体" w:cs="宋体"/>
                <w:color w:val="auto"/>
                <w:szCs w:val="21"/>
                <w:highlight w:val="none"/>
              </w:rPr>
              <w:t>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w:t>
            </w:r>
            <w:r>
              <w:rPr>
                <w:rFonts w:hint="eastAsia" w:ascii="宋体" w:hAnsi="宋体" w:cs="宋体"/>
                <w:color w:val="auto"/>
                <w:szCs w:val="21"/>
                <w:highlight w:val="none"/>
                <w:lang w:val="en-US" w:eastAsia="zh-CN"/>
              </w:rPr>
              <w:t>则不需提供</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4CC527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 供应商依法缴纳社会保障资金的相关材料[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10</w:t>
            </w:r>
            <w:r>
              <w:rPr>
                <w:rFonts w:hint="eastAsia" w:ascii="宋体" w:hAnsi="宋体" w:cs="宋体"/>
                <w:color w:val="auto"/>
                <w:szCs w:val="21"/>
                <w:highlight w:val="none"/>
              </w:rPr>
              <w:t>月至</w:t>
            </w:r>
            <w:r>
              <w:rPr>
                <w:rFonts w:hint="eastAsia" w:ascii="宋体" w:hAnsi="宋体" w:cs="宋体"/>
                <w:color w:val="auto"/>
                <w:szCs w:val="21"/>
                <w:highlight w:val="none"/>
                <w:u w:val="single"/>
              </w:rPr>
              <w:t>响应文件提交</w:t>
            </w:r>
            <w:r>
              <w:rPr>
                <w:color w:val="auto"/>
                <w:highlight w:val="none"/>
              </w:rPr>
              <w:t>截止之日前</w:t>
            </w:r>
            <w:r>
              <w:rPr>
                <w:rFonts w:hint="eastAsia" w:ascii="宋体" w:hAnsi="宋体" w:cs="宋体"/>
                <w:color w:val="auto"/>
                <w:szCs w:val="21"/>
                <w:highlight w:val="none"/>
              </w:rPr>
              <w:t>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个月的依法缴纳社会保障资金的缴费凭证（</w:t>
            </w:r>
            <w:r>
              <w:rPr>
                <w:rFonts w:hint="eastAsia"/>
                <w:color w:val="auto"/>
                <w:highlight w:val="none"/>
              </w:rPr>
              <w:t>如：</w:t>
            </w:r>
            <w:r>
              <w:rPr>
                <w:rFonts w:hint="eastAsia" w:ascii="宋体" w:hAnsi="宋体" w:cs="宋体"/>
                <w:color w:val="auto"/>
                <w:szCs w:val="21"/>
                <w:highlight w:val="none"/>
              </w:rPr>
              <w:t>专用收据、社会保险缴纳清单或者社保部门</w:t>
            </w:r>
            <w:r>
              <w:rPr>
                <w:rFonts w:hint="eastAsia"/>
                <w:color w:val="auto"/>
                <w:highlight w:val="none"/>
              </w:rPr>
              <w:t>、医保部门</w:t>
            </w:r>
            <w:r>
              <w:rPr>
                <w:rFonts w:hint="eastAsia" w:ascii="宋体" w:hAnsi="宋体" w:cs="宋体"/>
                <w:color w:val="auto"/>
                <w:szCs w:val="21"/>
                <w:highlight w:val="none"/>
              </w:rPr>
              <w:t>的证明）复印件；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到响应文件提交截止时间止不足要求月数的</w:t>
            </w:r>
            <w:r>
              <w:rPr>
                <w:rFonts w:hint="eastAsia" w:ascii="宋体" w:hAnsi="宋体" w:cs="宋体"/>
                <w:color w:val="auto"/>
                <w:szCs w:val="21"/>
                <w:highlight w:val="none"/>
                <w:lang w:val="en-US" w:eastAsia="zh-CN"/>
              </w:rPr>
              <w:t>则不需提供</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BEEF0E7">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4. 供应商</w:t>
            </w:r>
            <w:r>
              <w:rPr>
                <w:rFonts w:hint="eastAsia"/>
                <w:color w:val="auto"/>
                <w:szCs w:val="21"/>
                <w:highlight w:val="none"/>
              </w:rPr>
              <w:t>财务状况报告（</w:t>
            </w:r>
            <w:r>
              <w:rPr>
                <w:color w:val="auto"/>
                <w:szCs w:val="21"/>
                <w:highlight w:val="none"/>
                <w:u w:val="single"/>
              </w:rPr>
              <w:t xml:space="preserve"> </w:t>
            </w:r>
            <w:r>
              <w:rPr>
                <w:rFonts w:hint="eastAsia"/>
                <w:color w:val="auto"/>
                <w:szCs w:val="21"/>
                <w:highlight w:val="none"/>
                <w:u w:val="single"/>
              </w:rPr>
              <w:t>2024</w:t>
            </w:r>
            <w:r>
              <w:rPr>
                <w:color w:val="auto"/>
                <w:szCs w:val="21"/>
                <w:highlight w:val="none"/>
                <w:u w:val="single"/>
              </w:rPr>
              <w:t xml:space="preserve"> </w:t>
            </w:r>
            <w:r>
              <w:rPr>
                <w:rFonts w:hint="eastAsia"/>
                <w:color w:val="auto"/>
                <w:szCs w:val="21"/>
                <w:highlight w:val="none"/>
                <w:u w:val="single"/>
              </w:rPr>
              <w:t>或2025</w:t>
            </w:r>
            <w:r>
              <w:rPr>
                <w:rFonts w:hint="eastAsia"/>
                <w:color w:val="auto"/>
                <w:szCs w:val="21"/>
                <w:highlight w:val="none"/>
              </w:rPr>
              <w:t>年度财务报表复印件，或者银行出具的资信证明，或者中国人民银行征信中心出具的信用报告（企业竞标的提供企业信用报告，自然人竞标的提供个人信用报告）；供应商属于</w:t>
            </w:r>
            <w:r>
              <w:rPr>
                <w:rFonts w:hint="eastAsia"/>
                <w:color w:val="auto"/>
                <w:highlight w:val="none"/>
              </w:rPr>
              <w:t>成立</w:t>
            </w:r>
            <w:r>
              <w:rPr>
                <w:color w:val="auto"/>
                <w:highlight w:val="none"/>
              </w:rPr>
              <w:t>时间</w:t>
            </w:r>
            <w:r>
              <w:rPr>
                <w:rFonts w:hint="eastAsia"/>
                <w:color w:val="auto"/>
                <w:highlight w:val="none"/>
              </w:rPr>
              <w:t>在规定年度之后</w:t>
            </w:r>
            <w:r>
              <w:rPr>
                <w:color w:val="auto"/>
                <w:highlight w:val="none"/>
              </w:rPr>
              <w:t>的</w:t>
            </w:r>
            <w:r>
              <w:rPr>
                <w:rFonts w:hint="eastAsia"/>
                <w:color w:val="auto"/>
                <w:szCs w:val="21"/>
                <w:highlight w:val="none"/>
              </w:rPr>
              <w:t>法人或其他组织</w:t>
            </w:r>
            <w:r>
              <w:rPr>
                <w:color w:val="auto"/>
                <w:highlight w:val="none"/>
              </w:rPr>
              <w:t>，需提供成立</w:t>
            </w:r>
            <w:r>
              <w:rPr>
                <w:rFonts w:hint="eastAsia"/>
                <w:color w:val="auto"/>
                <w:highlight w:val="none"/>
              </w:rPr>
              <w:t>之日起至响应文件提交截止时间前</w:t>
            </w:r>
            <w:r>
              <w:rPr>
                <w:color w:val="auto"/>
                <w:highlight w:val="none"/>
              </w:rPr>
              <w:t>的月报表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40028D4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5.供应商直接控股股东信息表（格式后附）；（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116DCC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2D46171">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7.竞标声明（格式后附）；（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2853D1C">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8.供应商具备的LTE/第四代数字蜂窝移动通信业务（TD-LTE/LTE-FDD）基础电信业务经营许可的证明材料；（</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6B4FD87">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9.除谈判文件规定必须提供以外，供应商认为需要提供的其他证明材料；</w:t>
            </w:r>
          </w:p>
          <w:p w14:paraId="59206210">
            <w:pPr>
              <w:spacing w:line="360" w:lineRule="auto"/>
              <w:contextualSpacing/>
              <w:jc w:val="left"/>
              <w:rPr>
                <w:rFonts w:ascii="宋体" w:hAnsi="宋体" w:cs="宋体"/>
                <w:b/>
                <w:color w:val="auto"/>
                <w:szCs w:val="21"/>
                <w:highlight w:val="none"/>
              </w:rPr>
            </w:pPr>
            <w:r>
              <w:rPr>
                <w:rFonts w:hint="eastAsia" w:ascii="宋体" w:hAnsi="宋体" w:cs="宋体"/>
                <w:b/>
                <w:color w:val="auto"/>
                <w:szCs w:val="21"/>
                <w:highlight w:val="none"/>
              </w:rPr>
              <w:t>注：</w:t>
            </w:r>
          </w:p>
          <w:p w14:paraId="53413C05">
            <w:pPr>
              <w:spacing w:line="360" w:lineRule="auto"/>
              <w:ind w:firstLine="413"/>
              <w:contextualSpacing/>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tc>
      </w:tr>
      <w:tr w14:paraId="2A4B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089604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tcBorders>
              <w:top w:val="single" w:color="000000" w:sz="4" w:space="0"/>
              <w:left w:val="single" w:color="000000" w:sz="4" w:space="0"/>
              <w:bottom w:val="single" w:color="000000" w:sz="4" w:space="0"/>
              <w:right w:val="single" w:color="000000" w:sz="4" w:space="0"/>
            </w:tcBorders>
            <w:vAlign w:val="center"/>
          </w:tcPr>
          <w:p w14:paraId="77517C5C">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3020EA8A">
            <w:pPr>
              <w:spacing w:line="360" w:lineRule="auto"/>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0549CD7">
            <w:pPr>
              <w:spacing w:line="360" w:lineRule="auto"/>
              <w:rPr>
                <w:rFonts w:hAnsi="宋体" w:cs="Courier New"/>
                <w:bCs/>
                <w:color w:val="auto"/>
                <w:highlight w:val="none"/>
              </w:rPr>
            </w:pPr>
            <w:r>
              <w:rPr>
                <w:rFonts w:hint="eastAsia" w:ascii="宋体" w:hAnsi="宋体" w:cs="宋体"/>
                <w:color w:val="auto"/>
                <w:szCs w:val="21"/>
                <w:highlight w:val="none"/>
              </w:rPr>
              <w:t>2</w:t>
            </w:r>
            <w:r>
              <w:rPr>
                <w:rFonts w:ascii="宋体" w:hAnsi="宋体" w:cs="宋体"/>
                <w:color w:val="auto"/>
                <w:szCs w:val="21"/>
                <w:highlight w:val="none"/>
              </w:rPr>
              <w:t>.供应商享受</w:t>
            </w:r>
            <w:r>
              <w:rPr>
                <w:rFonts w:hint="eastAsia" w:hAnsi="宋体" w:cs="Courier New"/>
                <w:bCs/>
                <w:color w:val="auto"/>
                <w:highlight w:val="none"/>
              </w:rPr>
              <w:t>中小企业扶持政策的材料（</w:t>
            </w:r>
            <w:r>
              <w:rPr>
                <w:rFonts w:hint="eastAsia" w:ascii="宋体" w:hAnsi="宋体"/>
                <w:color w:val="auto"/>
                <w:szCs w:val="21"/>
                <w:highlight w:val="none"/>
              </w:rPr>
              <w:t>供应商根据自身响应情况</w:t>
            </w:r>
            <w:r>
              <w:rPr>
                <w:rFonts w:hint="eastAsia" w:ascii="宋体" w:hAnsi="宋体"/>
                <w:color w:val="auto"/>
                <w:highlight w:val="none"/>
              </w:rPr>
              <w:t>，提供以下</w:t>
            </w:r>
            <w:r>
              <w:rPr>
                <w:rFonts w:ascii="宋体" w:hAnsi="宋体"/>
                <w:color w:val="auto"/>
                <w:highlight w:val="none"/>
              </w:rPr>
              <w:t>任意一项材料以证明自身可享受中小企业</w:t>
            </w:r>
            <w:r>
              <w:rPr>
                <w:rFonts w:hint="eastAsia" w:hAnsi="宋体" w:cs="Courier New"/>
                <w:bCs/>
                <w:color w:val="auto"/>
                <w:highlight w:val="none"/>
              </w:rPr>
              <w:t>扶持政策）：</w:t>
            </w:r>
          </w:p>
          <w:p w14:paraId="06DFB013">
            <w:pPr>
              <w:spacing w:line="360" w:lineRule="auto"/>
              <w:rPr>
                <w:rFonts w:ascii="宋体" w:hAnsi="宋体" w:cs="宋体"/>
                <w:color w:val="auto"/>
                <w:szCs w:val="21"/>
                <w:highlight w:val="none"/>
              </w:rPr>
            </w:pPr>
            <w:r>
              <w:rPr>
                <w:rFonts w:hAnsi="宋体" w:cs="Courier New"/>
                <w:bCs/>
                <w:color w:val="auto"/>
                <w:highlight w:val="none"/>
              </w:rPr>
              <w:t>（</w:t>
            </w:r>
            <w:r>
              <w:rPr>
                <w:rFonts w:hint="eastAsia" w:hAnsi="宋体" w:cs="Courier New"/>
                <w:bCs/>
                <w:color w:val="auto"/>
                <w:highlight w:val="none"/>
              </w:rPr>
              <w:t>1</w:t>
            </w:r>
            <w:r>
              <w:rPr>
                <w:rFonts w:hAnsi="宋体" w:cs="Courier New"/>
                <w:bCs/>
                <w:color w:val="auto"/>
                <w:highlight w:val="none"/>
              </w:rPr>
              <w:t>）</w:t>
            </w:r>
            <w:r>
              <w:rPr>
                <w:rFonts w:hint="eastAsia"/>
                <w:color w:val="auto"/>
                <w:highlight w:val="none"/>
              </w:rPr>
              <w:t>《</w:t>
            </w:r>
            <w:r>
              <w:rPr>
                <w:rFonts w:hint="eastAsia" w:ascii="宋体" w:hAnsi="宋体" w:cs="宋体"/>
                <w:color w:val="auto"/>
                <w:szCs w:val="21"/>
                <w:highlight w:val="none"/>
              </w:rPr>
              <w:t>中小企业声明函</w:t>
            </w:r>
            <w:r>
              <w:rPr>
                <w:rFonts w:hint="eastAsia"/>
                <w:color w:val="auto"/>
                <w:highlight w:val="none"/>
              </w:rPr>
              <w:t>》</w:t>
            </w:r>
            <w:r>
              <w:rPr>
                <w:rFonts w:hint="eastAsia" w:ascii="宋体" w:hAnsi="宋体" w:cs="宋体"/>
                <w:color w:val="auto"/>
                <w:szCs w:val="21"/>
                <w:highlight w:val="none"/>
              </w:rPr>
              <w:t>（格式后附）；</w:t>
            </w:r>
          </w:p>
          <w:p w14:paraId="13756575">
            <w:pPr>
              <w:spacing w:line="360" w:lineRule="auto"/>
              <w:rPr>
                <w:rFonts w:ascii="宋体" w:hAnsi="宋体" w:cs="宋体"/>
                <w:color w:val="auto"/>
                <w:szCs w:val="21"/>
                <w:highlight w:val="none"/>
              </w:rPr>
            </w:pPr>
            <w:r>
              <w:rPr>
                <w:rFonts w:hint="eastAsia"/>
                <w:color w:val="auto"/>
                <w:highlight w:val="none"/>
              </w:rPr>
              <w:t>（2）《残疾人福利性单位声明函》</w:t>
            </w:r>
            <w:r>
              <w:rPr>
                <w:rFonts w:hint="eastAsia" w:ascii="宋体" w:hAnsi="宋体" w:cs="宋体"/>
                <w:color w:val="auto"/>
                <w:szCs w:val="21"/>
                <w:highlight w:val="none"/>
              </w:rPr>
              <w:t>（格式后附）</w:t>
            </w:r>
          </w:p>
          <w:p w14:paraId="0D45B5BC">
            <w:pPr>
              <w:spacing w:line="360" w:lineRule="auto"/>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olor w:val="auto"/>
                <w:highlight w:val="none"/>
              </w:rPr>
              <w:t>省级以上监狱管理局、戒毒管理局</w:t>
            </w:r>
            <w:r>
              <w:rPr>
                <w:rFonts w:ascii="宋体" w:hAnsi="宋体"/>
                <w:color w:val="auto"/>
                <w:highlight w:val="none"/>
              </w:rPr>
              <w:t>(</w:t>
            </w:r>
            <w:r>
              <w:rPr>
                <w:rFonts w:hint="eastAsia" w:ascii="宋体" w:hAnsi="宋体"/>
                <w:color w:val="auto"/>
                <w:highlight w:val="none"/>
              </w:rPr>
              <w:t>含新疆生产建设兵团</w:t>
            </w:r>
            <w:r>
              <w:rPr>
                <w:rFonts w:ascii="宋体" w:hAnsi="宋体"/>
                <w:color w:val="auto"/>
                <w:highlight w:val="none"/>
              </w:rPr>
              <w:t>)</w:t>
            </w:r>
            <w:r>
              <w:rPr>
                <w:rFonts w:hint="eastAsia" w:ascii="宋体" w:hAnsi="宋体"/>
                <w:color w:val="auto"/>
                <w:highlight w:val="none"/>
              </w:rPr>
              <w:t>出具的属于监狱企业的证明文件；</w:t>
            </w:r>
            <w:r>
              <w:rPr>
                <w:rFonts w:hint="eastAsia" w:ascii="宋体" w:hAnsi="宋体" w:cs="宋体"/>
                <w:color w:val="auto"/>
                <w:szCs w:val="21"/>
                <w:highlight w:val="none"/>
              </w:rPr>
              <w:t xml:space="preserve"> </w:t>
            </w:r>
          </w:p>
          <w:p w14:paraId="04DFA888">
            <w:pPr>
              <w:spacing w:line="360" w:lineRule="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olor w:val="auto"/>
                <w:szCs w:val="21"/>
                <w:highlight w:val="none"/>
              </w:rPr>
              <w:t xml:space="preserve"> 《关于符合本国产品标准的声明函》或者财政部会同有关部门规定的有关证明文件；（供应商根据自身响应情况出具）</w:t>
            </w:r>
          </w:p>
          <w:p w14:paraId="3890A3F7">
            <w:pPr>
              <w:spacing w:line="360" w:lineRule="auto"/>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.供应商认为需要提供的其他有关资料。</w:t>
            </w:r>
          </w:p>
        </w:tc>
      </w:tr>
      <w:tr w14:paraId="3BCD6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7A64239">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tcBorders>
              <w:top w:val="single" w:color="000000" w:sz="4" w:space="0"/>
              <w:left w:val="single" w:color="000000" w:sz="4" w:space="0"/>
              <w:bottom w:val="single" w:color="000000" w:sz="4" w:space="0"/>
              <w:right w:val="single" w:color="000000" w:sz="4" w:space="0"/>
            </w:tcBorders>
            <w:vAlign w:val="center"/>
          </w:tcPr>
          <w:p w14:paraId="457AD89C">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商务技术文件</w:t>
            </w:r>
          </w:p>
          <w:p w14:paraId="13792FF4">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71625F5">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5345BF0">
            <w:pPr>
              <w:spacing w:line="360" w:lineRule="auto"/>
              <w:contextualSpacing/>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30D8653C">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4.竞标保证金提交凭证；（</w:t>
            </w:r>
            <w:r>
              <w:rPr>
                <w:rFonts w:hint="eastAsia"/>
                <w:b/>
                <w:bCs/>
                <w:color w:val="auto"/>
                <w:highlight w:val="none"/>
              </w:rPr>
              <w:t>如要求提交竞标保证金的则必须提供</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0C051618">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9658F5C">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6.技术要求偏离表（格式后附）；（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8F5F72B">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7.项目实施人员一览表（格式后附）； （</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19F8B97">
            <w:pPr>
              <w:spacing w:line="360" w:lineRule="auto"/>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bCs/>
                <w:color w:val="auto"/>
                <w:szCs w:val="21"/>
                <w:highlight w:val="none"/>
              </w:rPr>
              <w:t>代理服务费承诺书</w:t>
            </w:r>
            <w:r>
              <w:rPr>
                <w:rFonts w:hint="eastAsia" w:ascii="宋体" w:hAnsi="宋体" w:cs="宋体"/>
                <w:color w:val="auto"/>
                <w:szCs w:val="21"/>
                <w:highlight w:val="none"/>
              </w:rPr>
              <w:t>（格式后附）；</w:t>
            </w:r>
          </w:p>
          <w:p w14:paraId="55223D4D">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9.对应采购需求的技术要求、商务要求提供的其他文件资料（格式自拟）；</w:t>
            </w:r>
          </w:p>
          <w:p w14:paraId="7177F388">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10.供应商认为需要提供的其他有关资料。</w:t>
            </w:r>
          </w:p>
          <w:p w14:paraId="6A7C2EEB">
            <w:pPr>
              <w:spacing w:line="360" w:lineRule="auto"/>
              <w:contextualSpacing/>
              <w:jc w:val="left"/>
              <w:rPr>
                <w:rFonts w:ascii="宋体" w:hAnsi="宋体" w:cs="宋体"/>
                <w:b/>
                <w:color w:val="auto"/>
                <w:szCs w:val="21"/>
                <w:highlight w:val="none"/>
              </w:rPr>
            </w:pPr>
            <w:r>
              <w:rPr>
                <w:rFonts w:hint="eastAsia" w:ascii="宋体" w:hAnsi="宋体" w:cs="宋体"/>
                <w:b/>
                <w:color w:val="auto"/>
                <w:szCs w:val="21"/>
                <w:highlight w:val="none"/>
              </w:rPr>
              <w:t>注：以上标明“必须提供”材料复印件的，必须加盖供应商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，否则响应文件按无效处理。</w:t>
            </w:r>
          </w:p>
        </w:tc>
      </w:tr>
      <w:tr w14:paraId="0EC0E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CE48828">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tcBorders>
              <w:top w:val="single" w:color="000000" w:sz="4" w:space="0"/>
              <w:left w:val="single" w:color="000000" w:sz="4" w:space="0"/>
              <w:bottom w:val="single" w:color="000000" w:sz="4" w:space="0"/>
              <w:right w:val="single" w:color="000000" w:sz="4" w:space="0"/>
            </w:tcBorders>
            <w:vAlign w:val="center"/>
          </w:tcPr>
          <w:p w14:paraId="4B27DC39">
            <w:pPr>
              <w:spacing w:line="360" w:lineRule="auto"/>
              <w:contextualSpacing/>
              <w:jc w:val="left"/>
              <w:rPr>
                <w:rFonts w:ascii="宋体" w:hAnsi="宋体" w:cs="宋体"/>
                <w:color w:val="auto"/>
                <w:szCs w:val="21"/>
                <w:highlight w:val="none"/>
              </w:rPr>
            </w:pPr>
            <w:r>
              <w:rPr>
                <w:rFonts w:hint="eastAsia" w:ascii="宋体" w:hAnsi="宋体"/>
                <w:color w:val="auto"/>
                <w:szCs w:val="21"/>
                <w:highlight w:val="none"/>
              </w:rPr>
              <w:t>竞标报价是履行合同的最终价格，即满足全部采购需求所应提供的服务，以及伴随的货物和工程（如有）的价格；包括投标服务、货物、工程的成本、运输（含保险）、安装（如有）、调试、检验、技术服务、培训、税费等所有费用。</w:t>
            </w:r>
          </w:p>
        </w:tc>
      </w:tr>
      <w:tr w14:paraId="2647C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B5A7733">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tcBorders>
              <w:top w:val="single" w:color="000000" w:sz="4" w:space="0"/>
              <w:left w:val="single" w:color="000000" w:sz="4" w:space="0"/>
              <w:bottom w:val="single" w:color="000000" w:sz="4" w:space="0"/>
              <w:right w:val="single" w:color="000000" w:sz="4" w:space="0"/>
            </w:tcBorders>
            <w:vAlign w:val="center"/>
          </w:tcPr>
          <w:p w14:paraId="76D5C712">
            <w:pPr>
              <w:pStyle w:val="204"/>
              <w:widowControl w:val="0"/>
              <w:spacing w:after="0" w:line="360" w:lineRule="auto"/>
              <w:ind w:left="283" w:hanging="283"/>
              <w:contextualSpacing/>
              <w:rPr>
                <w:rFonts w:ascii="宋体" w:hAnsi="宋体" w:cs="宋体"/>
                <w:color w:val="auto"/>
                <w:sz w:val="21"/>
                <w:szCs w:val="21"/>
                <w:highlight w:val="none"/>
              </w:rPr>
            </w:pPr>
            <w:r>
              <w:rPr>
                <w:rFonts w:hint="eastAsia" w:ascii="宋体" w:hAnsi="宋体" w:cs="宋体"/>
                <w:color w:val="auto"/>
                <w:sz w:val="21"/>
                <w:szCs w:val="21"/>
                <w:highlight w:val="none"/>
              </w:rPr>
              <w:t>竞标有效期：自首次响应文件提交截止之日起</w:t>
            </w:r>
            <w:r>
              <w:rPr>
                <w:rFonts w:hint="eastAsia" w:ascii="宋体" w:hAnsi="宋体" w:cs="宋体"/>
                <w:color w:val="auto"/>
                <w:sz w:val="21"/>
                <w:szCs w:val="21"/>
                <w:highlight w:val="none"/>
                <w:u w:val="single"/>
              </w:rPr>
              <w:t>90</w:t>
            </w:r>
            <w:r>
              <w:rPr>
                <w:rFonts w:hint="eastAsia" w:ascii="宋体" w:hAnsi="宋体" w:cs="宋体"/>
                <w:color w:val="auto"/>
                <w:sz w:val="21"/>
                <w:szCs w:val="21"/>
                <w:highlight w:val="none"/>
              </w:rPr>
              <w:t>日。</w:t>
            </w:r>
          </w:p>
        </w:tc>
      </w:tr>
      <w:tr w14:paraId="4EBC3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7B4AB27">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tcBorders>
              <w:top w:val="single" w:color="000000" w:sz="4" w:space="0"/>
              <w:left w:val="single" w:color="000000" w:sz="4" w:space="0"/>
              <w:bottom w:val="single" w:color="000000" w:sz="4" w:space="0"/>
              <w:right w:val="single" w:color="000000" w:sz="4" w:space="0"/>
            </w:tcBorders>
            <w:vAlign w:val="center"/>
          </w:tcPr>
          <w:p w14:paraId="7AA8EE6F">
            <w:pPr>
              <w:spacing w:line="360" w:lineRule="auto"/>
              <w:rPr>
                <w:rFonts w:ascii="宋体" w:hAnsi="宋体"/>
                <w:color w:val="auto"/>
                <w:szCs w:val="21"/>
                <w:highlight w:val="none"/>
              </w:rPr>
            </w:pPr>
            <w:r>
              <w:rPr>
                <w:rFonts w:hint="eastAsia" w:ascii="宋体" w:hAnsi="宋体"/>
                <w:color w:val="auto"/>
                <w:szCs w:val="21"/>
                <w:highlight w:val="none"/>
              </w:rPr>
              <w:t>☑本项目不收取竞标保证金。</w:t>
            </w:r>
          </w:p>
          <w:p w14:paraId="7716B7EE">
            <w:pPr>
              <w:spacing w:line="360" w:lineRule="auto"/>
              <w:rPr>
                <w:rFonts w:ascii="宋体" w:hAnsi="宋体"/>
                <w:color w:val="auto"/>
                <w:szCs w:val="21"/>
                <w:highlight w:val="none"/>
              </w:rPr>
            </w:pPr>
            <w:r>
              <w:rPr>
                <w:rFonts w:hint="eastAsia" w:ascii="宋体" w:hAnsi="宋体"/>
                <w:color w:val="auto"/>
                <w:szCs w:val="21"/>
                <w:highlight w:val="none"/>
              </w:rPr>
              <w:t>□本项目收取竞标保证金，具体规定如下：</w:t>
            </w:r>
          </w:p>
          <w:p w14:paraId="59BDAD6E">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1</w:t>
            </w:r>
            <w:r>
              <w:rPr>
                <w:rFonts w:hint="eastAsia" w:ascii="宋体" w:hAnsi="宋体" w:cs="宋体"/>
                <w:color w:val="auto"/>
                <w:szCs w:val="21"/>
                <w:highlight w:val="none"/>
              </w:rPr>
              <w:t>分标竞标保证金人民币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元。竞标保证金的交纳方式：银行转账、支票、汇票、本票或者银行、保险机构出具的保函，禁止采用现钞方式。采用银行转账方式的，在响应文件提交截止时间前交至指定账户并且到账（开户银行：</w:t>
            </w:r>
            <w:r>
              <w:rPr>
                <w:rFonts w:hint="eastAsia" w:ascii="宋体" w:hAnsi="宋体" w:cs="宋体"/>
                <w:color w:val="auto"/>
                <w:szCs w:val="21"/>
                <w:highlight w:val="none"/>
                <w:u w:val="single"/>
                <w:lang w:eastAsia="zh-CN"/>
              </w:rPr>
              <w:t>中信银行股份有限公司南宁园湖支行</w:t>
            </w:r>
            <w:r>
              <w:rPr>
                <w:rFonts w:hint="eastAsia" w:ascii="宋体" w:hAnsi="宋体" w:cs="宋体"/>
                <w:color w:val="auto"/>
                <w:szCs w:val="21"/>
                <w:highlight w:val="none"/>
              </w:rPr>
              <w:t>，开户名称：</w:t>
            </w:r>
            <w:r>
              <w:rPr>
                <w:rFonts w:hint="eastAsia" w:ascii="宋体" w:hAnsi="宋体" w:cs="宋体"/>
                <w:color w:val="auto"/>
                <w:szCs w:val="21"/>
                <w:highlight w:val="none"/>
                <w:u w:val="single"/>
              </w:rPr>
              <w:t>云之龙咨询集团有限公司梧州分公司</w:t>
            </w:r>
            <w:r>
              <w:rPr>
                <w:rFonts w:hint="eastAsia" w:ascii="宋体" w:hAnsi="宋体" w:cs="宋体"/>
                <w:color w:val="auto"/>
                <w:szCs w:val="21"/>
                <w:highlight w:val="none"/>
              </w:rPr>
              <w:t>，银行账号：</w:t>
            </w:r>
            <w:r>
              <w:rPr>
                <w:rFonts w:hint="eastAsia" w:ascii="宋体" w:hAnsi="宋体" w:cs="宋体"/>
                <w:color w:val="auto"/>
                <w:szCs w:val="21"/>
                <w:highlight w:val="none"/>
                <w:u w:val="single"/>
              </w:rPr>
              <w:t>8113001013700074625</w:t>
            </w:r>
            <w:r>
              <w:rPr>
                <w:rFonts w:hint="eastAsia" w:ascii="宋体" w:hAnsi="宋体" w:cs="宋体"/>
                <w:color w:val="auto"/>
                <w:szCs w:val="21"/>
                <w:highlight w:val="none"/>
              </w:rPr>
              <w:t>）；采用支票、汇票、本票或者保函等方式的，在响应文件提交截止时间前，供应商必须提交单独密封的支票、汇票、本票或者保函原件。否则视为无效竞标保证金。</w:t>
            </w:r>
          </w:p>
          <w:p w14:paraId="55FD5FAD">
            <w:pPr>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37393B36">
            <w:pPr>
              <w:spacing w:line="360" w:lineRule="auto"/>
              <w:rPr>
                <w:rFonts w:ascii="宋体" w:hAnsi="宋体" w:cs="宋体"/>
                <w:color w:val="auto"/>
                <w:szCs w:val="21"/>
                <w:highlight w:val="none"/>
              </w:rPr>
            </w:pPr>
            <w:r>
              <w:rPr>
                <w:rFonts w:hint="eastAsia" w:ascii="宋体" w:hAnsi="宋体" w:cs="宋体"/>
                <w:color w:val="auto"/>
                <w:szCs w:val="21"/>
                <w:highlight w:val="none"/>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38EA7E8F">
            <w:pPr>
              <w:spacing w:line="360" w:lineRule="auto"/>
              <w:rPr>
                <w:rFonts w:ascii="宋体" w:hAnsi="宋体"/>
                <w:color w:val="auto"/>
                <w:szCs w:val="21"/>
                <w:highlight w:val="none"/>
              </w:rPr>
            </w:pPr>
            <w:r>
              <w:rPr>
                <w:rFonts w:hint="eastAsia" w:ascii="宋体" w:hAnsi="宋体"/>
                <w:color w:val="auto"/>
                <w:szCs w:val="21"/>
                <w:highlight w:val="none"/>
              </w:rPr>
              <w:t>2.竞标保证金采用支票、汇票、本票或者银行、保险机构出具的保函</w:t>
            </w:r>
            <w:r>
              <w:rPr>
                <w:rFonts w:hint="eastAsia"/>
                <w:color w:val="auto"/>
                <w:highlight w:val="none"/>
              </w:rPr>
              <w:t>（包含电子保函）</w:t>
            </w:r>
            <w:r>
              <w:rPr>
                <w:rFonts w:hint="eastAsia" w:ascii="宋体" w:hAnsi="宋体"/>
                <w:color w:val="auto"/>
                <w:szCs w:val="21"/>
                <w:highlight w:val="none"/>
              </w:rPr>
              <w:t>交纳方式的，供应商应将支票、汇票、本票或者银行、保险机构出具的保函</w:t>
            </w:r>
            <w:r>
              <w:rPr>
                <w:rFonts w:hint="eastAsia"/>
                <w:color w:val="auto"/>
                <w:highlight w:val="none"/>
              </w:rPr>
              <w:t>（包含电子保函）</w:t>
            </w:r>
            <w:r>
              <w:rPr>
                <w:rFonts w:hint="eastAsia" w:ascii="宋体" w:hAnsi="宋体"/>
                <w:color w:val="auto"/>
                <w:szCs w:val="21"/>
                <w:highlight w:val="none"/>
              </w:rPr>
              <w:t>的复印件作为竞标保证金提交凭证，放置于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w:t>
            </w:r>
            <w:r>
              <w:rPr>
                <w:rFonts w:hint="eastAsia" w:ascii="宋体" w:hAnsi="宋体"/>
                <w:color w:val="auto"/>
                <w:szCs w:val="21"/>
                <w:highlight w:val="none"/>
                <w:u w:val="single"/>
              </w:rPr>
              <w:t>梧州市新兴三路30号神冠豪都B栋1单元1008号房</w:t>
            </w:r>
            <w:r>
              <w:rPr>
                <w:rFonts w:hint="eastAsia"/>
                <w:color w:val="auto"/>
                <w:highlight w:val="none"/>
              </w:rPr>
              <w:t>；邮寄地址：</w:t>
            </w:r>
            <w:r>
              <w:rPr>
                <w:rFonts w:hint="eastAsia" w:ascii="宋体" w:hAnsi="宋体"/>
                <w:color w:val="auto"/>
                <w:szCs w:val="21"/>
                <w:highlight w:val="none"/>
                <w:u w:val="single"/>
              </w:rPr>
              <w:t>梧州市新兴三路30号神冠豪都B栋1单元1008号房</w:t>
            </w:r>
            <w:r>
              <w:rPr>
                <w:rFonts w:hint="eastAsia"/>
                <w:color w:val="auto"/>
                <w:highlight w:val="none"/>
              </w:rPr>
              <w:t>，收件人：</w:t>
            </w:r>
            <w:r>
              <w:rPr>
                <w:rFonts w:hint="eastAsia"/>
                <w:color w:val="auto"/>
                <w:highlight w:val="none"/>
                <w:u w:val="single"/>
                <w:lang w:eastAsia="zh-CN"/>
              </w:rPr>
              <w:t>周子然</w:t>
            </w:r>
            <w:r>
              <w:rPr>
                <w:rFonts w:hint="eastAsia"/>
                <w:color w:val="auto"/>
                <w:highlight w:val="none"/>
              </w:rPr>
              <w:t>，联系方式：</w:t>
            </w:r>
            <w:r>
              <w:rPr>
                <w:color w:val="auto"/>
                <w:highlight w:val="none"/>
                <w:u w:val="single"/>
              </w:rPr>
              <w:t>0774-3859935</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szCs w:val="21"/>
                <w:highlight w:val="none"/>
              </w:rPr>
              <w:t>单独密封的</w:t>
            </w:r>
            <w:r>
              <w:rPr>
                <w:rFonts w:hint="eastAsia" w:ascii="宋体" w:hAnsi="宋体"/>
                <w:color w:val="auto"/>
                <w:szCs w:val="21"/>
                <w:highlight w:val="none"/>
              </w:rPr>
              <w:t>支票、汇票、本票或者银行、保险机构出具的保函原件提交给采购人或者采购代理机构，由采购人或者采购代理机构向供应商出具回执（邮寄方式的除外），并妥善保管。</w:t>
            </w:r>
          </w:p>
          <w:p w14:paraId="7B40AABB">
            <w:pPr>
              <w:spacing w:line="360" w:lineRule="auto"/>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2208A805">
            <w:pPr>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3DB2FF15">
            <w:pPr>
              <w:spacing w:line="360" w:lineRule="auto"/>
              <w:rPr>
                <w:rFonts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6BA699B4">
            <w:pPr>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2101971B">
            <w:pPr>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6CE2D0B6">
            <w:pPr>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4.保函有效期低于竞标有效期的，视为无效竞标保证金。</w:t>
            </w:r>
          </w:p>
          <w:p w14:paraId="076E848B">
            <w:pPr>
              <w:spacing w:line="360" w:lineRule="auto"/>
              <w:contextualSpacing/>
              <w:rPr>
                <w:rFonts w:ascii="宋体" w:hAnsi="宋体" w:cs="宋体"/>
                <w:color w:val="auto"/>
                <w:szCs w:val="21"/>
                <w:highlight w:val="none"/>
              </w:rPr>
            </w:pPr>
            <w:r>
              <w:rPr>
                <w:rFonts w:hint="eastAsia" w:ascii="宋体" w:hAnsi="宋体" w:cs="宋体"/>
                <w:b/>
                <w:color w:val="auto"/>
                <w:szCs w:val="21"/>
                <w:highlight w:val="none"/>
              </w:rPr>
              <w:t>5.竞标保证金采用银行、保险机构出具的保函为有条件保函的，视为无效竞标保证金。</w:t>
            </w:r>
          </w:p>
        </w:tc>
      </w:tr>
      <w:tr w14:paraId="1659B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2F0D860">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19</w:t>
            </w:r>
          </w:p>
        </w:tc>
        <w:tc>
          <w:tcPr>
            <w:tcW w:w="7912" w:type="dxa"/>
            <w:tcBorders>
              <w:top w:val="single" w:color="000000" w:sz="4" w:space="0"/>
              <w:left w:val="single" w:color="000000" w:sz="4" w:space="0"/>
              <w:bottom w:val="single" w:color="000000" w:sz="4" w:space="0"/>
              <w:right w:val="single" w:color="000000" w:sz="4" w:space="0"/>
            </w:tcBorders>
            <w:vAlign w:val="center"/>
          </w:tcPr>
          <w:p w14:paraId="4BF30A34">
            <w:pPr>
              <w:spacing w:line="360" w:lineRule="auto"/>
              <w:rPr>
                <w:rFonts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p w14:paraId="55D2E1C1">
            <w:pPr>
              <w:spacing w:line="360" w:lineRule="auto"/>
              <w:rPr>
                <w:color w:val="auto"/>
                <w:highlight w:val="none"/>
              </w:rPr>
            </w:pPr>
            <w:r>
              <w:rPr>
                <w:rFonts w:hint="eastAsia" w:ascii="宋体" w:hAnsi="宋体"/>
                <w:color w:val="auto"/>
                <w:szCs w:val="21"/>
                <w:highlight w:val="none"/>
              </w:rPr>
              <w:t>□</w:t>
            </w:r>
            <w:r>
              <w:rPr>
                <w:rFonts w:hint="eastAsia"/>
                <w:color w:val="auto"/>
                <w:highlight w:val="none"/>
              </w:rPr>
              <w:t>本项目接受电子备份响应文件。</w:t>
            </w:r>
          </w:p>
          <w:p w14:paraId="6CDB4E6C">
            <w:pPr>
              <w:spacing w:line="360" w:lineRule="auto"/>
              <w:ind w:firstLine="420"/>
              <w:rPr>
                <w:color w:val="auto"/>
                <w:highlight w:val="none"/>
              </w:rPr>
            </w:pPr>
            <w:r>
              <w:rPr>
                <w:rFonts w:hint="eastAsia"/>
                <w:color w:val="auto"/>
                <w:highlight w:val="none"/>
              </w:rPr>
              <w:t>电子</w:t>
            </w:r>
            <w:r>
              <w:rPr>
                <w:rFonts w:hint="eastAsia" w:ascii="宋体" w:hAnsi="宋体"/>
                <w:color w:val="auto"/>
                <w:szCs w:val="21"/>
                <w:highlight w:val="none"/>
              </w:rPr>
              <w:t>备份响应文件</w:t>
            </w:r>
            <w:r>
              <w:rPr>
                <w:rFonts w:hint="eastAsia"/>
                <w:color w:val="auto"/>
                <w:highlight w:val="none"/>
              </w:rPr>
              <w:t>提交方式：供应商可以在响应截止时间前采用以下</w:t>
            </w:r>
            <w:r>
              <w:rPr>
                <w:color w:val="auto"/>
                <w:highlight w:val="none"/>
                <w:u w:val="single"/>
              </w:rPr>
              <w:t xml:space="preserve">     </w:t>
            </w:r>
            <w:r>
              <w:rPr>
                <w:rFonts w:hint="eastAsia"/>
                <w:color w:val="auto"/>
                <w:highlight w:val="none"/>
              </w:rPr>
              <w:t>种方式向采购代理机构提交电子备份响应文件：</w:t>
            </w:r>
          </w:p>
          <w:p w14:paraId="2F49F752">
            <w:pPr>
              <w:spacing w:line="360" w:lineRule="auto"/>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hint="eastAsia"/>
                <w:color w:val="auto"/>
                <w:highlight w:val="none"/>
              </w:rPr>
              <w:t>；外包装上注明供应商名称、项目名称及项目编号（外包装不作密封要求）。</w:t>
            </w:r>
          </w:p>
          <w:p w14:paraId="2F671C98">
            <w:pPr>
              <w:spacing w:line="360" w:lineRule="auto"/>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）电子邮件方式，接收电子备份响应文件的电子邮箱为：</w:t>
            </w:r>
            <w:r>
              <w:rPr>
                <w:color w:val="auto"/>
                <w:highlight w:val="none"/>
                <w:u w:val="single"/>
              </w:rPr>
              <w:t xml:space="preserve">            </w:t>
            </w:r>
            <w:r>
              <w:rPr>
                <w:rFonts w:hint="eastAsia"/>
                <w:color w:val="auto"/>
                <w:highlight w:val="none"/>
              </w:rPr>
              <w:t>。</w:t>
            </w:r>
          </w:p>
          <w:p w14:paraId="60AB60D0">
            <w:pPr>
              <w:pStyle w:val="205"/>
              <w:spacing w:line="360" w:lineRule="auto"/>
              <w:jc w:val="both"/>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color w:val="auto"/>
                <w:highlight w:val="none"/>
              </w:rPr>
              <w:t>U</w:t>
            </w:r>
            <w:r>
              <w:rPr>
                <w:rFonts w:hint="eastAsia"/>
                <w:color w:val="auto"/>
                <w:highlight w:val="none"/>
              </w:rPr>
              <w:t>盘进行存储，邮寄地址：</w:t>
            </w:r>
            <w:r>
              <w:rPr>
                <w:color w:val="auto"/>
                <w:highlight w:val="none"/>
                <w:u w:val="single"/>
              </w:rPr>
              <w:t xml:space="preserve">       </w:t>
            </w:r>
            <w:r>
              <w:rPr>
                <w:rFonts w:hint="eastAsia"/>
                <w:color w:val="auto"/>
                <w:highlight w:val="none"/>
              </w:rPr>
              <w:t>，</w:t>
            </w:r>
            <w:r>
              <w:rPr>
                <w:color w:val="auto"/>
                <w:highlight w:val="none"/>
              </w:rPr>
              <w:t>接收截止时间</w:t>
            </w:r>
            <w:r>
              <w:rPr>
                <w:rFonts w:hint="eastAsia"/>
                <w:color w:val="auto"/>
                <w:highlight w:val="none"/>
              </w:rPr>
              <w:t>：</w:t>
            </w:r>
            <w:r>
              <w:rPr>
                <w:color w:val="auto"/>
                <w:highlight w:val="none"/>
                <w:u w:val="single"/>
              </w:rPr>
              <w:t xml:space="preserve">       </w:t>
            </w:r>
            <w:r>
              <w:rPr>
                <w:rFonts w:hint="eastAsia"/>
                <w:color w:val="auto"/>
                <w:highlight w:val="none"/>
              </w:rPr>
              <w:t>，收件人：</w:t>
            </w:r>
            <w:r>
              <w:rPr>
                <w:color w:val="auto"/>
                <w:highlight w:val="none"/>
                <w:u w:val="single"/>
              </w:rPr>
              <w:t xml:space="preserve">       </w:t>
            </w:r>
            <w:r>
              <w:rPr>
                <w:rFonts w:hint="eastAsia"/>
                <w:color w:val="auto"/>
                <w:highlight w:val="none"/>
              </w:rPr>
              <w:t>，联系方式：</w:t>
            </w:r>
            <w:r>
              <w:rPr>
                <w:color w:val="auto"/>
                <w:highlight w:val="none"/>
                <w:u w:val="single"/>
              </w:rPr>
              <w:t xml:space="preserve">       </w:t>
            </w:r>
            <w:r>
              <w:rPr>
                <w:rFonts w:hint="eastAsia"/>
                <w:color w:val="auto"/>
                <w:highlight w:val="none"/>
              </w:rPr>
              <w:t>；外包装上注明供应商名称、项目名称及项目编号（外包装不作密封要求）。</w:t>
            </w:r>
          </w:p>
          <w:p w14:paraId="0470F76E">
            <w:pPr>
              <w:spacing w:line="360" w:lineRule="auto"/>
              <w:ind w:firstLine="420"/>
              <w:rPr>
                <w:rFonts w:ascii="宋体" w:hAnsi="宋体" w:cs="宋体"/>
                <w:color w:val="auto"/>
                <w:szCs w:val="21"/>
                <w:highlight w:val="none"/>
              </w:rPr>
            </w:pPr>
            <w:r>
              <w:rPr>
                <w:rFonts w:hint="eastAsia"/>
                <w:color w:val="auto"/>
                <w:highlight w:val="none"/>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操作规范上传至“广西政府采购云平台”，电子备份响应文件上传成功后，供应商原上传的电子加密响应文件自动失效。若供应商在规定时间内无法解密或解密失败且未提供电子备份响应文件的（包含提供的电子备份响应文件无效或无法解读的情况），</w:t>
            </w:r>
            <w:r>
              <w:rPr>
                <w:rFonts w:hint="eastAsia"/>
                <w:b/>
                <w:color w:val="auto"/>
                <w:highlight w:val="none"/>
              </w:rPr>
              <w:t>供应商的响应文件作无效处理</w:t>
            </w:r>
            <w:r>
              <w:rPr>
                <w:rFonts w:hint="eastAsia"/>
                <w:color w:val="auto"/>
                <w:highlight w:val="none"/>
              </w:rPr>
              <w:t>。</w:t>
            </w:r>
          </w:p>
        </w:tc>
      </w:tr>
      <w:tr w14:paraId="6D052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1ABB4D6">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tcBorders>
              <w:top w:val="single" w:color="000000" w:sz="4" w:space="0"/>
              <w:left w:val="single" w:color="000000" w:sz="4" w:space="0"/>
              <w:bottom w:val="single" w:color="000000" w:sz="4" w:space="0"/>
              <w:right w:val="single" w:color="000000" w:sz="4" w:space="0"/>
            </w:tcBorders>
            <w:vAlign w:val="center"/>
          </w:tcPr>
          <w:p w14:paraId="12254535">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6921D324">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65989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7ADD7B6">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tcBorders>
              <w:top w:val="single" w:color="000000" w:sz="4" w:space="0"/>
              <w:left w:val="single" w:color="000000" w:sz="4" w:space="0"/>
              <w:bottom w:val="single" w:color="000000" w:sz="4" w:space="0"/>
              <w:right w:val="single" w:color="000000" w:sz="4" w:space="0"/>
            </w:tcBorders>
            <w:vAlign w:val="center"/>
          </w:tcPr>
          <w:p w14:paraId="1B4A2BE7">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11E18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7EAB514">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tcBorders>
              <w:top w:val="single" w:color="000000" w:sz="4" w:space="0"/>
              <w:left w:val="single" w:color="000000" w:sz="4" w:space="0"/>
              <w:bottom w:val="single" w:color="000000" w:sz="4" w:space="0"/>
              <w:right w:val="single" w:color="000000" w:sz="4" w:space="0"/>
            </w:tcBorders>
            <w:vAlign w:val="center"/>
          </w:tcPr>
          <w:p w14:paraId="7501206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11486EE0">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Ansi="宋体"/>
                <w:color w:val="auto"/>
                <w:highlight w:val="none"/>
                <w:u w:val="single"/>
              </w:rPr>
              <w:t xml:space="preserve"> </w:t>
            </w:r>
            <w:r>
              <w:rPr>
                <w:rFonts w:hint="eastAsia" w:hAnsi="宋体"/>
                <w:color w:val="auto"/>
                <w:highlight w:val="none"/>
                <w:u w:val="single"/>
              </w:rPr>
              <w:t>30</w:t>
            </w:r>
            <w:r>
              <w:rPr>
                <w:rFonts w:hint="eastAsia" w:hAnsi="宋体"/>
                <w:color w:val="auto"/>
                <w:highlight w:val="none"/>
              </w:rPr>
              <w:t>分钟</w:t>
            </w:r>
          </w:p>
        </w:tc>
      </w:tr>
      <w:tr w14:paraId="16681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1EAC971D">
            <w:pPr>
              <w:spacing w:line="360" w:lineRule="auto"/>
              <w:contextualSpacing/>
              <w:jc w:val="center"/>
              <w:rPr>
                <w:rFonts w:ascii="宋体" w:hAnsi="宋体" w:cs="宋体"/>
                <w:color w:val="auto"/>
                <w:szCs w:val="21"/>
                <w:highlight w:val="none"/>
              </w:rPr>
            </w:pPr>
            <w:r>
              <w:rPr>
                <w:rFonts w:ascii="宋体" w:hAnsi="宋体" w:cs="宋体"/>
                <w:color w:val="auto"/>
                <w:szCs w:val="21"/>
                <w:highlight w:val="none"/>
              </w:rPr>
              <w:t>26</w:t>
            </w:r>
          </w:p>
        </w:tc>
        <w:tc>
          <w:tcPr>
            <w:tcW w:w="7912" w:type="dxa"/>
            <w:tcBorders>
              <w:top w:val="single" w:color="000000" w:sz="4" w:space="0"/>
              <w:left w:val="single" w:color="000000" w:sz="4" w:space="0"/>
              <w:bottom w:val="single" w:color="000000" w:sz="4" w:space="0"/>
              <w:right w:val="single" w:color="000000" w:sz="4" w:space="0"/>
            </w:tcBorders>
            <w:vAlign w:val="center"/>
          </w:tcPr>
          <w:p w14:paraId="099222B5">
            <w:pPr>
              <w:spacing w:line="360" w:lineRule="auto"/>
              <w:contextualSpacing/>
              <w:rPr>
                <w:rFonts w:ascii="宋体" w:hAnsi="宋体" w:cs="宋体"/>
                <w:color w:val="auto"/>
                <w:szCs w:val="21"/>
                <w:highlight w:val="none"/>
                <w:u w:val="single"/>
              </w:rPr>
            </w:pPr>
            <w:r>
              <w:rPr>
                <w:rFonts w:hint="eastAsia" w:ascii="宋体" w:hAnsi="宋体" w:cs="宋体"/>
                <w:color w:val="auto"/>
                <w:szCs w:val="21"/>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65E985AA">
            <w:pPr>
              <w:spacing w:line="360" w:lineRule="auto"/>
              <w:contextualSpacing/>
              <w:rPr>
                <w:rFonts w:ascii="宋体" w:hAnsi="宋体" w:cs="宋体"/>
                <w:iCs/>
                <w:color w:val="auto"/>
                <w:szCs w:val="21"/>
                <w:highlight w:val="none"/>
              </w:rPr>
            </w:pPr>
            <w:r>
              <w:rPr>
                <w:rFonts w:hint="eastAsia" w:ascii="宋体" w:hAnsi="宋体" w:cs="宋体"/>
                <w:iCs/>
                <w:color w:val="auto"/>
                <w:szCs w:val="21"/>
                <w:highlight w:val="none"/>
              </w:rPr>
              <w:t>☑带“▲”的实质性要求正偏离项数多的优先、均无正偏离或者正偏离项数一致时负偏离项数少的优先、响应时间短优先的顺序推荐</w:t>
            </w:r>
          </w:p>
          <w:p w14:paraId="008F9BFB">
            <w:pPr>
              <w:spacing w:line="360" w:lineRule="auto"/>
              <w:rPr>
                <w:rFonts w:ascii="宋体" w:hAnsi="宋体" w:cs="宋体"/>
                <w:color w:val="auto"/>
                <w:szCs w:val="21"/>
                <w:highlight w:val="none"/>
              </w:rPr>
            </w:pPr>
            <w:r>
              <w:rPr>
                <w:rFonts w:hint="eastAsia" w:ascii="宋体" w:hAnsi="宋体" w:cs="宋体"/>
                <w:iCs/>
                <w:color w:val="auto"/>
                <w:szCs w:val="21"/>
                <w:highlight w:val="none"/>
              </w:rPr>
              <w:t>□由谈判小组推荐代表随机抽取。</w:t>
            </w:r>
          </w:p>
        </w:tc>
      </w:tr>
      <w:tr w14:paraId="2294E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5C8A2DC1">
            <w:pPr>
              <w:spacing w:line="360" w:lineRule="auto"/>
              <w:contextualSpacing/>
              <w:jc w:val="center"/>
              <w:rPr>
                <w:rFonts w:ascii="宋体" w:hAnsi="宋体" w:cs="宋体"/>
                <w:color w:val="auto"/>
                <w:szCs w:val="21"/>
                <w:highlight w:val="none"/>
              </w:rPr>
            </w:pPr>
          </w:p>
        </w:tc>
        <w:tc>
          <w:tcPr>
            <w:tcW w:w="7912" w:type="dxa"/>
            <w:tcBorders>
              <w:top w:val="single" w:color="000000" w:sz="4" w:space="0"/>
              <w:left w:val="single" w:color="000000" w:sz="4" w:space="0"/>
              <w:bottom w:val="single" w:color="000000" w:sz="4" w:space="0"/>
              <w:right w:val="single" w:color="000000" w:sz="4" w:space="0"/>
            </w:tcBorders>
            <w:vAlign w:val="center"/>
          </w:tcPr>
          <w:p w14:paraId="4D287B22">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1AC15DD9">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6C138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ABADAA8">
            <w:pPr>
              <w:spacing w:line="360" w:lineRule="auto"/>
              <w:contextualSpacing/>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tcBorders>
              <w:top w:val="single" w:color="000000" w:sz="4" w:space="0"/>
              <w:left w:val="single" w:color="000000" w:sz="4" w:space="0"/>
              <w:bottom w:val="single" w:color="000000" w:sz="4" w:space="0"/>
              <w:right w:val="single" w:color="000000" w:sz="4" w:space="0"/>
            </w:tcBorders>
            <w:vAlign w:val="center"/>
          </w:tcPr>
          <w:p w14:paraId="24BDD8AB">
            <w:pPr>
              <w:spacing w:line="360" w:lineRule="auto"/>
              <w:rPr>
                <w:rFonts w:ascii="宋体" w:hAnsi="宋体"/>
                <w:color w:val="auto"/>
                <w:szCs w:val="21"/>
                <w:highlight w:val="none"/>
              </w:rPr>
            </w:pPr>
            <w:r>
              <w:rPr>
                <w:rFonts w:hint="eastAsia" w:ascii="宋体" w:hAnsi="宋体"/>
                <w:color w:val="auto"/>
                <w:szCs w:val="21"/>
                <w:highlight w:val="none"/>
              </w:rPr>
              <w:t>☑本项目不收取履约保证金。</w:t>
            </w:r>
          </w:p>
          <w:p w14:paraId="4B8A337F">
            <w:pPr>
              <w:spacing w:line="360" w:lineRule="auto"/>
              <w:rPr>
                <w:rFonts w:ascii="宋体" w:hAnsi="宋体"/>
                <w:color w:val="auto"/>
                <w:szCs w:val="21"/>
                <w:highlight w:val="none"/>
              </w:rPr>
            </w:pPr>
            <w:r>
              <w:rPr>
                <w:rFonts w:hint="eastAsia" w:ascii="宋体" w:hAnsi="宋体"/>
                <w:color w:val="auto"/>
                <w:szCs w:val="21"/>
                <w:highlight w:val="none"/>
              </w:rPr>
              <w:t>□本项目收取履约保证金，具体规定如下：</w:t>
            </w:r>
          </w:p>
          <w:p w14:paraId="4E0CBB9F">
            <w:pPr>
              <w:spacing w:line="360" w:lineRule="auto"/>
              <w:rPr>
                <w:rFonts w:ascii="宋体" w:hAnsi="宋体"/>
                <w:color w:val="auto"/>
                <w:szCs w:val="21"/>
                <w:highlight w:val="none"/>
              </w:rPr>
            </w:pPr>
            <w:r>
              <w:rPr>
                <w:rFonts w:hint="eastAsia" w:ascii="宋体" w:hAnsi="宋体" w:cs="宋体"/>
                <w:color w:val="auto"/>
                <w:szCs w:val="21"/>
                <w:highlight w:val="none"/>
              </w:rPr>
              <w:t>履约保证金金额：每分标按成交金额的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w:t>
            </w:r>
          </w:p>
          <w:p w14:paraId="71FBCEDE">
            <w:pPr>
              <w:spacing w:line="360" w:lineRule="auto"/>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w:t>
            </w:r>
          </w:p>
          <w:p w14:paraId="1169C712">
            <w:pPr>
              <w:spacing w:line="360" w:lineRule="auto"/>
              <w:rPr>
                <w:rFonts w:ascii="宋体" w:hAnsi="宋体"/>
                <w:color w:val="auto"/>
                <w:szCs w:val="21"/>
                <w:highlight w:val="none"/>
              </w:rPr>
            </w:pPr>
            <w:r>
              <w:rPr>
                <w:rFonts w:hint="eastAsia" w:ascii="宋体" w:hAnsi="宋体"/>
                <w:color w:val="auto"/>
                <w:szCs w:val="21"/>
                <w:highlight w:val="none"/>
              </w:rPr>
              <w:t>履约保证金缴纳期限：</w:t>
            </w:r>
            <w:r>
              <w:rPr>
                <w:color w:val="auto"/>
                <w:highlight w:val="none"/>
              </w:rPr>
              <w:t xml:space="preserve"> </w:t>
            </w:r>
            <w:r>
              <w:rPr>
                <w:rFonts w:hint="eastAsia" w:ascii="宋体" w:hAnsi="宋体"/>
                <w:color w:val="auto"/>
                <w:szCs w:val="21"/>
                <w:highlight w:val="none"/>
                <w:u w:val="single"/>
              </w:rPr>
              <w:t>自成交通知书发出之日起5日内(注意请勿超过采购需求中规定的签订合同时限)</w:t>
            </w:r>
            <w:r>
              <w:rPr>
                <w:rFonts w:hint="eastAsia" w:ascii="宋体" w:hAnsi="宋体"/>
                <w:color w:val="auto"/>
                <w:szCs w:val="21"/>
                <w:highlight w:val="none"/>
              </w:rPr>
              <w:t>。</w:t>
            </w:r>
          </w:p>
          <w:p w14:paraId="6B4750E1">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由成交供应商向履约保证金收取单位提供《广西壮族自治区政府采购项目合同验收书》（详见桂财采〔2015〕22号），保证金收取单位在收到合格材料后5个工作日内办理退还手续（不计利息）。</w:t>
            </w:r>
          </w:p>
          <w:p w14:paraId="34FFCECA">
            <w:pPr>
              <w:spacing w:line="360" w:lineRule="auto"/>
              <w:rPr>
                <w:rFonts w:ascii="宋体" w:hAnsi="宋体" w:cs="宋体"/>
                <w:color w:val="auto"/>
                <w:szCs w:val="21"/>
                <w:highlight w:val="none"/>
              </w:rPr>
            </w:pPr>
            <w:r>
              <w:rPr>
                <w:rFonts w:hint="eastAsia" w:ascii="宋体" w:hAnsi="宋体" w:cs="宋体"/>
                <w:color w:val="auto"/>
                <w:szCs w:val="21"/>
                <w:highlight w:val="none"/>
              </w:rPr>
              <w:t>履约保证金指定账户：</w:t>
            </w:r>
          </w:p>
          <w:p w14:paraId="6890B204">
            <w:pPr>
              <w:spacing w:line="360" w:lineRule="auto"/>
              <w:rPr>
                <w:rFonts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p>
          <w:p w14:paraId="6B27B3F7">
            <w:pPr>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2A761263">
            <w:pPr>
              <w:spacing w:line="360" w:lineRule="auto"/>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p>
          <w:p w14:paraId="7B84178C">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14:paraId="3C9AA90C">
            <w:pPr>
              <w:spacing w:line="360" w:lineRule="auto"/>
              <w:rPr>
                <w:rFonts w:ascii="宋体" w:hAnsi="宋体" w:cs="宋体"/>
                <w:b/>
                <w:color w:val="auto"/>
                <w:sz w:val="24"/>
                <w:highlight w:val="none"/>
              </w:rPr>
            </w:pPr>
            <w:r>
              <w:rPr>
                <w:rFonts w:hint="eastAsia" w:ascii="宋体" w:hAnsi="宋体" w:cs="宋体"/>
                <w:b/>
                <w:color w:val="auto"/>
                <w:szCs w:val="21"/>
                <w:highlight w:val="none"/>
              </w:rPr>
              <w:t>1.</w:t>
            </w:r>
            <w:r>
              <w:rPr>
                <w:rFonts w:hint="eastAsia" w:ascii="宋体" w:hAnsi="宋体"/>
                <w:b/>
                <w:color w:val="auto"/>
                <w:szCs w:val="21"/>
                <w:highlight w:val="none"/>
              </w:rPr>
              <w:t xml:space="preserve"> </w:t>
            </w:r>
            <w:bookmarkStart w:id="62" w:name="_Hlk54170335"/>
            <w:r>
              <w:rPr>
                <w:rFonts w:hint="eastAsia" w:ascii="宋体" w:hAnsi="宋体"/>
                <w:b/>
                <w:color w:val="auto"/>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sz w:val="24"/>
                <w:highlight w:val="none"/>
              </w:rPr>
              <w:t>。</w:t>
            </w:r>
            <w:bookmarkEnd w:id="62"/>
          </w:p>
          <w:p w14:paraId="64AAFC34">
            <w:pPr>
              <w:spacing w:line="360" w:lineRule="auto"/>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b/>
                <w:color w:val="auto"/>
                <w:szCs w:val="21"/>
                <w:highlight w:val="none"/>
              </w:rPr>
              <w:t xml:space="preserve">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cs="宋体"/>
                <w:b/>
                <w:color w:val="auto"/>
                <w:szCs w:val="21"/>
                <w:highlight w:val="none"/>
              </w:rPr>
              <w:t>3.采用银行、保险机构出具的保函的，必须为无条件保函，否则不予签订合同。</w:t>
            </w:r>
          </w:p>
          <w:p w14:paraId="4882384B">
            <w:pPr>
              <w:spacing w:line="360" w:lineRule="auto"/>
              <w:contextualSpacing/>
              <w:rPr>
                <w:rFonts w:ascii="宋体" w:hAnsi="宋体" w:cs="宋体"/>
                <w:color w:val="auto"/>
                <w:szCs w:val="21"/>
                <w:highlight w:val="none"/>
              </w:rPr>
            </w:pPr>
            <w:r>
              <w:rPr>
                <w:rFonts w:hint="eastAsia" w:ascii="宋体" w:hAnsi="宋体" w:cs="宋体"/>
                <w:b/>
                <w:color w:val="auto"/>
                <w:szCs w:val="21"/>
                <w:highlight w:val="none"/>
              </w:rPr>
              <w:t>4.供应商为联合体的，由联合体任意一方按规定提交的履约保证金，视为有效履约保证金。</w:t>
            </w:r>
          </w:p>
        </w:tc>
      </w:tr>
      <w:tr w14:paraId="1065B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E2FF25F">
            <w:pPr>
              <w:spacing w:line="360" w:lineRule="auto"/>
              <w:contextualSpacing/>
              <w:jc w:val="center"/>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7912" w:type="dxa"/>
            <w:tcBorders>
              <w:top w:val="single" w:color="000000" w:sz="4" w:space="0"/>
              <w:left w:val="single" w:color="000000" w:sz="4" w:space="0"/>
              <w:bottom w:val="single" w:color="000000" w:sz="4" w:space="0"/>
              <w:right w:val="single" w:color="000000" w:sz="4" w:space="0"/>
            </w:tcBorders>
            <w:vAlign w:val="center"/>
          </w:tcPr>
          <w:p w14:paraId="3F9FB045">
            <w:pP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6E8092D4">
            <w:pPr>
              <w:spacing w:line="360" w:lineRule="auto"/>
              <w:contextualSpacing/>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06B1C0A6">
            <w:pPr>
              <w:spacing w:line="360" w:lineRule="auto"/>
              <w:contextualSpacing/>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6E32D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E105A5D">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tcBorders>
              <w:top w:val="single" w:color="000000" w:sz="4" w:space="0"/>
              <w:left w:val="single" w:color="000000" w:sz="4" w:space="0"/>
              <w:bottom w:val="single" w:color="000000" w:sz="4" w:space="0"/>
              <w:right w:val="single" w:color="000000" w:sz="4" w:space="0"/>
            </w:tcBorders>
            <w:vAlign w:val="center"/>
          </w:tcPr>
          <w:p w14:paraId="40A435F2">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05CB0C3E">
            <w:pPr>
              <w:spacing w:line="360" w:lineRule="auto"/>
              <w:rPr>
                <w:rFonts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u w:val="single"/>
              </w:rPr>
              <w:t>云之龙咨询集团有限公司，联系电话：0774-3859935，通讯地址：梧州市新兴三路30号神冠豪都B栋1单元1008号房</w:t>
            </w:r>
          </w:p>
          <w:p w14:paraId="2859FE61">
            <w:pPr>
              <w:pStyle w:val="214"/>
              <w:spacing w:line="360" w:lineRule="auto"/>
              <w:contextualSpacing/>
              <w:rPr>
                <w:rFonts w:hAnsi="宋体" w:cs="宋体"/>
                <w:color w:val="auto"/>
                <w:sz w:val="21"/>
                <w:highlight w:val="none"/>
              </w:rPr>
            </w:pPr>
            <w:r>
              <w:rPr>
                <w:rFonts w:hint="eastAsia" w:hAnsi="宋体" w:cs="宋体"/>
                <w:color w:val="auto"/>
                <w:sz w:val="21"/>
                <w:highlight w:val="none"/>
              </w:rPr>
              <w:t>业务时间：工作日每天上午8时00分到12时00分，下午3时00分到6时00分。</w:t>
            </w:r>
          </w:p>
        </w:tc>
      </w:tr>
      <w:tr w14:paraId="38D97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EF05C93">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7912" w:type="dxa"/>
            <w:tcBorders>
              <w:top w:val="single" w:color="000000" w:sz="4" w:space="0"/>
              <w:left w:val="single" w:color="000000" w:sz="4" w:space="0"/>
              <w:bottom w:val="single" w:color="000000" w:sz="4" w:space="0"/>
              <w:right w:val="single" w:color="000000" w:sz="4" w:space="0"/>
            </w:tcBorders>
            <w:vAlign w:val="center"/>
          </w:tcPr>
          <w:p w14:paraId="063C1F49">
            <w:pPr>
              <w:pStyle w:val="214"/>
              <w:spacing w:line="360" w:lineRule="auto"/>
              <w:contextualSpacing/>
              <w:rPr>
                <w:rFonts w:hAnsi="宋体" w:cs="宋体"/>
                <w:color w:val="auto"/>
                <w:sz w:val="21"/>
                <w:highlight w:val="none"/>
              </w:rPr>
            </w:pPr>
            <w:r>
              <w:rPr>
                <w:rFonts w:hint="eastAsia" w:hAnsi="宋体" w:cs="宋体"/>
                <w:color w:val="auto"/>
                <w:sz w:val="21"/>
                <w:highlight w:val="none"/>
              </w:rPr>
              <w:t>1.代理服务费支付方式：</w:t>
            </w:r>
          </w:p>
          <w:p w14:paraId="1BF45378">
            <w:pPr>
              <w:pStyle w:val="214"/>
              <w:spacing w:line="360" w:lineRule="auto"/>
              <w:contextualSpacing/>
              <w:rPr>
                <w:rFonts w:hAnsi="宋体" w:cs="宋体"/>
                <w:color w:val="auto"/>
                <w:sz w:val="21"/>
                <w:highlight w:val="none"/>
              </w:rPr>
            </w:pPr>
            <w:r>
              <w:rPr>
                <w:rFonts w:hint="eastAsia" w:hAnsi="宋体" w:cs="宋体"/>
                <w:color w:val="auto"/>
                <w:sz w:val="21"/>
                <w:highlight w:val="none"/>
              </w:rPr>
              <w:t>☑本项目代理服务费在发布成交结果公告后5日内，由成交供应商一次性向采购代理机构支付。</w:t>
            </w:r>
          </w:p>
          <w:p w14:paraId="7442DCDC">
            <w:pPr>
              <w:pStyle w:val="214"/>
              <w:spacing w:line="360" w:lineRule="auto"/>
              <w:contextualSpacing/>
              <w:rPr>
                <w:rFonts w:hAnsi="宋体" w:cs="宋体"/>
                <w:color w:val="auto"/>
                <w:sz w:val="21"/>
                <w:highlight w:val="none"/>
              </w:rPr>
            </w:pPr>
            <w:r>
              <w:rPr>
                <w:rFonts w:hint="eastAsia" w:hAnsi="宋体" w:cs="宋体"/>
                <w:color w:val="auto"/>
                <w:sz w:val="21"/>
                <w:highlight w:val="none"/>
              </w:rPr>
              <w:t>□采购人支付。</w:t>
            </w:r>
          </w:p>
          <w:p w14:paraId="2D547D37">
            <w:pPr>
              <w:pStyle w:val="214"/>
              <w:spacing w:line="360" w:lineRule="auto"/>
              <w:contextualSpacing/>
              <w:rPr>
                <w:rFonts w:hAnsi="宋体" w:cs="宋体"/>
                <w:color w:val="auto"/>
                <w:sz w:val="21"/>
                <w:highlight w:val="none"/>
              </w:rPr>
            </w:pPr>
            <w:r>
              <w:rPr>
                <w:rFonts w:hint="eastAsia" w:hAnsi="宋体" w:cs="宋体"/>
                <w:color w:val="auto"/>
                <w:sz w:val="21"/>
                <w:highlight w:val="none"/>
              </w:rPr>
              <w:t>2.代理服务费收取标准：</w:t>
            </w:r>
          </w:p>
          <w:p w14:paraId="2894C73A">
            <w:pPr>
              <w:pStyle w:val="214"/>
              <w:spacing w:line="360" w:lineRule="auto"/>
              <w:contextualSpacing/>
              <w:rPr>
                <w:rFonts w:hAnsi="宋体" w:cs="宋体"/>
                <w:color w:val="auto"/>
                <w:sz w:val="21"/>
                <w:highlight w:val="none"/>
              </w:rPr>
            </w:pPr>
            <w:r>
              <w:rPr>
                <w:rFonts w:hint="eastAsia" w:hAnsi="宋体" w:cs="宋体"/>
                <w:color w:val="auto"/>
                <w:sz w:val="21"/>
                <w:highlight w:val="none"/>
              </w:rPr>
              <w:t>☑以分标（☑成交金额/□采购预算/□暂定成交金额/□其他</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rPr>
              <w:t>）为计费额，按本须知正文第32.1条规定的（□货物类/☑服务类/□工程类）标准采用差额定率累进法计算出收费基准价格，代理服务费以（☑收费基准价格/□收费基准价格下浮</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u w:val="single"/>
              </w:rPr>
              <w:t>%</w:t>
            </w:r>
            <w:r>
              <w:rPr>
                <w:rFonts w:hAnsi="宋体" w:cs="宋体"/>
                <w:color w:val="auto"/>
                <w:sz w:val="21"/>
                <w:highlight w:val="none"/>
              </w:rPr>
              <w:t>/</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u w:val="single"/>
              </w:rPr>
              <w:t>%</w:t>
            </w:r>
            <w:r>
              <w:rPr>
                <w:rFonts w:hint="eastAsia" w:hAnsi="宋体" w:cs="宋体"/>
                <w:color w:val="auto"/>
                <w:sz w:val="21"/>
                <w:highlight w:val="none"/>
              </w:rPr>
              <w:t>）收取。</w:t>
            </w:r>
          </w:p>
          <w:p w14:paraId="0840754F">
            <w:pPr>
              <w:pStyle w:val="214"/>
              <w:spacing w:line="360" w:lineRule="auto"/>
              <w:contextualSpacing/>
              <w:rPr>
                <w:rFonts w:hAnsi="宋体" w:cs="宋体"/>
                <w:color w:val="auto"/>
                <w:sz w:val="21"/>
                <w:highlight w:val="none"/>
                <w:u w:val="single"/>
              </w:rPr>
            </w:pPr>
            <w:r>
              <w:rPr>
                <w:rFonts w:hint="eastAsia" w:hAnsi="宋体" w:cs="宋体"/>
                <w:color w:val="auto"/>
                <w:sz w:val="21"/>
                <w:highlight w:val="none"/>
              </w:rPr>
              <w:t>□固定代理服务费</w:t>
            </w:r>
            <w:r>
              <w:rPr>
                <w:rFonts w:hint="eastAsia" w:hAnsi="宋体" w:cs="宋体"/>
                <w:color w:val="auto"/>
                <w:sz w:val="21"/>
                <w:highlight w:val="none"/>
                <w:u w:val="single"/>
              </w:rPr>
              <w:t xml:space="preserve">              。</w:t>
            </w:r>
          </w:p>
          <w:p w14:paraId="7F16616B">
            <w:pPr>
              <w:pStyle w:val="214"/>
              <w:spacing w:line="360" w:lineRule="auto"/>
              <w:rPr>
                <w:rFonts w:hAnsi="宋体" w:cs="宋体"/>
                <w:color w:val="auto"/>
                <w:sz w:val="21"/>
                <w:highlight w:val="none"/>
              </w:rPr>
            </w:pPr>
            <w:r>
              <w:rPr>
                <w:rFonts w:hint="eastAsia" w:hAnsi="宋体" w:cs="宋体"/>
                <w:color w:val="auto"/>
                <w:sz w:val="21"/>
                <w:highlight w:val="none"/>
              </w:rPr>
              <w:t>3. 代理服务费收取银行账户</w:t>
            </w:r>
          </w:p>
          <w:p w14:paraId="7AA29132">
            <w:pPr>
              <w:pStyle w:val="214"/>
              <w:spacing w:line="360" w:lineRule="auto"/>
              <w:rPr>
                <w:rFonts w:hAnsi="宋体" w:cs="宋体"/>
                <w:color w:val="auto"/>
                <w:sz w:val="21"/>
                <w:highlight w:val="none"/>
              </w:rPr>
            </w:pPr>
            <w:r>
              <w:rPr>
                <w:rFonts w:hint="eastAsia" w:hAnsi="宋体" w:cs="宋体"/>
                <w:color w:val="auto"/>
                <w:sz w:val="21"/>
                <w:highlight w:val="none"/>
              </w:rPr>
              <w:t>开户名称：云之龙咨询集团有限公司梧州分公司</w:t>
            </w:r>
          </w:p>
          <w:p w14:paraId="3DB8FD35">
            <w:pPr>
              <w:pStyle w:val="214"/>
              <w:spacing w:line="360" w:lineRule="auto"/>
              <w:rPr>
                <w:rFonts w:hAnsi="宋体" w:cs="宋体"/>
                <w:color w:val="auto"/>
                <w:sz w:val="21"/>
                <w:highlight w:val="none"/>
              </w:rPr>
            </w:pPr>
            <w:r>
              <w:rPr>
                <w:rFonts w:hint="eastAsia" w:hAnsi="宋体" w:cs="宋体"/>
                <w:color w:val="auto"/>
                <w:sz w:val="21"/>
                <w:highlight w:val="none"/>
              </w:rPr>
              <w:t>开户银行：</w:t>
            </w:r>
            <w:r>
              <w:rPr>
                <w:rFonts w:hint="eastAsia" w:hAnsi="宋体" w:cs="宋体"/>
                <w:color w:val="auto"/>
                <w:sz w:val="21"/>
                <w:highlight w:val="none"/>
                <w:lang w:eastAsia="zh-CN"/>
              </w:rPr>
              <w:t>中信银行股份有限公司南宁园湖支行</w:t>
            </w:r>
            <w:r>
              <w:rPr>
                <w:rFonts w:hint="eastAsia" w:hAnsi="宋体" w:cs="宋体"/>
                <w:color w:val="auto"/>
                <w:sz w:val="21"/>
                <w:highlight w:val="none"/>
              </w:rPr>
              <w:t xml:space="preserve"> </w:t>
            </w:r>
          </w:p>
          <w:p w14:paraId="3427A489">
            <w:pPr>
              <w:pStyle w:val="214"/>
              <w:spacing w:line="360" w:lineRule="auto"/>
              <w:contextualSpacing/>
              <w:rPr>
                <w:rFonts w:hAnsi="宋体" w:cs="宋体"/>
                <w:color w:val="auto"/>
                <w:sz w:val="21"/>
                <w:highlight w:val="none"/>
                <w:u w:val="single"/>
              </w:rPr>
            </w:pPr>
            <w:r>
              <w:rPr>
                <w:rFonts w:hint="eastAsia" w:hAnsi="宋体" w:cs="宋体"/>
                <w:color w:val="auto"/>
                <w:sz w:val="21"/>
                <w:highlight w:val="none"/>
              </w:rPr>
              <w:t>银行账号：8113001013700074625</w:t>
            </w:r>
          </w:p>
        </w:tc>
      </w:tr>
      <w:tr w14:paraId="26DA3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DE1A458">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tcBorders>
              <w:top w:val="single" w:color="000000" w:sz="4" w:space="0"/>
              <w:left w:val="single" w:color="000000" w:sz="4" w:space="0"/>
              <w:bottom w:val="single" w:color="000000" w:sz="4" w:space="0"/>
              <w:right w:val="single" w:color="000000" w:sz="4" w:space="0"/>
            </w:tcBorders>
            <w:vAlign w:val="center"/>
          </w:tcPr>
          <w:p w14:paraId="1609CFF8">
            <w:pPr>
              <w:pStyle w:val="214"/>
              <w:spacing w:line="360" w:lineRule="auto"/>
              <w:rPr>
                <w:rFonts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谈判文件</w:t>
            </w:r>
            <w:r>
              <w:rPr>
                <w:rFonts w:hAnsi="宋体" w:cs="宋体"/>
                <w:color w:val="auto"/>
                <w:sz w:val="21"/>
                <w:highlight w:val="none"/>
              </w:rPr>
              <w:t>的各个组成文件应互为解释，互为说明；除</w:t>
            </w:r>
            <w:r>
              <w:rPr>
                <w:rFonts w:hint="eastAsia" w:hAnsi="宋体" w:cs="宋体"/>
                <w:color w:val="auto"/>
                <w:sz w:val="21"/>
                <w:highlight w:val="none"/>
              </w:rPr>
              <w:t>谈判文件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竞争性谈判</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评审程序和评定成交的标准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谈判文件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01C0F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3224261">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tcBorders>
              <w:top w:val="single" w:color="000000" w:sz="4" w:space="0"/>
              <w:left w:val="single" w:color="000000" w:sz="4" w:space="0"/>
              <w:bottom w:val="single" w:color="000000" w:sz="4" w:space="0"/>
              <w:right w:val="single" w:color="000000" w:sz="4" w:space="0"/>
            </w:tcBorders>
            <w:vAlign w:val="center"/>
          </w:tcPr>
          <w:p w14:paraId="43ABF02F">
            <w:pPr>
              <w:pStyle w:val="214"/>
              <w:spacing w:line="360" w:lineRule="auto"/>
              <w:rPr>
                <w:rFonts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11C33083">
            <w:pPr>
              <w:pStyle w:val="214"/>
              <w:spacing w:line="360" w:lineRule="auto"/>
              <w:rPr>
                <w:rFonts w:hAnsi="宋体" w:cs="宋体"/>
                <w:bCs/>
                <w:color w:val="auto"/>
                <w:sz w:val="21"/>
                <w:highlight w:val="none"/>
              </w:rPr>
            </w:pPr>
            <w:r>
              <w:rPr>
                <w:rFonts w:hint="eastAsia" w:hAnsi="宋体" w:cs="宋体"/>
                <w:bCs/>
                <w:color w:val="auto"/>
                <w:sz w:val="21"/>
                <w:highlight w:val="none"/>
              </w:rPr>
              <w:t>2.本谈判文件所称的“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669B3EF8">
            <w:pPr>
              <w:pStyle w:val="214"/>
              <w:spacing w:line="360" w:lineRule="auto"/>
              <w:rPr>
                <w:rFonts w:hAnsi="宋体" w:cs="宋体"/>
                <w:bCs/>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rPr>
              <w:t>营业执照或者执业许可证等证照上</w:t>
            </w:r>
            <w:r>
              <w:rPr>
                <w:rFonts w:hint="eastAsia" w:hAnsi="宋体" w:cs="宋体"/>
                <w:color w:val="auto"/>
                <w:sz w:val="21"/>
                <w:highlight w:val="none"/>
              </w:rPr>
              <w:t>的负责人，本谈判文件所称自然人指参与竞标的自然人本人，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4AE51143">
            <w:pPr>
              <w:pStyle w:val="214"/>
              <w:spacing w:line="360" w:lineRule="auto"/>
              <w:rPr>
                <w:rFonts w:hAnsi="宋体" w:cs="宋体"/>
                <w:color w:val="auto"/>
                <w:sz w:val="21"/>
                <w:highlight w:val="none"/>
              </w:rPr>
            </w:pPr>
            <w:r>
              <w:rPr>
                <w:rFonts w:hint="eastAsia" w:hAnsi="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19C9389C">
            <w:pPr>
              <w:pStyle w:val="214"/>
              <w:spacing w:line="360" w:lineRule="auto"/>
              <w:contextualSpacing/>
              <w:rPr>
                <w:rFonts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本谈判文件所称的“以上”“以下”“以内”“届满”，包括本数；所称的“不满”“超过”“以外”，不包括本数。</w:t>
            </w:r>
          </w:p>
        </w:tc>
      </w:tr>
    </w:tbl>
    <w:p w14:paraId="366B6283">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clear="all"/>
      </w:r>
      <w:r>
        <w:rPr>
          <w:rFonts w:hint="eastAsia" w:ascii="宋体" w:hAnsi="宋体"/>
          <w:b/>
          <w:color w:val="auto"/>
          <w:sz w:val="32"/>
          <w:szCs w:val="32"/>
          <w:highlight w:val="none"/>
        </w:rPr>
        <w:t>供应商须知正文</w:t>
      </w:r>
    </w:p>
    <w:p w14:paraId="4A9ADF0F">
      <w:pPr>
        <w:spacing w:line="400" w:lineRule="exact"/>
        <w:jc w:val="center"/>
        <w:rPr>
          <w:rFonts w:ascii="宋体" w:hAnsi="宋体"/>
          <w:b/>
          <w:color w:val="auto"/>
          <w:sz w:val="32"/>
          <w:szCs w:val="32"/>
          <w:highlight w:val="none"/>
        </w:rPr>
      </w:pPr>
    </w:p>
    <w:p w14:paraId="593D9195">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2F145BDA">
      <w:pPr>
        <w:spacing w:line="400" w:lineRule="exact"/>
        <w:rPr>
          <w:rFonts w:ascii="宋体" w:hAnsi="宋体"/>
          <w:color w:val="auto"/>
          <w:szCs w:val="21"/>
          <w:highlight w:val="none"/>
        </w:rPr>
      </w:pPr>
    </w:p>
    <w:p w14:paraId="751A86D2">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098517B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6EE4CC1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472E8E2C">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641D5D5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11B1BCF7">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7E92313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54C12B6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02BD8A0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“竞标”是指按照本项目竞争性谈判公告或者邀请函规定的方式供应商获取谈判文件、提交响应文件并希望获得成交资格的行为。</w:t>
      </w:r>
    </w:p>
    <w:p w14:paraId="4E29CEB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0F43BB2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3A0C0A8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2.8 “实质性要求”是指采购需求中带“▲”的条款或者不能负偏离的条款或者已经指明不满足按响应文件按无效处理的条款。</w:t>
      </w:r>
    </w:p>
    <w:p w14:paraId="163F9CA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2.9“正偏离”，是指响应文件对谈判文件“采购需求”中有关条款作出优于条款要求并有利于采购人的响应情形；</w:t>
      </w:r>
    </w:p>
    <w:p w14:paraId="417653C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2.10“负偏离”，是指响应文件对谈判文件“采购需求”中有关条款作出的响应不满足条款要求，导致采购人要求不能得到满足的情形。</w:t>
      </w:r>
    </w:p>
    <w:p w14:paraId="192F097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3BC1623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2.12“首次报价”是指供应商提交的首次响应文件中的竞标报价。</w:t>
      </w:r>
    </w:p>
    <w:p w14:paraId="10D02226">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69A60347">
      <w:pPr>
        <w:spacing w:line="360" w:lineRule="auto"/>
        <w:ind w:firstLine="420"/>
        <w:rPr>
          <w:rFonts w:ascii="黑体" w:hAnsi="黑体" w:eastAsia="黑体" w:cs="宋体"/>
          <w:b/>
          <w:bCs/>
          <w:color w:val="auto"/>
          <w:sz w:val="24"/>
          <w:highlight w:val="none"/>
        </w:rPr>
      </w:pPr>
      <w:r>
        <w:rPr>
          <w:rFonts w:hint="eastAsia" w:ascii="宋体" w:hAnsi="宋体" w:cs="宋体"/>
          <w:color w:val="auto"/>
          <w:szCs w:val="21"/>
          <w:highlight w:val="none"/>
        </w:rPr>
        <w:t>供应商的资格条件详见“供应商须知前附表”。</w:t>
      </w:r>
    </w:p>
    <w:p w14:paraId="223445BE">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2BA0FF8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0FFC408B">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217E01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34EBDA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4D3BC72B">
      <w:pPr>
        <w:spacing w:line="360" w:lineRule="auto"/>
        <w:ind w:firstLine="420"/>
        <w:rPr>
          <w:rFonts w:ascii="宋体" w:hAnsi="宋体"/>
          <w:bCs/>
          <w:color w:val="auto"/>
          <w:szCs w:val="21"/>
          <w:highlight w:val="none"/>
        </w:rPr>
      </w:pPr>
      <w:bookmarkStart w:id="63" w:name="_Hlk66782192"/>
      <w:r>
        <w:rPr>
          <w:rFonts w:hint="eastAsia" w:ascii="宋体" w:hAnsi="宋体"/>
          <w:bCs/>
          <w:color w:val="auto"/>
          <w:szCs w:val="21"/>
          <w:highlight w:val="none"/>
        </w:rPr>
        <w:t>5.3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3"/>
    </w:p>
    <w:p w14:paraId="66338014">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 6.转包与分包             </w:t>
      </w:r>
    </w:p>
    <w:p w14:paraId="7B4E431F">
      <w:pPr>
        <w:pStyle w:val="197"/>
        <w:keepNext w:val="0"/>
        <w:keepLines w:val="0"/>
        <w:spacing w:before="0" w:after="0" w:line="360" w:lineRule="auto"/>
        <w:ind w:left="420"/>
        <w:rPr>
          <w:rFonts w:ascii="宋体" w:hAnsi="宋体"/>
          <w:b w:val="0"/>
          <w:color w:val="auto"/>
          <w:sz w:val="21"/>
          <w:szCs w:val="21"/>
          <w:highlight w:val="none"/>
        </w:rPr>
      </w:pPr>
      <w:bookmarkStart w:id="64" w:name="_Toc254970673"/>
      <w:bookmarkStart w:id="65" w:name="_Toc254970532"/>
      <w:r>
        <w:rPr>
          <w:rFonts w:hint="eastAsia" w:ascii="宋体" w:hAnsi="宋体"/>
          <w:b w:val="0"/>
          <w:color w:val="auto"/>
          <w:sz w:val="21"/>
          <w:szCs w:val="21"/>
          <w:highlight w:val="none"/>
        </w:rPr>
        <w:t>6.1本项目不允许转包。</w:t>
      </w:r>
    </w:p>
    <w:p w14:paraId="6E22BB43">
      <w:pPr>
        <w:pStyle w:val="197"/>
        <w:keepNext w:val="0"/>
        <w:keepLines w:val="0"/>
        <w:spacing w:before="0" w:after="0" w:line="360" w:lineRule="auto"/>
        <w:ind w:firstLine="315"/>
        <w:rPr>
          <w:rFonts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D0F450C">
      <w:pPr>
        <w:pStyle w:val="197"/>
        <w:keepNext w:val="0"/>
        <w:keepLines w:val="0"/>
        <w:spacing w:before="0" w:after="0" w:line="360" w:lineRule="auto"/>
        <w:ind w:firstLine="315"/>
        <w:rPr>
          <w:rFonts w:ascii="宋体" w:hAnsi="宋体"/>
          <w:b w:val="0"/>
          <w:color w:val="auto"/>
          <w:sz w:val="21"/>
          <w:szCs w:val="21"/>
          <w:highlight w:val="none"/>
        </w:rPr>
      </w:pPr>
      <w:r>
        <w:rPr>
          <w:rFonts w:hint="eastAsia" w:ascii="宋体" w:hAnsi="宋体"/>
          <w:b w:val="0"/>
          <w:color w:val="auto"/>
          <w:sz w:val="21"/>
          <w:szCs w:val="21"/>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71A873F0">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4"/>
      <w:bookmarkEnd w:id="65"/>
      <w:bookmarkStart w:id="66" w:name="_8.1提供相同品牌产品且通过资格审查、符合性审查的不同投标人参加同一合"/>
      <w:bookmarkEnd w:id="66"/>
    </w:p>
    <w:p w14:paraId="5D7BAA0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1</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4B6C834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2239BC0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7BFCEEB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2C91ED3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62110D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EC2C54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D38BC9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BA3E3C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217F6A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6DF447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3B7D356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（1）不同供应商的响应文件由同一单位或者个人编制；或不同供应商报名的IP地址一致的；或不同供应商竞标设备信息（包括但不限于：IP地址、MAC地址、硬盘号、主板号）一致的； </w:t>
      </w:r>
    </w:p>
    <w:p w14:paraId="0380B14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8BB989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EC8E13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24CA4B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CA05AA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6A81EB8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w:t>
      </w:r>
      <w:bookmarkStart w:id="67" w:name="_Hlk54682620"/>
      <w:r>
        <w:rPr>
          <w:rFonts w:hint="eastAsia" w:ascii="宋体" w:hAnsi="宋体" w:cs="宋体"/>
          <w:color w:val="auto"/>
          <w:szCs w:val="21"/>
          <w:highlight w:val="none"/>
        </w:rPr>
        <w:t>，将报同级监督管理部门</w:t>
      </w:r>
      <w:bookmarkEnd w:id="67"/>
      <w:r>
        <w:rPr>
          <w:rFonts w:hint="eastAsia" w:ascii="宋体" w:hAnsi="宋体" w:cs="宋体"/>
          <w:color w:val="auto"/>
          <w:szCs w:val="21"/>
          <w:highlight w:val="none"/>
        </w:rPr>
        <w:t>：</w:t>
      </w:r>
    </w:p>
    <w:p w14:paraId="6AE3DCC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B53C06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85B499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6D00F7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0FF234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9EA796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7B64CB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F930C69">
      <w:pPr>
        <w:pStyle w:val="198"/>
        <w:spacing w:line="360" w:lineRule="auto"/>
        <w:rPr>
          <w:rFonts w:ascii="宋体" w:hAnsi="宋体"/>
          <w:color w:val="auto"/>
          <w:highlight w:val="none"/>
        </w:rPr>
      </w:pPr>
      <w:r>
        <w:rPr>
          <w:rFonts w:ascii="宋体" w:hAnsi="宋体"/>
          <w:color w:val="auto"/>
          <w:highlight w:val="none"/>
        </w:rPr>
        <w:t>7.7</w:t>
      </w:r>
      <w:r>
        <w:rPr>
          <w:rFonts w:hint="eastAsia" w:ascii="宋体" w:hAnsi="宋体"/>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15BDD39">
      <w:pPr>
        <w:pStyle w:val="198"/>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0DB19687">
      <w:pPr>
        <w:widowControl/>
        <w:shd w:val="clear" w:color="auto" w:fill="FFFFFF"/>
        <w:spacing w:before="30" w:after="30" w:line="360" w:lineRule="auto"/>
        <w:jc w:val="center"/>
        <w:rPr>
          <w:rFonts w:ascii="宋体" w:hAnsi="宋体" w:cs="宋体"/>
          <w:color w:val="auto"/>
          <w:sz w:val="24"/>
          <w:highlight w:val="none"/>
        </w:rPr>
      </w:pPr>
      <w:r>
        <w:rPr>
          <w:rFonts w:ascii="宋体" w:hAnsi="宋体" w:cs="宋体"/>
          <w:color w:val="auto"/>
          <w:sz w:val="24"/>
          <w:highlight w:val="none"/>
        </w:rPr>
        <w:fldChar w:fldCharType="begin"/>
      </w:r>
      <w:r>
        <w:rPr>
          <w:rFonts w:ascii="宋体" w:hAnsi="宋体" w:cs="宋体"/>
          <w:color w:val="auto"/>
          <w:sz w:val="24"/>
          <w:highlight w:val="none"/>
        </w:rPr>
        <w:instrText xml:space="preserve"> INCLUDEPICTURE "https://www.gov.cn/zhengce/content/202509/W020250930645245947614.png" \* MERGEFORMATINET </w:instrText>
      </w:r>
      <w:r>
        <w:rPr>
          <w:rFonts w:ascii="宋体" w:hAnsi="宋体" w:cs="宋体"/>
          <w:color w:val="auto"/>
          <w:sz w:val="24"/>
          <w:highlight w:val="none"/>
        </w:rPr>
        <w:fldChar w:fldCharType="separate"/>
      </w:r>
      <w:r>
        <w:rPr>
          <w:rFonts w:ascii="宋体" w:hAnsi="宋体" w:cs="宋体"/>
          <w:color w:val="auto"/>
          <w:sz w:val="24"/>
          <w:highlight w:val="none"/>
        </w:rPr>
        <w:drawing>
          <wp:inline distT="0" distB="0" distL="0" distR="0">
            <wp:extent cx="4827905" cy="762635"/>
            <wp:effectExtent l="0" t="0" r="0" b="0"/>
            <wp:docPr id="3" name="_x0000_i7171"/>
            <wp:cNvGraphicFramePr/>
            <a:graphic xmlns:a="http://schemas.openxmlformats.org/drawingml/2006/main">
              <a:graphicData uri="http://schemas.openxmlformats.org/drawingml/2006/picture">
                <pic:pic xmlns:pic="http://schemas.openxmlformats.org/drawingml/2006/picture">
                  <pic:nvPicPr>
                    <pic:cNvPr id="3" name="_x0000_i7171"/>
                    <pic:cNvPicPr/>
                  </pic:nvPicPr>
                  <pic:blipFill>
                    <a:blip r:embed="rId8"/>
                    <a:stretch>
                      <a:fillRect/>
                    </a:stretch>
                  </pic:blipFill>
                  <pic:spPr>
                    <a:xfrm>
                      <a:off x="0" y="0"/>
                      <a:ext cx="4827905" cy="762762"/>
                    </a:xfrm>
                    <a:prstGeom prst="rect">
                      <a:avLst/>
                    </a:prstGeom>
                    <a:noFill/>
                  </pic:spPr>
                </pic:pic>
              </a:graphicData>
            </a:graphic>
          </wp:inline>
        </w:drawing>
      </w:r>
      <w:r>
        <w:rPr>
          <w:rFonts w:ascii="宋体" w:hAnsi="宋体" w:cs="宋体"/>
          <w:color w:val="auto"/>
          <w:sz w:val="24"/>
          <w:highlight w:val="none"/>
        </w:rPr>
        <w:fldChar w:fldCharType="end"/>
      </w:r>
    </w:p>
    <w:p w14:paraId="3F4905BE">
      <w:pPr>
        <w:pStyle w:val="198"/>
        <w:spacing w:line="360" w:lineRule="auto"/>
        <w:rPr>
          <w:rFonts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289FFA6">
      <w:pPr>
        <w:pStyle w:val="198"/>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479AB500">
      <w:pPr>
        <w:pStyle w:val="198"/>
        <w:spacing w:line="360" w:lineRule="auto"/>
        <w:rPr>
          <w:rFonts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B2E653E">
      <w:pPr>
        <w:spacing w:line="360" w:lineRule="auto"/>
        <w:ind w:firstLine="420"/>
        <w:rPr>
          <w:rFonts w:ascii="宋体" w:hAnsi="宋体" w:cs="宋体"/>
          <w:color w:val="auto"/>
          <w:szCs w:val="21"/>
          <w:highlight w:val="none"/>
        </w:rPr>
      </w:pPr>
    </w:p>
    <w:p w14:paraId="5D0389A5">
      <w:pPr>
        <w:spacing w:line="360" w:lineRule="auto"/>
        <w:ind w:left="1" w:firstLine="417"/>
        <w:jc w:val="center"/>
        <w:rPr>
          <w:rFonts w:ascii="宋体" w:hAnsi="宋体"/>
          <w:color w:val="auto"/>
          <w:highlight w:val="none"/>
        </w:rPr>
      </w:pPr>
      <w:bookmarkStart w:id="68" w:name="_Toc254970534"/>
      <w:bookmarkStart w:id="69" w:name="_Toc254970675"/>
    </w:p>
    <w:p w14:paraId="4E34D2ED">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二、谈判文件</w:t>
      </w:r>
      <w:bookmarkEnd w:id="68"/>
      <w:bookmarkEnd w:id="69"/>
    </w:p>
    <w:p w14:paraId="6AEB78FD">
      <w:pPr>
        <w:spacing w:line="360" w:lineRule="auto"/>
        <w:jc w:val="center"/>
        <w:rPr>
          <w:rFonts w:ascii="宋体" w:hAnsi="宋体"/>
          <w:color w:val="auto"/>
          <w:szCs w:val="21"/>
          <w:highlight w:val="none"/>
        </w:rPr>
      </w:pPr>
    </w:p>
    <w:p w14:paraId="54C56270">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37792990">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（1）竞争性谈判公告；</w:t>
      </w:r>
    </w:p>
    <w:p w14:paraId="72B1F89B">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733452DE">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（3）采购需求；</w:t>
      </w:r>
    </w:p>
    <w:p w14:paraId="6FA1750A">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（4）响应文件格式</w:t>
      </w:r>
    </w:p>
    <w:p w14:paraId="6575D152">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（5）合同文本；</w:t>
      </w:r>
    </w:p>
    <w:p w14:paraId="5E7BC633">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（6）评审程序和评定成交的标准；</w:t>
      </w:r>
    </w:p>
    <w:p w14:paraId="68FE16A7">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1E7CA65A">
      <w:pPr>
        <w:spacing w:line="360" w:lineRule="auto"/>
        <w:ind w:firstLine="420"/>
        <w:rPr>
          <w:rFonts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229E5FEF">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0EC5B6C3">
      <w:pPr>
        <w:spacing w:line="360" w:lineRule="auto"/>
        <w:ind w:firstLine="420"/>
        <w:rPr>
          <w:rFonts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6A474524">
      <w:pPr>
        <w:spacing w:line="360" w:lineRule="auto"/>
        <w:rPr>
          <w:rFonts w:ascii="宋体" w:hAnsi="宋体"/>
          <w:color w:val="auto"/>
          <w:szCs w:val="21"/>
          <w:highlight w:val="none"/>
        </w:rPr>
      </w:pPr>
    </w:p>
    <w:p w14:paraId="6DC0E2CC">
      <w:pPr>
        <w:spacing w:line="360" w:lineRule="auto"/>
        <w:jc w:val="center"/>
        <w:rPr>
          <w:rFonts w:ascii="宋体" w:hAnsi="宋体"/>
          <w:b/>
          <w:color w:val="auto"/>
          <w:szCs w:val="21"/>
          <w:highlight w:val="none"/>
        </w:rPr>
      </w:pPr>
      <w:r>
        <w:rPr>
          <w:rFonts w:hint="eastAsia" w:ascii="宋体" w:hAnsi="宋体"/>
          <w:b/>
          <w:color w:val="auto"/>
          <w:sz w:val="32"/>
          <w:szCs w:val="32"/>
          <w:highlight w:val="none"/>
        </w:rPr>
        <w:t>三、响应文件的编制</w:t>
      </w:r>
    </w:p>
    <w:p w14:paraId="6354DD4F">
      <w:pPr>
        <w:spacing w:line="360" w:lineRule="auto"/>
        <w:rPr>
          <w:rFonts w:ascii="宋体" w:hAnsi="宋体"/>
          <w:color w:val="auto"/>
          <w:szCs w:val="21"/>
          <w:highlight w:val="none"/>
        </w:rPr>
      </w:pPr>
    </w:p>
    <w:p w14:paraId="46C7C78B">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47ED4FB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53C752FC">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1D33587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616A8AFC">
      <w:pPr>
        <w:spacing w:line="360" w:lineRule="auto"/>
        <w:ind w:left="840" w:hanging="42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5693B209">
      <w:pPr>
        <w:spacing w:line="360" w:lineRule="auto"/>
        <w:ind w:left="840" w:hanging="42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2693B3C3">
      <w:pPr>
        <w:spacing w:line="360" w:lineRule="auto"/>
        <w:ind w:left="840" w:hanging="42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0AF76097">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3EF58EB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0B78D368">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46808B2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415FB71F">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7990DE11">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47530C74">
      <w:pPr>
        <w:tabs>
          <w:tab w:val="left" w:pos="2492"/>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17859928">
      <w:pPr>
        <w:spacing w:line="360" w:lineRule="auto"/>
        <w:ind w:left="426"/>
        <w:rPr>
          <w:rFonts w:ascii="宋体" w:hAnsi="宋体" w:cs="宋体"/>
          <w:color w:val="auto"/>
          <w:szCs w:val="21"/>
          <w:highlight w:val="none"/>
        </w:rPr>
      </w:pPr>
      <w:r>
        <w:rPr>
          <w:rFonts w:hint="eastAsia" w:ascii="宋体" w:hAnsi="宋体" w:cs="宋体"/>
          <w:color w:val="auto"/>
          <w:szCs w:val="21"/>
          <w:highlight w:val="none"/>
        </w:rPr>
        <w:t>15.3竞标报价要求</w:t>
      </w:r>
    </w:p>
    <w:p w14:paraId="1FE6ACF8">
      <w:pPr>
        <w:spacing w:line="360" w:lineRule="auto"/>
        <w:ind w:firstLine="420"/>
        <w:rPr>
          <w:rFonts w:ascii="宋体" w:hAnsi="宋体" w:cs="宋体"/>
          <w:color w:val="auto"/>
          <w:szCs w:val="21"/>
          <w:highlight w:val="none"/>
        </w:rPr>
      </w:pPr>
      <w:bookmarkStart w:id="70" w:name="_Hlk55576148"/>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65431AF2">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1EEC434C">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0AE1A47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29BFDF1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5C47BAAD">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竞标报价（包含首次报价、最后报价）超过分项采购预算金额或者最高限价的，其响应文件将按无效处理。</w:t>
      </w:r>
      <w:bookmarkEnd w:id="70"/>
    </w:p>
    <w:p w14:paraId="7FBEE054">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28FF412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21C91C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r>
        <w:rPr>
          <w:rFonts w:hint="eastAsia" w:ascii="宋体" w:hAnsi="宋体"/>
          <w:color w:val="auto"/>
          <w:szCs w:val="21"/>
          <w:highlight w:val="none"/>
        </w:rPr>
        <w:t>承诺的竞标有效期低于采购文件规定期限的，供应商的响应文件作无效处理。</w:t>
      </w:r>
    </w:p>
    <w:p w14:paraId="15D40F5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 16.3供应商的响应文件在竞标有效期内均保持有效。</w:t>
      </w:r>
    </w:p>
    <w:p w14:paraId="4E5D9F98">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17.竞标保证金</w:t>
      </w:r>
    </w:p>
    <w:p w14:paraId="2EE146AC">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1E11F811">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17.2竞标保证金的退还</w:t>
      </w:r>
    </w:p>
    <w:p w14:paraId="4E23103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olor w:val="auto"/>
          <w:szCs w:val="21"/>
          <w:highlight w:val="none"/>
        </w:rPr>
        <w:t>；</w:t>
      </w:r>
      <w:r>
        <w:rPr>
          <w:rFonts w:hint="eastAsia" w:ascii="宋体" w:hAnsi="宋体" w:cs="宋体"/>
          <w:color w:val="auto"/>
          <w:szCs w:val="21"/>
          <w:highlight w:val="none"/>
        </w:rPr>
        <w:t xml:space="preserve">成交供应商的竞标保证金自签订合同之日起5个工作日内退还。 </w:t>
      </w:r>
    </w:p>
    <w:p w14:paraId="1F1FFBED">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17.3竞标保证金不计息。</w:t>
      </w:r>
    </w:p>
    <w:p w14:paraId="5BDB281E">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7D119212">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525C9492">
      <w:pPr>
        <w:spacing w:line="360" w:lineRule="auto"/>
        <w:ind w:left="42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5775418F">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619F191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0B3D2F8A">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33548E8A">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59A3B401">
      <w:pPr>
        <w:spacing w:line="360" w:lineRule="auto"/>
        <w:ind w:firstLine="482"/>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218FBF5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74B9CAF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135CD92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301922F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6C3715F2">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37E7F83">
      <w:pPr>
        <w:spacing w:line="360" w:lineRule="auto"/>
        <w:ind w:firstLine="482"/>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19. 电子</w:t>
      </w:r>
      <w:r>
        <w:rPr>
          <w:rFonts w:hint="eastAsia" w:ascii="黑体" w:hAnsi="黑体" w:eastAsia="黑体"/>
          <w:b/>
          <w:color w:val="auto"/>
          <w:sz w:val="24"/>
          <w:highlight w:val="none"/>
        </w:rPr>
        <w:t>备份响应文件</w:t>
      </w:r>
    </w:p>
    <w:p w14:paraId="62A5C994">
      <w:pPr>
        <w:spacing w:line="360" w:lineRule="auto"/>
        <w:ind w:firstLine="420"/>
        <w:contextualSpacing/>
        <w:rPr>
          <w:rFonts w:ascii="宋体" w:hAnsi="宋体" w:cs="宋体"/>
          <w:color w:val="auto"/>
          <w:szCs w:val="21"/>
          <w:highlight w:val="none"/>
        </w:rPr>
      </w:pPr>
      <w:r>
        <w:rPr>
          <w:rFonts w:hint="eastAsia"/>
          <w:color w:val="auto"/>
          <w:highlight w:val="none"/>
        </w:rPr>
        <w:t>电子备份响应文件是指通过在线编制生成且后缀名为“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101F4F64">
      <w:pPr>
        <w:spacing w:line="360" w:lineRule="auto"/>
        <w:ind w:firstLine="482"/>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4DED1DA8">
      <w:pPr>
        <w:spacing w:line="360" w:lineRule="auto"/>
        <w:ind w:firstLine="420"/>
        <w:rPr>
          <w:rFonts w:hAnsi="宋体"/>
          <w:b/>
          <w:color w:val="auto"/>
          <w:highlight w:val="none"/>
        </w:rPr>
      </w:pPr>
      <w:r>
        <w:rPr>
          <w:rFonts w:hAnsi="宋体"/>
          <w:bCs/>
          <w:color w:val="auto"/>
          <w:szCs w:val="21"/>
          <w:highlight w:val="none"/>
        </w:rPr>
        <w:t>20.1</w:t>
      </w:r>
      <w:r>
        <w:rPr>
          <w:rFonts w:hint="eastAsia" w:hAnsi="宋体"/>
          <w:bCs/>
          <w:color w:val="auto"/>
          <w:szCs w:val="21"/>
          <w:highlight w:val="none"/>
        </w:rPr>
        <w:t>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地点提交响应文件。电子响应文件应在制作完成后，在提交响应文件截止时间前通过有效数字证书（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w:t>
      </w:r>
      <w:r>
        <w:rPr>
          <w:rFonts w:hAnsi="宋体"/>
          <w:bCs/>
          <w:color w:val="auto"/>
          <w:szCs w:val="21"/>
          <w:highlight w:val="none"/>
        </w:rPr>
        <w:t xml:space="preserve"> </w:t>
      </w:r>
      <w:r>
        <w:rPr>
          <w:rFonts w:hAnsi="宋体"/>
          <w:color w:val="auto"/>
          <w:highlight w:val="none"/>
        </w:rPr>
        <w:t xml:space="preserve"> </w:t>
      </w:r>
    </w:p>
    <w:p w14:paraId="7863AAA5">
      <w:pPr>
        <w:spacing w:line="360" w:lineRule="auto"/>
        <w:ind w:firstLine="422"/>
        <w:contextualSpacing/>
        <w:rPr>
          <w:rFonts w:ascii="宋体" w:hAnsi="宋体" w:cs="宋体"/>
          <w:color w:val="auto"/>
          <w:szCs w:val="21"/>
          <w:highlight w:val="none"/>
        </w:rPr>
      </w:pPr>
      <w:r>
        <w:rPr>
          <w:rFonts w:hint="eastAsia" w:ascii="宋体" w:hAnsi="宋体"/>
          <w:b/>
          <w:color w:val="auto"/>
          <w:szCs w:val="21"/>
          <w:highlight w:val="none"/>
        </w:rPr>
        <w:t>20.2未在规定时间内提交或者未按照谈判文件要求加密的电子响应文件，广西政府采购云平台将拒收。</w:t>
      </w:r>
    </w:p>
    <w:p w14:paraId="2FBC05EC">
      <w:pPr>
        <w:spacing w:line="360" w:lineRule="auto"/>
        <w:ind w:firstLine="482"/>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65185BE4">
      <w:pPr>
        <w:spacing w:line="360" w:lineRule="auto"/>
        <w:ind w:firstLine="420"/>
        <w:jc w:val="left"/>
        <w:rPr>
          <w:rFonts w:ascii="宋体" w:hAnsi="宋体"/>
          <w:color w:val="auto"/>
          <w:szCs w:val="21"/>
          <w:highlight w:val="none"/>
        </w:rPr>
      </w:pPr>
      <w:bookmarkStart w:id="71" w:name="_Toc254970684"/>
      <w:bookmarkStart w:id="72" w:name="_Toc254970543"/>
      <w:r>
        <w:rPr>
          <w:rFonts w:hint="eastAsia" w:ascii="宋体" w:hAnsi="宋体" w:cs="宋体"/>
          <w:color w:val="auto"/>
          <w:szCs w:val="21"/>
          <w:highlight w:val="none"/>
        </w:rPr>
        <w:t>21.1</w:t>
      </w:r>
      <w:r>
        <w:rPr>
          <w:rFonts w:hint="eastAsia" w:ascii="宋体" w:hAnsi="宋体"/>
          <w:bCs/>
          <w:color w:val="auto"/>
          <w:szCs w:val="21"/>
          <w:highlight w:val="none"/>
        </w:rPr>
        <w:t>供应商应当在</w:t>
      </w:r>
      <w:r>
        <w:rPr>
          <w:rFonts w:hint="eastAsia" w:hAnsi="宋体"/>
          <w:bCs/>
          <w:color w:val="auto"/>
          <w:szCs w:val="21"/>
          <w:highlight w:val="none"/>
        </w:rPr>
        <w:t>提交响应文件截止时间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提交响应文件截止时间前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提交响应文件截止时间前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bookmarkEnd w:id="71"/>
    <w:bookmarkEnd w:id="72"/>
    <w:p w14:paraId="6402A75B">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21.2在提交响应文件截止时间前，除供应商补充、修改或者撤回响应文件外，任何单位和个人不得解密或提取响应文件。</w:t>
      </w:r>
    </w:p>
    <w:p w14:paraId="48E1F445">
      <w:pPr>
        <w:spacing w:line="360" w:lineRule="auto"/>
        <w:ind w:firstLine="482"/>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22.首次响应文件的退回</w:t>
      </w:r>
    </w:p>
    <w:p w14:paraId="7C5AA0C9">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5DF92F11">
      <w:pPr>
        <w:spacing w:line="360" w:lineRule="auto"/>
        <w:ind w:firstLine="482"/>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p w14:paraId="08AC0576">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1CD84FA5">
      <w:pPr>
        <w:spacing w:line="360" w:lineRule="auto"/>
        <w:contextualSpacing/>
        <w:rPr>
          <w:rFonts w:ascii="宋体" w:hAnsi="宋体"/>
          <w:color w:val="auto"/>
          <w:szCs w:val="21"/>
          <w:highlight w:val="none"/>
        </w:rPr>
      </w:pPr>
    </w:p>
    <w:p w14:paraId="3247BE22">
      <w:pPr>
        <w:spacing w:line="360" w:lineRule="auto"/>
        <w:ind w:left="420" w:firstLine="420"/>
        <w:contextualSpacing/>
        <w:jc w:val="center"/>
        <w:rPr>
          <w:rFonts w:ascii="宋体" w:hAnsi="宋体"/>
          <w:b/>
          <w:color w:val="auto"/>
          <w:sz w:val="32"/>
          <w:szCs w:val="32"/>
          <w:highlight w:val="none"/>
        </w:rPr>
      </w:pPr>
      <w:r>
        <w:rPr>
          <w:rFonts w:hint="eastAsia" w:ascii="宋体" w:hAnsi="宋体"/>
          <w:b/>
          <w:color w:val="auto"/>
          <w:sz w:val="32"/>
          <w:szCs w:val="32"/>
          <w:highlight w:val="none"/>
        </w:rPr>
        <w:t>四、评审及谈判</w:t>
      </w:r>
    </w:p>
    <w:p w14:paraId="522BDB6E">
      <w:pPr>
        <w:spacing w:line="360" w:lineRule="auto"/>
        <w:ind w:left="420" w:firstLine="420"/>
        <w:contextualSpacing/>
        <w:rPr>
          <w:rFonts w:ascii="宋体" w:hAnsi="宋体"/>
          <w:color w:val="auto"/>
          <w:szCs w:val="21"/>
          <w:highlight w:val="none"/>
        </w:rPr>
      </w:pPr>
    </w:p>
    <w:p w14:paraId="41DD5925">
      <w:pPr>
        <w:spacing w:line="360" w:lineRule="auto"/>
        <w:ind w:firstLine="482"/>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7ABDD82E">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24.1竞争性谈判小组成立：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7F2DE180">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76FEF58">
      <w:pPr>
        <w:spacing w:line="360" w:lineRule="auto"/>
        <w:ind w:firstLine="420"/>
        <w:contextualSpacing/>
        <w:rPr>
          <w:rFonts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4B1A7DC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14CD4AA9">
      <w:pPr>
        <w:spacing w:line="360" w:lineRule="auto"/>
        <w:ind w:firstLine="482"/>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 xml:space="preserve"> 首次响应文件的开启和解密</w:t>
      </w:r>
    </w:p>
    <w:p w14:paraId="55E4043A">
      <w:pPr>
        <w:spacing w:line="360" w:lineRule="auto"/>
        <w:ind w:firstLine="42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w:t>
      </w:r>
      <w:r>
        <w:rPr>
          <w:rFonts w:hAnsi="宋体"/>
          <w:color w:val="auto"/>
          <w:highlight w:val="none"/>
        </w:rPr>
        <w:t>CA</w:t>
      </w:r>
      <w:r>
        <w:rPr>
          <w:rFonts w:hint="eastAsia" w:hAnsi="宋体"/>
          <w:color w:val="auto"/>
          <w:highlight w:val="none"/>
        </w:rPr>
        <w:t>锁，按平台提示和谈判文件的规定登录到广西政府采购云平台电子开标大厅签到，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供应商未在规定的时间内解密响应文件或者解密失败的，供应商</w:t>
      </w:r>
      <w:r>
        <w:rPr>
          <w:rFonts w:hint="eastAsia" w:ascii="宋体" w:hAnsi="宋体"/>
          <w:b/>
          <w:color w:val="auto"/>
          <w:szCs w:val="21"/>
          <w:highlight w:val="none"/>
        </w:rPr>
        <w:t>的响应文件作无效处理</w:t>
      </w:r>
      <w:r>
        <w:rPr>
          <w:rFonts w:hint="eastAsia"/>
          <w:b/>
          <w:color w:val="auto"/>
          <w:highlight w:val="none"/>
        </w:rPr>
        <w:t>。</w:t>
      </w:r>
    </w:p>
    <w:p w14:paraId="3A816935">
      <w:pPr>
        <w:spacing w:line="360" w:lineRule="auto"/>
        <w:ind w:firstLine="482"/>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 评审程序和评定成交的标准</w:t>
      </w:r>
    </w:p>
    <w:p w14:paraId="0623D9B0">
      <w:pPr>
        <w:spacing w:line="360" w:lineRule="auto"/>
        <w:ind w:firstLine="420"/>
        <w:rPr>
          <w:color w:val="auto"/>
          <w:highlight w:val="none"/>
        </w:rPr>
      </w:pPr>
      <w:r>
        <w:rPr>
          <w:rFonts w:hint="eastAsia"/>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olor w:val="auto"/>
          <w:szCs w:val="21"/>
          <w:highlight w:val="none"/>
        </w:rPr>
        <w:t>“供应商须知前附表”。</w:t>
      </w:r>
    </w:p>
    <w:p w14:paraId="2B8B37B6">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26.2 商务/技术要求允许负偏离的条款数详见“供应商须知前附表”。</w:t>
      </w:r>
    </w:p>
    <w:p w14:paraId="0459BD92">
      <w:pPr>
        <w:spacing w:line="360" w:lineRule="auto"/>
        <w:ind w:firstLine="42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3DF9909A">
      <w:pPr>
        <w:spacing w:line="360" w:lineRule="auto"/>
        <w:ind w:firstLine="420"/>
        <w:rPr>
          <w:rFonts w:ascii="宋体" w:hAnsi="宋体"/>
          <w:color w:val="auto"/>
          <w:highlight w:val="none"/>
        </w:rPr>
      </w:pPr>
      <w:r>
        <w:rPr>
          <w:rFonts w:ascii="宋体" w:hAnsi="宋体"/>
          <w:color w:val="auto"/>
          <w:highlight w:val="none"/>
        </w:rPr>
        <w:t>26.4</w:t>
      </w:r>
      <w:r>
        <w:rPr>
          <w:rFonts w:hint="eastAsia" w:ascii="宋体" w:hAnsi="宋体"/>
          <w:color w:val="auto"/>
          <w:highlight w:val="none"/>
        </w:rPr>
        <w:t>电子交易活动的中止。采购过程中出现以下情形，导致电子交易平台无法正常运行，或者无法保证电子交易的公平、公正和安全时，采购机构可中止电子交易活动：</w:t>
      </w:r>
    </w:p>
    <w:p w14:paraId="6FC57AF4">
      <w:pPr>
        <w:spacing w:line="360" w:lineRule="auto"/>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）电子交易平台发生故障而无法登录访问的；</w:t>
      </w:r>
      <w:r>
        <w:rPr>
          <w:rFonts w:ascii="宋体" w:hAnsi="宋体"/>
          <w:color w:val="auto"/>
          <w:highlight w:val="none"/>
        </w:rPr>
        <w:t xml:space="preserve"> </w:t>
      </w:r>
    </w:p>
    <w:p w14:paraId="06B1FE08">
      <w:pPr>
        <w:spacing w:line="360" w:lineRule="auto"/>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）电子交易平台应用或数据库出现错误，不能进行正常操作的；</w:t>
      </w:r>
    </w:p>
    <w:p w14:paraId="491775D6">
      <w:pPr>
        <w:spacing w:line="360" w:lineRule="auto"/>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）电子交易平台发现严重安全漏洞，有潜在泄密危险的；</w:t>
      </w:r>
    </w:p>
    <w:p w14:paraId="7A69A05A">
      <w:pPr>
        <w:spacing w:line="360" w:lineRule="auto"/>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）病毒发作导致不能进行正常操作的；</w:t>
      </w:r>
      <w:r>
        <w:rPr>
          <w:rFonts w:ascii="宋体" w:hAnsi="宋体"/>
          <w:color w:val="auto"/>
          <w:highlight w:val="none"/>
        </w:rPr>
        <w:t xml:space="preserve"> </w:t>
      </w:r>
    </w:p>
    <w:p w14:paraId="37D39764">
      <w:pPr>
        <w:spacing w:line="360" w:lineRule="auto"/>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）其他无法保证电子交易的公平、公正和安全的情况。</w:t>
      </w:r>
    </w:p>
    <w:p w14:paraId="01F57C80">
      <w:pPr>
        <w:spacing w:line="360" w:lineRule="auto"/>
        <w:ind w:firstLine="420"/>
        <w:contextualSpacing/>
        <w:rPr>
          <w:rFonts w:ascii="宋体" w:hAnsi="宋体" w:cs="宋体"/>
          <w:b/>
          <w:bCs/>
          <w:color w:val="auto"/>
          <w:szCs w:val="21"/>
          <w:highlight w:val="none"/>
        </w:rPr>
      </w:pPr>
      <w:r>
        <w:rPr>
          <w:rFonts w:ascii="宋体" w:hAnsi="宋体"/>
          <w:color w:val="auto"/>
          <w:highlight w:val="none"/>
        </w:rPr>
        <w:t>26.5</w:t>
      </w:r>
      <w:r>
        <w:rPr>
          <w:rFonts w:hint="eastAsia" w:ascii="宋体"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w:t>
      </w:r>
      <w:r>
        <w:rPr>
          <w:rFonts w:hint="eastAsia" w:hAnsi="宋体"/>
          <w:color w:val="auto"/>
          <w:highlight w:val="none"/>
        </w:rPr>
        <w:t>案。</w:t>
      </w:r>
    </w:p>
    <w:p w14:paraId="0857E105">
      <w:pPr>
        <w:spacing w:line="360" w:lineRule="auto"/>
        <w:ind w:firstLine="482"/>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6E58EF13">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 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D3294BA">
      <w:pPr>
        <w:pStyle w:val="205"/>
        <w:spacing w:line="360" w:lineRule="auto"/>
        <w:ind w:firstLine="420"/>
        <w:contextualSpacing/>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中小企业在政府采购活动过程中，请根据企业的真实情况出具《中小企业声明函》。成交供应商享受《政府采购促进中小企业发展管理办法》（财库〔2020〕46号）规定的中小企业扶持政策的，采购人、采购代理机构应当随成交结果公开成交供应商的《中小企业声明函》。</w:t>
      </w:r>
    </w:p>
    <w:p w14:paraId="24EE0978">
      <w:pPr>
        <w:spacing w:line="360" w:lineRule="auto"/>
        <w:ind w:firstLine="420"/>
        <w:contextualSpacing/>
        <w:rPr>
          <w:rFonts w:ascii="宋体" w:hAnsi="宋体" w:cs="Courier New"/>
          <w:color w:val="auto"/>
          <w:szCs w:val="21"/>
          <w:highlight w:val="none"/>
        </w:rPr>
      </w:pPr>
      <w:r>
        <w:rPr>
          <w:rFonts w:ascii="宋体" w:hAnsi="宋体" w:cs="Courier New"/>
          <w:color w:val="auto"/>
          <w:szCs w:val="21"/>
          <w:highlight w:val="none"/>
        </w:rPr>
        <w:t>27</w:t>
      </w:r>
      <w:r>
        <w:rPr>
          <w:rFonts w:hint="eastAsia" w:ascii="宋体" w:hAnsi="宋体" w:cs="Courier New"/>
          <w:color w:val="auto"/>
          <w:szCs w:val="21"/>
          <w:highlight w:val="none"/>
        </w:rPr>
        <w:t>.3 采购人、采购代理机构应当随成交结果公开成交供应商的《关于符合本国产品标准的声明函》或有关证明文件。</w:t>
      </w:r>
    </w:p>
    <w:p w14:paraId="1C9F9440">
      <w:pPr>
        <w:pStyle w:val="205"/>
        <w:spacing w:line="360" w:lineRule="auto"/>
        <w:ind w:firstLine="420"/>
        <w:contextualSpacing/>
        <w:rPr>
          <w:rFonts w:ascii="宋体" w:hAnsi="宋体"/>
          <w:bCs/>
          <w:color w:val="auto"/>
          <w:szCs w:val="21"/>
          <w:highlight w:val="none"/>
        </w:rPr>
      </w:pPr>
      <w:r>
        <w:rPr>
          <w:rFonts w:hint="eastAsia" w:ascii="宋体" w:hAnsi="宋体" w:cs="Courier New"/>
          <w:color w:val="auto"/>
          <w:szCs w:val="21"/>
          <w:highlight w:val="none"/>
        </w:rPr>
        <w:t>27.</w:t>
      </w:r>
      <w:r>
        <w:rPr>
          <w:rFonts w:ascii="宋体" w:hAnsi="宋体" w:cs="Courier New"/>
          <w:color w:val="auto"/>
          <w:szCs w:val="21"/>
          <w:highlight w:val="none"/>
        </w:rPr>
        <w:t>4</w:t>
      </w:r>
      <w:r>
        <w:rPr>
          <w:rFonts w:hint="eastAsia" w:ascii="宋体" w:hAnsi="宋体"/>
          <w:bCs/>
          <w:color w:val="auto"/>
          <w:szCs w:val="21"/>
          <w:highlight w:val="none"/>
        </w:rPr>
        <w:t>出现下列情形之一的，采购人或者采购代理机构应当终止竞争性谈判采购活动，发布项目终止公告并说明原因，重新开展采购活动：</w:t>
      </w:r>
    </w:p>
    <w:p w14:paraId="6A1AFA5E">
      <w:pPr>
        <w:pStyle w:val="205"/>
        <w:spacing w:line="360" w:lineRule="auto"/>
        <w:ind w:firstLine="420"/>
        <w:contextualSpacing/>
        <w:rPr>
          <w:rFonts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7EFA040C">
      <w:pPr>
        <w:pStyle w:val="205"/>
        <w:spacing w:line="360" w:lineRule="auto"/>
        <w:ind w:firstLine="420"/>
        <w:contextualSpacing/>
        <w:rPr>
          <w:rFonts w:ascii="宋体" w:hAnsi="宋体"/>
          <w:bCs/>
          <w:color w:val="auto"/>
          <w:szCs w:val="21"/>
          <w:highlight w:val="none"/>
        </w:rPr>
      </w:pPr>
      <w:r>
        <w:rPr>
          <w:rFonts w:hint="eastAsia" w:ascii="宋体" w:hAnsi="宋体"/>
          <w:bCs/>
          <w:color w:val="auto"/>
          <w:szCs w:val="21"/>
          <w:highlight w:val="none"/>
        </w:rPr>
        <w:t>（2）出现影响采购公正的违法、违规行为的；</w:t>
      </w:r>
    </w:p>
    <w:p w14:paraId="49135ABD">
      <w:pPr>
        <w:pStyle w:val="205"/>
        <w:spacing w:line="360" w:lineRule="auto"/>
        <w:ind w:firstLine="420"/>
        <w:contextualSpacing/>
        <w:rPr>
          <w:rFonts w:ascii="宋体" w:hAnsi="宋体"/>
          <w:bCs/>
          <w:color w:val="auto"/>
          <w:szCs w:val="21"/>
          <w:highlight w:val="none"/>
        </w:rPr>
      </w:pPr>
      <w:r>
        <w:rPr>
          <w:rFonts w:hint="eastAsia" w:ascii="宋体" w:hAnsi="宋体"/>
          <w:bCs/>
          <w:color w:val="auto"/>
          <w:szCs w:val="21"/>
          <w:highlight w:val="none"/>
        </w:rPr>
        <w:t>（3）在采购过程中符合竞争要求的供应商或者报价未超过采购预算的供应商不足3家的，但“第四章 评审程序和评定成交的标准”第3.7条规定的情形除外。</w:t>
      </w:r>
    </w:p>
    <w:p w14:paraId="39319C49">
      <w:pPr>
        <w:pStyle w:val="205"/>
        <w:spacing w:line="360" w:lineRule="auto"/>
        <w:ind w:firstLine="420"/>
        <w:contextualSpacing/>
        <w:rPr>
          <w:rFonts w:ascii="宋体" w:hAnsi="宋体"/>
          <w:bCs/>
          <w:color w:val="auto"/>
          <w:szCs w:val="21"/>
          <w:highlight w:val="none"/>
        </w:rPr>
      </w:pPr>
      <w:r>
        <w:rPr>
          <w:rFonts w:hint="eastAsia" w:ascii="宋体" w:hAnsi="宋体"/>
          <w:bCs/>
          <w:color w:val="auto"/>
          <w:szCs w:val="21"/>
          <w:highlight w:val="none"/>
        </w:rPr>
        <w:t>27.</w:t>
      </w:r>
      <w:r>
        <w:rPr>
          <w:rFonts w:ascii="宋体" w:hAnsi="宋体"/>
          <w:bCs/>
          <w:color w:val="auto"/>
          <w:szCs w:val="21"/>
          <w:highlight w:val="none"/>
        </w:rPr>
        <w:t>5</w:t>
      </w:r>
      <w:r>
        <w:rPr>
          <w:rFonts w:hint="eastAsia" w:ascii="宋体" w:hAnsi="宋体"/>
          <w:bCs/>
          <w:color w:val="auto"/>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2B4E50E2">
      <w:pPr>
        <w:spacing w:line="360" w:lineRule="auto"/>
        <w:ind w:firstLine="482"/>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7F824078">
      <w:pPr>
        <w:pStyle w:val="205"/>
        <w:spacing w:line="360" w:lineRule="auto"/>
        <w:ind w:firstLine="420"/>
        <w:contextualSpacing/>
        <w:rPr>
          <w:color w:val="auto"/>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color w:val="auto"/>
          <w:highlight w:val="none"/>
        </w:rPr>
        <w:t>与采购人</w:t>
      </w:r>
      <w:r>
        <w:rPr>
          <w:rFonts w:hint="eastAsia" w:ascii="宋体" w:hAnsi="宋体" w:cs="宋体"/>
          <w:color w:val="auto"/>
          <w:szCs w:val="21"/>
          <w:highlight w:val="none"/>
        </w:rPr>
        <w:t>签订合同。</w:t>
      </w:r>
    </w:p>
    <w:p w14:paraId="0EBD4E93">
      <w:pPr>
        <w:spacing w:line="360" w:lineRule="auto"/>
        <w:ind w:firstLine="424"/>
        <w:contextualSpacing/>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51F32FC7">
      <w:pPr>
        <w:spacing w:line="360" w:lineRule="auto"/>
        <w:ind w:firstLine="482"/>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59D2186D">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27F1DE2D">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593DE9B5">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19D62EE0">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5730B1F">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4AB9D77">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31CC48EC">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1A10DF54">
      <w:pPr>
        <w:spacing w:line="360" w:lineRule="auto"/>
        <w:ind w:firstLine="424"/>
        <w:contextualSpacing/>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5CE0FC7">
      <w:pPr>
        <w:spacing w:line="360" w:lineRule="auto"/>
        <w:ind w:firstLine="482"/>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56145217">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F63EA74">
      <w:pPr>
        <w:spacing w:line="360" w:lineRule="auto"/>
        <w:ind w:firstLine="482"/>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3FDCD12E">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415E5E64">
      <w:pPr>
        <w:spacing w:line="360" w:lineRule="auto"/>
        <w:ind w:firstLine="420"/>
        <w:contextualSpacing/>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640A138A">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03D0DEAB">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F4BE89C">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5F2BF463">
      <w:pPr>
        <w:spacing w:line="360" w:lineRule="auto"/>
        <w:ind w:firstLine="420"/>
        <w:contextualSpacing/>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CF63E5B">
      <w:pPr>
        <w:spacing w:line="360" w:lineRule="auto"/>
        <w:ind w:firstLine="420"/>
        <w:contextualSpacing/>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5DFF6818">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D244FED">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（2）质疑项目的名称、编号；</w:t>
      </w:r>
    </w:p>
    <w:p w14:paraId="2348A30F">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234DFB39">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（4）事实依据；</w:t>
      </w:r>
    </w:p>
    <w:p w14:paraId="1148FA49">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（5）必要的法律依据；</w:t>
      </w:r>
    </w:p>
    <w:p w14:paraId="464A2836">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（6）提出质疑的日期。</w:t>
      </w:r>
    </w:p>
    <w:p w14:paraId="175C6BEA">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4409872B">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699E3176">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0F5E4D3">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0832609">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0D4F6E3">
      <w:pPr>
        <w:spacing w:line="360" w:lineRule="auto"/>
        <w:ind w:firstLine="420"/>
        <w:contextualSpacing/>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CE44446">
      <w:pPr>
        <w:spacing w:line="360" w:lineRule="auto"/>
        <w:ind w:firstLine="482"/>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4F931A96">
      <w:pPr>
        <w:tabs>
          <w:tab w:val="left" w:pos="2835"/>
        </w:tabs>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.1代理服务费收取标准详见“供应商须知前附表”，供应商为联合体的，可以由联合体中的一方或者多方共同交纳代理服务费：</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284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898B548">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               费率</w:t>
            </w:r>
          </w:p>
          <w:p w14:paraId="0963CED9">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tcBorders>
              <w:top w:val="single" w:color="auto" w:sz="4" w:space="0"/>
              <w:left w:val="single" w:color="auto" w:sz="4" w:space="0"/>
              <w:bottom w:val="single" w:color="auto" w:sz="4" w:space="0"/>
              <w:right w:val="single" w:color="auto" w:sz="4" w:space="0"/>
            </w:tcBorders>
            <w:vAlign w:val="center"/>
          </w:tcPr>
          <w:p w14:paraId="55024860">
            <w:pPr>
              <w:spacing w:line="360" w:lineRule="auto"/>
              <w:ind w:firstLine="105"/>
              <w:contextualSpacing/>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tcBorders>
              <w:top w:val="single" w:color="auto" w:sz="4" w:space="0"/>
              <w:left w:val="single" w:color="auto" w:sz="4" w:space="0"/>
              <w:bottom w:val="single" w:color="auto" w:sz="4" w:space="0"/>
              <w:right w:val="single" w:color="auto" w:sz="4" w:space="0"/>
            </w:tcBorders>
            <w:vAlign w:val="center"/>
          </w:tcPr>
          <w:p w14:paraId="696FD30C">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tcBorders>
              <w:top w:val="single" w:color="auto" w:sz="4" w:space="0"/>
              <w:left w:val="single" w:color="auto" w:sz="4" w:space="0"/>
              <w:bottom w:val="single" w:color="auto" w:sz="4" w:space="0"/>
              <w:right w:val="single" w:color="auto" w:sz="4" w:space="0"/>
            </w:tcBorders>
            <w:vAlign w:val="center"/>
          </w:tcPr>
          <w:p w14:paraId="504E57A0">
            <w:pPr>
              <w:spacing w:line="360" w:lineRule="auto"/>
              <w:contextualSpacing/>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6AAC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046E875">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tcPr>
          <w:p w14:paraId="272F77C3">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  1.5%                </w:t>
            </w:r>
          </w:p>
        </w:tc>
        <w:tc>
          <w:tcPr>
            <w:tcW w:w="1532" w:type="dxa"/>
            <w:tcBorders>
              <w:top w:val="single" w:color="auto" w:sz="4" w:space="0"/>
              <w:left w:val="single" w:color="auto" w:sz="4" w:space="0"/>
              <w:bottom w:val="single" w:color="auto" w:sz="4" w:space="0"/>
              <w:right w:val="single" w:color="auto" w:sz="4" w:space="0"/>
            </w:tcBorders>
          </w:tcPr>
          <w:p w14:paraId="26420733">
            <w:pPr>
              <w:spacing w:line="360" w:lineRule="auto"/>
              <w:ind w:firstLine="210"/>
              <w:contextualSpacing/>
              <w:rPr>
                <w:rFonts w:ascii="宋体" w:hAnsi="宋体" w:cs="宋体"/>
                <w:color w:val="auto"/>
                <w:szCs w:val="21"/>
                <w:highlight w:val="none"/>
              </w:rPr>
            </w:pPr>
            <w:r>
              <w:rPr>
                <w:rFonts w:hint="eastAsia" w:ascii="宋体" w:hAnsi="宋体" w:cs="宋体"/>
                <w:color w:val="auto"/>
                <w:szCs w:val="21"/>
                <w:highlight w:val="none"/>
              </w:rPr>
              <w:t>1.5%</w:t>
            </w:r>
          </w:p>
        </w:tc>
        <w:tc>
          <w:tcPr>
            <w:tcW w:w="1546" w:type="dxa"/>
            <w:tcBorders>
              <w:top w:val="single" w:color="auto" w:sz="4" w:space="0"/>
              <w:left w:val="single" w:color="auto" w:sz="4" w:space="0"/>
              <w:bottom w:val="single" w:color="auto" w:sz="4" w:space="0"/>
              <w:right w:val="single" w:color="auto" w:sz="4" w:space="0"/>
            </w:tcBorders>
          </w:tcPr>
          <w:p w14:paraId="2F710531">
            <w:pPr>
              <w:spacing w:line="360" w:lineRule="auto"/>
              <w:ind w:firstLine="210"/>
              <w:contextualSpacing/>
              <w:rPr>
                <w:rFonts w:ascii="宋体" w:hAnsi="宋体" w:cs="宋体"/>
                <w:color w:val="auto"/>
                <w:szCs w:val="21"/>
                <w:highlight w:val="none"/>
              </w:rPr>
            </w:pPr>
            <w:r>
              <w:rPr>
                <w:rFonts w:hint="eastAsia" w:ascii="宋体" w:hAnsi="宋体" w:cs="宋体"/>
                <w:color w:val="auto"/>
                <w:szCs w:val="21"/>
                <w:highlight w:val="none"/>
              </w:rPr>
              <w:t xml:space="preserve">1.0% </w:t>
            </w:r>
          </w:p>
        </w:tc>
      </w:tr>
      <w:tr w14:paraId="54B9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5466EA4B">
            <w:pPr>
              <w:spacing w:line="360" w:lineRule="auto"/>
              <w:rPr>
                <w:rFonts w:ascii="宋体" w:hAnsi="宋体" w:cs="宋体"/>
                <w:color w:val="auto"/>
                <w:szCs w:val="21"/>
                <w:highlight w:val="none"/>
              </w:rPr>
            </w:pPr>
            <w:r>
              <w:rPr>
                <w:rFonts w:hint="eastAsia" w:ascii="宋体" w:hAnsi="宋体" w:cs="宋体"/>
                <w:color w:val="auto"/>
                <w:szCs w:val="21"/>
                <w:highlight w:val="none"/>
              </w:rPr>
              <w:t>100万～500万元</w:t>
            </w:r>
          </w:p>
        </w:tc>
        <w:tc>
          <w:tcPr>
            <w:tcW w:w="1659" w:type="dxa"/>
            <w:tcBorders>
              <w:top w:val="single" w:color="auto" w:sz="4" w:space="0"/>
              <w:left w:val="single" w:color="auto" w:sz="4" w:space="0"/>
              <w:bottom w:val="single" w:color="auto" w:sz="4" w:space="0"/>
              <w:right w:val="single" w:color="auto" w:sz="4" w:space="0"/>
            </w:tcBorders>
          </w:tcPr>
          <w:p w14:paraId="108E247D">
            <w:pPr>
              <w:spacing w:line="360" w:lineRule="auto"/>
              <w:ind w:firstLine="210"/>
              <w:contextualSpacing/>
              <w:rPr>
                <w:rFonts w:ascii="宋体" w:hAnsi="宋体" w:cs="宋体"/>
                <w:color w:val="auto"/>
                <w:szCs w:val="21"/>
                <w:highlight w:val="none"/>
              </w:rPr>
            </w:pPr>
            <w:r>
              <w:rPr>
                <w:rFonts w:hint="eastAsia" w:ascii="宋体" w:hAnsi="宋体" w:cs="宋体"/>
                <w:color w:val="auto"/>
                <w:szCs w:val="21"/>
                <w:highlight w:val="none"/>
              </w:rPr>
              <w:t xml:space="preserve">1.1%                 </w:t>
            </w:r>
          </w:p>
        </w:tc>
        <w:tc>
          <w:tcPr>
            <w:tcW w:w="1532" w:type="dxa"/>
            <w:tcBorders>
              <w:top w:val="single" w:color="auto" w:sz="4" w:space="0"/>
              <w:left w:val="single" w:color="auto" w:sz="4" w:space="0"/>
              <w:bottom w:val="single" w:color="auto" w:sz="4" w:space="0"/>
              <w:right w:val="single" w:color="auto" w:sz="4" w:space="0"/>
            </w:tcBorders>
          </w:tcPr>
          <w:p w14:paraId="2E78679F">
            <w:pPr>
              <w:spacing w:line="360" w:lineRule="auto"/>
              <w:ind w:firstLine="210"/>
              <w:contextualSpacing/>
              <w:rPr>
                <w:rFonts w:ascii="宋体" w:hAnsi="宋体" w:cs="宋体"/>
                <w:color w:val="auto"/>
                <w:szCs w:val="21"/>
                <w:highlight w:val="none"/>
              </w:rPr>
            </w:pPr>
            <w:r>
              <w:rPr>
                <w:rFonts w:hint="eastAsia" w:ascii="宋体" w:hAnsi="宋体" w:cs="宋体"/>
                <w:color w:val="auto"/>
                <w:szCs w:val="21"/>
                <w:highlight w:val="none"/>
              </w:rPr>
              <w:t>0.8%</w:t>
            </w:r>
          </w:p>
        </w:tc>
        <w:tc>
          <w:tcPr>
            <w:tcW w:w="1546" w:type="dxa"/>
            <w:tcBorders>
              <w:top w:val="single" w:color="auto" w:sz="4" w:space="0"/>
              <w:left w:val="single" w:color="auto" w:sz="4" w:space="0"/>
              <w:bottom w:val="single" w:color="auto" w:sz="4" w:space="0"/>
              <w:right w:val="single" w:color="auto" w:sz="4" w:space="0"/>
            </w:tcBorders>
          </w:tcPr>
          <w:p w14:paraId="7636E8EF">
            <w:pPr>
              <w:spacing w:line="360" w:lineRule="auto"/>
              <w:ind w:firstLine="210"/>
              <w:contextualSpacing/>
              <w:rPr>
                <w:rFonts w:ascii="宋体" w:hAnsi="宋体" w:cs="宋体"/>
                <w:color w:val="auto"/>
                <w:szCs w:val="21"/>
                <w:highlight w:val="none"/>
              </w:rPr>
            </w:pPr>
            <w:r>
              <w:rPr>
                <w:rFonts w:hint="eastAsia" w:ascii="宋体" w:hAnsi="宋体" w:cs="宋体"/>
                <w:color w:val="auto"/>
                <w:szCs w:val="21"/>
                <w:highlight w:val="none"/>
              </w:rPr>
              <w:t xml:space="preserve">0.7% </w:t>
            </w:r>
          </w:p>
        </w:tc>
      </w:tr>
      <w:tr w14:paraId="2481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01B0E92">
            <w:pPr>
              <w:spacing w:line="360" w:lineRule="auto"/>
              <w:rPr>
                <w:rFonts w:ascii="宋体" w:hAnsi="宋体" w:cs="宋体"/>
                <w:color w:val="auto"/>
                <w:szCs w:val="21"/>
                <w:highlight w:val="none"/>
              </w:rPr>
            </w:pPr>
            <w:r>
              <w:rPr>
                <w:rFonts w:hint="eastAsia" w:ascii="宋体" w:hAnsi="宋体" w:cs="宋体"/>
                <w:color w:val="auto"/>
                <w:szCs w:val="21"/>
                <w:highlight w:val="none"/>
              </w:rPr>
              <w:t>500万～1000万元</w:t>
            </w:r>
          </w:p>
        </w:tc>
        <w:tc>
          <w:tcPr>
            <w:tcW w:w="1659" w:type="dxa"/>
            <w:tcBorders>
              <w:top w:val="single" w:color="auto" w:sz="4" w:space="0"/>
              <w:left w:val="single" w:color="auto" w:sz="4" w:space="0"/>
              <w:bottom w:val="single" w:color="auto" w:sz="4" w:space="0"/>
              <w:right w:val="single" w:color="auto" w:sz="4" w:space="0"/>
            </w:tcBorders>
          </w:tcPr>
          <w:p w14:paraId="1C584154">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  0.8%                </w:t>
            </w:r>
          </w:p>
        </w:tc>
        <w:tc>
          <w:tcPr>
            <w:tcW w:w="1532" w:type="dxa"/>
            <w:tcBorders>
              <w:top w:val="single" w:color="auto" w:sz="4" w:space="0"/>
              <w:left w:val="single" w:color="auto" w:sz="4" w:space="0"/>
              <w:bottom w:val="single" w:color="auto" w:sz="4" w:space="0"/>
              <w:right w:val="single" w:color="auto" w:sz="4" w:space="0"/>
            </w:tcBorders>
          </w:tcPr>
          <w:p w14:paraId="4B49831D">
            <w:pPr>
              <w:spacing w:line="360" w:lineRule="auto"/>
              <w:ind w:firstLine="210"/>
              <w:contextualSpacing/>
              <w:rPr>
                <w:rFonts w:ascii="宋体" w:hAnsi="宋体" w:cs="宋体"/>
                <w:color w:val="auto"/>
                <w:szCs w:val="21"/>
                <w:highlight w:val="none"/>
              </w:rPr>
            </w:pPr>
            <w:r>
              <w:rPr>
                <w:rFonts w:hint="eastAsia" w:ascii="宋体" w:hAnsi="宋体" w:cs="宋体"/>
                <w:color w:val="auto"/>
                <w:szCs w:val="21"/>
                <w:highlight w:val="none"/>
              </w:rPr>
              <w:t>0.45%</w:t>
            </w:r>
          </w:p>
        </w:tc>
        <w:tc>
          <w:tcPr>
            <w:tcW w:w="1546" w:type="dxa"/>
            <w:tcBorders>
              <w:top w:val="single" w:color="auto" w:sz="4" w:space="0"/>
              <w:left w:val="single" w:color="auto" w:sz="4" w:space="0"/>
              <w:bottom w:val="single" w:color="auto" w:sz="4" w:space="0"/>
              <w:right w:val="single" w:color="auto" w:sz="4" w:space="0"/>
            </w:tcBorders>
          </w:tcPr>
          <w:p w14:paraId="0E14E65C">
            <w:pPr>
              <w:spacing w:line="360" w:lineRule="auto"/>
              <w:ind w:firstLine="210"/>
              <w:contextualSpacing/>
              <w:rPr>
                <w:rFonts w:ascii="宋体" w:hAnsi="宋体" w:cs="宋体"/>
                <w:color w:val="auto"/>
                <w:szCs w:val="21"/>
                <w:highlight w:val="none"/>
              </w:rPr>
            </w:pPr>
            <w:r>
              <w:rPr>
                <w:rFonts w:hint="eastAsia" w:ascii="宋体" w:hAnsi="宋体" w:cs="宋体"/>
                <w:color w:val="auto"/>
                <w:szCs w:val="21"/>
                <w:highlight w:val="none"/>
              </w:rPr>
              <w:t>0.55%</w:t>
            </w:r>
          </w:p>
        </w:tc>
      </w:tr>
      <w:tr w14:paraId="48B0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2B51FFD">
            <w:pPr>
              <w:spacing w:line="360" w:lineRule="auto"/>
              <w:rPr>
                <w:rFonts w:ascii="宋体" w:hAnsi="宋体" w:cs="宋体"/>
                <w:color w:val="auto"/>
                <w:szCs w:val="21"/>
                <w:highlight w:val="none"/>
              </w:rPr>
            </w:pPr>
            <w:r>
              <w:rPr>
                <w:rFonts w:hint="eastAsia" w:ascii="宋体" w:hAnsi="宋体" w:cs="宋体"/>
                <w:color w:val="auto"/>
                <w:szCs w:val="21"/>
                <w:highlight w:val="none"/>
              </w:rPr>
              <w:t>1000万～5000万元</w:t>
            </w:r>
          </w:p>
        </w:tc>
        <w:tc>
          <w:tcPr>
            <w:tcW w:w="1659" w:type="dxa"/>
            <w:tcBorders>
              <w:top w:val="single" w:color="auto" w:sz="4" w:space="0"/>
              <w:left w:val="single" w:color="auto" w:sz="4" w:space="0"/>
              <w:bottom w:val="single" w:color="auto" w:sz="4" w:space="0"/>
              <w:right w:val="single" w:color="auto" w:sz="4" w:space="0"/>
            </w:tcBorders>
          </w:tcPr>
          <w:p w14:paraId="487139A6">
            <w:pPr>
              <w:spacing w:line="360" w:lineRule="auto"/>
              <w:ind w:firstLine="210"/>
              <w:contextualSpacing/>
              <w:rPr>
                <w:rFonts w:ascii="宋体" w:hAnsi="宋体" w:cs="宋体"/>
                <w:color w:val="auto"/>
                <w:szCs w:val="21"/>
                <w:highlight w:val="none"/>
              </w:rPr>
            </w:pPr>
            <w:r>
              <w:rPr>
                <w:rFonts w:hint="eastAsia" w:ascii="宋体" w:hAnsi="宋体" w:cs="宋体"/>
                <w:color w:val="auto"/>
                <w:szCs w:val="21"/>
                <w:highlight w:val="none"/>
              </w:rPr>
              <w:t xml:space="preserve">0.5%                </w:t>
            </w:r>
          </w:p>
        </w:tc>
        <w:tc>
          <w:tcPr>
            <w:tcW w:w="1532" w:type="dxa"/>
            <w:tcBorders>
              <w:top w:val="single" w:color="auto" w:sz="4" w:space="0"/>
              <w:left w:val="single" w:color="auto" w:sz="4" w:space="0"/>
              <w:bottom w:val="single" w:color="auto" w:sz="4" w:space="0"/>
              <w:right w:val="single" w:color="auto" w:sz="4" w:space="0"/>
            </w:tcBorders>
          </w:tcPr>
          <w:p w14:paraId="49E019C2">
            <w:pPr>
              <w:spacing w:line="360" w:lineRule="auto"/>
              <w:ind w:firstLine="210"/>
              <w:contextualSpacing/>
              <w:rPr>
                <w:rFonts w:ascii="宋体" w:hAnsi="宋体" w:cs="宋体"/>
                <w:color w:val="auto"/>
                <w:szCs w:val="21"/>
                <w:highlight w:val="none"/>
              </w:rPr>
            </w:pPr>
            <w:r>
              <w:rPr>
                <w:rFonts w:hint="eastAsia" w:ascii="宋体" w:hAnsi="宋体" w:cs="宋体"/>
                <w:color w:val="auto"/>
                <w:szCs w:val="21"/>
                <w:highlight w:val="none"/>
              </w:rPr>
              <w:t>0.25%</w:t>
            </w:r>
          </w:p>
        </w:tc>
        <w:tc>
          <w:tcPr>
            <w:tcW w:w="1546" w:type="dxa"/>
            <w:tcBorders>
              <w:top w:val="single" w:color="auto" w:sz="4" w:space="0"/>
              <w:left w:val="single" w:color="auto" w:sz="4" w:space="0"/>
              <w:bottom w:val="single" w:color="auto" w:sz="4" w:space="0"/>
              <w:right w:val="single" w:color="auto" w:sz="4" w:space="0"/>
            </w:tcBorders>
          </w:tcPr>
          <w:p w14:paraId="2F054686">
            <w:pPr>
              <w:spacing w:line="360" w:lineRule="auto"/>
              <w:ind w:firstLine="210"/>
              <w:contextualSpacing/>
              <w:rPr>
                <w:rFonts w:ascii="宋体" w:hAnsi="宋体" w:cs="宋体"/>
                <w:color w:val="auto"/>
                <w:szCs w:val="21"/>
                <w:highlight w:val="none"/>
              </w:rPr>
            </w:pPr>
            <w:r>
              <w:rPr>
                <w:rFonts w:hint="eastAsia" w:ascii="宋体" w:hAnsi="宋体" w:cs="宋体"/>
                <w:color w:val="auto"/>
                <w:szCs w:val="21"/>
                <w:highlight w:val="none"/>
              </w:rPr>
              <w:t xml:space="preserve">0.35% </w:t>
            </w:r>
          </w:p>
        </w:tc>
      </w:tr>
      <w:tr w14:paraId="6F46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2C71067">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tcPr>
          <w:p w14:paraId="65378753">
            <w:pPr>
              <w:spacing w:line="360" w:lineRule="auto"/>
              <w:ind w:firstLine="210"/>
              <w:contextualSpacing/>
              <w:rPr>
                <w:rFonts w:ascii="宋体" w:hAnsi="宋体" w:cs="宋体"/>
                <w:color w:val="auto"/>
                <w:szCs w:val="21"/>
                <w:highlight w:val="none"/>
              </w:rPr>
            </w:pPr>
            <w:r>
              <w:rPr>
                <w:rFonts w:hint="eastAsia" w:ascii="宋体" w:hAnsi="宋体" w:cs="宋体"/>
                <w:color w:val="auto"/>
                <w:szCs w:val="21"/>
                <w:highlight w:val="none"/>
              </w:rPr>
              <w:t xml:space="preserve">0.25%                 </w:t>
            </w:r>
          </w:p>
        </w:tc>
        <w:tc>
          <w:tcPr>
            <w:tcW w:w="1532" w:type="dxa"/>
            <w:tcBorders>
              <w:top w:val="single" w:color="auto" w:sz="4" w:space="0"/>
              <w:left w:val="single" w:color="auto" w:sz="4" w:space="0"/>
              <w:bottom w:val="single" w:color="auto" w:sz="4" w:space="0"/>
              <w:right w:val="single" w:color="auto" w:sz="4" w:space="0"/>
            </w:tcBorders>
          </w:tcPr>
          <w:p w14:paraId="06E33C0A">
            <w:pPr>
              <w:spacing w:line="360" w:lineRule="auto"/>
              <w:ind w:firstLine="210"/>
              <w:contextualSpacing/>
              <w:rPr>
                <w:rFonts w:ascii="宋体" w:hAnsi="宋体" w:cs="宋体"/>
                <w:color w:val="auto"/>
                <w:szCs w:val="21"/>
                <w:highlight w:val="none"/>
              </w:rPr>
            </w:pPr>
            <w:r>
              <w:rPr>
                <w:rFonts w:hint="eastAsia" w:ascii="宋体" w:hAnsi="宋体" w:cs="宋体"/>
                <w:color w:val="auto"/>
                <w:szCs w:val="21"/>
                <w:highlight w:val="none"/>
              </w:rPr>
              <w:t>0.1%</w:t>
            </w:r>
          </w:p>
        </w:tc>
        <w:tc>
          <w:tcPr>
            <w:tcW w:w="1546" w:type="dxa"/>
            <w:tcBorders>
              <w:top w:val="single" w:color="auto" w:sz="4" w:space="0"/>
              <w:left w:val="single" w:color="auto" w:sz="4" w:space="0"/>
              <w:bottom w:val="single" w:color="auto" w:sz="4" w:space="0"/>
              <w:right w:val="single" w:color="auto" w:sz="4" w:space="0"/>
            </w:tcBorders>
          </w:tcPr>
          <w:p w14:paraId="67B1F10B">
            <w:pPr>
              <w:spacing w:line="360" w:lineRule="auto"/>
              <w:ind w:firstLine="210"/>
              <w:contextualSpacing/>
              <w:rPr>
                <w:rFonts w:ascii="宋体" w:hAnsi="宋体" w:cs="宋体"/>
                <w:color w:val="auto"/>
                <w:szCs w:val="21"/>
                <w:highlight w:val="none"/>
              </w:rPr>
            </w:pPr>
            <w:r>
              <w:rPr>
                <w:rFonts w:hint="eastAsia" w:ascii="宋体" w:hAnsi="宋体" w:cs="宋体"/>
                <w:color w:val="auto"/>
                <w:szCs w:val="21"/>
                <w:highlight w:val="none"/>
              </w:rPr>
              <w:t>0.2%</w:t>
            </w:r>
          </w:p>
        </w:tc>
      </w:tr>
      <w:tr w14:paraId="4261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15BEBB05">
            <w:pPr>
              <w:spacing w:line="360" w:lineRule="auto"/>
              <w:rPr>
                <w:rFonts w:ascii="宋体" w:hAnsi="宋体" w:cs="宋体"/>
                <w:color w:val="auto"/>
                <w:szCs w:val="21"/>
                <w:highlight w:val="none"/>
              </w:rPr>
            </w:pPr>
            <w:r>
              <w:rPr>
                <w:rFonts w:hint="eastAsia" w:ascii="宋体" w:hAnsi="宋体" w:cs="宋体"/>
                <w:color w:val="auto"/>
                <w:szCs w:val="21"/>
                <w:highlight w:val="none"/>
              </w:rPr>
              <w:t>1亿～5亿元</w:t>
            </w:r>
          </w:p>
        </w:tc>
        <w:tc>
          <w:tcPr>
            <w:tcW w:w="1659" w:type="dxa"/>
            <w:tcBorders>
              <w:top w:val="single" w:color="auto" w:sz="4" w:space="0"/>
              <w:left w:val="single" w:color="auto" w:sz="4" w:space="0"/>
              <w:bottom w:val="single" w:color="auto" w:sz="4" w:space="0"/>
              <w:right w:val="single" w:color="auto" w:sz="4" w:space="0"/>
            </w:tcBorders>
          </w:tcPr>
          <w:p w14:paraId="1E954A5B">
            <w:pPr>
              <w:spacing w:line="360" w:lineRule="auto"/>
              <w:ind w:firstLine="210"/>
              <w:contextualSpacing/>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Borders>
              <w:top w:val="single" w:color="auto" w:sz="4" w:space="0"/>
              <w:left w:val="single" w:color="auto" w:sz="4" w:space="0"/>
              <w:bottom w:val="single" w:color="auto" w:sz="4" w:space="0"/>
              <w:right w:val="single" w:color="auto" w:sz="4" w:space="0"/>
            </w:tcBorders>
          </w:tcPr>
          <w:p w14:paraId="6EBFADEC">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Borders>
              <w:top w:val="single" w:color="auto" w:sz="4" w:space="0"/>
              <w:left w:val="single" w:color="auto" w:sz="4" w:space="0"/>
              <w:bottom w:val="single" w:color="auto" w:sz="4" w:space="0"/>
              <w:right w:val="single" w:color="auto" w:sz="4" w:space="0"/>
            </w:tcBorders>
          </w:tcPr>
          <w:p w14:paraId="2A8FDE7B">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6215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5D662C0">
            <w:pPr>
              <w:spacing w:line="360" w:lineRule="auto"/>
              <w:rPr>
                <w:rFonts w:ascii="宋体" w:hAnsi="宋体" w:cs="宋体"/>
                <w:color w:val="auto"/>
                <w:szCs w:val="21"/>
                <w:highlight w:val="none"/>
              </w:rPr>
            </w:pPr>
            <w:r>
              <w:rPr>
                <w:rFonts w:hint="eastAsia" w:ascii="宋体" w:hAnsi="宋体" w:cs="宋体"/>
                <w:color w:val="auto"/>
                <w:szCs w:val="21"/>
                <w:highlight w:val="none"/>
              </w:rPr>
              <w:t>5亿～10亿元</w:t>
            </w:r>
          </w:p>
        </w:tc>
        <w:tc>
          <w:tcPr>
            <w:tcW w:w="1659" w:type="dxa"/>
            <w:tcBorders>
              <w:top w:val="single" w:color="auto" w:sz="4" w:space="0"/>
              <w:left w:val="single" w:color="auto" w:sz="4" w:space="0"/>
              <w:bottom w:val="single" w:color="auto" w:sz="4" w:space="0"/>
              <w:right w:val="single" w:color="auto" w:sz="4" w:space="0"/>
            </w:tcBorders>
          </w:tcPr>
          <w:p w14:paraId="69EB9805">
            <w:pPr>
              <w:spacing w:line="360" w:lineRule="auto"/>
              <w:ind w:firstLine="105"/>
              <w:contextualSpacing/>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Borders>
              <w:top w:val="single" w:color="auto" w:sz="4" w:space="0"/>
              <w:left w:val="single" w:color="auto" w:sz="4" w:space="0"/>
              <w:bottom w:val="single" w:color="auto" w:sz="4" w:space="0"/>
              <w:right w:val="single" w:color="auto" w:sz="4" w:space="0"/>
            </w:tcBorders>
          </w:tcPr>
          <w:p w14:paraId="58D0CD6A">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Borders>
              <w:top w:val="single" w:color="auto" w:sz="4" w:space="0"/>
              <w:left w:val="single" w:color="auto" w:sz="4" w:space="0"/>
              <w:bottom w:val="single" w:color="auto" w:sz="4" w:space="0"/>
              <w:right w:val="single" w:color="auto" w:sz="4" w:space="0"/>
            </w:tcBorders>
          </w:tcPr>
          <w:p w14:paraId="0476B89E">
            <w:pPr>
              <w:spacing w:line="360" w:lineRule="auto"/>
              <w:ind w:firstLine="105"/>
              <w:contextualSpacing/>
              <w:rPr>
                <w:rFonts w:ascii="宋体" w:hAnsi="宋体" w:cs="宋体"/>
                <w:color w:val="auto"/>
                <w:szCs w:val="21"/>
                <w:highlight w:val="none"/>
              </w:rPr>
            </w:pPr>
            <w:r>
              <w:rPr>
                <w:rFonts w:hint="eastAsia" w:ascii="宋体" w:hAnsi="宋体" w:cs="宋体"/>
                <w:color w:val="auto"/>
                <w:szCs w:val="21"/>
                <w:highlight w:val="none"/>
              </w:rPr>
              <w:t>0.035%</w:t>
            </w:r>
          </w:p>
        </w:tc>
      </w:tr>
      <w:tr w14:paraId="25B5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732A301">
            <w:pPr>
              <w:spacing w:line="360" w:lineRule="auto"/>
              <w:rPr>
                <w:rFonts w:ascii="宋体" w:hAnsi="宋体" w:cs="宋体"/>
                <w:color w:val="auto"/>
                <w:szCs w:val="21"/>
                <w:highlight w:val="none"/>
              </w:rPr>
            </w:pPr>
            <w:r>
              <w:rPr>
                <w:rFonts w:hint="eastAsia" w:ascii="宋体" w:hAnsi="宋体" w:cs="宋体"/>
                <w:color w:val="auto"/>
                <w:szCs w:val="21"/>
                <w:highlight w:val="none"/>
              </w:rPr>
              <w:t>10亿～50亿元</w:t>
            </w:r>
          </w:p>
        </w:tc>
        <w:tc>
          <w:tcPr>
            <w:tcW w:w="1659" w:type="dxa"/>
            <w:tcBorders>
              <w:top w:val="single" w:color="auto" w:sz="4" w:space="0"/>
              <w:left w:val="single" w:color="auto" w:sz="4" w:space="0"/>
              <w:bottom w:val="single" w:color="auto" w:sz="4" w:space="0"/>
              <w:right w:val="single" w:color="auto" w:sz="4" w:space="0"/>
            </w:tcBorders>
          </w:tcPr>
          <w:p w14:paraId="13287CD2">
            <w:pPr>
              <w:spacing w:line="360" w:lineRule="auto"/>
              <w:ind w:firstLine="105"/>
              <w:contextualSpacing/>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Borders>
              <w:top w:val="single" w:color="auto" w:sz="4" w:space="0"/>
              <w:left w:val="single" w:color="auto" w:sz="4" w:space="0"/>
              <w:bottom w:val="single" w:color="auto" w:sz="4" w:space="0"/>
              <w:right w:val="single" w:color="auto" w:sz="4" w:space="0"/>
            </w:tcBorders>
          </w:tcPr>
          <w:p w14:paraId="5F87EA15">
            <w:pPr>
              <w:spacing w:line="360" w:lineRule="auto"/>
              <w:ind w:firstLine="210"/>
              <w:contextualSpacing/>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Borders>
              <w:top w:val="single" w:color="auto" w:sz="4" w:space="0"/>
              <w:left w:val="single" w:color="auto" w:sz="4" w:space="0"/>
              <w:bottom w:val="single" w:color="auto" w:sz="4" w:space="0"/>
              <w:right w:val="single" w:color="auto" w:sz="4" w:space="0"/>
            </w:tcBorders>
          </w:tcPr>
          <w:p w14:paraId="15EB9530">
            <w:pPr>
              <w:spacing w:line="360" w:lineRule="auto"/>
              <w:ind w:firstLine="105"/>
              <w:contextualSpacing/>
              <w:rPr>
                <w:rFonts w:ascii="宋体" w:hAnsi="宋体" w:cs="宋体"/>
                <w:color w:val="auto"/>
                <w:szCs w:val="21"/>
                <w:highlight w:val="none"/>
              </w:rPr>
            </w:pPr>
            <w:r>
              <w:rPr>
                <w:rFonts w:hint="eastAsia" w:ascii="宋体" w:hAnsi="宋体" w:cs="宋体"/>
                <w:color w:val="auto"/>
                <w:szCs w:val="21"/>
                <w:highlight w:val="none"/>
              </w:rPr>
              <w:t>0.008%</w:t>
            </w:r>
          </w:p>
        </w:tc>
      </w:tr>
      <w:tr w14:paraId="5DF8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7188845">
            <w:pPr>
              <w:spacing w:line="360" w:lineRule="auto"/>
              <w:rPr>
                <w:rFonts w:ascii="宋体" w:hAnsi="宋体" w:cs="宋体"/>
                <w:color w:val="auto"/>
                <w:szCs w:val="21"/>
                <w:highlight w:val="none"/>
              </w:rPr>
            </w:pPr>
            <w:r>
              <w:rPr>
                <w:rFonts w:hint="eastAsia" w:ascii="宋体" w:hAnsi="宋体" w:cs="宋体"/>
                <w:color w:val="auto"/>
                <w:szCs w:val="21"/>
                <w:highlight w:val="none"/>
              </w:rPr>
              <w:t>50亿～100亿元</w:t>
            </w:r>
          </w:p>
        </w:tc>
        <w:tc>
          <w:tcPr>
            <w:tcW w:w="1659" w:type="dxa"/>
            <w:tcBorders>
              <w:top w:val="single" w:color="auto" w:sz="4" w:space="0"/>
              <w:left w:val="single" w:color="auto" w:sz="4" w:space="0"/>
              <w:bottom w:val="single" w:color="auto" w:sz="4" w:space="0"/>
              <w:right w:val="single" w:color="auto" w:sz="4" w:space="0"/>
            </w:tcBorders>
          </w:tcPr>
          <w:p w14:paraId="7B923A4D">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Borders>
              <w:top w:val="single" w:color="auto" w:sz="4" w:space="0"/>
              <w:left w:val="single" w:color="auto" w:sz="4" w:space="0"/>
              <w:bottom w:val="single" w:color="auto" w:sz="4" w:space="0"/>
              <w:right w:val="single" w:color="auto" w:sz="4" w:space="0"/>
            </w:tcBorders>
          </w:tcPr>
          <w:p w14:paraId="20C80D0A">
            <w:pPr>
              <w:spacing w:line="360" w:lineRule="auto"/>
              <w:ind w:firstLine="210"/>
              <w:contextualSpacing/>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Borders>
              <w:top w:val="single" w:color="auto" w:sz="4" w:space="0"/>
              <w:left w:val="single" w:color="auto" w:sz="4" w:space="0"/>
              <w:bottom w:val="single" w:color="auto" w:sz="4" w:space="0"/>
              <w:right w:val="single" w:color="auto" w:sz="4" w:space="0"/>
            </w:tcBorders>
          </w:tcPr>
          <w:p w14:paraId="064A1370">
            <w:pPr>
              <w:spacing w:line="360" w:lineRule="auto"/>
              <w:ind w:firstLine="105"/>
              <w:contextualSpacing/>
              <w:rPr>
                <w:rFonts w:ascii="宋体" w:hAnsi="宋体" w:cs="宋体"/>
                <w:color w:val="auto"/>
                <w:szCs w:val="21"/>
                <w:highlight w:val="none"/>
              </w:rPr>
            </w:pPr>
            <w:r>
              <w:rPr>
                <w:rFonts w:hint="eastAsia" w:ascii="宋体" w:hAnsi="宋体" w:cs="宋体"/>
                <w:color w:val="auto"/>
                <w:szCs w:val="21"/>
                <w:highlight w:val="none"/>
              </w:rPr>
              <w:t>0.006%</w:t>
            </w:r>
          </w:p>
        </w:tc>
      </w:tr>
      <w:tr w14:paraId="09D0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BD5653F">
            <w:pPr>
              <w:spacing w:line="360" w:lineRule="auto"/>
              <w:rPr>
                <w:rFonts w:ascii="宋体" w:hAnsi="宋体" w:cs="宋体"/>
                <w:color w:val="auto"/>
                <w:szCs w:val="21"/>
                <w:highlight w:val="none"/>
              </w:rPr>
            </w:pPr>
            <w:r>
              <w:rPr>
                <w:rFonts w:hint="eastAsia" w:ascii="宋体" w:hAnsi="宋体" w:cs="宋体"/>
                <w:color w:val="auto"/>
                <w:szCs w:val="21"/>
                <w:highlight w:val="none"/>
              </w:rPr>
              <w:t>100亿元以上</w:t>
            </w:r>
          </w:p>
        </w:tc>
        <w:tc>
          <w:tcPr>
            <w:tcW w:w="1659" w:type="dxa"/>
            <w:tcBorders>
              <w:top w:val="single" w:color="auto" w:sz="4" w:space="0"/>
              <w:left w:val="single" w:color="auto" w:sz="4" w:space="0"/>
              <w:bottom w:val="single" w:color="auto" w:sz="4" w:space="0"/>
              <w:right w:val="single" w:color="auto" w:sz="4" w:space="0"/>
            </w:tcBorders>
          </w:tcPr>
          <w:p w14:paraId="0E9CC099">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Borders>
              <w:top w:val="single" w:color="auto" w:sz="4" w:space="0"/>
              <w:left w:val="single" w:color="auto" w:sz="4" w:space="0"/>
              <w:bottom w:val="single" w:color="auto" w:sz="4" w:space="0"/>
              <w:right w:val="single" w:color="auto" w:sz="4" w:space="0"/>
            </w:tcBorders>
          </w:tcPr>
          <w:p w14:paraId="4DF64EA6">
            <w:pPr>
              <w:spacing w:line="360" w:lineRule="auto"/>
              <w:ind w:firstLine="210"/>
              <w:contextualSpacing/>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Borders>
              <w:top w:val="single" w:color="auto" w:sz="4" w:space="0"/>
              <w:left w:val="single" w:color="auto" w:sz="4" w:space="0"/>
              <w:bottom w:val="single" w:color="auto" w:sz="4" w:space="0"/>
              <w:right w:val="single" w:color="auto" w:sz="4" w:space="0"/>
            </w:tcBorders>
          </w:tcPr>
          <w:p w14:paraId="2C5852AE">
            <w:pPr>
              <w:spacing w:line="360" w:lineRule="auto"/>
              <w:ind w:firstLine="105"/>
              <w:contextualSpacing/>
              <w:rPr>
                <w:rFonts w:ascii="宋体" w:hAnsi="宋体" w:cs="宋体"/>
                <w:color w:val="auto"/>
                <w:szCs w:val="21"/>
                <w:highlight w:val="none"/>
              </w:rPr>
            </w:pPr>
            <w:r>
              <w:rPr>
                <w:rFonts w:hint="eastAsia" w:ascii="宋体" w:hAnsi="宋体" w:cs="宋体"/>
                <w:color w:val="auto"/>
                <w:szCs w:val="21"/>
                <w:highlight w:val="none"/>
              </w:rPr>
              <w:t>0.004%</w:t>
            </w:r>
          </w:p>
        </w:tc>
      </w:tr>
    </w:tbl>
    <w:p w14:paraId="7B1E370B">
      <w:pPr>
        <w:spacing w:line="360" w:lineRule="auto"/>
        <w:ind w:firstLine="420"/>
        <w:contextualSpacing/>
        <w:rPr>
          <w:rFonts w:ascii="宋体" w:hAnsi="宋体" w:cs="宋体"/>
          <w:color w:val="auto"/>
          <w:highlight w:val="none"/>
        </w:rPr>
      </w:pPr>
      <w:r>
        <w:rPr>
          <w:rFonts w:ascii="宋体" w:hAnsi="宋体" w:cs="宋体"/>
          <w:color w:val="auto"/>
          <w:highlight w:val="none"/>
        </w:rPr>
        <w:t xml:space="preserve">注： </w:t>
      </w:r>
    </w:p>
    <w:p w14:paraId="60226F67">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3A675F15">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（2）代理服务费</w:t>
      </w:r>
      <w:r>
        <w:rPr>
          <w:rFonts w:ascii="宋体" w:hAnsi="宋体" w:cs="宋体"/>
          <w:color w:val="auto"/>
          <w:highlight w:val="none"/>
        </w:rPr>
        <w:t>按差额定率累进法计算。</w:t>
      </w:r>
    </w:p>
    <w:p w14:paraId="759A654E">
      <w:pPr>
        <w:spacing w:line="360" w:lineRule="auto"/>
        <w:ind w:firstLine="420"/>
        <w:contextualSpacing/>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665B6D67">
      <w:pPr>
        <w:spacing w:line="360" w:lineRule="auto"/>
        <w:ind w:firstLine="420"/>
        <w:contextualSpacing/>
        <w:rPr>
          <w:rFonts w:ascii="宋体" w:hAnsi="宋体" w:cs="宋体"/>
          <w:color w:val="auto"/>
          <w:highlight w:val="none"/>
        </w:rPr>
      </w:pPr>
      <w:r>
        <w:rPr>
          <w:rFonts w:ascii="宋体" w:hAnsi="宋体" w:cs="宋体"/>
          <w:color w:val="auto"/>
          <w:highlight w:val="none"/>
        </w:rPr>
        <w:t>100 万元 ×l.5 %＝ 1.5 万元</w:t>
      </w:r>
    </w:p>
    <w:p w14:paraId="2D518B43">
      <w:pPr>
        <w:spacing w:line="360" w:lineRule="auto"/>
        <w:ind w:firstLine="420"/>
        <w:contextualSpacing/>
        <w:rPr>
          <w:rFonts w:ascii="宋体" w:hAnsi="宋体" w:cs="宋体"/>
          <w:color w:val="auto"/>
          <w:highlight w:val="none"/>
        </w:rPr>
      </w:pPr>
      <w:r>
        <w:rPr>
          <w:rFonts w:ascii="宋体" w:hAnsi="宋体" w:cs="宋体"/>
          <w:color w:val="auto"/>
          <w:highlight w:val="none"/>
        </w:rPr>
        <w:t>（ 150 － 100 ）万元 ×0.8%＝ 0.4 万元</w:t>
      </w:r>
    </w:p>
    <w:p w14:paraId="5C513EE3">
      <w:pPr>
        <w:spacing w:line="360" w:lineRule="auto"/>
        <w:ind w:firstLine="420"/>
        <w:contextualSpacing/>
        <w:rPr>
          <w:rFonts w:ascii="宋体" w:hAnsi="宋体" w:cs="宋体"/>
          <w:color w:val="auto"/>
          <w:highlight w:val="none"/>
        </w:rPr>
      </w:pPr>
      <w:r>
        <w:rPr>
          <w:rFonts w:ascii="宋体" w:hAnsi="宋体" w:cs="宋体"/>
          <w:color w:val="auto"/>
          <w:highlight w:val="none"/>
        </w:rPr>
        <w:t>合计收费＝ 1.5 ＋ 0.4＝ 1.9 （万元）</w:t>
      </w:r>
    </w:p>
    <w:p w14:paraId="43BABA45">
      <w:pPr>
        <w:spacing w:line="360" w:lineRule="auto"/>
        <w:ind w:firstLine="482"/>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 需要补充的其他内容</w:t>
      </w:r>
    </w:p>
    <w:p w14:paraId="32F469D0">
      <w:pPr>
        <w:pStyle w:val="214"/>
        <w:spacing w:line="360" w:lineRule="auto"/>
        <w:ind w:firstLine="42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0542EA9A">
      <w:pPr>
        <w:spacing w:line="360" w:lineRule="auto"/>
        <w:ind w:firstLine="420"/>
        <w:contextualSpacing/>
        <w:rPr>
          <w:rFonts w:hAnsi="宋体"/>
          <w:color w:val="auto"/>
          <w:highlight w:val="none"/>
        </w:rPr>
      </w:pPr>
      <w:r>
        <w:rPr>
          <w:rFonts w:hAnsi="宋体" w:cs="宋体"/>
          <w:color w:val="auto"/>
          <w:highlight w:val="none"/>
        </w:rPr>
        <w:t>33.2</w:t>
      </w:r>
      <w:r>
        <w:rPr>
          <w:rFonts w:hint="eastAsia" w:hAnsi="宋体" w:cs="宋体"/>
          <w:color w:val="auto"/>
          <w:highlight w:val="none"/>
        </w:rPr>
        <w:t xml:space="preserve"> </w:t>
      </w:r>
      <w:r>
        <w:rPr>
          <w:rFonts w:hint="eastAsia" w:hAnsi="宋体"/>
          <w:color w:val="auto"/>
          <w:highlight w:val="none"/>
        </w:rPr>
        <w:t>其他事项详见“供应商须知前附表”。</w:t>
      </w:r>
    </w:p>
    <w:p w14:paraId="2A37D36B">
      <w:pPr>
        <w:pStyle w:val="214"/>
        <w:spacing w:line="360" w:lineRule="auto"/>
        <w:ind w:firstLine="400"/>
        <w:contextualSpacing/>
        <w:rPr>
          <w:rFonts w:hAnsi="宋体"/>
          <w:color w:val="auto"/>
          <w:sz w:val="21"/>
          <w:highlight w:val="none"/>
        </w:rPr>
      </w:pPr>
      <w:r>
        <w:rPr>
          <w:rFonts w:hint="eastAsia" w:hAnsi="宋体"/>
          <w:color w:val="auto"/>
          <w:highlight w:val="none"/>
        </w:rPr>
        <w:t>3</w:t>
      </w:r>
      <w:r>
        <w:rPr>
          <w:rFonts w:hAnsi="宋体"/>
          <w:color w:val="auto"/>
          <w:highlight w:val="none"/>
        </w:rPr>
        <w:t>3.3</w:t>
      </w:r>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43F22EE1">
      <w:pPr>
        <w:pStyle w:val="214"/>
        <w:spacing w:line="360" w:lineRule="auto"/>
        <w:ind w:firstLine="42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052E7B4">
      <w:pPr>
        <w:pStyle w:val="214"/>
        <w:spacing w:line="360" w:lineRule="auto"/>
        <w:ind w:firstLine="42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45C1783B">
      <w:pPr>
        <w:pStyle w:val="214"/>
        <w:spacing w:line="360" w:lineRule="auto"/>
        <w:ind w:firstLine="42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872868D">
      <w:pPr>
        <w:pStyle w:val="214"/>
        <w:spacing w:line="360" w:lineRule="auto"/>
        <w:ind w:firstLine="420"/>
        <w:contextualSpacing/>
        <w:rPr>
          <w:rFonts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4647BAA9">
      <w:pPr>
        <w:spacing w:line="360" w:lineRule="auto"/>
        <w:ind w:firstLine="420"/>
        <w:contextualSpacing/>
        <w:rPr>
          <w:rFonts w:ascii="宋体" w:hAnsi="宋体" w:cs="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p>
    <w:p w14:paraId="30F304EC">
      <w:pPr>
        <w:pStyle w:val="209"/>
        <w:ind w:left="1" w:firstLine="3"/>
        <w:rPr>
          <w:rFonts w:ascii="宋体"/>
          <w:b/>
          <w:bCs/>
          <w:color w:val="auto"/>
          <w:sz w:val="18"/>
          <w:szCs w:val="18"/>
          <w:highlight w:val="none"/>
        </w:rPr>
      </w:pPr>
      <w:r>
        <w:rPr>
          <w:rFonts w:ascii="黑体" w:hAnsi="黑体" w:eastAsia="黑体" w:cs="黑体"/>
          <w:bCs/>
          <w:color w:val="auto"/>
          <w:sz w:val="32"/>
          <w:szCs w:val="32"/>
          <w:highlight w:val="none"/>
        </w:rPr>
        <w:br w:type="page" w:clear="all"/>
      </w:r>
    </w:p>
    <w:p w14:paraId="1576B69A">
      <w:pPr>
        <w:pStyle w:val="214"/>
        <w:spacing w:before="120" w:after="120"/>
        <w:rPr>
          <w:rFonts w:hAnsi="宋体"/>
          <w:color w:val="auto"/>
          <w:highlight w:val="none"/>
        </w:rPr>
      </w:pPr>
    </w:p>
    <w:p w14:paraId="1208DC56">
      <w:pPr>
        <w:jc w:val="left"/>
        <w:rPr>
          <w:rFonts w:hAnsi="宋体"/>
          <w:b/>
          <w:color w:val="auto"/>
          <w:sz w:val="32"/>
          <w:szCs w:val="32"/>
          <w:highlight w:val="none"/>
        </w:rPr>
      </w:pPr>
    </w:p>
    <w:p w14:paraId="7EEF9299">
      <w:pPr>
        <w:pStyle w:val="194"/>
        <w:jc w:val="center"/>
        <w:rPr>
          <w:color w:val="auto"/>
          <w:highlight w:val="none"/>
        </w:rPr>
      </w:pPr>
      <w:bookmarkStart w:id="73" w:name="_Toc7402"/>
      <w:r>
        <w:rPr>
          <w:rFonts w:hint="eastAsia"/>
          <w:color w:val="auto"/>
          <w:highlight w:val="none"/>
        </w:rPr>
        <w:t>第三章 采购需求</w:t>
      </w:r>
      <w:bookmarkEnd w:id="73"/>
    </w:p>
    <w:p w14:paraId="010B3B8E">
      <w:pPr>
        <w:spacing w:line="440" w:lineRule="exact"/>
        <w:jc w:val="center"/>
        <w:rPr>
          <w:rFonts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0185642B">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说明：</w:t>
      </w:r>
    </w:p>
    <w:p w14:paraId="156C2DBC">
      <w:pPr>
        <w:spacing w:line="360" w:lineRule="auto"/>
        <w:ind w:firstLine="420"/>
        <w:contextualSpacing/>
        <w:jc w:val="left"/>
        <w:rPr>
          <w:i/>
          <w:color w:val="auto"/>
          <w:highlight w:val="none"/>
        </w:rPr>
      </w:pPr>
      <w:r>
        <w:rPr>
          <w:rFonts w:hint="eastAsia"/>
          <w:color w:val="auto"/>
          <w:highlight w:val="none"/>
        </w:rPr>
        <w:t>1. 为落实政府采购政策需满足的要求</w:t>
      </w:r>
    </w:p>
    <w:p w14:paraId="3FA0EFCE">
      <w:pPr>
        <w:spacing w:line="360" w:lineRule="auto"/>
        <w:ind w:firstLine="420"/>
        <w:contextualSpacing/>
        <w:jc w:val="left"/>
        <w:rPr>
          <w:rFonts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14:paraId="3137F4CA">
      <w:pPr>
        <w:spacing w:line="360" w:lineRule="auto"/>
        <w:ind w:firstLine="420"/>
        <w:contextualSpacing/>
        <w:jc w:val="left"/>
        <w:rPr>
          <w:rFonts w:ascii="宋体" w:hAnsi="宋体" w:cs="宋体"/>
          <w:color w:val="auto"/>
          <w:szCs w:val="21"/>
          <w:highlight w:val="none"/>
        </w:rPr>
      </w:pPr>
      <w:r>
        <w:rPr>
          <w:rFonts w:hint="eastAsia" w:ascii="宋体" w:hAnsi="宋体" w:cs="宋体"/>
          <w:color w:val="auto"/>
          <w:szCs w:val="21"/>
          <w:highlight w:val="none"/>
        </w:rPr>
        <w:t>（2）</w:t>
      </w:r>
      <w:bookmarkStart w:id="74" w:name="OLE_LINK5"/>
      <w:bookmarkStart w:id="75" w:name="OLE_LINK6"/>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bookmarkEnd w:id="74"/>
      <w:bookmarkEnd w:id="75"/>
    </w:p>
    <w:p w14:paraId="2F4715AF">
      <w:pPr>
        <w:spacing w:line="360" w:lineRule="auto"/>
        <w:ind w:firstLine="424"/>
        <w:contextualSpacing/>
        <w:jc w:val="left"/>
        <w:rPr>
          <w:rFonts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“实质性要求”是指采购需求中带“▲”的条款或者不能负偏离的条款或者已经指明不满足响应文件按无效处理的条款。</w:t>
      </w:r>
    </w:p>
    <w:p w14:paraId="0BA8CA93">
      <w:pPr>
        <w:spacing w:line="360" w:lineRule="auto"/>
        <w:ind w:firstLine="424"/>
        <w:contextualSpacing/>
        <w:jc w:val="left"/>
        <w:rPr>
          <w:color w:val="auto"/>
          <w:highlight w:val="none"/>
        </w:rPr>
      </w:pPr>
      <w:r>
        <w:rPr>
          <w:rFonts w:hint="eastAsia" w:ascii="宋体" w:hAnsi="宋体" w:cs="宋体"/>
          <w:color w:val="auto"/>
          <w:szCs w:val="21"/>
          <w:highlight w:val="none"/>
        </w:rPr>
        <w:t>3. 供应商应根据自身实际情况如实响应谈判文件，对谈判文件提出的要求和条件作出明确响应，否则将作无效响应处理。对于重要技术条款或技术参数应当在响应文件中提供技术支持资料，技术支持资料以谈判文件中规定的形式为准，否则将视为无效技术支持资料。</w:t>
      </w:r>
    </w:p>
    <w:p w14:paraId="0ECF3123">
      <w:pPr>
        <w:spacing w:line="360" w:lineRule="auto"/>
        <w:ind w:firstLine="424"/>
        <w:contextualSpacing/>
        <w:jc w:val="left"/>
        <w:rPr>
          <w:rFonts w:ascii="宋体" w:hAnsi="宋体"/>
          <w:color w:val="auto"/>
          <w:szCs w:val="21"/>
          <w:highlight w:val="none"/>
        </w:rPr>
      </w:pPr>
      <w:r>
        <w:rPr>
          <w:rFonts w:hint="eastAsia" w:ascii="宋体" w:hAnsi="宋体" w:cs="宋体"/>
          <w:color w:val="auto"/>
          <w:szCs w:val="21"/>
          <w:highlight w:val="none"/>
        </w:rPr>
        <w:t>4.</w:t>
      </w:r>
      <w:r>
        <w:rPr>
          <w:rFonts w:hint="eastAsia"/>
          <w:color w:val="auto"/>
          <w:highlight w:val="none"/>
        </w:rPr>
        <w:t>供应商必须自行为其竞标产品侵犯他人的知识产权或者专利成果的行为承担相应法律责任。</w:t>
      </w:r>
    </w:p>
    <w:p w14:paraId="0DE0595B">
      <w:pPr>
        <w:spacing w:line="360" w:lineRule="auto"/>
        <w:jc w:val="left"/>
        <w:rPr>
          <w:rFonts w:ascii="宋体" w:hAnsi="宋体" w:cs="Arial"/>
          <w:bCs/>
          <w:color w:val="auto"/>
          <w:szCs w:val="21"/>
          <w:highlight w:val="none"/>
          <w:u w:val="single"/>
        </w:rPr>
      </w:pPr>
    </w:p>
    <w:p w14:paraId="343BC381">
      <w:pPr>
        <w:spacing w:line="360" w:lineRule="auto"/>
        <w:ind w:firstLine="308"/>
        <w:jc w:val="left"/>
        <w:rPr>
          <w:rFonts w:ascii="宋体" w:hAnsi="宋体" w:cs="Arial"/>
          <w:bCs/>
          <w:color w:val="auto"/>
          <w:szCs w:val="21"/>
          <w:highlight w:val="none"/>
          <w:u w:val="single"/>
        </w:rPr>
      </w:pPr>
      <w:r>
        <w:rPr>
          <w:rFonts w:hint="eastAsia" w:ascii="宋体" w:hAnsi="宋体" w:cs="Arial"/>
          <w:bCs/>
          <w:color w:val="auto"/>
          <w:szCs w:val="21"/>
          <w:highlight w:val="none"/>
          <w:u w:val="single"/>
        </w:rPr>
        <w:t xml:space="preserve"> 1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2192224.32元</w:t>
      </w:r>
    </w:p>
    <w:tbl>
      <w:tblPr>
        <w:tblStyle w:val="3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7"/>
        <w:gridCol w:w="944"/>
        <w:gridCol w:w="486"/>
        <w:gridCol w:w="279"/>
        <w:gridCol w:w="870"/>
        <w:gridCol w:w="5306"/>
      </w:tblGrid>
      <w:tr w14:paraId="039ED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8B4E2E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44" w:type="dxa"/>
            <w:tcBorders>
              <w:top w:val="single" w:color="000000" w:sz="4" w:space="0"/>
              <w:left w:val="single" w:color="000000" w:sz="4" w:space="0"/>
              <w:bottom w:val="single" w:color="000000" w:sz="4" w:space="0"/>
              <w:right w:val="single" w:color="000000" w:sz="4" w:space="0"/>
            </w:tcBorders>
            <w:vAlign w:val="center"/>
          </w:tcPr>
          <w:p w14:paraId="2AE4E75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标的的名称</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0D0C1F36">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所属行业</w:t>
            </w:r>
          </w:p>
        </w:tc>
        <w:tc>
          <w:tcPr>
            <w:tcW w:w="870" w:type="dxa"/>
            <w:tcBorders>
              <w:top w:val="single" w:color="000000" w:sz="4" w:space="0"/>
              <w:left w:val="single" w:color="000000" w:sz="4" w:space="0"/>
              <w:bottom w:val="single" w:color="000000" w:sz="4" w:space="0"/>
              <w:right w:val="single" w:color="000000" w:sz="4" w:space="0"/>
            </w:tcBorders>
            <w:vAlign w:val="center"/>
          </w:tcPr>
          <w:p w14:paraId="668EEEF0">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数量及单位</w:t>
            </w:r>
          </w:p>
        </w:tc>
        <w:tc>
          <w:tcPr>
            <w:tcW w:w="5306" w:type="dxa"/>
            <w:tcBorders>
              <w:top w:val="single" w:color="000000" w:sz="4" w:space="0"/>
              <w:left w:val="single" w:color="000000" w:sz="4" w:space="0"/>
              <w:bottom w:val="single" w:color="000000" w:sz="4" w:space="0"/>
              <w:right w:val="single" w:color="000000" w:sz="4" w:space="0"/>
            </w:tcBorders>
            <w:vAlign w:val="center"/>
          </w:tcPr>
          <w:p w14:paraId="397CC65A">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▲技术要求</w:t>
            </w:r>
          </w:p>
        </w:tc>
      </w:tr>
      <w:tr w14:paraId="09203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7" w:type="dxa"/>
            <w:tcBorders>
              <w:top w:val="single" w:color="000000" w:sz="4" w:space="0"/>
              <w:left w:val="single" w:color="000000" w:sz="4" w:space="0"/>
              <w:bottom w:val="single" w:color="000000" w:sz="4" w:space="0"/>
              <w:right w:val="single" w:color="000000" w:sz="4" w:space="0"/>
            </w:tcBorders>
            <w:vAlign w:val="center"/>
          </w:tcPr>
          <w:p w14:paraId="63AD178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44" w:type="dxa"/>
            <w:tcBorders>
              <w:top w:val="single" w:color="000000" w:sz="4" w:space="0"/>
              <w:left w:val="single" w:color="000000" w:sz="4" w:space="0"/>
              <w:bottom w:val="single" w:color="000000" w:sz="4" w:space="0"/>
              <w:right w:val="single" w:color="000000" w:sz="4" w:space="0"/>
            </w:tcBorders>
            <w:vAlign w:val="center"/>
          </w:tcPr>
          <w:p w14:paraId="6F39235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梧州市公安局万秀分局</w:t>
            </w:r>
            <w:r>
              <w:rPr>
                <w:rFonts w:hint="eastAsia" w:ascii="宋体" w:hAnsi="宋体" w:eastAsia="宋体" w:cs="宋体"/>
                <w:color w:val="auto"/>
                <w:sz w:val="21"/>
                <w:szCs w:val="21"/>
                <w:highlight w:val="none"/>
              </w:rPr>
              <w:t>公安机关2026-2027年度移动警务系统终端流量租赁服务</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154D3CB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870" w:type="dxa"/>
            <w:tcBorders>
              <w:top w:val="single" w:color="000000" w:sz="4" w:space="0"/>
              <w:left w:val="single" w:color="000000" w:sz="4" w:space="0"/>
              <w:bottom w:val="single" w:color="000000" w:sz="4" w:space="0"/>
              <w:right w:val="single" w:color="000000" w:sz="4" w:space="0"/>
            </w:tcBorders>
            <w:vAlign w:val="center"/>
          </w:tcPr>
          <w:p w14:paraId="6DB9EAB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5306" w:type="dxa"/>
            <w:tcBorders>
              <w:top w:val="single" w:color="000000" w:sz="4" w:space="0"/>
              <w:left w:val="single" w:color="000000" w:sz="4" w:space="0"/>
              <w:bottom w:val="single" w:color="000000" w:sz="4" w:space="0"/>
              <w:right w:val="single" w:color="000000" w:sz="4" w:space="0"/>
            </w:tcBorders>
            <w:vAlign w:val="center"/>
          </w:tcPr>
          <w:p w14:paraId="6C6075D1">
            <w:pPr>
              <w:widowControl/>
              <w:spacing w:line="360" w:lineRule="auto"/>
              <w:jc w:val="left"/>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一、基本要求：</w:t>
            </w:r>
          </w:p>
          <w:p w14:paraId="2411C55A">
            <w:pPr>
              <w:widowControl/>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为保障民警正常使用移动警务应用，满足移动办公、指挥调度等工作需要，供应商需提供共286套移动警务系统终端流量租赁服务，服务期为24个月，具体包含如下服务内容：</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每套移动警务系统终端服务要求如下：</w:t>
            </w:r>
          </w:p>
          <w:p w14:paraId="5A6FE25F">
            <w:pPr>
              <w:widowControl/>
              <w:spacing w:line="360" w:lineRule="auto"/>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1.提供每月≥1000分钟国内通用通话、≥40GB/月国内通用流量、≥200条/月短信的服务；</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2.服务期为 24 个月；</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3.含空中发证加密+1年延保服务+2年一次碎屏服务+脱敏服务；</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4.服务期内，每套移动警务系统终端流量租赁服务需提供一台已通过广西移动警务终端适配的移动警务服务终端。</w:t>
            </w:r>
          </w:p>
          <w:p w14:paraId="16217F68">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bidi="ar"/>
              </w:rPr>
              <w:t>二、设备硬件要求：</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1.网络制式：全网通；</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2.双卡双待，支持 SIM 卡、nano SIM 卡；</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3.存储：RAM≥12GB，ROM≥512GB；</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4.CPU：国产芯片；</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5.支持 GPS/AGPS/GLONASS/北斗/GALILEO/QZSS/NavIC；</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6.屏幕：≥6.7 英寸，≥10.7 亿色，具备 P3 广色域的 OLED 显示屏，支持自适应刷新率，分辨率≥ 2688×1216 像素；</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7.后置摄像头：≥4个摄像头，摄像头像素≥5000万像素+ 4000万像素+1200万像素+150万像素，支持自动对焦；</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前置摄像头：≥1300万像素；</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8.电池容量：≥5400mAh（典型值），手机支持最大快充≥66W，支持无线充电，支持50W超级快充，支持无线反向充电；</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9.支持的传感器要求：包括但不限于：姿态感应器、重力传感器、红外传感器、侧边指纹、霍尔传感器、陀螺仪、指南针、环境光传感器、接近光传感器、Camera 激光对焦传感器、色温传感器等；</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10.防水防尘：具备或优于防水防尘IP68等级标准。</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b/>
                <w:bCs/>
                <w:color w:val="auto"/>
                <w:sz w:val="21"/>
                <w:szCs w:val="21"/>
                <w:highlight w:val="none"/>
                <w:lang w:bidi="ar"/>
              </w:rPr>
              <w:t>三、操作系统及软件适配要求：</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1.操作系统安全要求：具备两个完全独立的操作系统，可根据不同的使用环境切换不同的操作系统。安全模式下操作系统接受专用平台进行统一认证和设备绑定，进入工作系统受到保护；</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2.操作系统定制能力：双系统同时在线，支持公共 APN 和专属 APN同时接入、同时在线。当前系统能接收到另外一个系统的通知栏消息，但看不到数据；双系统定位双在线，定位芯片可以同时向两个系统提供定位服务，保证前后台系统都能获取到正确的位置信息；</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3.国产操作系统，支持操作系统级定制，满足国家“十四五”战略要求；</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4.操作系统支持相同品牌设备间的一碰传功能、音频流转功能、文件拖拽编辑功能、分享分布式图片与视频功能；</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5.NFC应用：可用于实现NFC读取身份证标识码核验身份证信息功能；</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6.安全水印：支持系统级全局水印功能，防止偷拍屏幕造成信息泄露，同时支持防截屏、防录屏；</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7.设备应用适配：可适配采购人的警务通应用软件；</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8.设备安全功能要求：支持数据加密存储功能；具备安全引导机制，防止非法刷机；具备内核级防破解反 Root 技术；</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9.设备安全检测：</w:t>
            </w:r>
            <w:r>
              <w:rPr>
                <w:rFonts w:hint="eastAsia" w:ascii="宋体" w:hAnsi="宋体" w:eastAsia="宋体" w:cs="宋体"/>
                <w:color w:val="auto"/>
                <w:sz w:val="21"/>
                <w:szCs w:val="21"/>
                <w:highlight w:val="none"/>
                <w:lang w:val="en-US" w:eastAsia="zh-CN" w:bidi="ar"/>
              </w:rPr>
              <w:t>供应商</w:t>
            </w:r>
            <w:r>
              <w:rPr>
                <w:rFonts w:hint="eastAsia" w:ascii="宋体" w:hAnsi="宋体" w:eastAsia="宋体" w:cs="宋体"/>
                <w:color w:val="auto"/>
                <w:sz w:val="21"/>
                <w:szCs w:val="21"/>
                <w:highlight w:val="none"/>
                <w:lang w:bidi="ar"/>
              </w:rPr>
              <w:t>提供的终端设备和操作系统，通过公安部安全与警用电子产品质量检测中心检查的，提供的终端符合公安部最新移动警务终端标准</w:t>
            </w:r>
            <w:r>
              <w:rPr>
                <w:rFonts w:hint="eastAsia" w:ascii="宋体" w:hAnsi="宋体" w:eastAsia="宋体" w:cs="宋体"/>
                <w:b/>
                <w:bCs/>
                <w:color w:val="auto"/>
                <w:sz w:val="21"/>
                <w:szCs w:val="21"/>
                <w:highlight w:val="none"/>
                <w:lang w:bidi="ar"/>
              </w:rPr>
              <w:t>（需在响应文件中提供符合《GA/T 1466.1-2018 智能手机型移动警务终端第 1 部分：技术要求》的检测报告复印件并加盖供应商公章或电子签章）</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b/>
                <w:bCs/>
                <w:color w:val="auto"/>
                <w:sz w:val="21"/>
                <w:szCs w:val="21"/>
                <w:highlight w:val="none"/>
                <w:lang w:bidi="ar"/>
              </w:rPr>
              <w:t>四、设备售后运维服务及安全加密服务要求：</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b/>
                <w:bCs/>
                <w:color w:val="auto"/>
                <w:sz w:val="21"/>
                <w:szCs w:val="21"/>
                <w:highlight w:val="none"/>
                <w:lang w:bidi="ar"/>
              </w:rPr>
              <w:t>（一）设备售后服务要求：</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1.提供 7×24 小时响应用户电话咨询服务，及时响应并解决问题或给出合理的意见与建议。</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2.设备供货厂家或代理商常驻梧州区域服务人员至少 2 名。</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3.在终端遗失时，提供广西壮族自治区公安厅警务终端管控及应用适配目录内的同等级终端购买途径。</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 xml:space="preserve">4.整机保修服务：提供1年中国手机三包法规定的标准保修服务。要求100%原装原厂零件保修，在保修范围内无条件进行保修，提供软件系统的刷机服务，提供指定官方售后网点终端三包1年延保服务。  </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5.碎屏保障：两年保障期内，正常使用过程中因意外坠落、碰撞、挤压，造成屏幕破碎或者开裂时，可无条件在指定官方售后网点更换 1 次原厂屏幕。</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b/>
                <w:bCs/>
                <w:color w:val="auto"/>
                <w:sz w:val="21"/>
                <w:szCs w:val="21"/>
                <w:highlight w:val="none"/>
                <w:lang w:bidi="ar"/>
              </w:rPr>
              <w:t>（二）移动警务终端加密证书服务：</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采用广西移动警务芯片加密证书方案，为采购人提供移动警务终端不少于 286 个加密证书服务，提供移动警务内置安全芯片加密方案。终端密码模块为空中发证客户端、VPDN 客户端、可信计算 模块提供各项密码功能，实现证书和密钥对应的安全存储和使用。</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1.内置安全芯片 inSE；</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2.在线安全初始化、授权激活；</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3.支持密钥管理；</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4.支持数据加解密；</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5.支持数字签名/验签；</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6.支持消息杂凑、消息验证码 MAC、随机数；</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7.支持 SKF 国密接口；</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8.支持作为移动警务终端可信根使用；</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9.支持 SM2/SM3/SM4 国密算法、支持 RSA、SHA1/SHA256；</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10.SM4 加/解密速率：不低于 15Mbps；</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11.SM2 签名验签速率：不低于 5 次/秒；</w:t>
            </w:r>
            <w:r>
              <w:rPr>
                <w:rFonts w:hint="eastAsia" w:ascii="宋体" w:hAnsi="宋体" w:eastAsia="宋体" w:cs="宋体"/>
                <w:color w:val="auto"/>
                <w:sz w:val="21"/>
                <w:szCs w:val="21"/>
                <w:highlight w:val="none"/>
                <w:lang w:bidi="ar"/>
              </w:rPr>
              <w:br w:type="textWrapping" w:clear="all"/>
            </w:r>
            <w:r>
              <w:rPr>
                <w:rFonts w:hint="eastAsia" w:ascii="宋体" w:hAnsi="宋体" w:eastAsia="宋体" w:cs="宋体"/>
                <w:color w:val="auto"/>
                <w:sz w:val="21"/>
                <w:szCs w:val="21"/>
                <w:highlight w:val="none"/>
                <w:lang w:bidi="ar"/>
              </w:rPr>
              <w:t>12.SM3 计算速率：不低于 30Mbps。</w:t>
            </w:r>
          </w:p>
        </w:tc>
      </w:tr>
      <w:tr w14:paraId="21D7F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tcPr>
          <w:p w14:paraId="1DC47EBB">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▲一、商务要求</w:t>
            </w:r>
          </w:p>
        </w:tc>
      </w:tr>
      <w:tr w14:paraId="070DC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2067" w:type="dxa"/>
            <w:gridSpan w:val="3"/>
            <w:tcBorders>
              <w:top w:val="single" w:color="auto" w:sz="4" w:space="0"/>
              <w:left w:val="single" w:color="auto" w:sz="4" w:space="0"/>
              <w:bottom w:val="single" w:color="auto" w:sz="4" w:space="0"/>
              <w:right w:val="single" w:color="auto" w:sz="4" w:space="0"/>
            </w:tcBorders>
            <w:vAlign w:val="center"/>
          </w:tcPr>
          <w:p w14:paraId="78791D3F">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服务期限和地点</w:t>
            </w:r>
          </w:p>
        </w:tc>
        <w:tc>
          <w:tcPr>
            <w:tcW w:w="6455" w:type="dxa"/>
            <w:gridSpan w:val="3"/>
            <w:tcBorders>
              <w:top w:val="single" w:color="auto" w:sz="4" w:space="0"/>
              <w:left w:val="single" w:color="auto" w:sz="4" w:space="0"/>
              <w:bottom w:val="single" w:color="auto" w:sz="4" w:space="0"/>
              <w:right w:val="single" w:color="auto" w:sz="4" w:space="0"/>
            </w:tcBorders>
            <w:vAlign w:val="center"/>
          </w:tcPr>
          <w:p w14:paraId="693956E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服务期限：采购人确定本次使用服务所配套的终端及其他服务全部交付之日起24个月。</w:t>
            </w:r>
          </w:p>
          <w:p w14:paraId="4960A2C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2.配套终端交付时间：签订合同后20日历日内必须完成所有配套终端的交付及警务通系统安装和调试工作。</w:t>
            </w:r>
          </w:p>
          <w:p w14:paraId="69F7461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3.终端服务交付开通时间：接到采购人通知后3个工作日内开通使用，以确保</w:t>
            </w:r>
            <w:r>
              <w:rPr>
                <w:rFonts w:hint="eastAsia" w:ascii="宋体" w:hAnsi="宋体" w:eastAsia="宋体" w:cs="宋体"/>
                <w:color w:val="auto"/>
                <w:sz w:val="21"/>
                <w:szCs w:val="21"/>
                <w:highlight w:val="none"/>
                <w:lang w:eastAsia="zh-CN"/>
              </w:rPr>
              <w:t>梧州市公安局万秀分局</w:t>
            </w:r>
            <w:r>
              <w:rPr>
                <w:rFonts w:hint="eastAsia" w:ascii="宋体" w:hAnsi="宋体" w:eastAsia="宋体" w:cs="宋体"/>
                <w:color w:val="auto"/>
                <w:sz w:val="21"/>
                <w:szCs w:val="21"/>
                <w:highlight w:val="none"/>
              </w:rPr>
              <w:t>指挥调度等工作正常开展。</w:t>
            </w:r>
          </w:p>
          <w:p w14:paraId="5BD6EAA7">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4.服务地点：</w:t>
            </w:r>
            <w:r>
              <w:rPr>
                <w:rFonts w:hint="eastAsia" w:ascii="宋体" w:hAnsi="宋体" w:eastAsia="宋体" w:cs="宋体"/>
                <w:color w:val="auto"/>
                <w:sz w:val="21"/>
                <w:szCs w:val="21"/>
                <w:highlight w:val="none"/>
                <w:lang w:eastAsia="zh-CN"/>
              </w:rPr>
              <w:t>梧州市公安局万秀分局</w:t>
            </w:r>
            <w:r>
              <w:rPr>
                <w:rFonts w:hint="eastAsia" w:ascii="宋体" w:hAnsi="宋体" w:eastAsia="宋体" w:cs="宋体"/>
                <w:color w:val="auto"/>
                <w:sz w:val="21"/>
                <w:szCs w:val="21"/>
                <w:highlight w:val="none"/>
              </w:rPr>
              <w:t>内。</w:t>
            </w:r>
          </w:p>
        </w:tc>
      </w:tr>
      <w:tr w14:paraId="752EA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7" w:type="dxa"/>
            <w:gridSpan w:val="3"/>
            <w:tcBorders>
              <w:top w:val="single" w:color="auto" w:sz="4" w:space="0"/>
              <w:left w:val="single" w:color="auto" w:sz="4" w:space="0"/>
              <w:bottom w:val="single" w:color="auto" w:sz="4" w:space="0"/>
              <w:right w:val="single" w:color="auto" w:sz="4" w:space="0"/>
            </w:tcBorders>
            <w:vAlign w:val="center"/>
          </w:tcPr>
          <w:p w14:paraId="0C9E29E0">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合同签订时间</w:t>
            </w:r>
          </w:p>
        </w:tc>
        <w:tc>
          <w:tcPr>
            <w:tcW w:w="6455" w:type="dxa"/>
            <w:gridSpan w:val="3"/>
            <w:tcBorders>
              <w:top w:val="single" w:color="auto" w:sz="4" w:space="0"/>
              <w:left w:val="single" w:color="auto" w:sz="4" w:space="0"/>
              <w:bottom w:val="single" w:color="auto" w:sz="4" w:space="0"/>
              <w:right w:val="single" w:color="auto" w:sz="4" w:space="0"/>
            </w:tcBorders>
            <w:vAlign w:val="center"/>
          </w:tcPr>
          <w:p w14:paraId="7B0D139E">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iCs/>
                <w:color w:val="auto"/>
                <w:sz w:val="21"/>
                <w:szCs w:val="21"/>
                <w:highlight w:val="none"/>
              </w:rPr>
              <w:t>自成交通知书发出之日起15日内。</w:t>
            </w:r>
          </w:p>
        </w:tc>
      </w:tr>
      <w:tr w14:paraId="6BC4C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7" w:type="dxa"/>
            <w:gridSpan w:val="3"/>
            <w:tcBorders>
              <w:top w:val="single" w:color="auto" w:sz="4" w:space="0"/>
              <w:left w:val="single" w:color="auto" w:sz="4" w:space="0"/>
              <w:bottom w:val="single" w:color="auto" w:sz="4" w:space="0"/>
              <w:right w:val="single" w:color="auto" w:sz="4" w:space="0"/>
            </w:tcBorders>
            <w:vAlign w:val="center"/>
          </w:tcPr>
          <w:p w14:paraId="41917DD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付款条件</w:t>
            </w:r>
          </w:p>
        </w:tc>
        <w:tc>
          <w:tcPr>
            <w:tcW w:w="6455" w:type="dxa"/>
            <w:gridSpan w:val="3"/>
            <w:tcBorders>
              <w:top w:val="single" w:color="auto" w:sz="4" w:space="0"/>
              <w:left w:val="single" w:color="auto" w:sz="4" w:space="0"/>
              <w:bottom w:val="single" w:color="auto" w:sz="4" w:space="0"/>
              <w:right w:val="single" w:color="auto" w:sz="4" w:space="0"/>
            </w:tcBorders>
            <w:vAlign w:val="center"/>
          </w:tcPr>
          <w:p w14:paraId="75E979A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采购人在服务期内按季度进行结算，经双方确认结算金额，且采购人收到发票及请款函后10个工作日内支付当期结算金额。</w:t>
            </w:r>
          </w:p>
          <w:p w14:paraId="7FC3983C">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项目结算费用按实际开通的终端服务量计算</w:t>
            </w:r>
            <w:r>
              <w:rPr>
                <w:rFonts w:hint="eastAsia" w:ascii="宋体" w:hAnsi="宋体" w:eastAsia="宋体" w:cs="宋体"/>
                <w:color w:val="auto"/>
                <w:sz w:val="21"/>
                <w:szCs w:val="21"/>
                <w:highlight w:val="none"/>
                <w:lang w:eastAsia="zh-CN"/>
              </w:rPr>
              <w:t>。</w:t>
            </w:r>
          </w:p>
        </w:tc>
      </w:tr>
      <w:tr w14:paraId="4F33B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7" w:type="dxa"/>
            <w:gridSpan w:val="3"/>
            <w:tcBorders>
              <w:top w:val="single" w:color="auto" w:sz="4" w:space="0"/>
              <w:left w:val="single" w:color="auto" w:sz="4" w:space="0"/>
              <w:bottom w:val="single" w:color="auto" w:sz="4" w:space="0"/>
              <w:right w:val="single" w:color="auto" w:sz="4" w:space="0"/>
            </w:tcBorders>
            <w:vAlign w:val="center"/>
          </w:tcPr>
          <w:p w14:paraId="13829F7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637E5D0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455" w:type="dxa"/>
            <w:gridSpan w:val="3"/>
            <w:tcBorders>
              <w:top w:val="single" w:color="auto" w:sz="4" w:space="0"/>
              <w:left w:val="single" w:color="auto" w:sz="4" w:space="0"/>
              <w:bottom w:val="single" w:color="auto" w:sz="4" w:space="0"/>
              <w:right w:val="single" w:color="auto" w:sz="4" w:space="0"/>
            </w:tcBorders>
            <w:vAlign w:val="center"/>
          </w:tcPr>
          <w:p w14:paraId="6768BF79">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1.验收标准：符合现行国家相关标准、行业标准、地方标准或者其他标准、规范。</w:t>
            </w:r>
          </w:p>
          <w:p w14:paraId="233D3B0F">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成交供应商在项目交付验收时，由验收小组对照采购需求，全面核对检验。如不符合采购需求以及提供虚假承诺的，按相关规定做违约处理，成交供应商承担所有责任和费用，采购人保留进一步追究责任的权利。</w:t>
            </w:r>
          </w:p>
          <w:p w14:paraId="2D7C4F02">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3.验收时间: 采购人收到成交供应商验收申请之日起5个工作日内进行验收（如有特殊情况，按采购人指定的时间，另行验收）。</w:t>
            </w:r>
          </w:p>
          <w:p w14:paraId="4D617DAB">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4.验收地点：采购人指定地点。</w:t>
            </w:r>
          </w:p>
          <w:p w14:paraId="6E89B63D">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5.验收方式：</w:t>
            </w:r>
          </w:p>
          <w:p w14:paraId="3CE6A07D">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（1）成交供应商完成服务后书面向采购人提交验收申请。</w:t>
            </w:r>
          </w:p>
          <w:p w14:paraId="5E743E01">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（2）本项目验收由验收小组按照采购合同约定对每一项技术和商务要求的履约情况进行确认，作为验收依据；</w:t>
            </w:r>
          </w:p>
          <w:p w14:paraId="7DFB5C67">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（3）验收结束后，验收小组出具采购验收书，验收书应当包括每一项技术和商务要求的履约情况，并列明项目总体评价，由验收小组、采购人和成交供应商共同签署。</w:t>
            </w:r>
          </w:p>
          <w:p w14:paraId="3E9B166E">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（4）验收过程中所产生的一切费用均由成交供应商承担。</w:t>
            </w:r>
          </w:p>
          <w:p w14:paraId="0F7F2BBC">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（5）验收书一式四份，双方各执两份。 </w:t>
            </w:r>
          </w:p>
          <w:p w14:paraId="4AD66DBD">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（6）验收结论不合格的，成交供应商应自收到验收书后5日内及时予以解决。经成交供应商对验收结论不合格的货物进行整改后，仍然达不到要求的，经双方协商，可按以下办法处理：</w:t>
            </w:r>
          </w:p>
          <w:p w14:paraId="1C95C70A">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1）更换：由成交供应商承担所发生的全部费用；</w:t>
            </w:r>
          </w:p>
          <w:p w14:paraId="4D7B534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2）退货处理：成交供应商应退还采购人支付的合同款，同时应承担与该货物相关的直接费用（运输、保险、检验、合同款利息及银行手续费等）。</w:t>
            </w:r>
          </w:p>
        </w:tc>
      </w:tr>
      <w:tr w14:paraId="57406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vAlign w:val="center"/>
          </w:tcPr>
          <w:p w14:paraId="22BC7E8C">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二、与实现项目目标相关的其他要求</w:t>
            </w:r>
          </w:p>
        </w:tc>
      </w:tr>
      <w:tr w14:paraId="62473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7" w:type="dxa"/>
            <w:gridSpan w:val="3"/>
            <w:tcBorders>
              <w:top w:val="single" w:color="auto" w:sz="4" w:space="0"/>
              <w:left w:val="single" w:color="auto" w:sz="4" w:space="0"/>
              <w:bottom w:val="single" w:color="auto" w:sz="4" w:space="0"/>
              <w:right w:val="single" w:color="auto" w:sz="4" w:space="0"/>
            </w:tcBorders>
            <w:vAlign w:val="center"/>
          </w:tcPr>
          <w:p w14:paraId="4247724A">
            <w:pPr>
              <w:tabs>
                <w:tab w:val="left" w:pos="180"/>
                <w:tab w:val="left" w:pos="16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▲其他服务要求</w:t>
            </w:r>
          </w:p>
        </w:tc>
        <w:tc>
          <w:tcPr>
            <w:tcW w:w="6455" w:type="dxa"/>
            <w:gridSpan w:val="3"/>
            <w:tcBorders>
              <w:top w:val="single" w:color="auto" w:sz="4" w:space="0"/>
              <w:left w:val="single" w:color="auto" w:sz="4" w:space="0"/>
              <w:bottom w:val="single" w:color="auto" w:sz="4" w:space="0"/>
              <w:right w:val="single" w:color="auto" w:sz="4" w:space="0"/>
            </w:tcBorders>
            <w:vAlign w:val="center"/>
          </w:tcPr>
          <w:p w14:paraId="629482A2">
            <w:pPr>
              <w:tabs>
                <w:tab w:val="left" w:pos="180"/>
                <w:tab w:val="left" w:pos="162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需提供至少10000条短信额度给采购人向市民发送反诈宣传短信。</w:t>
            </w:r>
          </w:p>
        </w:tc>
      </w:tr>
    </w:tbl>
    <w:p w14:paraId="2CCAD135">
      <w:pPr>
        <w:pStyle w:val="195"/>
        <w:spacing w:line="360" w:lineRule="auto"/>
        <w:rPr>
          <w:color w:val="auto"/>
          <w:highlight w:val="none"/>
        </w:rPr>
      </w:pPr>
    </w:p>
    <w:p w14:paraId="2564A3A2">
      <w:pPr>
        <w:widowControl/>
        <w:jc w:val="left"/>
        <w:rPr>
          <w:rFonts w:ascii="黑体" w:hAnsi="黑体" w:eastAsia="黑体" w:cs="黑体"/>
          <w:color w:val="auto"/>
          <w:sz w:val="32"/>
          <w:szCs w:val="32"/>
          <w:highlight w:val="none"/>
        </w:rPr>
      </w:pPr>
      <w:r>
        <w:rPr>
          <w:color w:val="auto"/>
          <w:highlight w:val="none"/>
        </w:rPr>
        <w:br w:type="page" w:clear="all"/>
      </w:r>
      <w:r>
        <w:rPr>
          <w:rFonts w:hint="eastAsia" w:ascii="黑体" w:hAnsi="黑体" w:eastAsia="黑体" w:cs="黑体"/>
          <w:color w:val="auto"/>
          <w:sz w:val="32"/>
          <w:szCs w:val="32"/>
          <w:highlight w:val="none"/>
        </w:rPr>
        <w:t>附件：</w:t>
      </w:r>
    </w:p>
    <w:p w14:paraId="3B1127C4">
      <w:pPr>
        <w:pStyle w:val="209"/>
        <w:jc w:val="center"/>
        <w:rPr>
          <w:b/>
          <w:color w:val="auto"/>
          <w:sz w:val="28"/>
          <w:szCs w:val="28"/>
          <w:highlight w:val="none"/>
        </w:rPr>
      </w:pPr>
      <w:r>
        <w:rPr>
          <w:rFonts w:hint="eastAsia"/>
          <w:b/>
          <w:color w:val="auto"/>
          <w:sz w:val="28"/>
          <w:szCs w:val="28"/>
          <w:highlight w:val="none"/>
        </w:rPr>
        <w:t>中小企业划型标准规定</w:t>
      </w:r>
    </w:p>
    <w:p w14:paraId="60FA4A3B">
      <w:pPr>
        <w:pStyle w:val="209"/>
        <w:jc w:val="center"/>
        <w:rPr>
          <w:rFonts w:ascii="宋体" w:hAnsi="宋体"/>
          <w:color w:val="auto"/>
          <w:szCs w:val="21"/>
          <w:highlight w:val="none"/>
        </w:rPr>
      </w:pPr>
      <w:r>
        <w:rPr>
          <w:rFonts w:hint="eastAsia" w:ascii="宋体" w:hAnsi="宋体"/>
          <w:color w:val="auto"/>
          <w:szCs w:val="21"/>
          <w:highlight w:val="none"/>
        </w:rPr>
        <w:t>工信部联企业〔2011〕300号</w:t>
      </w:r>
    </w:p>
    <w:p w14:paraId="6F09EDEE">
      <w:pPr>
        <w:pStyle w:val="209"/>
        <w:rPr>
          <w:color w:val="auto"/>
          <w:szCs w:val="21"/>
          <w:highlight w:val="none"/>
        </w:rPr>
      </w:pPr>
    </w:p>
    <w:p w14:paraId="68626F7F">
      <w:pPr>
        <w:pStyle w:val="209"/>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国发〔2009〕36号</w:t>
      </w:r>
      <w:r>
        <w:rPr>
          <w:color w:val="auto"/>
          <w:szCs w:val="21"/>
          <w:highlight w:val="none"/>
        </w:rPr>
        <w:t>)</w:t>
      </w:r>
      <w:r>
        <w:rPr>
          <w:rFonts w:hint="eastAsia"/>
          <w:color w:val="auto"/>
          <w:szCs w:val="21"/>
          <w:highlight w:val="none"/>
        </w:rPr>
        <w:t>，制定本规定。</w:t>
      </w:r>
    </w:p>
    <w:p w14:paraId="4A09988A">
      <w:pPr>
        <w:pStyle w:val="209"/>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232CCF48">
      <w:pPr>
        <w:pStyle w:val="209"/>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F8B2B9A">
      <w:pPr>
        <w:pStyle w:val="209"/>
        <w:rPr>
          <w:color w:val="auto"/>
          <w:szCs w:val="21"/>
          <w:highlight w:val="none"/>
        </w:rPr>
      </w:pPr>
      <w:r>
        <w:rPr>
          <w:rFonts w:hint="eastAsia"/>
          <w:color w:val="auto"/>
          <w:szCs w:val="21"/>
          <w:highlight w:val="none"/>
        </w:rPr>
        <w:t>　　四、各行业划型标准为：</w:t>
      </w:r>
    </w:p>
    <w:p w14:paraId="1CD0EE28">
      <w:pPr>
        <w:pStyle w:val="209"/>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43BF7394">
      <w:pPr>
        <w:pStyle w:val="209"/>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2FC99F9E">
      <w:pPr>
        <w:pStyle w:val="209"/>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39CC5233">
      <w:pPr>
        <w:pStyle w:val="209"/>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500365EF">
      <w:pPr>
        <w:pStyle w:val="209"/>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AED4396">
      <w:pPr>
        <w:pStyle w:val="209"/>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2DCD4B00">
      <w:pPr>
        <w:pStyle w:val="209"/>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D43ED2A">
      <w:pPr>
        <w:pStyle w:val="209"/>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6076037">
      <w:pPr>
        <w:pStyle w:val="209"/>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6168FC78">
      <w:pPr>
        <w:pStyle w:val="209"/>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CB6C8A4">
      <w:pPr>
        <w:pStyle w:val="209"/>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148B7505">
      <w:pPr>
        <w:pStyle w:val="209"/>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62952DC6">
      <w:pPr>
        <w:pStyle w:val="209"/>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30EE2417">
      <w:pPr>
        <w:pStyle w:val="209"/>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5CCEAE00">
      <w:pPr>
        <w:pStyle w:val="209"/>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00E148CD">
      <w:pPr>
        <w:pStyle w:val="209"/>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66D315A5">
      <w:pPr>
        <w:pStyle w:val="209"/>
        <w:rPr>
          <w:color w:val="auto"/>
          <w:szCs w:val="21"/>
          <w:highlight w:val="none"/>
        </w:rPr>
      </w:pPr>
      <w:r>
        <w:rPr>
          <w:rFonts w:hint="eastAsia"/>
          <w:color w:val="auto"/>
          <w:szCs w:val="21"/>
          <w:highlight w:val="none"/>
        </w:rPr>
        <w:t>　　五、企业类型的划分以统计部门的统计数据为依据。</w:t>
      </w:r>
    </w:p>
    <w:p w14:paraId="0D760D27">
      <w:pPr>
        <w:pStyle w:val="209"/>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676CE198">
      <w:pPr>
        <w:pStyle w:val="209"/>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5300AA6">
      <w:pPr>
        <w:pStyle w:val="209"/>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18848FE6">
      <w:pPr>
        <w:pStyle w:val="209"/>
        <w:rPr>
          <w:color w:val="auto"/>
          <w:szCs w:val="21"/>
          <w:highlight w:val="none"/>
        </w:rPr>
      </w:pPr>
      <w:r>
        <w:rPr>
          <w:rFonts w:hint="eastAsia"/>
          <w:color w:val="auto"/>
          <w:szCs w:val="21"/>
          <w:highlight w:val="none"/>
        </w:rPr>
        <w:t>　　九、本规定由工业和信息化部、国家统计局会同有关部门负责解释。</w:t>
      </w:r>
    </w:p>
    <w:p w14:paraId="4D5AEAE0">
      <w:pPr>
        <w:pStyle w:val="209"/>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1085A4AD">
      <w:pPr>
        <w:widowControl/>
        <w:jc w:val="left"/>
        <w:rPr>
          <w:rFonts w:ascii="宋体" w:hAnsi="宋体" w:cs="宋体"/>
          <w:color w:val="auto"/>
          <w:sz w:val="20"/>
          <w:szCs w:val="20"/>
          <w:highlight w:val="none"/>
        </w:rPr>
      </w:pPr>
    </w:p>
    <w:p w14:paraId="4DA83C6A">
      <w:pPr>
        <w:rPr>
          <w:color w:val="auto"/>
          <w:highlight w:val="none"/>
        </w:rPr>
      </w:pPr>
    </w:p>
    <w:p w14:paraId="56925A93">
      <w:pPr>
        <w:rPr>
          <w:color w:val="auto"/>
          <w:highlight w:val="none"/>
        </w:rPr>
      </w:pPr>
      <w:r>
        <w:rPr>
          <w:color w:val="auto"/>
          <w:highlight w:val="none"/>
        </w:rPr>
        <w:br w:type="page" w:clear="all"/>
      </w:r>
    </w:p>
    <w:p w14:paraId="6291BC44">
      <w:pPr>
        <w:rPr>
          <w:color w:val="auto"/>
          <w:highlight w:val="none"/>
        </w:rPr>
      </w:pPr>
    </w:p>
    <w:p w14:paraId="7D335595">
      <w:pPr>
        <w:pStyle w:val="194"/>
        <w:jc w:val="center"/>
        <w:rPr>
          <w:color w:val="auto"/>
          <w:highlight w:val="none"/>
        </w:rPr>
      </w:pPr>
      <w:bookmarkStart w:id="76" w:name="_Toc24728"/>
      <w:r>
        <w:rPr>
          <w:rFonts w:hint="eastAsia"/>
          <w:color w:val="auto"/>
          <w:highlight w:val="none"/>
        </w:rPr>
        <w:t>第四章  评审程序和评定成交的标准</w:t>
      </w:r>
      <w:bookmarkEnd w:id="76"/>
    </w:p>
    <w:p w14:paraId="1743981B">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w:t>
      </w:r>
    </w:p>
    <w:p w14:paraId="7F0EECF5">
      <w:pPr>
        <w:spacing w:line="360" w:lineRule="auto"/>
        <w:ind w:firstLine="482"/>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5B98405B">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由谈判小组确认谈判文件。</w:t>
      </w:r>
    </w:p>
    <w:p w14:paraId="04CF8C85">
      <w:pPr>
        <w:spacing w:line="360" w:lineRule="auto"/>
        <w:ind w:firstLine="482"/>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34C9E786">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2675D2F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7DD9EE9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w:t>
      </w:r>
    </w:p>
    <w:p w14:paraId="6147FE9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E39BA8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24D908C1">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6B810D99">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230D0D3F">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供应商有下列情形之一的，资格审查不通过，其响应文件按无效处理：</w:t>
      </w:r>
    </w:p>
    <w:p w14:paraId="3CE4673A">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69B9B9A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3BE01A43">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2625DD0F">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30238F7A">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67FF3EF2">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6B8FDBCD">
      <w:pPr>
        <w:spacing w:line="360" w:lineRule="auto"/>
        <w:ind w:firstLine="482"/>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5F7EFEC5">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6D0B75E9">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F756EF">
      <w:pPr>
        <w:spacing w:line="360" w:lineRule="auto"/>
        <w:ind w:firstLine="420"/>
        <w:rPr>
          <w:rFonts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7949994B">
      <w:pPr>
        <w:spacing w:line="360" w:lineRule="auto"/>
        <w:ind w:firstLine="420"/>
        <w:contextualSpacing/>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r>
        <w:rPr>
          <w:rFonts w:hint="eastAsia" w:ascii="宋体" w:hAnsi="宋体" w:cs="宋体"/>
          <w:color w:val="auto"/>
          <w:spacing w:val="-6"/>
          <w:szCs w:val="21"/>
          <w:highlight w:val="none"/>
        </w:rPr>
        <w:t>。</w:t>
      </w:r>
    </w:p>
    <w:p w14:paraId="1B549E00">
      <w:pPr>
        <w:spacing w:line="360" w:lineRule="auto"/>
        <w:ind w:firstLine="396"/>
        <w:contextualSpacing/>
        <w:rPr>
          <w:rFonts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36B8746F">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09D15C5">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24DCE8E6">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C499223">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9A532E3">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86BA195">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4F1FCE0E">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44722B04">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（1）商务技术评审</w:t>
      </w:r>
    </w:p>
    <w:p w14:paraId="620EB685">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198916B9">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02069921">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37E3FFD6">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369B4CC">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3BC56EB9">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44D5619F">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3AB9DC0A">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4FEEA332">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0F7CBF12">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14EC35EA">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1）技术评审允许负偏离的条款数超过“供应商须知前附表”规定项数的；</w:t>
      </w:r>
    </w:p>
    <w:p w14:paraId="635E0BDC">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2）虚假竞标，或者出现其他情形而导致被谈判小组认定无效的；</w:t>
      </w:r>
    </w:p>
    <w:p w14:paraId="38D0C5F6">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77"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77"/>
    </w:p>
    <w:p w14:paraId="6BCA854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14）响应文件标注的项目名称或者项目编号与谈判文件标注的项目名称或者项目编号不一致的；</w:t>
      </w:r>
    </w:p>
    <w:p w14:paraId="7091B7A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b/>
          <w:color w:val="auto"/>
          <w:szCs w:val="21"/>
          <w:highlight w:val="none"/>
        </w:rPr>
        <w:t>谈判文件明确不允许分包，响应文件拟分包的；</w:t>
      </w:r>
    </w:p>
    <w:p w14:paraId="4E3A088E">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6）未响应谈判文件实质性要求；</w:t>
      </w:r>
    </w:p>
    <w:p w14:paraId="11B37013">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17）法律、法规和谈判文件规定的其他无效情形。</w:t>
      </w:r>
    </w:p>
    <w:p w14:paraId="7D38EE44">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67E53F62">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1）响应文件未提供“供应商须知前附表” 报价文件中规定的“竞标报价表”的；</w:t>
      </w:r>
    </w:p>
    <w:p w14:paraId="137F93E6">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3B2EB82C">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3DEF73FC">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78" w:name="_Hlk42596405"/>
      <w:r>
        <w:rPr>
          <w:rFonts w:hint="eastAsia" w:ascii="宋体" w:hAnsi="宋体" w:cs="宋体"/>
          <w:color w:val="auto"/>
          <w:szCs w:val="21"/>
          <w:highlight w:val="none"/>
        </w:rPr>
        <w:t>竞标报价（包含首次报价、最后报价）</w:t>
      </w:r>
      <w:bookmarkEnd w:id="78"/>
      <w:bookmarkStart w:id="79" w:name="_Hlk42596276"/>
      <w:r>
        <w:rPr>
          <w:rFonts w:hint="eastAsia" w:ascii="宋体" w:hAnsi="宋体" w:cs="宋体"/>
          <w:color w:val="auto"/>
          <w:szCs w:val="21"/>
          <w:highlight w:val="none"/>
        </w:rPr>
        <w:t>超过谈判文件分项采购预算金额或者最高限价的</w:t>
      </w:r>
      <w:bookmarkEnd w:id="79"/>
      <w:r>
        <w:rPr>
          <w:rFonts w:hint="eastAsia" w:ascii="宋体" w:hAnsi="宋体" w:cs="宋体"/>
          <w:color w:val="auto"/>
          <w:szCs w:val="21"/>
          <w:highlight w:val="none"/>
        </w:rPr>
        <w:t>（如本项目公布了最高限价）；</w:t>
      </w:r>
    </w:p>
    <w:p w14:paraId="40617CA7">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09574099">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6）响应文件响应的标的数量及单位与谈判文件要求实质性不一致的。</w:t>
      </w:r>
    </w:p>
    <w:p w14:paraId="41495000">
      <w:pPr>
        <w:spacing w:line="360" w:lineRule="auto"/>
        <w:ind w:firstLine="42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6294679B">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2044736B">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除本章3.7条规定的情形外，通过符合性审查的合格供应商不足3家的，不得进入谈判环节，应当重新开展采购活动。</w:t>
      </w:r>
    </w:p>
    <w:p w14:paraId="68DECC32">
      <w:pPr>
        <w:spacing w:line="360" w:lineRule="auto"/>
        <w:ind w:firstLine="482"/>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7B9B064F">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谈判小组集中与单一供应商分别进行谈判，并给予所有参加谈判的供应商平等的谈判机会。符合谈判资格的供应商必须在接到通知后规定时间内到达谈判地点参加现场谈判，未在规定时间内参加谈判的，视同放弃参加谈判权利，其响应文件按无效处理。</w:t>
      </w:r>
    </w:p>
    <w:p w14:paraId="6E9FB20C">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3FA0A289">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69385849">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567C0D5B">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39E795F0">
      <w:pPr>
        <w:widowControl/>
        <w:tabs>
          <w:tab w:val="left" w:pos="540"/>
        </w:tabs>
        <w:spacing w:line="360" w:lineRule="auto"/>
        <w:ind w:firstLine="420"/>
        <w:contextualSpacing/>
        <w:jc w:val="left"/>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采购代理机构对谈判过程和重要谈判内容进行记录。</w:t>
      </w:r>
    </w:p>
    <w:p w14:paraId="233F51C1">
      <w:pPr>
        <w:tabs>
          <w:tab w:val="left" w:pos="2835"/>
        </w:tabs>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44921B16">
      <w:pPr>
        <w:spacing w:line="360" w:lineRule="auto"/>
        <w:ind w:firstLine="482"/>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最后报价</w:t>
      </w:r>
    </w:p>
    <w:p w14:paraId="67505CE8">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1A5818FA">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3874CF94">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1DA9F768">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已经提交响应文件的供应商，在提交最后报价之前，可以根据谈判情况退出谈判，退出谈判的供应商的响应文件按无效响应处理。采购人、采购代理机构将退还退出谈判的供应商的保证金。</w:t>
      </w:r>
    </w:p>
    <w:p w14:paraId="66C8D3E8">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供应商未在规定时间内提交最后报价的，视为退出谈判，其响应文件按无效处理。</w:t>
      </w:r>
    </w:p>
    <w:p w14:paraId="7C6AE7C3">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59281068">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0F82BB62">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修正后的报价出现下列情形的，按无效响应处理：</w:t>
      </w:r>
    </w:p>
    <w:p w14:paraId="561352BD">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6C580B3E">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5B88A1D4">
      <w:pPr>
        <w:spacing w:line="360" w:lineRule="auto"/>
        <w:ind w:firstLine="420"/>
        <w:contextualSpacing/>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16708578">
      <w:pPr>
        <w:spacing w:line="360" w:lineRule="auto"/>
        <w:ind w:firstLine="420"/>
        <w:contextualSpacing/>
        <w:rPr>
          <w:rFonts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5A60AF8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1E73EA42">
      <w:pPr>
        <w:spacing w:line="360" w:lineRule="auto"/>
        <w:ind w:firstLine="42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1最后报价结束后，谈判小组不得再与供应商进行任何形式的商谈。</w:t>
      </w:r>
    </w:p>
    <w:p w14:paraId="2341D60F">
      <w:pPr>
        <w:spacing w:line="360" w:lineRule="auto"/>
        <w:ind w:firstLine="482"/>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14:paraId="690F7C6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5797C6EB">
      <w:pPr>
        <w:spacing w:line="360" w:lineRule="auto"/>
        <w:ind w:firstLine="424"/>
        <w:jc w:val="left"/>
        <w:rPr>
          <w:rFonts w:ascii="宋体" w:hAnsi="宋体"/>
          <w:color w:val="auto"/>
          <w:spacing w:val="-6"/>
          <w:szCs w:val="21"/>
          <w:highlight w:val="none"/>
        </w:rPr>
      </w:pPr>
      <w:r>
        <w:rPr>
          <w:rFonts w:ascii="宋体" w:hAnsi="宋体" w:cs="宋体"/>
          <w:color w:val="auto"/>
          <w:szCs w:val="21"/>
          <w:highlight w:val="none"/>
        </w:rPr>
        <w:t>6.2</w:t>
      </w:r>
      <w:r>
        <w:rPr>
          <w:rFonts w:hint="eastAsia" w:ascii="宋体" w:hAnsi="宋体"/>
          <w:color w:val="auto"/>
          <w:szCs w:val="21"/>
          <w:highlight w:val="none"/>
        </w:rPr>
        <w:t>异常低价响应审查</w:t>
      </w:r>
    </w:p>
    <w:p w14:paraId="32BD2EDB">
      <w:pPr>
        <w:spacing w:line="360" w:lineRule="auto"/>
        <w:ind w:firstLine="420"/>
        <w:rPr>
          <w:rFonts w:ascii="宋体" w:hAnsi="宋体"/>
          <w:color w:val="auto"/>
          <w:szCs w:val="21"/>
          <w:highlight w:val="none"/>
        </w:rPr>
      </w:pPr>
      <w:r>
        <w:rPr>
          <w:rFonts w:hint="eastAsia" w:ascii="宋体" w:hAnsi="宋体"/>
          <w:color w:val="auto"/>
          <w:szCs w:val="21"/>
          <w:highlight w:val="none"/>
        </w:rPr>
        <w:t>（1）谈判小组在评审中发现下列情形之一的，应当启动异常低价响应审查程序：</w:t>
      </w:r>
    </w:p>
    <w:p w14:paraId="0B360ECB">
      <w:pPr>
        <w:spacing w:line="360" w:lineRule="auto"/>
        <w:ind w:firstLine="420"/>
        <w:rPr>
          <w:rFonts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color w:val="auto"/>
          <w:szCs w:val="21"/>
          <w:highlight w:val="none"/>
          <w:u w:val="single"/>
          <w:lang w:val="en-US" w:eastAsia="zh-CN"/>
        </w:rPr>
        <w:t>50</w:t>
      </w:r>
      <w:r>
        <w:rPr>
          <w:rFonts w:ascii="宋体" w:hAnsi="宋体"/>
          <w:color w:val="auto"/>
          <w:szCs w:val="21"/>
          <w:highlight w:val="none"/>
          <w:u w:val="single"/>
        </w:rPr>
        <w:t xml:space="preserve">% </w:t>
      </w:r>
      <w:r>
        <w:rPr>
          <w:rFonts w:hint="eastAsia" w:ascii="宋体" w:hAnsi="宋体"/>
          <w:color w:val="auto"/>
          <w:szCs w:val="21"/>
          <w:highlight w:val="none"/>
        </w:rPr>
        <w:t>的，即响应报价＜全部通过符合性审查供应商响应报价平均值×</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50</w:t>
      </w:r>
      <w:r>
        <w:rPr>
          <w:rFonts w:ascii="宋体" w:hAnsi="宋体"/>
          <w:color w:val="auto"/>
          <w:szCs w:val="21"/>
          <w:highlight w:val="none"/>
          <w:u w:val="single"/>
        </w:rPr>
        <w:t>%</w:t>
      </w:r>
      <w:r>
        <w:rPr>
          <w:rFonts w:hint="eastAsia" w:ascii="宋体" w:hAnsi="宋体"/>
          <w:color w:val="auto"/>
          <w:szCs w:val="21"/>
          <w:highlight w:val="none"/>
        </w:rPr>
        <w:t>；</w:t>
      </w:r>
    </w:p>
    <w:p w14:paraId="1CDD9566">
      <w:pPr>
        <w:spacing w:line="360" w:lineRule="auto"/>
        <w:ind w:firstLine="420"/>
        <w:rPr>
          <w:rFonts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50</w:t>
      </w:r>
      <w:r>
        <w:rPr>
          <w:rFonts w:ascii="宋体" w:hAnsi="宋体"/>
          <w:color w:val="auto"/>
          <w:szCs w:val="21"/>
          <w:highlight w:val="none"/>
          <w:u w:val="single"/>
        </w:rPr>
        <w:t xml:space="preserve">% </w:t>
      </w:r>
      <w:r>
        <w:rPr>
          <w:rFonts w:hint="eastAsia" w:ascii="宋体" w:hAnsi="宋体"/>
          <w:color w:val="auto"/>
          <w:szCs w:val="21"/>
          <w:highlight w:val="none"/>
        </w:rPr>
        <w:t>的，即响应报价＜通过符合性审查的次低报价供应商响应报价×</w:t>
      </w:r>
      <w:r>
        <w:rPr>
          <w:rFonts w:hint="eastAsia" w:ascii="宋体" w:hAnsi="宋体"/>
          <w:color w:val="auto"/>
          <w:szCs w:val="21"/>
          <w:highlight w:val="none"/>
          <w:u w:val="single"/>
          <w:lang w:val="en-US" w:eastAsia="zh-CN"/>
        </w:rPr>
        <w:t>50</w:t>
      </w:r>
      <w:r>
        <w:rPr>
          <w:rFonts w:ascii="宋体" w:hAnsi="宋体"/>
          <w:color w:val="auto"/>
          <w:szCs w:val="21"/>
          <w:highlight w:val="none"/>
          <w:u w:val="single"/>
        </w:rPr>
        <w:t>%</w:t>
      </w:r>
      <w:r>
        <w:rPr>
          <w:rFonts w:hint="eastAsia" w:ascii="宋体" w:hAnsi="宋体"/>
          <w:color w:val="auto"/>
          <w:szCs w:val="21"/>
          <w:highlight w:val="none"/>
        </w:rPr>
        <w:t>；</w:t>
      </w:r>
    </w:p>
    <w:p w14:paraId="2EA9BDDF">
      <w:pPr>
        <w:spacing w:line="360" w:lineRule="auto"/>
        <w:ind w:firstLine="420"/>
        <w:rPr>
          <w:rFonts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color w:val="auto"/>
          <w:szCs w:val="21"/>
          <w:highlight w:val="none"/>
          <w:u w:val="single"/>
          <w:lang w:val="en-US" w:eastAsia="zh-CN"/>
        </w:rPr>
        <w:t>50</w:t>
      </w:r>
      <w:r>
        <w:rPr>
          <w:rFonts w:ascii="宋体" w:hAnsi="宋体"/>
          <w:color w:val="auto"/>
          <w:szCs w:val="21"/>
          <w:highlight w:val="none"/>
          <w:u w:val="single"/>
        </w:rPr>
        <w:t>%</w:t>
      </w:r>
      <w:r>
        <w:rPr>
          <w:rFonts w:hint="eastAsia" w:ascii="宋体" w:hAnsi="宋体"/>
          <w:color w:val="auto"/>
          <w:szCs w:val="21"/>
          <w:highlight w:val="none"/>
        </w:rPr>
        <w:t>的，即响应报价＜采购项目最高限价×</w:t>
      </w:r>
      <w:r>
        <w:rPr>
          <w:rFonts w:hint="eastAsia" w:ascii="宋体" w:hAnsi="宋体"/>
          <w:color w:val="auto"/>
          <w:szCs w:val="21"/>
          <w:highlight w:val="none"/>
          <w:u w:val="single"/>
          <w:lang w:val="en-US" w:eastAsia="zh-CN"/>
        </w:rPr>
        <w:t>50</w:t>
      </w:r>
      <w:r>
        <w:rPr>
          <w:rFonts w:ascii="宋体" w:hAnsi="宋体"/>
          <w:color w:val="auto"/>
          <w:szCs w:val="21"/>
          <w:highlight w:val="none"/>
          <w:u w:val="single"/>
        </w:rPr>
        <w:t>%</w:t>
      </w:r>
      <w:r>
        <w:rPr>
          <w:rFonts w:hint="eastAsia" w:ascii="宋体" w:hAnsi="宋体"/>
          <w:color w:val="auto"/>
          <w:szCs w:val="21"/>
          <w:highlight w:val="none"/>
        </w:rPr>
        <w:t>；</w:t>
      </w:r>
    </w:p>
    <w:p w14:paraId="4861B9D2">
      <w:pPr>
        <w:spacing w:line="360" w:lineRule="auto"/>
        <w:ind w:firstLine="420"/>
        <w:rPr>
          <w:rFonts w:ascii="宋体" w:hAnsi="宋体"/>
          <w:color w:val="auto"/>
          <w:szCs w:val="21"/>
          <w:highlight w:val="none"/>
        </w:rPr>
      </w:pPr>
      <w:r>
        <w:rPr>
          <w:rFonts w:hint="eastAsia" w:ascii="宋体" w:hAnsi="宋体"/>
          <w:color w:val="auto"/>
          <w:szCs w:val="21"/>
          <w:highlight w:val="none"/>
        </w:rPr>
        <w:t>④谈判小组基于专业判断，认为供应商报价过低，有可能影响产品质量或者不能诚信履约的其他情形。</w:t>
      </w:r>
    </w:p>
    <w:p w14:paraId="4536FADA">
      <w:pPr>
        <w:spacing w:line="360" w:lineRule="auto"/>
        <w:ind w:firstLine="420"/>
        <w:rPr>
          <w:rFonts w:ascii="宋体" w:hAnsi="宋体"/>
          <w:color w:val="auto"/>
          <w:szCs w:val="21"/>
          <w:highlight w:val="none"/>
        </w:rPr>
      </w:pPr>
      <w:r>
        <w:rPr>
          <w:rFonts w:hint="eastAsia" w:ascii="宋体" w:hAnsi="宋体"/>
          <w:color w:val="auto"/>
          <w:szCs w:val="21"/>
          <w:highlight w:val="none"/>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777DEA3">
      <w:pPr>
        <w:spacing w:line="360" w:lineRule="auto"/>
        <w:ind w:firstLine="420"/>
        <w:rPr>
          <w:rFonts w:ascii="宋体" w:hAnsi="宋体"/>
          <w:color w:val="auto"/>
          <w:szCs w:val="21"/>
          <w:highlight w:val="none"/>
        </w:rPr>
      </w:pPr>
      <w:r>
        <w:rPr>
          <w:rFonts w:hint="eastAsia" w:ascii="宋体" w:hAnsi="宋体"/>
          <w:color w:val="auto"/>
          <w:szCs w:val="21"/>
          <w:highlight w:val="none"/>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相关供应商不能提供书面说明、证明材料，或者提供的书面说明、证明材料不能证明其报价合理性的，谈判小组应当将其作为无效响应处理。</w:t>
      </w:r>
    </w:p>
    <w:p w14:paraId="0401ED99">
      <w:pPr>
        <w:spacing w:line="360" w:lineRule="auto"/>
        <w:ind w:firstLine="420"/>
        <w:rPr>
          <w:rFonts w:ascii="宋体" w:hAnsi="宋体"/>
          <w:color w:val="auto"/>
          <w:szCs w:val="21"/>
          <w:highlight w:val="none"/>
        </w:rPr>
      </w:pPr>
      <w:r>
        <w:rPr>
          <w:rFonts w:hint="eastAsia" w:ascii="宋体" w:hAnsi="宋体"/>
          <w:color w:val="auto"/>
          <w:szCs w:val="21"/>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3427AB6C">
      <w:pPr>
        <w:spacing w:line="360" w:lineRule="auto"/>
        <w:ind w:firstLine="420"/>
        <w:rPr>
          <w:rFonts w:ascii="宋体" w:hAnsi="宋体" w:cs="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异常低价响应审查的启动原因、审查意见和审查结果应当在评审报告中记录，并随供应商提供的相关书面说明及证明材料，以及谈判小组有关互联网浏览、查询历史一并归档。</w:t>
      </w:r>
    </w:p>
    <w:p w14:paraId="0AAD7EAA">
      <w:pPr>
        <w:spacing w:line="360" w:lineRule="auto"/>
        <w:ind w:firstLine="420"/>
        <w:rPr>
          <w:rFonts w:ascii="宋体" w:hAnsi="宋体" w:cs="宋体"/>
          <w:color w:val="auto"/>
          <w:highlight w:val="none"/>
        </w:rPr>
      </w:pPr>
      <w:r>
        <w:rPr>
          <w:rFonts w:hint="eastAsia" w:ascii="宋体" w:hAnsi="宋体" w:cs="宋体"/>
          <w:color w:val="auto"/>
          <w:szCs w:val="21"/>
          <w:highlight w:val="none"/>
        </w:rPr>
        <w:t>6.3</w:t>
      </w:r>
      <w:r>
        <w:rPr>
          <w:rFonts w:hint="eastAsia" w:hAnsi="宋体" w:cs="Courier New"/>
          <w:bCs/>
          <w:color w:val="auto"/>
          <w:highlight w:val="none"/>
        </w:rPr>
        <w:t>中小企业政策性扣除计算方法</w:t>
      </w:r>
    </w:p>
    <w:p w14:paraId="23E58C82">
      <w:pPr>
        <w:spacing w:line="360" w:lineRule="auto"/>
        <w:ind w:firstLine="369"/>
        <w:rPr>
          <w:rFonts w:ascii="宋体" w:hAnsi="宋体" w:cs="宋体"/>
          <w:color w:val="auto"/>
          <w:highlight w:val="none"/>
        </w:rPr>
      </w:pPr>
      <w:r>
        <w:rPr>
          <w:rFonts w:hint="eastAsia" w:ascii="宋体" w:hAnsi="宋体" w:cs="宋体"/>
          <w:color w:val="auto"/>
          <w:szCs w:val="21"/>
          <w:highlight w:val="none"/>
        </w:rPr>
        <w:t>根据《政府采购促进中小企业发展管理办法》（财库〔2020〕46号）</w:t>
      </w:r>
      <w:r>
        <w:rPr>
          <w:rFonts w:hint="eastAsia" w:ascii="宋体" w:hAnsi="宋体"/>
          <w:bCs/>
          <w:color w:val="auto"/>
          <w:szCs w:val="21"/>
          <w:highlight w:val="none"/>
        </w:rPr>
        <w:t>及《广西壮族自治区财政厅关于持续优化政府采购营商环境推动高质量发展的通知》（桂财采〔2024〕55号）的规定，供应商在其响应文件中提供《中小企业声明函》，且服务全部由小微企业承接，对供应商的竞标报价给予</w:t>
      </w:r>
      <w:r>
        <w:rPr>
          <w:rFonts w:hint="eastAsia" w:ascii="宋体" w:hAnsi="宋体"/>
          <w:bCs/>
          <w:color w:val="auto"/>
          <w:szCs w:val="21"/>
          <w:highlight w:val="none"/>
          <w:u w:val="single"/>
        </w:rPr>
        <w:t xml:space="preserve"> 10% </w:t>
      </w:r>
      <w:r>
        <w:rPr>
          <w:rFonts w:hint="eastAsia" w:ascii="宋体" w:hAnsi="宋体"/>
          <w:bCs/>
          <w:color w:val="auto"/>
          <w:szCs w:val="21"/>
          <w:highlight w:val="none"/>
        </w:rPr>
        <w:t>的扣除，扣除后的价格为评审价，即中小企业政策性折扣=竞标报价×</w:t>
      </w:r>
      <w:r>
        <w:rPr>
          <w:rFonts w:hint="eastAsia" w:ascii="宋体" w:hAnsi="宋体"/>
          <w:bCs/>
          <w:color w:val="auto"/>
          <w:szCs w:val="21"/>
          <w:highlight w:val="none"/>
          <w:u w:val="single"/>
        </w:rPr>
        <w:t>10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u w:val="single"/>
        </w:rPr>
        <w:t xml:space="preserve"> 4% </w:t>
      </w:r>
      <w:r>
        <w:rPr>
          <w:rFonts w:hint="eastAsia" w:ascii="宋体" w:hAnsi="宋体"/>
          <w:bCs/>
          <w:color w:val="auto"/>
          <w:szCs w:val="21"/>
          <w:highlight w:val="none"/>
        </w:rPr>
        <w:t>的扣除，用扣除后的价格参加评审，扣除后的价格为评审价，即中小企业政策性折扣=竞标报价×</w:t>
      </w:r>
      <w:r>
        <w:rPr>
          <w:rFonts w:hint="eastAsia" w:ascii="宋体" w:hAnsi="宋体"/>
          <w:bCs/>
          <w:color w:val="auto"/>
          <w:szCs w:val="21"/>
          <w:highlight w:val="none"/>
          <w:u w:val="single"/>
        </w:rPr>
        <w:t xml:space="preserve"> 4 </w:t>
      </w:r>
      <w:r>
        <w:rPr>
          <w:rFonts w:hint="eastAsia" w:ascii="宋体" w:hAnsi="宋体"/>
          <w:bCs/>
          <w:color w:val="auto"/>
          <w:szCs w:val="21"/>
          <w:highlight w:val="none"/>
        </w:rPr>
        <w:t>%。除上述情况外，评审价=竞标报价。</w:t>
      </w:r>
    </w:p>
    <w:p w14:paraId="34414D55">
      <w:pPr>
        <w:spacing w:line="360" w:lineRule="auto"/>
        <w:ind w:firstLine="42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w:t>
      </w:r>
      <w:r>
        <w:rPr>
          <w:rFonts w:hint="eastAsia" w:ascii="宋体" w:hAnsi="宋体" w:cs="宋体"/>
          <w:color w:val="auto"/>
          <w:szCs w:val="21"/>
          <w:highlight w:val="none"/>
        </w:rPr>
        <w:t>不重复享受政策。</w:t>
      </w:r>
    </w:p>
    <w:p w14:paraId="258BBFFA">
      <w:pPr>
        <w:spacing w:line="360" w:lineRule="auto"/>
        <w:ind w:firstLine="420"/>
        <w:rPr>
          <w:rFonts w:ascii="宋体" w:hAnsi="宋体" w:cs="宋体"/>
          <w:color w:val="auto"/>
          <w:highlight w:val="none"/>
        </w:rPr>
      </w:pPr>
      <w:r>
        <w:rPr>
          <w:rFonts w:ascii="宋体" w:hAnsi="宋体" w:cs="宋体"/>
          <w:color w:val="auto"/>
          <w:szCs w:val="21"/>
          <w:highlight w:val="none"/>
        </w:rPr>
        <w:t>6.</w:t>
      </w:r>
      <w:r>
        <w:rPr>
          <w:rFonts w:hint="eastAsia" w:ascii="宋体" w:hAnsi="宋体" w:cs="宋体"/>
          <w:color w:val="auto"/>
          <w:szCs w:val="21"/>
          <w:highlight w:val="none"/>
        </w:rPr>
        <w:t>5按照《关于促进残疾人就业政府采购政策的通知》（财库〔2017〕141号）的规定，残疾人福利性单位视同小型、微型企业，享受预留份额、评审中价格扣除等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783A9E0">
      <w:pPr>
        <w:spacing w:line="360" w:lineRule="auto"/>
        <w:ind w:firstLine="42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6本国产品政策性扣除计算方法。</w:t>
      </w:r>
    </w:p>
    <w:p w14:paraId="3B816F53">
      <w:pPr>
        <w:spacing w:line="360" w:lineRule="auto"/>
        <w:ind w:firstLine="420"/>
        <w:rPr>
          <w:rFonts w:ascii="宋体" w:hAnsi="宋体"/>
          <w:color w:val="auto"/>
          <w:szCs w:val="21"/>
          <w:highlight w:val="none"/>
        </w:rPr>
      </w:pPr>
      <w:r>
        <w:rPr>
          <w:rFonts w:hint="eastAsia" w:ascii="宋体" w:hAnsi="宋体"/>
          <w:color w:val="auto"/>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bookmarkStart w:id="80" w:name="OLE_LINK3"/>
      <w:bookmarkStart w:id="81" w:name="OLE_LINK4"/>
      <w:r>
        <w:rPr>
          <w:rFonts w:hint="eastAsia" w:hAnsi="宋体"/>
          <w:color w:val="auto"/>
          <w:highlight w:val="none"/>
        </w:rPr>
        <w:t>未达到80%，不享受价格评审优惠。</w:t>
      </w:r>
      <w:bookmarkEnd w:id="80"/>
      <w:bookmarkEnd w:id="81"/>
    </w:p>
    <w:p w14:paraId="188A7F6A">
      <w:pPr>
        <w:spacing w:line="360" w:lineRule="auto"/>
        <w:ind w:firstLine="420"/>
        <w:rPr>
          <w:rFonts w:ascii="宋体" w:hAnsi="宋体"/>
          <w:color w:val="auto"/>
          <w:szCs w:val="21"/>
          <w:highlight w:val="none"/>
        </w:rPr>
      </w:pPr>
      <w:r>
        <w:rPr>
          <w:rFonts w:hint="eastAsia" w:ascii="宋体" w:hAnsi="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D777674">
      <w:pPr>
        <w:spacing w:line="360" w:lineRule="auto"/>
        <w:ind w:firstLine="420"/>
        <w:rPr>
          <w:rFonts w:ascii="宋体" w:hAnsi="宋体"/>
          <w:color w:val="auto"/>
          <w:szCs w:val="21"/>
          <w:highlight w:val="none"/>
        </w:rPr>
      </w:pPr>
      <w:r>
        <w:rPr>
          <w:rFonts w:hint="eastAsia" w:hAnsi="宋体"/>
          <w:color w:val="auto"/>
          <w:highlight w:val="none"/>
        </w:rPr>
        <w:t>如果所有参与竞争的供应商均可享受本国产品价格评审优惠，则统一不进行价格扣除。</w:t>
      </w:r>
    </w:p>
    <w:p w14:paraId="3D778114">
      <w:pPr>
        <w:spacing w:line="360" w:lineRule="auto"/>
        <w:ind w:firstLine="420"/>
        <w:rPr>
          <w:rFonts w:ascii="宋体" w:hAnsi="宋体"/>
          <w:color w:val="auto"/>
          <w:szCs w:val="21"/>
          <w:highlight w:val="none"/>
        </w:rPr>
      </w:pPr>
      <w:r>
        <w:rPr>
          <w:rFonts w:hint="eastAsia" w:ascii="宋体" w:hAnsi="宋体"/>
          <w:color w:val="auto"/>
          <w:szCs w:val="21"/>
          <w:highlight w:val="none"/>
        </w:rPr>
        <w:t>供应商在其响应文件中提供《关于符合本国产品标准的声明函》或财政部会同有关部门规定的有关证明文件，出具符合要求的《声明函》或有关证明文件的，该产品视为本国产品。</w:t>
      </w:r>
    </w:p>
    <w:p w14:paraId="77DB96F9">
      <w:pPr>
        <w:spacing w:line="360" w:lineRule="auto"/>
        <w:ind w:firstLine="42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7中小企业政策性折扣与本国产品政策性折扣进行叠加计算，用扣除后的价格参加评审。即评审价=竞标报价-中小企业政策性折扣-本国产品政策性折扣，除上述情况外，评审价=竞标报价。</w:t>
      </w:r>
    </w:p>
    <w:p w14:paraId="05FCD92C">
      <w:pPr>
        <w:spacing w:line="360" w:lineRule="auto"/>
        <w:contextualSpacing/>
        <w:jc w:val="center"/>
        <w:rPr>
          <w:rFonts w:ascii="宋体" w:hAnsi="宋体"/>
          <w:b/>
          <w:color w:val="auto"/>
          <w:sz w:val="32"/>
          <w:szCs w:val="32"/>
          <w:highlight w:val="none"/>
        </w:rPr>
      </w:pPr>
    </w:p>
    <w:p w14:paraId="07ACD42D">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二、评定成交的标准</w:t>
      </w:r>
    </w:p>
    <w:p w14:paraId="1E083B70">
      <w:pPr>
        <w:spacing w:line="360" w:lineRule="auto"/>
        <w:ind w:firstLine="482"/>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7.</w:t>
      </w:r>
      <w:r>
        <w:rPr>
          <w:rFonts w:hint="eastAsia" w:ascii="黑体" w:hAnsi="黑体" w:eastAsia="黑体" w:cs="宋体"/>
          <w:b/>
          <w:bCs/>
          <w:color w:val="auto"/>
          <w:sz w:val="24"/>
          <w:highlight w:val="none"/>
        </w:rPr>
        <w:t xml:space="preserve"> 成交候选人推荐原则</w:t>
      </w:r>
    </w:p>
    <w:p w14:paraId="396A3034">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及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w:t>
      </w:r>
      <w:r>
        <w:rPr>
          <w:rFonts w:hint="eastAsia" w:hAnsi="宋体"/>
          <w:color w:val="auto"/>
          <w:highlight w:val="none"/>
        </w:rPr>
        <w:t>并通过电子交易平台向采购人、采购代理机构提交。</w:t>
      </w:r>
    </w:p>
    <w:p w14:paraId="58E4228B">
      <w:pPr>
        <w:spacing w:line="360" w:lineRule="auto"/>
        <w:ind w:firstLine="420"/>
        <w:rPr>
          <w:rFonts w:ascii="宋体" w:hAnsi="宋体" w:cs="宋体"/>
          <w:color w:val="auto"/>
          <w:highlight w:val="none"/>
        </w:rPr>
      </w:pPr>
    </w:p>
    <w:p w14:paraId="0C276AD0">
      <w:pPr>
        <w:pStyle w:val="194"/>
        <w:jc w:val="center"/>
        <w:rPr>
          <w:color w:val="auto"/>
          <w:highlight w:val="none"/>
        </w:rPr>
      </w:pPr>
      <w:r>
        <w:rPr>
          <w:color w:val="auto"/>
          <w:highlight w:val="none"/>
        </w:rPr>
        <w:br w:type="page" w:clear="all"/>
      </w:r>
    </w:p>
    <w:p w14:paraId="42E89EAC">
      <w:pPr>
        <w:rPr>
          <w:color w:val="auto"/>
          <w:highlight w:val="none"/>
        </w:rPr>
      </w:pPr>
    </w:p>
    <w:p w14:paraId="3DEB0667">
      <w:pPr>
        <w:rPr>
          <w:color w:val="auto"/>
          <w:highlight w:val="none"/>
        </w:rPr>
      </w:pPr>
    </w:p>
    <w:p w14:paraId="48BD59AF">
      <w:pPr>
        <w:rPr>
          <w:color w:val="auto"/>
          <w:highlight w:val="none"/>
        </w:rPr>
      </w:pPr>
    </w:p>
    <w:p w14:paraId="2369D7D2">
      <w:pPr>
        <w:rPr>
          <w:color w:val="auto"/>
          <w:highlight w:val="none"/>
        </w:rPr>
      </w:pPr>
    </w:p>
    <w:p w14:paraId="315A7F2C">
      <w:pPr>
        <w:rPr>
          <w:color w:val="auto"/>
          <w:highlight w:val="none"/>
        </w:rPr>
      </w:pPr>
    </w:p>
    <w:p w14:paraId="1CCD2044">
      <w:pPr>
        <w:rPr>
          <w:color w:val="auto"/>
          <w:highlight w:val="none"/>
        </w:rPr>
      </w:pPr>
    </w:p>
    <w:p w14:paraId="756ADE81">
      <w:pPr>
        <w:rPr>
          <w:color w:val="auto"/>
          <w:highlight w:val="none"/>
        </w:rPr>
      </w:pPr>
    </w:p>
    <w:p w14:paraId="08FBA09D">
      <w:pPr>
        <w:rPr>
          <w:color w:val="auto"/>
          <w:highlight w:val="none"/>
        </w:rPr>
      </w:pPr>
    </w:p>
    <w:p w14:paraId="6E6BBD61">
      <w:pPr>
        <w:rPr>
          <w:color w:val="auto"/>
          <w:highlight w:val="none"/>
        </w:rPr>
      </w:pPr>
    </w:p>
    <w:p w14:paraId="14ABD27F">
      <w:pPr>
        <w:rPr>
          <w:color w:val="auto"/>
          <w:highlight w:val="none"/>
        </w:rPr>
      </w:pPr>
    </w:p>
    <w:p w14:paraId="11EA7E5A">
      <w:pPr>
        <w:rPr>
          <w:color w:val="auto"/>
          <w:highlight w:val="none"/>
        </w:rPr>
      </w:pPr>
    </w:p>
    <w:p w14:paraId="1ED5C3CB">
      <w:pPr>
        <w:rPr>
          <w:color w:val="auto"/>
          <w:highlight w:val="none"/>
        </w:rPr>
      </w:pPr>
    </w:p>
    <w:p w14:paraId="6C320092">
      <w:pPr>
        <w:rPr>
          <w:color w:val="auto"/>
          <w:highlight w:val="none"/>
        </w:rPr>
      </w:pPr>
    </w:p>
    <w:p w14:paraId="1E244C7E">
      <w:pPr>
        <w:pStyle w:val="194"/>
        <w:jc w:val="center"/>
        <w:rPr>
          <w:color w:val="auto"/>
          <w:highlight w:val="none"/>
        </w:rPr>
      </w:pPr>
      <w:bookmarkStart w:id="82" w:name="_Toc11983"/>
      <w:r>
        <w:rPr>
          <w:rFonts w:hint="eastAsia"/>
          <w:color w:val="auto"/>
          <w:highlight w:val="none"/>
        </w:rPr>
        <w:t>第五章 响应文件格式</w:t>
      </w:r>
      <w:bookmarkEnd w:id="82"/>
    </w:p>
    <w:p w14:paraId="1FD6BAA0">
      <w:pPr>
        <w:spacing w:line="240" w:lineRule="atLeast"/>
        <w:rPr>
          <w:rFonts w:ascii="宋体" w:hAnsi="宋体"/>
          <w:b/>
          <w:color w:val="auto"/>
          <w:sz w:val="32"/>
          <w:szCs w:val="32"/>
          <w:highlight w:val="none"/>
        </w:rPr>
      </w:pPr>
    </w:p>
    <w:p w14:paraId="45D0085E">
      <w:pPr>
        <w:spacing w:line="240" w:lineRule="atLeast"/>
        <w:rPr>
          <w:rFonts w:ascii="宋体" w:hAnsi="宋体"/>
          <w:b/>
          <w:color w:val="auto"/>
          <w:sz w:val="32"/>
          <w:szCs w:val="32"/>
          <w:highlight w:val="none"/>
        </w:rPr>
      </w:pPr>
    </w:p>
    <w:p w14:paraId="30C35113">
      <w:pPr>
        <w:spacing w:line="240" w:lineRule="atLeast"/>
        <w:rPr>
          <w:rFonts w:ascii="宋体" w:hAnsi="宋体"/>
          <w:b/>
          <w:color w:val="auto"/>
          <w:sz w:val="32"/>
          <w:szCs w:val="32"/>
          <w:highlight w:val="none"/>
        </w:rPr>
      </w:pPr>
    </w:p>
    <w:p w14:paraId="2C347696">
      <w:pPr>
        <w:spacing w:line="240" w:lineRule="atLeast"/>
        <w:rPr>
          <w:rFonts w:ascii="宋体" w:hAnsi="宋体"/>
          <w:b/>
          <w:color w:val="auto"/>
          <w:sz w:val="32"/>
          <w:szCs w:val="32"/>
          <w:highlight w:val="none"/>
        </w:rPr>
      </w:pPr>
    </w:p>
    <w:p w14:paraId="60388367">
      <w:pPr>
        <w:spacing w:line="240" w:lineRule="atLeast"/>
        <w:rPr>
          <w:rFonts w:ascii="宋体" w:hAnsi="宋体"/>
          <w:b/>
          <w:color w:val="auto"/>
          <w:sz w:val="32"/>
          <w:szCs w:val="32"/>
          <w:highlight w:val="none"/>
        </w:rPr>
      </w:pPr>
    </w:p>
    <w:p w14:paraId="3FECB50F">
      <w:pPr>
        <w:spacing w:line="240" w:lineRule="atLeast"/>
        <w:rPr>
          <w:rFonts w:ascii="宋体" w:hAnsi="宋体"/>
          <w:b/>
          <w:color w:val="auto"/>
          <w:sz w:val="32"/>
          <w:szCs w:val="32"/>
          <w:highlight w:val="none"/>
        </w:rPr>
      </w:pPr>
    </w:p>
    <w:p w14:paraId="5D994CA7">
      <w:pPr>
        <w:spacing w:line="240" w:lineRule="atLeast"/>
        <w:rPr>
          <w:rFonts w:ascii="宋体" w:hAnsi="宋体"/>
          <w:b/>
          <w:color w:val="auto"/>
          <w:sz w:val="32"/>
          <w:szCs w:val="32"/>
          <w:highlight w:val="none"/>
        </w:rPr>
      </w:pPr>
    </w:p>
    <w:p w14:paraId="042BFCC8">
      <w:pPr>
        <w:spacing w:line="240" w:lineRule="atLeast"/>
        <w:rPr>
          <w:rFonts w:ascii="宋体" w:hAnsi="宋体"/>
          <w:b/>
          <w:color w:val="auto"/>
          <w:sz w:val="32"/>
          <w:szCs w:val="32"/>
          <w:highlight w:val="none"/>
        </w:rPr>
      </w:pPr>
    </w:p>
    <w:p w14:paraId="212DF071">
      <w:pPr>
        <w:spacing w:line="240" w:lineRule="atLeast"/>
        <w:rPr>
          <w:rFonts w:ascii="宋体" w:hAnsi="宋体"/>
          <w:b/>
          <w:color w:val="auto"/>
          <w:sz w:val="32"/>
          <w:szCs w:val="32"/>
          <w:highlight w:val="none"/>
        </w:rPr>
      </w:pPr>
    </w:p>
    <w:p w14:paraId="3D5F9425">
      <w:pPr>
        <w:spacing w:line="240" w:lineRule="atLeast"/>
        <w:rPr>
          <w:rFonts w:ascii="宋体" w:hAnsi="宋体"/>
          <w:b/>
          <w:color w:val="auto"/>
          <w:sz w:val="32"/>
          <w:szCs w:val="32"/>
          <w:highlight w:val="none"/>
        </w:rPr>
      </w:pPr>
    </w:p>
    <w:p w14:paraId="492D51E3">
      <w:pPr>
        <w:spacing w:line="240" w:lineRule="atLeast"/>
        <w:rPr>
          <w:rFonts w:ascii="宋体" w:hAnsi="宋体"/>
          <w:b/>
          <w:color w:val="auto"/>
          <w:sz w:val="32"/>
          <w:szCs w:val="32"/>
          <w:highlight w:val="none"/>
        </w:rPr>
      </w:pPr>
    </w:p>
    <w:p w14:paraId="1DE05477">
      <w:pPr>
        <w:spacing w:line="240" w:lineRule="atLeast"/>
        <w:rPr>
          <w:rFonts w:ascii="宋体" w:hAnsi="宋体"/>
          <w:b/>
          <w:color w:val="auto"/>
          <w:sz w:val="32"/>
          <w:szCs w:val="32"/>
          <w:highlight w:val="none"/>
        </w:rPr>
      </w:pPr>
    </w:p>
    <w:p w14:paraId="2476CDF1">
      <w:pPr>
        <w:spacing w:line="240" w:lineRule="atLeast"/>
        <w:rPr>
          <w:rFonts w:ascii="宋体" w:hAnsi="宋体"/>
          <w:b/>
          <w:color w:val="auto"/>
          <w:sz w:val="32"/>
          <w:szCs w:val="32"/>
          <w:highlight w:val="none"/>
        </w:rPr>
      </w:pPr>
    </w:p>
    <w:p w14:paraId="4EC3DD63">
      <w:pPr>
        <w:spacing w:line="240" w:lineRule="atLeast"/>
        <w:rPr>
          <w:rFonts w:ascii="宋体" w:hAnsi="宋体"/>
          <w:b/>
          <w:color w:val="auto"/>
          <w:sz w:val="32"/>
          <w:szCs w:val="32"/>
          <w:highlight w:val="none"/>
        </w:rPr>
      </w:pPr>
    </w:p>
    <w:p w14:paraId="47B83266">
      <w:pPr>
        <w:spacing w:line="240" w:lineRule="atLeast"/>
        <w:rPr>
          <w:rFonts w:ascii="宋体" w:hAnsi="宋体"/>
          <w:b/>
          <w:color w:val="auto"/>
          <w:sz w:val="32"/>
          <w:szCs w:val="32"/>
          <w:highlight w:val="none"/>
        </w:rPr>
      </w:pPr>
    </w:p>
    <w:p w14:paraId="2526619C">
      <w:pPr>
        <w:spacing w:line="240" w:lineRule="atLeast"/>
        <w:rPr>
          <w:rFonts w:ascii="宋体" w:hAnsi="宋体"/>
          <w:b/>
          <w:color w:val="auto"/>
          <w:sz w:val="32"/>
          <w:szCs w:val="32"/>
          <w:highlight w:val="none"/>
        </w:rPr>
      </w:pPr>
    </w:p>
    <w:p w14:paraId="24DE38D6">
      <w:pPr>
        <w:spacing w:before="50" w:after="50"/>
        <w:outlineLvl w:val="1"/>
        <w:rPr>
          <w:rFonts w:ascii="宋体" w:hAnsi="宋体"/>
          <w:b/>
          <w:bCs/>
          <w:color w:val="auto"/>
          <w:sz w:val="24"/>
          <w:highlight w:val="none"/>
        </w:rPr>
      </w:pPr>
    </w:p>
    <w:p w14:paraId="76DA53D0">
      <w:pPr>
        <w:rPr>
          <w:b/>
          <w:color w:val="auto"/>
          <w:sz w:val="32"/>
          <w:szCs w:val="32"/>
          <w:highlight w:val="none"/>
        </w:rPr>
      </w:pPr>
      <w:bookmarkStart w:id="83" w:name="_Toc71365382"/>
      <w:bookmarkStart w:id="84" w:name="_Toc71366060"/>
      <w:r>
        <w:rPr>
          <w:rFonts w:hint="eastAsia"/>
          <w:b/>
          <w:color w:val="auto"/>
          <w:sz w:val="32"/>
          <w:szCs w:val="32"/>
          <w:highlight w:val="none"/>
        </w:rPr>
        <w:t>一、资格证明文件格式</w:t>
      </w:r>
      <w:bookmarkEnd w:id="83"/>
      <w:bookmarkEnd w:id="84"/>
    </w:p>
    <w:p w14:paraId="7D319F2A">
      <w:pPr>
        <w:spacing w:before="12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62B5FAE5">
      <w:pPr>
        <w:spacing w:before="120" w:after="50"/>
        <w:rPr>
          <w:rFonts w:ascii="宋体" w:hAnsi="宋体"/>
          <w:bCs/>
          <w:color w:val="auto"/>
          <w:sz w:val="32"/>
          <w:szCs w:val="20"/>
          <w:highlight w:val="none"/>
        </w:rPr>
      </w:pPr>
      <w:r>
        <w:rPr>
          <w:rFonts w:hint="eastAsia" w:ascii="宋体" w:hAnsi="宋体"/>
          <w:color w:val="auto"/>
          <w:sz w:val="24"/>
          <w:highlight w:val="none"/>
        </w:rPr>
        <w:t xml:space="preserve">                                                    </w:t>
      </w:r>
    </w:p>
    <w:p w14:paraId="452086AB">
      <w:pPr>
        <w:spacing w:before="12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5A6E7DFA">
      <w:pPr>
        <w:spacing w:before="120" w:after="50"/>
        <w:rPr>
          <w:rFonts w:ascii="宋体" w:hAnsi="宋体"/>
          <w:color w:val="auto"/>
          <w:sz w:val="24"/>
          <w:szCs w:val="20"/>
          <w:highlight w:val="none"/>
        </w:rPr>
      </w:pPr>
    </w:p>
    <w:p w14:paraId="10B35A39">
      <w:pPr>
        <w:spacing w:before="12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5F230AA8">
      <w:pPr>
        <w:spacing w:before="120" w:after="50"/>
        <w:rPr>
          <w:rFonts w:ascii="宋体" w:hAnsi="宋体"/>
          <w:bCs/>
          <w:color w:val="auto"/>
          <w:sz w:val="24"/>
          <w:szCs w:val="20"/>
          <w:highlight w:val="none"/>
        </w:rPr>
      </w:pPr>
    </w:p>
    <w:p w14:paraId="20BB65A6">
      <w:pPr>
        <w:spacing w:before="120" w:after="50"/>
        <w:rPr>
          <w:rFonts w:ascii="宋体" w:hAnsi="宋体"/>
          <w:bCs/>
          <w:color w:val="auto"/>
          <w:sz w:val="24"/>
          <w:szCs w:val="20"/>
          <w:highlight w:val="none"/>
        </w:rPr>
      </w:pPr>
    </w:p>
    <w:p w14:paraId="47CD185D">
      <w:pPr>
        <w:spacing w:before="120" w:after="50"/>
        <w:rPr>
          <w:rFonts w:ascii="宋体" w:hAnsi="宋体"/>
          <w:bCs/>
          <w:color w:val="auto"/>
          <w:sz w:val="24"/>
          <w:szCs w:val="20"/>
          <w:highlight w:val="none"/>
        </w:rPr>
      </w:pPr>
    </w:p>
    <w:p w14:paraId="6BAE45D2">
      <w:pPr>
        <w:spacing w:before="120" w:after="50"/>
        <w:rPr>
          <w:rFonts w:ascii="宋体" w:hAnsi="宋体"/>
          <w:bCs/>
          <w:color w:val="auto"/>
          <w:sz w:val="24"/>
          <w:szCs w:val="20"/>
          <w:highlight w:val="none"/>
        </w:rPr>
      </w:pPr>
    </w:p>
    <w:p w14:paraId="3DF25564">
      <w:pPr>
        <w:spacing w:before="120" w:after="50"/>
        <w:rPr>
          <w:rFonts w:ascii="宋体" w:hAnsi="宋体"/>
          <w:bCs/>
          <w:color w:val="auto"/>
          <w:sz w:val="24"/>
          <w:szCs w:val="20"/>
          <w:highlight w:val="none"/>
        </w:rPr>
      </w:pPr>
    </w:p>
    <w:p w14:paraId="6E93128D">
      <w:pPr>
        <w:spacing w:before="120"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FF6AE60">
      <w:pPr>
        <w:spacing w:before="120" w:after="50"/>
        <w:ind w:firstLine="720"/>
        <w:rPr>
          <w:rFonts w:ascii="宋体" w:hAnsi="宋体" w:cs="仿宋_GB2312"/>
          <w:bCs/>
          <w:color w:val="auto"/>
          <w:sz w:val="32"/>
          <w:szCs w:val="32"/>
          <w:highlight w:val="none"/>
        </w:rPr>
      </w:pPr>
    </w:p>
    <w:p w14:paraId="3FC29509">
      <w:pPr>
        <w:spacing w:before="120" w:after="50"/>
        <w:ind w:firstLine="72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C45D615">
      <w:pPr>
        <w:spacing w:before="120" w:after="50"/>
        <w:ind w:firstLine="72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A27F6E5">
      <w:pPr>
        <w:spacing w:before="120" w:after="50"/>
        <w:ind w:firstLine="72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9B1D8DA">
      <w:pPr>
        <w:spacing w:before="120" w:after="50"/>
        <w:ind w:firstLine="720"/>
        <w:rPr>
          <w:rFonts w:ascii="宋体" w:hAnsi="宋体" w:cs="仿宋_GB2312"/>
          <w:bCs/>
          <w:color w:val="auto"/>
          <w:sz w:val="32"/>
          <w:szCs w:val="32"/>
          <w:highlight w:val="none"/>
        </w:rPr>
      </w:pPr>
    </w:p>
    <w:p w14:paraId="4CA62D49">
      <w:pPr>
        <w:pStyle w:val="198"/>
        <w:spacing w:before="50" w:after="50"/>
        <w:ind w:firstLine="72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8FC00B4">
      <w:pPr>
        <w:spacing w:before="120" w:after="50"/>
        <w:ind w:firstLine="640"/>
        <w:rPr>
          <w:rFonts w:ascii="宋体" w:hAnsi="宋体" w:cs="仿宋_GB2312"/>
          <w:bCs/>
          <w:color w:val="auto"/>
          <w:sz w:val="32"/>
          <w:szCs w:val="32"/>
          <w:highlight w:val="none"/>
        </w:rPr>
      </w:pPr>
    </w:p>
    <w:p w14:paraId="18B8B7E4">
      <w:pPr>
        <w:pStyle w:val="198"/>
        <w:spacing w:before="50" w:after="50"/>
        <w:ind w:firstLine="720"/>
        <w:rPr>
          <w:rFonts w:ascii="宋体" w:hAnsi="宋体" w:cs="仿宋_GB2312"/>
          <w:bCs/>
          <w:color w:val="auto"/>
          <w:sz w:val="32"/>
          <w:szCs w:val="32"/>
          <w:highlight w:val="none"/>
        </w:rPr>
      </w:pPr>
    </w:p>
    <w:p w14:paraId="4F30FA32">
      <w:pPr>
        <w:pStyle w:val="198"/>
        <w:spacing w:before="50" w:after="50"/>
        <w:ind w:firstLine="720"/>
        <w:rPr>
          <w:rFonts w:ascii="宋体" w:hAnsi="宋体" w:cs="仿宋_GB2312"/>
          <w:bCs/>
          <w:color w:val="auto"/>
          <w:sz w:val="32"/>
          <w:szCs w:val="32"/>
          <w:highlight w:val="none"/>
        </w:rPr>
      </w:pPr>
    </w:p>
    <w:p w14:paraId="45B3B3DB">
      <w:pPr>
        <w:pStyle w:val="198"/>
        <w:spacing w:before="50" w:after="50"/>
        <w:ind w:firstLine="1280"/>
        <w:rPr>
          <w:rFonts w:ascii="宋体" w:hAnsi="宋体" w:cs="仿宋_GB2312"/>
          <w:bCs/>
          <w:color w:val="auto"/>
          <w:sz w:val="32"/>
          <w:szCs w:val="32"/>
          <w:highlight w:val="none"/>
        </w:rPr>
      </w:pPr>
    </w:p>
    <w:p w14:paraId="6CFB95F2">
      <w:pPr>
        <w:spacing w:before="12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51F2C7F">
      <w:pPr>
        <w:spacing w:before="120" w:after="50" w:line="360" w:lineRule="auto"/>
        <w:ind w:left="142"/>
        <w:jc w:val="left"/>
        <w:rPr>
          <w:rFonts w:ascii="宋体" w:hAnsi="宋体"/>
          <w:b/>
          <w:bCs/>
          <w:color w:val="auto"/>
          <w:sz w:val="32"/>
          <w:szCs w:val="32"/>
          <w:highlight w:val="none"/>
        </w:rPr>
      </w:pPr>
      <w:r>
        <w:rPr>
          <w:rFonts w:hint="eastAsia" w:ascii="宋体" w:hAnsi="宋体"/>
          <w:color w:val="auto"/>
          <w:sz w:val="24"/>
          <w:highlight w:val="none"/>
        </w:rPr>
        <w:br w:type="page" w:clear="all"/>
      </w:r>
      <w:r>
        <w:rPr>
          <w:rFonts w:hint="eastAsia" w:ascii="宋体" w:hAnsi="宋体"/>
          <w:b/>
          <w:bCs/>
          <w:color w:val="auto"/>
          <w:sz w:val="32"/>
          <w:szCs w:val="32"/>
          <w:highlight w:val="none"/>
        </w:rPr>
        <w:t>2.资格证明文件目录</w:t>
      </w:r>
    </w:p>
    <w:p w14:paraId="1BFD9249">
      <w:pPr>
        <w:spacing w:before="12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66D06440">
      <w:pPr>
        <w:spacing w:before="120" w:after="50" w:line="360" w:lineRule="auto"/>
        <w:rPr>
          <w:rFonts w:ascii="宋体" w:hAnsi="宋体"/>
          <w:color w:val="auto"/>
          <w:sz w:val="24"/>
          <w:szCs w:val="20"/>
          <w:highlight w:val="none"/>
        </w:rPr>
      </w:pPr>
      <w:r>
        <w:rPr>
          <w:rFonts w:hint="eastAsia" w:ascii="宋体" w:hAnsi="宋体"/>
          <w:color w:val="auto"/>
          <w:sz w:val="24"/>
          <w:szCs w:val="20"/>
          <w:highlight w:val="none"/>
        </w:rPr>
        <w:t xml:space="preserve"> </w:t>
      </w:r>
    </w:p>
    <w:p w14:paraId="7F2EC9B5">
      <w:pPr>
        <w:spacing w:line="360" w:lineRule="auto"/>
        <w:rPr>
          <w:rFonts w:ascii="宋体" w:hAnsi="宋体"/>
          <w:color w:val="auto"/>
          <w:szCs w:val="21"/>
          <w:highlight w:val="none"/>
        </w:rPr>
      </w:pPr>
    </w:p>
    <w:p w14:paraId="6F6C39E3">
      <w:pPr>
        <w:spacing w:line="360" w:lineRule="auto"/>
        <w:rPr>
          <w:rFonts w:ascii="宋体" w:hAnsi="宋体"/>
          <w:color w:val="auto"/>
          <w:szCs w:val="21"/>
          <w:highlight w:val="none"/>
        </w:rPr>
      </w:pPr>
    </w:p>
    <w:p w14:paraId="464C70C9">
      <w:pPr>
        <w:spacing w:line="360" w:lineRule="auto"/>
        <w:rPr>
          <w:rFonts w:ascii="宋体" w:hAnsi="宋体"/>
          <w:color w:val="auto"/>
          <w:szCs w:val="21"/>
          <w:highlight w:val="none"/>
        </w:rPr>
      </w:pPr>
    </w:p>
    <w:p w14:paraId="19187956">
      <w:pPr>
        <w:spacing w:line="360" w:lineRule="auto"/>
        <w:rPr>
          <w:rFonts w:ascii="宋体" w:hAnsi="宋体"/>
          <w:color w:val="auto"/>
          <w:szCs w:val="21"/>
          <w:highlight w:val="none"/>
        </w:rPr>
      </w:pPr>
    </w:p>
    <w:p w14:paraId="3B35CD7F">
      <w:pPr>
        <w:spacing w:line="300" w:lineRule="auto"/>
        <w:rPr>
          <w:rFonts w:ascii="宋体" w:hAnsi="宋体"/>
          <w:color w:val="auto"/>
          <w:szCs w:val="21"/>
          <w:highlight w:val="none"/>
        </w:rPr>
      </w:pPr>
    </w:p>
    <w:p w14:paraId="0B21B42A">
      <w:pPr>
        <w:spacing w:line="300" w:lineRule="auto"/>
        <w:rPr>
          <w:rFonts w:ascii="宋体" w:hAnsi="宋体"/>
          <w:color w:val="auto"/>
          <w:szCs w:val="21"/>
          <w:highlight w:val="none"/>
        </w:rPr>
      </w:pPr>
    </w:p>
    <w:p w14:paraId="4D7ECF2B">
      <w:pPr>
        <w:spacing w:line="300" w:lineRule="auto"/>
        <w:rPr>
          <w:rFonts w:ascii="宋体" w:hAnsi="宋体"/>
          <w:color w:val="auto"/>
          <w:szCs w:val="21"/>
          <w:highlight w:val="none"/>
        </w:rPr>
      </w:pPr>
    </w:p>
    <w:p w14:paraId="58B3D0BB">
      <w:pPr>
        <w:spacing w:line="300" w:lineRule="auto"/>
        <w:rPr>
          <w:rFonts w:ascii="宋体" w:hAnsi="宋体"/>
          <w:color w:val="auto"/>
          <w:szCs w:val="21"/>
          <w:highlight w:val="none"/>
        </w:rPr>
      </w:pPr>
    </w:p>
    <w:p w14:paraId="5F3B1F9D">
      <w:pPr>
        <w:spacing w:line="300" w:lineRule="auto"/>
        <w:rPr>
          <w:rFonts w:ascii="宋体" w:hAnsi="宋体"/>
          <w:color w:val="auto"/>
          <w:szCs w:val="21"/>
          <w:highlight w:val="none"/>
        </w:rPr>
      </w:pPr>
    </w:p>
    <w:p w14:paraId="020C6B73">
      <w:pPr>
        <w:spacing w:line="300" w:lineRule="auto"/>
        <w:rPr>
          <w:rFonts w:ascii="宋体" w:hAnsi="宋体"/>
          <w:color w:val="auto"/>
          <w:szCs w:val="21"/>
          <w:highlight w:val="none"/>
        </w:rPr>
      </w:pPr>
    </w:p>
    <w:p w14:paraId="44526B2D">
      <w:pPr>
        <w:spacing w:line="300" w:lineRule="auto"/>
        <w:rPr>
          <w:rFonts w:ascii="宋体" w:hAnsi="宋体"/>
          <w:color w:val="auto"/>
          <w:szCs w:val="21"/>
          <w:highlight w:val="none"/>
        </w:rPr>
      </w:pPr>
    </w:p>
    <w:p w14:paraId="664E62A1">
      <w:pPr>
        <w:spacing w:line="300" w:lineRule="auto"/>
        <w:rPr>
          <w:rFonts w:ascii="宋体" w:hAnsi="宋体"/>
          <w:color w:val="auto"/>
          <w:szCs w:val="21"/>
          <w:highlight w:val="none"/>
        </w:rPr>
      </w:pPr>
    </w:p>
    <w:p w14:paraId="031458C7">
      <w:pPr>
        <w:spacing w:line="300" w:lineRule="auto"/>
        <w:rPr>
          <w:rFonts w:ascii="宋体" w:hAnsi="宋体"/>
          <w:color w:val="auto"/>
          <w:szCs w:val="21"/>
          <w:highlight w:val="none"/>
        </w:rPr>
      </w:pPr>
    </w:p>
    <w:p w14:paraId="6626710B">
      <w:pPr>
        <w:spacing w:line="300" w:lineRule="auto"/>
        <w:rPr>
          <w:rFonts w:ascii="宋体" w:hAnsi="宋体"/>
          <w:color w:val="auto"/>
          <w:szCs w:val="21"/>
          <w:highlight w:val="none"/>
        </w:rPr>
      </w:pPr>
    </w:p>
    <w:p w14:paraId="38919602">
      <w:pPr>
        <w:spacing w:line="300" w:lineRule="auto"/>
        <w:rPr>
          <w:rFonts w:ascii="宋体" w:hAnsi="宋体"/>
          <w:color w:val="auto"/>
          <w:szCs w:val="21"/>
          <w:highlight w:val="none"/>
        </w:rPr>
      </w:pPr>
    </w:p>
    <w:p w14:paraId="26EBB083">
      <w:pPr>
        <w:spacing w:line="320" w:lineRule="exact"/>
        <w:jc w:val="left"/>
        <w:rPr>
          <w:rFonts w:ascii="宋体" w:hAnsi="宋体"/>
          <w:color w:val="auto"/>
          <w:szCs w:val="21"/>
          <w:highlight w:val="none"/>
        </w:rPr>
      </w:pPr>
    </w:p>
    <w:p w14:paraId="772EC2CF">
      <w:pPr>
        <w:spacing w:before="120" w:after="50"/>
        <w:jc w:val="center"/>
        <w:rPr>
          <w:rFonts w:ascii="宋体" w:hAnsi="宋体"/>
          <w:b/>
          <w:color w:val="auto"/>
          <w:sz w:val="32"/>
          <w:szCs w:val="32"/>
          <w:highlight w:val="none"/>
        </w:rPr>
      </w:pPr>
      <w:r>
        <w:rPr>
          <w:rFonts w:hint="eastAsia" w:ascii="宋体" w:hAnsi="宋体"/>
          <w:b/>
          <w:color w:val="auto"/>
          <w:sz w:val="32"/>
          <w:szCs w:val="32"/>
          <w:highlight w:val="none"/>
        </w:rPr>
        <w:br w:type="page" w:clear="all"/>
      </w:r>
      <w:r>
        <w:rPr>
          <w:rFonts w:hint="eastAsia" w:ascii="宋体" w:hAnsi="宋体"/>
          <w:b/>
          <w:color w:val="auto"/>
          <w:sz w:val="32"/>
          <w:szCs w:val="32"/>
          <w:highlight w:val="none"/>
        </w:rPr>
        <w:t xml:space="preserve"> </w:t>
      </w:r>
    </w:p>
    <w:p w14:paraId="2BF6FA3B">
      <w:pPr>
        <w:spacing w:before="120" w:after="50"/>
        <w:jc w:val="center"/>
        <w:rPr>
          <w:rFonts w:ascii="宋体" w:hAnsi="宋体"/>
          <w:b/>
          <w:color w:val="auto"/>
          <w:sz w:val="32"/>
          <w:szCs w:val="32"/>
          <w:highlight w:val="none"/>
        </w:rPr>
      </w:pPr>
    </w:p>
    <w:p w14:paraId="38B713B3">
      <w:pPr>
        <w:spacing w:before="12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5673C649">
      <w:pPr>
        <w:spacing w:before="50" w:after="120"/>
        <w:jc w:val="center"/>
        <w:rPr>
          <w:rFonts w:ascii="宋体" w:hAnsi="宋体"/>
          <w:b/>
          <w:color w:val="auto"/>
          <w:sz w:val="32"/>
          <w:szCs w:val="32"/>
          <w:highlight w:val="none"/>
        </w:rPr>
      </w:pPr>
    </w:p>
    <w:tbl>
      <w:tblPr>
        <w:tblStyle w:val="31"/>
        <w:tblW w:w="10140" w:type="dxa"/>
        <w:jc w:val="center"/>
        <w:shd w:val="clear" w:color="auto" w:fill="FBFBFB"/>
        <w:tblLayout w:type="fixed"/>
        <w:tblCellMar>
          <w:top w:w="120" w:type="dxa"/>
          <w:left w:w="120" w:type="dxa"/>
          <w:bottom w:w="120" w:type="dxa"/>
          <w:right w:w="120" w:type="dxa"/>
        </w:tblCellMar>
      </w:tblPr>
      <w:tblGrid>
        <w:gridCol w:w="879"/>
        <w:gridCol w:w="2653"/>
        <w:gridCol w:w="1454"/>
        <w:gridCol w:w="4284"/>
        <w:gridCol w:w="870"/>
      </w:tblGrid>
      <w:tr w14:paraId="35583394">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8AAF1E">
            <w:pPr>
              <w:widowControl/>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FD208C">
            <w:pPr>
              <w:widowControl/>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0C5579">
            <w:pPr>
              <w:widowControl/>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出资比例</w:t>
            </w:r>
            <w:r>
              <w:rPr>
                <w:rFonts w:hint="eastAsia" w:ascii="宋体" w:hAnsi="宋体" w:cs="宋体"/>
                <w:b/>
                <w:bCs/>
                <w:color w:val="auto"/>
                <w:sz w:val="24"/>
                <w:highlight w:val="none"/>
              </w:rPr>
              <w:t>(%)</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493674">
            <w:pPr>
              <w:widowControl/>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38CE24">
            <w:pPr>
              <w:widowControl/>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备注</w:t>
            </w:r>
          </w:p>
        </w:tc>
      </w:tr>
      <w:tr w14:paraId="445F87D7">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208E7E">
            <w:pPr>
              <w:widowControl/>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F242C3">
            <w:pPr>
              <w:widowControl/>
              <w:spacing w:line="360" w:lineRule="auto"/>
              <w:jc w:val="center"/>
              <w:rPr>
                <w:rFonts w:ascii="宋体" w:hAnsi="宋体" w:cs="宋体"/>
                <w:color w:val="auto"/>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0FD78B">
            <w:pPr>
              <w:widowControl/>
              <w:spacing w:line="360" w:lineRule="auto"/>
              <w:jc w:val="center"/>
              <w:rPr>
                <w:rFonts w:ascii="宋体" w:hAnsi="宋体" w:cs="宋体"/>
                <w:color w:val="auto"/>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B28407">
            <w:pPr>
              <w:widowControl/>
              <w:spacing w:line="360" w:lineRule="auto"/>
              <w:jc w:val="center"/>
              <w:rPr>
                <w:rFonts w:ascii="宋体" w:hAnsi="宋体" w:cs="宋体"/>
                <w:color w:val="auto"/>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C47B96">
            <w:pPr>
              <w:widowControl/>
              <w:spacing w:line="360" w:lineRule="auto"/>
              <w:jc w:val="center"/>
              <w:rPr>
                <w:rFonts w:ascii="宋体" w:hAnsi="宋体" w:cs="宋体"/>
                <w:color w:val="auto"/>
                <w:sz w:val="28"/>
                <w:szCs w:val="28"/>
                <w:highlight w:val="none"/>
              </w:rPr>
            </w:pPr>
          </w:p>
        </w:tc>
      </w:tr>
      <w:tr w14:paraId="2E1AB18C">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2FD869">
            <w:pPr>
              <w:widowControl/>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4A8EE2">
            <w:pPr>
              <w:widowControl/>
              <w:spacing w:line="360" w:lineRule="auto"/>
              <w:jc w:val="center"/>
              <w:rPr>
                <w:rFonts w:ascii="宋体" w:hAnsi="宋体" w:cs="宋体"/>
                <w:color w:val="auto"/>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796173">
            <w:pPr>
              <w:widowControl/>
              <w:spacing w:line="360" w:lineRule="auto"/>
              <w:jc w:val="center"/>
              <w:rPr>
                <w:rFonts w:ascii="宋体" w:hAnsi="宋体" w:cs="宋体"/>
                <w:color w:val="auto"/>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D3DEEB">
            <w:pPr>
              <w:widowControl/>
              <w:spacing w:line="360" w:lineRule="auto"/>
              <w:jc w:val="center"/>
              <w:rPr>
                <w:rFonts w:ascii="宋体" w:hAnsi="宋体" w:cs="宋体"/>
                <w:color w:val="auto"/>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452796">
            <w:pPr>
              <w:widowControl/>
              <w:spacing w:line="360" w:lineRule="auto"/>
              <w:jc w:val="center"/>
              <w:rPr>
                <w:rFonts w:ascii="宋体" w:hAnsi="宋体" w:cs="宋体"/>
                <w:color w:val="auto"/>
                <w:sz w:val="28"/>
                <w:szCs w:val="28"/>
                <w:highlight w:val="none"/>
              </w:rPr>
            </w:pPr>
          </w:p>
        </w:tc>
      </w:tr>
      <w:tr w14:paraId="1815E12C">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E08BDB">
            <w:pPr>
              <w:widowControl/>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5A844B">
            <w:pPr>
              <w:widowControl/>
              <w:spacing w:line="360" w:lineRule="auto"/>
              <w:jc w:val="center"/>
              <w:rPr>
                <w:rFonts w:ascii="宋体" w:hAnsi="宋体" w:cs="宋体"/>
                <w:color w:val="auto"/>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5D143D">
            <w:pPr>
              <w:widowControl/>
              <w:spacing w:line="360" w:lineRule="auto"/>
              <w:jc w:val="center"/>
              <w:rPr>
                <w:rFonts w:ascii="宋体" w:hAnsi="宋体" w:cs="宋体"/>
                <w:color w:val="auto"/>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07202E">
            <w:pPr>
              <w:widowControl/>
              <w:spacing w:line="360" w:lineRule="auto"/>
              <w:jc w:val="center"/>
              <w:rPr>
                <w:rFonts w:ascii="宋体" w:hAnsi="宋体" w:cs="宋体"/>
                <w:color w:val="auto"/>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4CC580">
            <w:pPr>
              <w:widowControl/>
              <w:spacing w:line="360" w:lineRule="auto"/>
              <w:jc w:val="center"/>
              <w:rPr>
                <w:rFonts w:ascii="宋体" w:hAnsi="宋体" w:cs="宋体"/>
                <w:color w:val="auto"/>
                <w:sz w:val="28"/>
                <w:szCs w:val="28"/>
                <w:highlight w:val="none"/>
              </w:rPr>
            </w:pPr>
          </w:p>
        </w:tc>
      </w:tr>
      <w:tr w14:paraId="1D57A566">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C71E57">
            <w:pPr>
              <w:widowControl/>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D9B6A0">
            <w:pPr>
              <w:widowControl/>
              <w:spacing w:line="360" w:lineRule="auto"/>
              <w:jc w:val="center"/>
              <w:rPr>
                <w:rFonts w:ascii="宋体" w:hAnsi="宋体" w:cs="宋体"/>
                <w:color w:val="auto"/>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292DF2">
            <w:pPr>
              <w:widowControl/>
              <w:spacing w:line="360" w:lineRule="auto"/>
              <w:jc w:val="center"/>
              <w:rPr>
                <w:rFonts w:ascii="宋体" w:hAnsi="宋体" w:cs="宋体"/>
                <w:color w:val="auto"/>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97F39D">
            <w:pPr>
              <w:widowControl/>
              <w:spacing w:line="360" w:lineRule="auto"/>
              <w:jc w:val="center"/>
              <w:rPr>
                <w:rFonts w:ascii="宋体" w:hAnsi="宋体" w:cs="宋体"/>
                <w:color w:val="auto"/>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A2715C">
            <w:pPr>
              <w:widowControl/>
              <w:spacing w:line="360" w:lineRule="auto"/>
              <w:jc w:val="center"/>
              <w:rPr>
                <w:rFonts w:ascii="宋体" w:hAnsi="宋体" w:cs="宋体"/>
                <w:color w:val="auto"/>
                <w:sz w:val="28"/>
                <w:szCs w:val="28"/>
                <w:highlight w:val="none"/>
              </w:rPr>
            </w:pPr>
          </w:p>
        </w:tc>
      </w:tr>
    </w:tbl>
    <w:p w14:paraId="1B3FC234">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015FF1A5">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27205EB">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8C8A1EA">
      <w:pPr>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89241AD">
      <w:pPr>
        <w:spacing w:line="360" w:lineRule="auto"/>
        <w:ind w:firstLine="420"/>
        <w:jc w:val="left"/>
        <w:rPr>
          <w:rFonts w:ascii="宋体" w:hAnsi="宋体" w:cs="宋体"/>
          <w:color w:val="auto"/>
          <w:szCs w:val="21"/>
          <w:highlight w:val="none"/>
        </w:rPr>
      </w:pPr>
    </w:p>
    <w:p w14:paraId="08F98675">
      <w:pPr>
        <w:spacing w:line="360" w:lineRule="auto"/>
        <w:ind w:firstLine="560"/>
        <w:jc w:val="left"/>
        <w:rPr>
          <w:rFonts w:ascii="宋体" w:hAnsi="宋体" w:cs="宋体"/>
          <w:color w:val="auto"/>
          <w:sz w:val="28"/>
          <w:szCs w:val="28"/>
          <w:highlight w:val="none"/>
        </w:rPr>
      </w:pPr>
    </w:p>
    <w:p w14:paraId="7F257BB6">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0088B166">
      <w:pPr>
        <w:spacing w:line="360" w:lineRule="auto"/>
        <w:ind w:right="480" w:firstLine="300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供应商名称（电子签章）： </w:t>
      </w:r>
      <w:r>
        <w:rPr>
          <w:rFonts w:hint="eastAsia" w:ascii="宋体" w:hAnsi="宋体" w:cs="宋体"/>
          <w:color w:val="auto"/>
          <w:sz w:val="24"/>
          <w:highlight w:val="none"/>
          <w:u w:val="single"/>
        </w:rPr>
        <w:t xml:space="preserve">                              </w:t>
      </w:r>
    </w:p>
    <w:p w14:paraId="63662823">
      <w:pPr>
        <w:spacing w:line="360" w:lineRule="auto"/>
        <w:ind w:right="480" w:firstLine="528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1E30C9DD">
      <w:pPr>
        <w:jc w:val="center"/>
        <w:rPr>
          <w:rFonts w:ascii="宋体" w:hAnsi="宋体"/>
          <w:b/>
          <w:color w:val="auto"/>
          <w:sz w:val="28"/>
          <w:szCs w:val="28"/>
          <w:highlight w:val="none"/>
        </w:rPr>
      </w:pPr>
      <w:r>
        <w:rPr>
          <w:rFonts w:hint="eastAsia" w:ascii="宋体" w:hAnsi="宋体"/>
          <w:b/>
          <w:color w:val="auto"/>
          <w:sz w:val="28"/>
          <w:szCs w:val="28"/>
          <w:highlight w:val="none"/>
        </w:rPr>
        <w:br w:type="page" w:clear="all"/>
      </w:r>
    </w:p>
    <w:p w14:paraId="4E664108">
      <w:pPr>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6F5B19F7">
      <w:pPr>
        <w:jc w:val="center"/>
        <w:rPr>
          <w:rFonts w:ascii="宋体" w:hAnsi="宋体"/>
          <w:b/>
          <w:color w:val="auto"/>
          <w:sz w:val="32"/>
          <w:szCs w:val="32"/>
          <w:highlight w:val="none"/>
        </w:rPr>
      </w:pPr>
    </w:p>
    <w:tbl>
      <w:tblPr>
        <w:tblStyle w:val="31"/>
        <w:tblW w:w="9645" w:type="dxa"/>
        <w:jc w:val="center"/>
        <w:shd w:val="clear" w:color="auto" w:fill="FBFBFB"/>
        <w:tblLayout w:type="fixed"/>
        <w:tblCellMar>
          <w:top w:w="120" w:type="dxa"/>
          <w:left w:w="120" w:type="dxa"/>
          <w:bottom w:w="120" w:type="dxa"/>
          <w:right w:w="120" w:type="dxa"/>
        </w:tblCellMar>
      </w:tblPr>
      <w:tblGrid>
        <w:gridCol w:w="808"/>
        <w:gridCol w:w="3597"/>
        <w:gridCol w:w="3552"/>
        <w:gridCol w:w="1688"/>
      </w:tblGrid>
      <w:tr w14:paraId="6873BFC5">
        <w:tblPrEx>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163AF77">
            <w:pPr>
              <w:widowControl/>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85EB2E">
            <w:pPr>
              <w:widowControl/>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ED0E6D9">
            <w:pPr>
              <w:widowControl/>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0B4CA5">
            <w:pPr>
              <w:widowControl/>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备注</w:t>
            </w:r>
          </w:p>
        </w:tc>
      </w:tr>
      <w:tr w14:paraId="45281E2E">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F10AE3">
            <w:pPr>
              <w:widowControl/>
              <w:spacing w:line="200" w:lineRule="atLeast"/>
              <w:jc w:val="center"/>
              <w:rPr>
                <w:rFonts w:ascii="宋体" w:hAnsi="宋体" w:cs="宋体"/>
                <w:color w:val="auto"/>
                <w:sz w:val="28"/>
                <w:szCs w:val="28"/>
                <w:highlight w:val="none"/>
              </w:rPr>
            </w:pPr>
            <w:r>
              <w:rPr>
                <w:rFonts w:hint="eastAsia" w:ascii="宋体" w:hAnsi="宋体" w:cs="宋体"/>
                <w:color w:val="auto"/>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EBD393">
            <w:pPr>
              <w:widowControl/>
              <w:spacing w:line="200" w:lineRule="atLeast"/>
              <w:jc w:val="center"/>
              <w:rPr>
                <w:rFonts w:ascii="宋体" w:hAnsi="宋体" w:cs="宋体"/>
                <w:color w:val="auto"/>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D55792">
            <w:pPr>
              <w:widowControl/>
              <w:spacing w:line="200" w:lineRule="atLeast"/>
              <w:jc w:val="center"/>
              <w:rPr>
                <w:rFonts w:ascii="宋体" w:hAnsi="宋体" w:cs="宋体"/>
                <w:color w:val="auto"/>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9D7D16">
            <w:pPr>
              <w:widowControl/>
              <w:spacing w:line="200" w:lineRule="atLeast"/>
              <w:jc w:val="center"/>
              <w:rPr>
                <w:rFonts w:ascii="宋体" w:hAnsi="宋体" w:cs="宋体"/>
                <w:color w:val="auto"/>
                <w:sz w:val="28"/>
                <w:szCs w:val="28"/>
                <w:highlight w:val="none"/>
              </w:rPr>
            </w:pPr>
          </w:p>
        </w:tc>
      </w:tr>
      <w:tr w14:paraId="10FD6864">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3A2CF9">
            <w:pPr>
              <w:widowControl/>
              <w:spacing w:line="200" w:lineRule="atLeast"/>
              <w:jc w:val="center"/>
              <w:rPr>
                <w:rFonts w:ascii="宋体" w:hAnsi="宋体" w:cs="宋体"/>
                <w:color w:val="auto"/>
                <w:sz w:val="28"/>
                <w:szCs w:val="28"/>
                <w:highlight w:val="none"/>
              </w:rPr>
            </w:pPr>
            <w:r>
              <w:rPr>
                <w:rFonts w:hint="eastAsia" w:ascii="宋体" w:hAnsi="宋体" w:cs="宋体"/>
                <w:color w:val="auto"/>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FA87E3">
            <w:pPr>
              <w:widowControl/>
              <w:spacing w:line="200" w:lineRule="atLeast"/>
              <w:jc w:val="center"/>
              <w:rPr>
                <w:rFonts w:ascii="宋体" w:hAnsi="宋体" w:cs="宋体"/>
                <w:color w:val="auto"/>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AF7EAB">
            <w:pPr>
              <w:widowControl/>
              <w:spacing w:line="200" w:lineRule="atLeast"/>
              <w:jc w:val="center"/>
              <w:rPr>
                <w:rFonts w:ascii="宋体" w:hAnsi="宋体" w:cs="宋体"/>
                <w:color w:val="auto"/>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5A7A4B">
            <w:pPr>
              <w:widowControl/>
              <w:spacing w:line="200" w:lineRule="atLeast"/>
              <w:jc w:val="center"/>
              <w:rPr>
                <w:rFonts w:ascii="宋体" w:hAnsi="宋体" w:cs="宋体"/>
                <w:color w:val="auto"/>
                <w:sz w:val="28"/>
                <w:szCs w:val="28"/>
                <w:highlight w:val="none"/>
              </w:rPr>
            </w:pPr>
          </w:p>
        </w:tc>
      </w:tr>
      <w:tr w14:paraId="79E72326">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6997F9">
            <w:pPr>
              <w:widowControl/>
              <w:spacing w:line="200" w:lineRule="atLeast"/>
              <w:jc w:val="center"/>
              <w:rPr>
                <w:rFonts w:ascii="宋体" w:hAnsi="宋体" w:cs="宋体"/>
                <w:color w:val="auto"/>
                <w:sz w:val="28"/>
                <w:szCs w:val="28"/>
                <w:highlight w:val="none"/>
              </w:rPr>
            </w:pPr>
            <w:r>
              <w:rPr>
                <w:rFonts w:hint="eastAsia" w:ascii="宋体" w:hAnsi="宋体" w:cs="宋体"/>
                <w:color w:val="auto"/>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B31583">
            <w:pPr>
              <w:widowControl/>
              <w:spacing w:line="200" w:lineRule="atLeast"/>
              <w:jc w:val="center"/>
              <w:rPr>
                <w:rFonts w:ascii="宋体" w:hAnsi="宋体" w:cs="宋体"/>
                <w:color w:val="auto"/>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4BEFD1">
            <w:pPr>
              <w:widowControl/>
              <w:spacing w:line="200" w:lineRule="atLeast"/>
              <w:jc w:val="center"/>
              <w:rPr>
                <w:rFonts w:ascii="宋体" w:hAnsi="宋体" w:cs="宋体"/>
                <w:color w:val="auto"/>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7F3A0C">
            <w:pPr>
              <w:widowControl/>
              <w:spacing w:line="200" w:lineRule="atLeast"/>
              <w:jc w:val="center"/>
              <w:rPr>
                <w:rFonts w:ascii="宋体" w:hAnsi="宋体" w:cs="宋体"/>
                <w:color w:val="auto"/>
                <w:sz w:val="28"/>
                <w:szCs w:val="28"/>
                <w:highlight w:val="none"/>
              </w:rPr>
            </w:pPr>
          </w:p>
        </w:tc>
      </w:tr>
      <w:tr w14:paraId="15E2E416">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2EA382">
            <w:pPr>
              <w:widowControl/>
              <w:spacing w:line="200" w:lineRule="atLeast"/>
              <w:jc w:val="center"/>
              <w:rPr>
                <w:rFonts w:ascii="宋体" w:hAnsi="宋体" w:cs="宋体"/>
                <w:color w:val="auto"/>
                <w:sz w:val="28"/>
                <w:szCs w:val="28"/>
                <w:highlight w:val="none"/>
              </w:rPr>
            </w:pPr>
            <w:r>
              <w:rPr>
                <w:rFonts w:hint="eastAsia" w:ascii="宋体" w:hAnsi="宋体" w:cs="宋体"/>
                <w:color w:val="auto"/>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6209E2">
            <w:pPr>
              <w:widowControl/>
              <w:spacing w:line="200" w:lineRule="atLeast"/>
              <w:jc w:val="center"/>
              <w:rPr>
                <w:rFonts w:ascii="宋体" w:hAnsi="宋体" w:cs="宋体"/>
                <w:color w:val="auto"/>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A30A06">
            <w:pPr>
              <w:widowControl/>
              <w:spacing w:line="200" w:lineRule="atLeast"/>
              <w:jc w:val="center"/>
              <w:rPr>
                <w:rFonts w:ascii="宋体" w:hAnsi="宋体" w:cs="宋体"/>
                <w:color w:val="auto"/>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3CE1B8">
            <w:pPr>
              <w:widowControl/>
              <w:spacing w:line="200" w:lineRule="atLeast"/>
              <w:jc w:val="center"/>
              <w:rPr>
                <w:rFonts w:ascii="宋体" w:hAnsi="宋体" w:cs="宋体"/>
                <w:color w:val="auto"/>
                <w:sz w:val="28"/>
                <w:szCs w:val="28"/>
                <w:highlight w:val="none"/>
              </w:rPr>
            </w:pPr>
          </w:p>
        </w:tc>
      </w:tr>
    </w:tbl>
    <w:p w14:paraId="5517DA86">
      <w:pPr>
        <w:spacing w:line="360" w:lineRule="auto"/>
        <w:jc w:val="left"/>
        <w:rPr>
          <w:rFonts w:ascii="宋体" w:hAnsi="宋体"/>
          <w:color w:val="auto"/>
          <w:sz w:val="24"/>
          <w:highlight w:val="none"/>
        </w:rPr>
      </w:pPr>
      <w:r>
        <w:rPr>
          <w:rFonts w:hint="eastAsia" w:ascii="宋体" w:hAnsi="宋体"/>
          <w:color w:val="auto"/>
          <w:sz w:val="24"/>
          <w:highlight w:val="none"/>
        </w:rPr>
        <w:t>注：</w:t>
      </w:r>
    </w:p>
    <w:p w14:paraId="412E6CAB">
      <w:pPr>
        <w:spacing w:line="360" w:lineRule="auto"/>
        <w:ind w:firstLine="48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8A3A38F">
      <w:pPr>
        <w:spacing w:line="360" w:lineRule="auto"/>
        <w:ind w:firstLine="48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D02EE52">
      <w:pPr>
        <w:spacing w:line="360" w:lineRule="auto"/>
        <w:ind w:firstLine="480"/>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893FCC2">
      <w:pPr>
        <w:spacing w:line="360" w:lineRule="auto"/>
        <w:jc w:val="left"/>
        <w:rPr>
          <w:rFonts w:ascii="宋体" w:hAnsi="宋体"/>
          <w:color w:val="auto"/>
          <w:sz w:val="28"/>
          <w:szCs w:val="28"/>
          <w:highlight w:val="none"/>
        </w:rPr>
      </w:pPr>
    </w:p>
    <w:p w14:paraId="4A0B863C">
      <w:pPr>
        <w:spacing w:line="360" w:lineRule="auto"/>
        <w:jc w:val="left"/>
        <w:rPr>
          <w:rFonts w:ascii="宋体" w:hAnsi="宋体"/>
          <w:color w:val="auto"/>
          <w:sz w:val="28"/>
          <w:szCs w:val="28"/>
          <w:highlight w:val="none"/>
        </w:rPr>
      </w:pPr>
    </w:p>
    <w:p w14:paraId="158E5421">
      <w:pPr>
        <w:spacing w:line="360" w:lineRule="auto"/>
        <w:jc w:val="left"/>
        <w:rPr>
          <w:color w:val="auto"/>
          <w:sz w:val="28"/>
          <w:szCs w:val="28"/>
          <w:highlight w:val="none"/>
        </w:rPr>
      </w:pPr>
    </w:p>
    <w:p w14:paraId="1A11E1D9">
      <w:pPr>
        <w:spacing w:line="360" w:lineRule="auto"/>
        <w:jc w:val="left"/>
        <w:rPr>
          <w:color w:val="auto"/>
          <w:sz w:val="28"/>
          <w:szCs w:val="28"/>
          <w:highlight w:val="none"/>
        </w:rPr>
      </w:pPr>
    </w:p>
    <w:p w14:paraId="2AAA46F0">
      <w:pPr>
        <w:spacing w:line="360" w:lineRule="auto"/>
        <w:jc w:val="left"/>
        <w:rPr>
          <w:color w:val="auto"/>
          <w:sz w:val="28"/>
          <w:szCs w:val="28"/>
          <w:highlight w:val="none"/>
        </w:rPr>
      </w:pPr>
    </w:p>
    <w:p w14:paraId="692E28C0">
      <w:pPr>
        <w:spacing w:line="360" w:lineRule="auto"/>
        <w:jc w:val="left"/>
        <w:rPr>
          <w:rFonts w:ascii="宋体" w:hAnsi="宋体"/>
          <w:color w:val="auto"/>
          <w:sz w:val="28"/>
          <w:szCs w:val="28"/>
          <w:highlight w:val="none"/>
        </w:rPr>
      </w:pPr>
    </w:p>
    <w:p w14:paraId="046408E7">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法定代表人或者委托代理人（签字或者电子签名）：</w:t>
      </w:r>
      <w:r>
        <w:rPr>
          <w:rFonts w:hint="eastAsia" w:ascii="宋体" w:hAnsi="宋体"/>
          <w:color w:val="auto"/>
          <w:sz w:val="24"/>
          <w:highlight w:val="none"/>
          <w:u w:val="single"/>
        </w:rPr>
        <w:t xml:space="preserve">                   </w:t>
      </w:r>
    </w:p>
    <w:p w14:paraId="0E35A3F8">
      <w:pPr>
        <w:spacing w:line="360" w:lineRule="auto"/>
        <w:ind w:right="480" w:firstLine="3360"/>
        <w:contextualSpacing/>
        <w:rPr>
          <w:rFonts w:ascii="宋体" w:hAnsi="宋体"/>
          <w:color w:val="auto"/>
          <w:sz w:val="24"/>
          <w:highlight w:val="none"/>
        </w:rPr>
      </w:pPr>
      <w:r>
        <w:rPr>
          <w:rFonts w:hint="eastAsia" w:ascii="宋体" w:hAnsi="宋体"/>
          <w:color w:val="auto"/>
          <w:sz w:val="24"/>
          <w:highlight w:val="none"/>
        </w:rPr>
        <w:t>供应商名称（电子签章）：</w:t>
      </w:r>
      <w:r>
        <w:rPr>
          <w:rFonts w:hint="eastAsia" w:ascii="宋体" w:hAnsi="宋体"/>
          <w:color w:val="auto"/>
          <w:sz w:val="24"/>
          <w:highlight w:val="none"/>
          <w:u w:val="single"/>
        </w:rPr>
        <w:t xml:space="preserve">                </w:t>
      </w:r>
    </w:p>
    <w:p w14:paraId="5E6D68D8">
      <w:pPr>
        <w:spacing w:line="360" w:lineRule="auto"/>
        <w:ind w:right="480" w:firstLine="24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706A7EC8">
      <w:pPr>
        <w:spacing w:line="500" w:lineRule="exact"/>
        <w:jc w:val="center"/>
        <w:rPr>
          <w:rFonts w:ascii="方正小标宋简体" w:hAnsi="宋体" w:eastAsia="方正小标宋简体"/>
          <w:b/>
          <w:color w:val="auto"/>
          <w:sz w:val="32"/>
          <w:szCs w:val="32"/>
          <w:highlight w:val="none"/>
        </w:rPr>
      </w:pPr>
      <w:r>
        <w:rPr>
          <w:rFonts w:hint="eastAsia" w:ascii="宋体" w:hAnsi="宋体"/>
          <w:b/>
          <w:color w:val="auto"/>
          <w:sz w:val="32"/>
          <w:szCs w:val="32"/>
          <w:highlight w:val="none"/>
        </w:rPr>
        <w:br w:type="page" w:clear="all"/>
      </w:r>
      <w:r>
        <w:rPr>
          <w:rFonts w:hint="eastAsia" w:ascii="方正小标宋简体" w:hAnsi="宋体" w:eastAsia="方正小标宋简体"/>
          <w:b/>
          <w:color w:val="auto"/>
          <w:sz w:val="32"/>
          <w:szCs w:val="32"/>
          <w:highlight w:val="none"/>
        </w:rPr>
        <w:t>竞标声明</w:t>
      </w:r>
    </w:p>
    <w:p w14:paraId="06E015B0">
      <w:pPr>
        <w:spacing w:line="320" w:lineRule="exact"/>
        <w:jc w:val="center"/>
        <w:rPr>
          <w:rFonts w:ascii="宋体" w:hAnsi="宋体"/>
          <w:color w:val="auto"/>
          <w:sz w:val="24"/>
          <w:szCs w:val="20"/>
          <w:highlight w:val="none"/>
        </w:rPr>
      </w:pPr>
    </w:p>
    <w:p w14:paraId="12B72122">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07E5DB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B6D3DA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4AE3E7E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64CB75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5EBB866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3.在此，我方宣布同意如下：</w:t>
      </w:r>
    </w:p>
    <w:p w14:paraId="42D96C6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7F63D38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1F8197F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7D7C328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（4）响应谈判文件规定的竞标有效期。</w:t>
      </w:r>
    </w:p>
    <w:p w14:paraId="31F51D9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938850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3905F47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7741B1A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51B200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9D64AE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15ED09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6BB598D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A172B6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0484D6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□我方本次响应文件内容中未涉及商业秘密；</w:t>
      </w:r>
    </w:p>
    <w:p w14:paraId="74EEA34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□我方本次响应文件涉及商业秘密的内容有：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643A042">
      <w:pPr>
        <w:pStyle w:val="214"/>
        <w:spacing w:line="360" w:lineRule="auto"/>
        <w:ind w:firstLine="480"/>
        <w:rPr>
          <w:rFonts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1550130A">
      <w:pPr>
        <w:pStyle w:val="214"/>
        <w:spacing w:line="360" w:lineRule="auto"/>
        <w:ind w:firstLine="480"/>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int="eastAsia" w:hAnsi="宋体" w:cs="宋体"/>
          <w:color w:val="auto"/>
          <w:sz w:val="24"/>
          <w:highlight w:val="none"/>
        </w:rPr>
        <w:t>电子邮箱</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660286E">
      <w:pPr>
        <w:pStyle w:val="213"/>
        <w:tabs>
          <w:tab w:val="left" w:pos="939"/>
        </w:tabs>
        <w:spacing w:line="360" w:lineRule="auto"/>
        <w:ind w:left="141" w:firstLine="36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363130AA">
      <w:pPr>
        <w:pStyle w:val="213"/>
        <w:tabs>
          <w:tab w:val="left" w:pos="939"/>
        </w:tabs>
        <w:spacing w:line="360" w:lineRule="auto"/>
        <w:ind w:left="141" w:firstLine="36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4384550">
      <w:pPr>
        <w:pStyle w:val="213"/>
        <w:tabs>
          <w:tab w:val="left" w:pos="939"/>
        </w:tabs>
        <w:spacing w:line="360" w:lineRule="auto"/>
        <w:ind w:left="141" w:firstLine="360"/>
        <w:rPr>
          <w:rFonts w:ascii="宋体" w:hAnsi="宋体" w:cs="宋体"/>
          <w:color w:val="auto"/>
          <w:szCs w:val="21"/>
          <w:highlight w:val="none"/>
        </w:rPr>
      </w:pPr>
      <w:r>
        <w:rPr>
          <w:rFonts w:hint="eastAsia" w:ascii="宋体" w:hAnsi="宋体" w:cs="宋体"/>
          <w:color w:val="auto"/>
          <w:sz w:val="24"/>
          <w:highlight w:val="none"/>
        </w:rPr>
        <w:t>特此承诺。</w:t>
      </w:r>
    </w:p>
    <w:p w14:paraId="47B9E3A9">
      <w:pPr>
        <w:spacing w:line="360" w:lineRule="auto"/>
        <w:jc w:val="left"/>
        <w:rPr>
          <w:rFonts w:ascii="宋体" w:hAnsi="宋体"/>
          <w:b/>
          <w:color w:val="auto"/>
          <w:sz w:val="24"/>
          <w:highlight w:val="none"/>
        </w:rPr>
      </w:pPr>
      <w:r>
        <w:rPr>
          <w:rFonts w:hint="eastAsia" w:ascii="宋体" w:hAnsi="宋体"/>
          <w:b/>
          <w:color w:val="auto"/>
          <w:sz w:val="24"/>
          <w:highlight w:val="none"/>
        </w:rPr>
        <w:t xml:space="preserve">    注：如为联合体竞标，盖章处须加盖联合体牵头人电子签章并由联合体牵头人法定代表人分别签字或者盖章或者电子签名，否则响应文件按无效处理。</w:t>
      </w:r>
    </w:p>
    <w:p w14:paraId="3062B88F">
      <w:pPr>
        <w:spacing w:line="360" w:lineRule="auto"/>
        <w:jc w:val="left"/>
        <w:rPr>
          <w:rFonts w:ascii="宋体" w:hAnsi="宋体" w:cs="宋体"/>
          <w:color w:val="auto"/>
          <w:szCs w:val="21"/>
          <w:highlight w:val="none"/>
        </w:rPr>
      </w:pPr>
    </w:p>
    <w:p w14:paraId="63F527E0">
      <w:pPr>
        <w:spacing w:line="360" w:lineRule="auto"/>
        <w:ind w:firstLine="1800"/>
        <w:rPr>
          <w:color w:val="auto"/>
          <w:highlight w:val="none"/>
        </w:rPr>
      </w:pPr>
      <w:r>
        <w:rPr>
          <w:rFonts w:hint="eastAsia" w:ascii="宋体" w:hAnsi="宋体"/>
          <w:color w:val="auto"/>
          <w:sz w:val="24"/>
          <w:highlight w:val="none"/>
        </w:rPr>
        <w:t>法定代表人（签字或者盖章或者电子签名</w:t>
      </w:r>
      <w:r>
        <w:rPr>
          <w:rFonts w:hint="eastAsia"/>
          <w:color w:val="auto"/>
          <w:highlight w:val="none"/>
        </w:rPr>
        <w:t>）：</w:t>
      </w:r>
      <w:r>
        <w:rPr>
          <w:color w:val="auto"/>
          <w:highlight w:val="none"/>
          <w:u w:val="single"/>
        </w:rPr>
        <w:t xml:space="preserve">           </w:t>
      </w:r>
      <w:r>
        <w:rPr>
          <w:color w:val="auto"/>
          <w:highlight w:val="none"/>
        </w:rPr>
        <w:t xml:space="preserve">                                     </w:t>
      </w:r>
    </w:p>
    <w:p w14:paraId="7B3EB235">
      <w:pPr>
        <w:spacing w:line="360" w:lineRule="auto"/>
        <w:ind w:firstLine="4320"/>
        <w:rPr>
          <w:rFonts w:ascii="宋体" w:hAnsi="宋体" w:cs="宋体"/>
          <w:color w:val="auto"/>
          <w:szCs w:val="21"/>
          <w:highlight w:val="none"/>
          <w:u w:val="single"/>
        </w:rPr>
      </w:pPr>
      <w:r>
        <w:rPr>
          <w:rFonts w:hint="eastAsia" w:ascii="宋体" w:hAnsi="宋体"/>
          <w:color w:val="auto"/>
          <w:sz w:val="24"/>
          <w:highlight w:val="none"/>
        </w:rPr>
        <w:t>供应商名称（电子签章）</w:t>
      </w:r>
      <w:r>
        <w:rPr>
          <w:rFonts w:hint="eastAsia"/>
          <w:color w:val="auto"/>
          <w:highlight w:val="none"/>
        </w:rPr>
        <w:t>：</w:t>
      </w:r>
      <w:r>
        <w:rPr>
          <w:color w:val="auto"/>
          <w:highlight w:val="none"/>
          <w:u w:val="single"/>
        </w:rPr>
        <w:t xml:space="preserve">                               </w:t>
      </w:r>
      <w:r>
        <w:rPr>
          <w:color w:val="auto"/>
          <w:highlight w:val="none"/>
        </w:rPr>
        <w:t xml:space="preserve">       </w:t>
      </w:r>
      <w:r>
        <w:rPr>
          <w:rFonts w:hint="eastAsia" w:ascii="宋体" w:hAnsi="宋体" w:cs="宋体"/>
          <w:color w:val="auto"/>
          <w:szCs w:val="21"/>
          <w:highlight w:val="none"/>
        </w:rPr>
        <w:t xml:space="preserve">    </w:t>
      </w:r>
    </w:p>
    <w:p w14:paraId="759488B1">
      <w:pPr>
        <w:spacing w:line="360" w:lineRule="auto"/>
        <w:ind w:right="482" w:firstLine="210"/>
        <w:contextualSpacing/>
        <w:jc w:val="center"/>
        <w:rPr>
          <w:rFonts w:ascii="宋体" w:hAnsi="宋体"/>
          <w:color w:val="auto"/>
          <w:szCs w:val="21"/>
          <w:highlight w:val="none"/>
        </w:rPr>
      </w:pPr>
      <w:r>
        <w:rPr>
          <w:rFonts w:hint="eastAsia" w:ascii="宋体" w:hAnsi="宋体" w:cs="宋体"/>
          <w:color w:val="auto"/>
          <w:szCs w:val="21"/>
          <w:highlight w:val="none"/>
        </w:rPr>
        <w:t xml:space="preserve">                                                        </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5216AF4A">
      <w:pPr>
        <w:spacing w:line="360" w:lineRule="auto"/>
        <w:ind w:right="420"/>
        <w:contextualSpacing/>
        <w:jc w:val="left"/>
        <w:rPr>
          <w:rFonts w:ascii="宋体" w:hAnsi="宋体"/>
          <w:b/>
          <w:color w:val="auto"/>
          <w:sz w:val="32"/>
          <w:szCs w:val="32"/>
          <w:highlight w:val="none"/>
        </w:rPr>
      </w:pPr>
      <w:r>
        <w:rPr>
          <w:rFonts w:hint="eastAsia" w:ascii="方正小标宋简体" w:hAnsi="方正小标宋简体" w:eastAsia="方正小标宋简体" w:cs="方正小标宋简体"/>
          <w:color w:val="auto"/>
          <w:sz w:val="32"/>
          <w:szCs w:val="32"/>
          <w:highlight w:val="none"/>
        </w:rPr>
        <w:br w:type="page" w:clear="all"/>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4EE004E0">
      <w:pPr>
        <w:spacing w:before="12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70F8211C">
      <w:pPr>
        <w:spacing w:before="120" w:after="50"/>
        <w:rPr>
          <w:rFonts w:ascii="宋体" w:hAnsi="宋体"/>
          <w:bCs/>
          <w:color w:val="auto"/>
          <w:sz w:val="32"/>
          <w:szCs w:val="20"/>
          <w:highlight w:val="none"/>
        </w:rPr>
      </w:pPr>
      <w:r>
        <w:rPr>
          <w:rFonts w:hint="eastAsia" w:ascii="宋体" w:hAnsi="宋体"/>
          <w:color w:val="auto"/>
          <w:sz w:val="24"/>
          <w:highlight w:val="none"/>
        </w:rPr>
        <w:t xml:space="preserve">                                                    </w:t>
      </w:r>
    </w:p>
    <w:p w14:paraId="69354E74">
      <w:pPr>
        <w:spacing w:before="12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2DBDCC5E">
      <w:pPr>
        <w:spacing w:before="120" w:after="50"/>
        <w:rPr>
          <w:rFonts w:ascii="宋体" w:hAnsi="宋体"/>
          <w:color w:val="auto"/>
          <w:sz w:val="24"/>
          <w:szCs w:val="20"/>
          <w:highlight w:val="none"/>
        </w:rPr>
      </w:pPr>
    </w:p>
    <w:p w14:paraId="07C26F9D">
      <w:pPr>
        <w:spacing w:before="120" w:after="50"/>
        <w:rPr>
          <w:rFonts w:ascii="宋体" w:hAnsi="宋体"/>
          <w:color w:val="auto"/>
          <w:sz w:val="24"/>
          <w:szCs w:val="20"/>
          <w:highlight w:val="none"/>
        </w:rPr>
      </w:pPr>
    </w:p>
    <w:p w14:paraId="201E5A1A">
      <w:pPr>
        <w:spacing w:before="12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79619DBF">
      <w:pPr>
        <w:spacing w:before="120" w:after="50"/>
        <w:rPr>
          <w:rFonts w:ascii="宋体" w:hAnsi="宋体"/>
          <w:bCs/>
          <w:color w:val="auto"/>
          <w:sz w:val="24"/>
          <w:szCs w:val="20"/>
          <w:highlight w:val="none"/>
        </w:rPr>
      </w:pPr>
    </w:p>
    <w:p w14:paraId="6321086B">
      <w:pPr>
        <w:spacing w:before="120" w:after="50"/>
        <w:rPr>
          <w:rFonts w:ascii="宋体" w:hAnsi="宋体"/>
          <w:bCs/>
          <w:color w:val="auto"/>
          <w:sz w:val="24"/>
          <w:szCs w:val="20"/>
          <w:highlight w:val="none"/>
        </w:rPr>
      </w:pPr>
    </w:p>
    <w:p w14:paraId="0C7699A7">
      <w:pPr>
        <w:spacing w:before="120" w:after="50"/>
        <w:rPr>
          <w:rFonts w:ascii="宋体" w:hAnsi="宋体"/>
          <w:bCs/>
          <w:color w:val="auto"/>
          <w:sz w:val="24"/>
          <w:szCs w:val="20"/>
          <w:highlight w:val="none"/>
        </w:rPr>
      </w:pPr>
    </w:p>
    <w:p w14:paraId="1BC6A01A">
      <w:pPr>
        <w:spacing w:before="120" w:after="50"/>
        <w:rPr>
          <w:rFonts w:ascii="宋体" w:hAnsi="宋体"/>
          <w:bCs/>
          <w:color w:val="auto"/>
          <w:sz w:val="24"/>
          <w:szCs w:val="20"/>
          <w:highlight w:val="none"/>
        </w:rPr>
      </w:pPr>
    </w:p>
    <w:p w14:paraId="0277A6F9">
      <w:pPr>
        <w:spacing w:before="120" w:after="50"/>
        <w:rPr>
          <w:rFonts w:ascii="宋体" w:hAnsi="宋体"/>
          <w:bCs/>
          <w:color w:val="auto"/>
          <w:sz w:val="24"/>
          <w:szCs w:val="20"/>
          <w:highlight w:val="none"/>
        </w:rPr>
      </w:pPr>
    </w:p>
    <w:p w14:paraId="6894F35B">
      <w:pPr>
        <w:spacing w:before="120"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1052CBE">
      <w:pPr>
        <w:spacing w:before="120" w:after="50"/>
        <w:ind w:firstLine="720"/>
        <w:rPr>
          <w:rFonts w:ascii="宋体" w:hAnsi="宋体" w:cs="仿宋_GB2312"/>
          <w:bCs/>
          <w:color w:val="auto"/>
          <w:sz w:val="32"/>
          <w:szCs w:val="32"/>
          <w:highlight w:val="none"/>
        </w:rPr>
      </w:pPr>
    </w:p>
    <w:p w14:paraId="020FB9A7">
      <w:pPr>
        <w:spacing w:before="120"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0220422">
      <w:pPr>
        <w:spacing w:before="120" w:after="50"/>
        <w:ind w:firstLine="72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E2117C6">
      <w:pPr>
        <w:spacing w:before="120"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C0118CA">
      <w:pPr>
        <w:spacing w:before="120" w:after="50"/>
        <w:ind w:firstLine="720"/>
        <w:rPr>
          <w:rFonts w:ascii="宋体" w:hAnsi="宋体" w:cs="仿宋_GB2312"/>
          <w:bCs/>
          <w:color w:val="auto"/>
          <w:sz w:val="32"/>
          <w:szCs w:val="32"/>
          <w:highlight w:val="none"/>
        </w:rPr>
      </w:pPr>
    </w:p>
    <w:p w14:paraId="6776AC59">
      <w:pPr>
        <w:pStyle w:val="198"/>
        <w:spacing w:before="50"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95408DC">
      <w:pPr>
        <w:pStyle w:val="198"/>
        <w:spacing w:before="50" w:after="50"/>
        <w:ind w:firstLine="640"/>
        <w:rPr>
          <w:rFonts w:ascii="宋体" w:hAnsi="宋体" w:cs="仿宋_GB2312"/>
          <w:bCs/>
          <w:color w:val="auto"/>
          <w:sz w:val="32"/>
          <w:szCs w:val="32"/>
          <w:highlight w:val="none"/>
        </w:rPr>
      </w:pPr>
    </w:p>
    <w:p w14:paraId="6665D955">
      <w:pPr>
        <w:pStyle w:val="198"/>
        <w:spacing w:before="50" w:after="50"/>
        <w:ind w:firstLine="720"/>
        <w:rPr>
          <w:rFonts w:ascii="宋体" w:hAnsi="宋体" w:cs="仿宋_GB2312"/>
          <w:bCs/>
          <w:color w:val="auto"/>
          <w:sz w:val="32"/>
          <w:szCs w:val="32"/>
          <w:highlight w:val="none"/>
        </w:rPr>
      </w:pPr>
    </w:p>
    <w:p w14:paraId="205B6AFA">
      <w:pPr>
        <w:pStyle w:val="198"/>
        <w:spacing w:before="50" w:after="50"/>
        <w:ind w:firstLine="0"/>
        <w:rPr>
          <w:rFonts w:ascii="宋体" w:hAnsi="宋体" w:cs="仿宋_GB2312"/>
          <w:bCs/>
          <w:color w:val="auto"/>
          <w:sz w:val="32"/>
          <w:szCs w:val="32"/>
          <w:highlight w:val="none"/>
        </w:rPr>
      </w:pPr>
    </w:p>
    <w:p w14:paraId="5632569E">
      <w:pPr>
        <w:pStyle w:val="198"/>
        <w:spacing w:before="50" w:after="50"/>
        <w:ind w:firstLine="1280"/>
        <w:rPr>
          <w:rFonts w:ascii="宋体" w:hAnsi="宋体" w:cs="仿宋_GB2312"/>
          <w:bCs/>
          <w:color w:val="auto"/>
          <w:sz w:val="32"/>
          <w:szCs w:val="32"/>
          <w:highlight w:val="none"/>
        </w:rPr>
      </w:pPr>
    </w:p>
    <w:p w14:paraId="7DEF161E">
      <w:pPr>
        <w:spacing w:before="12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56E3052">
      <w:pPr>
        <w:spacing w:before="120"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clear="all"/>
      </w:r>
      <w:r>
        <w:rPr>
          <w:rFonts w:hint="eastAsia" w:ascii="宋体" w:hAnsi="宋体"/>
          <w:b/>
          <w:bCs/>
          <w:color w:val="auto"/>
          <w:sz w:val="32"/>
          <w:szCs w:val="32"/>
          <w:highlight w:val="none"/>
        </w:rPr>
        <w:t>2.报价文件目录</w:t>
      </w:r>
    </w:p>
    <w:p w14:paraId="1DE75CA3">
      <w:pPr>
        <w:tabs>
          <w:tab w:val="left" w:pos="3479"/>
        </w:tabs>
        <w:spacing w:line="520" w:lineRule="exact"/>
        <w:jc w:val="left"/>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144D2A8C">
      <w:pPr>
        <w:tabs>
          <w:tab w:val="left" w:pos="3479"/>
        </w:tabs>
        <w:spacing w:line="520" w:lineRule="exact"/>
        <w:jc w:val="center"/>
        <w:rPr>
          <w:rFonts w:ascii="方正小标宋简体" w:hAnsi="方正小标宋简体" w:eastAsia="方正小标宋简体" w:cs="方正小标宋简体"/>
          <w:bCs/>
          <w:color w:val="auto"/>
          <w:sz w:val="32"/>
          <w:szCs w:val="32"/>
          <w:highlight w:val="none"/>
        </w:rPr>
      </w:pPr>
      <w:r>
        <w:rPr>
          <w:rFonts w:hint="eastAsia" w:ascii="宋体" w:hAnsi="宋体"/>
          <w:color w:val="auto"/>
          <w:szCs w:val="21"/>
          <w:highlight w:val="none"/>
        </w:rPr>
        <w:br w:type="page" w:clear="all"/>
      </w:r>
      <w:r>
        <w:rPr>
          <w:rFonts w:hint="eastAsia" w:ascii="方正小标宋简体" w:hAnsi="方正小标宋简体" w:eastAsia="方正小标宋简体" w:cs="方正小标宋简体"/>
          <w:bCs/>
          <w:color w:val="auto"/>
          <w:sz w:val="44"/>
          <w:szCs w:val="44"/>
          <w:highlight w:val="none"/>
        </w:rPr>
        <w:t>竞  标  报  价  表</w:t>
      </w:r>
    </w:p>
    <w:p w14:paraId="4D74A69B">
      <w:pPr>
        <w:spacing w:line="520" w:lineRule="exact"/>
        <w:jc w:val="center"/>
        <w:rPr>
          <w:rFonts w:ascii="方正小标宋简体" w:hAnsi="方正小标宋简体" w:eastAsia="方正小标宋简体" w:cs="方正小标宋简体"/>
          <w:bCs/>
          <w:color w:val="auto"/>
          <w:sz w:val="32"/>
          <w:szCs w:val="32"/>
          <w:highlight w:val="none"/>
        </w:rPr>
      </w:pPr>
    </w:p>
    <w:p w14:paraId="3EFE4BEF">
      <w:pPr>
        <w:spacing w:before="50" w:after="50" w:line="360" w:lineRule="auto"/>
        <w:rPr>
          <w:rFonts w:ascii="宋体" w:hAnsi="宋体" w:cs="仿宋_GB2312"/>
          <w:color w:val="auto"/>
          <w:sz w:val="24"/>
          <w:highlight w:val="none"/>
        </w:rPr>
      </w:pPr>
      <w:bookmarkStart w:id="85" w:name="_Hlk48036220"/>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分标（如有）：</w:t>
      </w:r>
      <w:r>
        <w:rPr>
          <w:rFonts w:hint="eastAsia" w:ascii="宋体" w:hAnsi="宋体" w:cs="仿宋_GB2312"/>
          <w:color w:val="auto"/>
          <w:sz w:val="24"/>
          <w:highlight w:val="none"/>
          <w:u w:val="single"/>
        </w:rPr>
        <w:t xml:space="preserve">            </w:t>
      </w:r>
    </w:p>
    <w:p w14:paraId="6C93BBC4">
      <w:pPr>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25E7A9F">
      <w:pPr>
        <w:spacing w:before="50" w:after="50" w:line="360" w:lineRule="auto"/>
        <w:ind w:firstLine="5520"/>
        <w:rPr>
          <w:rFonts w:ascii="宋体" w:hAnsi="宋体" w:cs="仿宋_GB2312"/>
          <w:color w:val="auto"/>
          <w:sz w:val="24"/>
          <w:highlight w:val="none"/>
        </w:rPr>
      </w:pPr>
      <w:r>
        <w:rPr>
          <w:rFonts w:hint="eastAsia" w:ascii="宋体" w:hAnsi="宋体" w:cs="仿宋_GB2312"/>
          <w:color w:val="auto"/>
          <w:sz w:val="24"/>
          <w:highlight w:val="none"/>
        </w:rPr>
        <w:t>单位：元</w:t>
      </w:r>
    </w:p>
    <w:tbl>
      <w:tblPr>
        <w:tblStyle w:val="31"/>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5390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189FEA6E">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6E8003B7">
            <w:pPr>
              <w:spacing w:line="360" w:lineRule="auto"/>
              <w:jc w:val="center"/>
              <w:rPr>
                <w:rFonts w:ascii="宋体" w:hAnsi="宋体" w:cs="仿宋_GB2312"/>
                <w:color w:val="auto"/>
                <w:sz w:val="24"/>
                <w:highlight w:val="none"/>
              </w:rPr>
            </w:pPr>
            <w:r>
              <w:rPr>
                <w:rFonts w:hint="eastAsia" w:ascii="宋体" w:hAnsi="宋体"/>
                <w:b/>
                <w:color w:val="auto"/>
                <w:sz w:val="24"/>
                <w:highlight w:val="none"/>
              </w:rPr>
              <w:t>标的的名称</w:t>
            </w:r>
          </w:p>
        </w:tc>
        <w:tc>
          <w:tcPr>
            <w:tcW w:w="617" w:type="dxa"/>
            <w:tcBorders>
              <w:top w:val="single" w:color="auto" w:sz="4" w:space="0"/>
              <w:left w:val="single" w:color="auto" w:sz="4" w:space="0"/>
              <w:bottom w:val="single" w:color="auto" w:sz="4" w:space="0"/>
              <w:right w:val="single" w:color="auto" w:sz="4" w:space="0"/>
            </w:tcBorders>
            <w:vAlign w:val="center"/>
          </w:tcPr>
          <w:p w14:paraId="7E5B663D">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617" w:type="dxa"/>
            <w:tcBorders>
              <w:top w:val="single" w:color="auto" w:sz="4" w:space="0"/>
              <w:left w:val="single" w:color="auto" w:sz="4" w:space="0"/>
              <w:bottom w:val="single" w:color="auto" w:sz="4" w:space="0"/>
              <w:right w:val="single" w:color="auto" w:sz="4" w:space="0"/>
            </w:tcBorders>
            <w:vAlign w:val="center"/>
          </w:tcPr>
          <w:p w14:paraId="7D7C82D3">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2194" w:type="dxa"/>
            <w:tcBorders>
              <w:top w:val="single" w:color="auto" w:sz="4" w:space="0"/>
              <w:left w:val="single" w:color="auto" w:sz="4" w:space="0"/>
              <w:bottom w:val="single" w:color="auto" w:sz="4" w:space="0"/>
              <w:right w:val="single" w:color="auto" w:sz="4" w:space="0"/>
            </w:tcBorders>
            <w:vAlign w:val="center"/>
          </w:tcPr>
          <w:p w14:paraId="431888C3">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530C5C30">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415162EF">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46A8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9F0F3EB">
            <w:pPr>
              <w:spacing w:line="360" w:lineRule="auto"/>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1B9D8362">
            <w:pPr>
              <w:spacing w:line="360" w:lineRule="auto"/>
              <w:jc w:val="center"/>
              <w:rPr>
                <w:rFonts w:ascii="宋体" w:hAnsi="宋体" w:cs="仿宋_GB2312"/>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vAlign w:val="center"/>
          </w:tcPr>
          <w:p w14:paraId="13B91AEF">
            <w:pPr>
              <w:spacing w:line="360" w:lineRule="auto"/>
              <w:jc w:val="center"/>
              <w:rPr>
                <w:rFonts w:ascii="宋体" w:hAnsi="宋体" w:cs="仿宋_GB2312"/>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tcPr>
          <w:p w14:paraId="12C15667">
            <w:pPr>
              <w:spacing w:line="360" w:lineRule="auto"/>
              <w:rPr>
                <w:rFonts w:ascii="宋体" w:hAnsi="宋体" w:cs="仿宋_GB2312"/>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tcPr>
          <w:p w14:paraId="12C1BF36">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tcPr>
          <w:p w14:paraId="7DEB3C79">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780762DC">
            <w:pPr>
              <w:spacing w:line="360" w:lineRule="auto"/>
              <w:rPr>
                <w:rFonts w:ascii="宋体" w:hAnsi="宋体" w:cs="仿宋_GB2312"/>
                <w:color w:val="auto"/>
                <w:sz w:val="24"/>
                <w:highlight w:val="none"/>
              </w:rPr>
            </w:pPr>
          </w:p>
        </w:tc>
      </w:tr>
      <w:tr w14:paraId="7D05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4EAD2969">
            <w:pPr>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3AE0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61016E13">
            <w:pPr>
              <w:spacing w:before="50" w:after="50" w:line="360" w:lineRule="auto"/>
              <w:rPr>
                <w:rFonts w:ascii="宋体" w:hAnsi="宋体" w:cs="仿宋_GB2312"/>
                <w:i/>
                <w:color w:val="auto"/>
                <w:sz w:val="24"/>
                <w:highlight w:val="none"/>
              </w:rPr>
            </w:pPr>
            <w:r>
              <w:rPr>
                <w:rFonts w:hint="eastAsia" w:ascii="宋体" w:hAnsi="宋体" w:cs="仿宋_GB2312"/>
                <w:iCs/>
                <w:color w:val="auto"/>
                <w:sz w:val="24"/>
                <w:highlight w:val="none"/>
                <w:u w:val="single"/>
              </w:rPr>
              <w:t>响应产品中，属于本国产品总值为¥       （具体明细详见附表，附表格式自拟），占响应产品的比例为    %。</w:t>
            </w:r>
          </w:p>
        </w:tc>
      </w:tr>
    </w:tbl>
    <w:p w14:paraId="525B1986">
      <w:pPr>
        <w:spacing w:before="50" w:after="50" w:line="360" w:lineRule="auto"/>
        <w:ind w:firstLine="5520"/>
        <w:rPr>
          <w:rFonts w:ascii="宋体" w:hAnsi="宋体" w:cs="仿宋_GB2312"/>
          <w:color w:val="auto"/>
          <w:sz w:val="24"/>
          <w:highlight w:val="none"/>
        </w:rPr>
      </w:pPr>
    </w:p>
    <w:p w14:paraId="67EA806B">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33EAB462">
      <w:pPr>
        <w:spacing w:line="360" w:lineRule="auto"/>
        <w:ind w:firstLine="480"/>
        <w:contextualSpacing/>
        <w:jc w:val="left"/>
        <w:rPr>
          <w:rFonts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10B7F0EF">
      <w:pPr>
        <w:spacing w:line="360" w:lineRule="auto"/>
        <w:ind w:firstLine="48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14875693">
      <w:pPr>
        <w:spacing w:line="360" w:lineRule="auto"/>
        <w:ind w:firstLine="480"/>
        <w:contextualSpacing/>
        <w:jc w:val="left"/>
        <w:rPr>
          <w:rFonts w:ascii="宋体" w:hAnsi="宋体" w:cs="仿宋_GB2312"/>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 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7E23A7AD">
      <w:pPr>
        <w:spacing w:line="360" w:lineRule="auto"/>
        <w:ind w:firstLine="480"/>
        <w:contextualSpacing/>
        <w:jc w:val="left"/>
        <w:rPr>
          <w:rFonts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60531433">
      <w:pPr>
        <w:spacing w:line="360" w:lineRule="auto"/>
        <w:ind w:firstLine="480"/>
        <w:contextualSpacing/>
        <w:rPr>
          <w:rFonts w:ascii="宋体" w:hAnsi="宋体" w:cs="仿宋_GB2312"/>
          <w:b/>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 xml:space="preserve"> 如有多分标，分别列明各分标的报价表，</w:t>
      </w:r>
      <w:r>
        <w:rPr>
          <w:rFonts w:hint="eastAsia" w:ascii="宋体" w:hAnsi="宋体" w:cs="仿宋_GB2312"/>
          <w:b/>
          <w:color w:val="auto"/>
          <w:spacing w:val="-6"/>
          <w:sz w:val="24"/>
          <w:highlight w:val="none"/>
        </w:rPr>
        <w:t>否则其响应文件按无效处理。</w:t>
      </w:r>
    </w:p>
    <w:p w14:paraId="5139E954">
      <w:pPr>
        <w:spacing w:line="360" w:lineRule="auto"/>
        <w:ind w:right="-817" w:firstLine="2640"/>
        <w:contextualSpacing/>
        <w:rPr>
          <w:rFonts w:ascii="宋体" w:hAnsi="宋体" w:cs="仿宋_GB2312"/>
          <w:color w:val="auto"/>
          <w:sz w:val="24"/>
          <w:highlight w:val="none"/>
        </w:rPr>
      </w:pPr>
    </w:p>
    <w:p w14:paraId="6BDE1C61">
      <w:pPr>
        <w:spacing w:line="360" w:lineRule="auto"/>
        <w:ind w:right="-817" w:firstLine="264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5FD1EF47">
      <w:pPr>
        <w:spacing w:line="360" w:lineRule="auto"/>
        <w:ind w:right="-817" w:firstLine="264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518AAFE6">
      <w:pPr>
        <w:tabs>
          <w:tab w:val="left" w:pos="3479"/>
        </w:tabs>
        <w:spacing w:line="520" w:lineRule="exact"/>
        <w:jc w:val="center"/>
        <w:rPr>
          <w:rFonts w:ascii="宋体" w:hAnsi="宋体" w:cs="仿宋_GB2312"/>
          <w:color w:val="auto"/>
          <w:sz w:val="24"/>
          <w:highlight w:val="none"/>
        </w:rPr>
      </w:pPr>
      <w:r>
        <w:rPr>
          <w:rFonts w:hint="eastAsia" w:ascii="宋体" w:hAnsi="宋体" w:cs="仿宋_GB2312"/>
          <w:color w:val="auto"/>
          <w:sz w:val="24"/>
          <w:highlight w:val="none"/>
        </w:rPr>
        <w:t>日期：   年   月   日</w:t>
      </w:r>
      <w:bookmarkEnd w:id="85"/>
    </w:p>
    <w:p w14:paraId="2426248B">
      <w:pPr>
        <w:tabs>
          <w:tab w:val="left" w:pos="3479"/>
        </w:tabs>
        <w:spacing w:line="520" w:lineRule="exact"/>
        <w:jc w:val="left"/>
        <w:rPr>
          <w:rFonts w:ascii="宋体" w:hAnsi="宋体"/>
          <w:b/>
          <w:color w:val="auto"/>
          <w:sz w:val="32"/>
          <w:szCs w:val="32"/>
          <w:highlight w:val="none"/>
        </w:rPr>
      </w:pPr>
      <w:r>
        <w:rPr>
          <w:rFonts w:ascii="宋体" w:hAnsi="宋体"/>
          <w:b/>
          <w:bCs/>
          <w:color w:val="auto"/>
          <w:sz w:val="32"/>
          <w:szCs w:val="32"/>
          <w:highlight w:val="none"/>
        </w:rPr>
        <w:br w:type="page" w:clear="all"/>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5BBDAF92">
      <w:pPr>
        <w:spacing w:before="12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2E1BD678">
      <w:pPr>
        <w:spacing w:before="120" w:after="50"/>
        <w:rPr>
          <w:rFonts w:ascii="宋体" w:hAnsi="宋体"/>
          <w:bCs/>
          <w:color w:val="auto"/>
          <w:sz w:val="32"/>
          <w:szCs w:val="20"/>
          <w:highlight w:val="none"/>
        </w:rPr>
      </w:pPr>
      <w:r>
        <w:rPr>
          <w:rFonts w:hint="eastAsia" w:ascii="宋体" w:hAnsi="宋体"/>
          <w:color w:val="auto"/>
          <w:sz w:val="24"/>
          <w:highlight w:val="none"/>
        </w:rPr>
        <w:t xml:space="preserve">                                                    </w:t>
      </w:r>
    </w:p>
    <w:p w14:paraId="0DF2BE8B">
      <w:pPr>
        <w:spacing w:before="12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74C16C4A">
      <w:pPr>
        <w:spacing w:before="120" w:after="50"/>
        <w:rPr>
          <w:rFonts w:ascii="宋体" w:hAnsi="宋体"/>
          <w:color w:val="auto"/>
          <w:sz w:val="24"/>
          <w:szCs w:val="20"/>
          <w:highlight w:val="none"/>
        </w:rPr>
      </w:pPr>
    </w:p>
    <w:p w14:paraId="27AC4C4D">
      <w:pPr>
        <w:spacing w:before="120" w:after="50"/>
        <w:rPr>
          <w:rFonts w:ascii="宋体" w:hAnsi="宋体"/>
          <w:color w:val="auto"/>
          <w:sz w:val="24"/>
          <w:szCs w:val="20"/>
          <w:highlight w:val="none"/>
        </w:rPr>
      </w:pPr>
    </w:p>
    <w:p w14:paraId="5CC455D8">
      <w:pPr>
        <w:spacing w:before="12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075A92B2">
      <w:pPr>
        <w:spacing w:before="120" w:after="50"/>
        <w:rPr>
          <w:rFonts w:ascii="宋体" w:hAnsi="宋体"/>
          <w:bCs/>
          <w:color w:val="auto"/>
          <w:sz w:val="24"/>
          <w:szCs w:val="20"/>
          <w:highlight w:val="none"/>
        </w:rPr>
      </w:pPr>
    </w:p>
    <w:p w14:paraId="2ABD5B2E">
      <w:pPr>
        <w:spacing w:before="120" w:after="50"/>
        <w:rPr>
          <w:rFonts w:ascii="宋体" w:hAnsi="宋体"/>
          <w:bCs/>
          <w:color w:val="auto"/>
          <w:sz w:val="24"/>
          <w:szCs w:val="20"/>
          <w:highlight w:val="none"/>
        </w:rPr>
      </w:pPr>
    </w:p>
    <w:p w14:paraId="2047C813">
      <w:pPr>
        <w:spacing w:before="120" w:after="50"/>
        <w:rPr>
          <w:rFonts w:ascii="宋体" w:hAnsi="宋体"/>
          <w:bCs/>
          <w:color w:val="auto"/>
          <w:sz w:val="24"/>
          <w:szCs w:val="20"/>
          <w:highlight w:val="none"/>
        </w:rPr>
      </w:pPr>
    </w:p>
    <w:p w14:paraId="2311C1D3">
      <w:pPr>
        <w:spacing w:before="120" w:after="50"/>
        <w:rPr>
          <w:rFonts w:ascii="宋体" w:hAnsi="宋体"/>
          <w:bCs/>
          <w:color w:val="auto"/>
          <w:sz w:val="24"/>
          <w:szCs w:val="20"/>
          <w:highlight w:val="none"/>
        </w:rPr>
      </w:pPr>
    </w:p>
    <w:p w14:paraId="3EB98FF4">
      <w:pPr>
        <w:spacing w:before="120" w:after="50"/>
        <w:rPr>
          <w:rFonts w:ascii="宋体" w:hAnsi="宋体"/>
          <w:bCs/>
          <w:color w:val="auto"/>
          <w:sz w:val="24"/>
          <w:szCs w:val="20"/>
          <w:highlight w:val="none"/>
        </w:rPr>
      </w:pPr>
    </w:p>
    <w:p w14:paraId="4E1FE703">
      <w:pPr>
        <w:spacing w:before="120"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CA96B23">
      <w:pPr>
        <w:spacing w:before="120" w:after="50"/>
        <w:ind w:firstLine="720"/>
        <w:rPr>
          <w:rFonts w:ascii="宋体" w:hAnsi="宋体" w:cs="仿宋_GB2312"/>
          <w:bCs/>
          <w:color w:val="auto"/>
          <w:sz w:val="32"/>
          <w:szCs w:val="32"/>
          <w:highlight w:val="none"/>
        </w:rPr>
      </w:pPr>
    </w:p>
    <w:p w14:paraId="39AD9A7F">
      <w:pPr>
        <w:spacing w:before="120"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4B59BAC">
      <w:pPr>
        <w:spacing w:before="120" w:after="50"/>
        <w:ind w:firstLine="72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2A93D4B2">
      <w:pPr>
        <w:spacing w:before="120"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E530CCE">
      <w:pPr>
        <w:spacing w:before="120" w:after="50"/>
        <w:ind w:firstLine="720"/>
        <w:rPr>
          <w:rFonts w:ascii="宋体" w:hAnsi="宋体" w:cs="仿宋_GB2312"/>
          <w:bCs/>
          <w:color w:val="auto"/>
          <w:sz w:val="32"/>
          <w:szCs w:val="32"/>
          <w:highlight w:val="none"/>
        </w:rPr>
      </w:pPr>
    </w:p>
    <w:p w14:paraId="604CA3A0">
      <w:pPr>
        <w:pStyle w:val="198"/>
        <w:spacing w:before="50" w:after="50"/>
        <w:ind w:firstLine="64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10EB7AB">
      <w:pPr>
        <w:pStyle w:val="198"/>
        <w:spacing w:before="50" w:after="50"/>
        <w:ind w:firstLine="640"/>
        <w:rPr>
          <w:rFonts w:ascii="宋体" w:hAnsi="宋体" w:cs="仿宋_GB2312"/>
          <w:bCs/>
          <w:color w:val="auto"/>
          <w:sz w:val="32"/>
          <w:szCs w:val="32"/>
          <w:highlight w:val="none"/>
        </w:rPr>
      </w:pPr>
    </w:p>
    <w:p w14:paraId="5DD3A070">
      <w:pPr>
        <w:pStyle w:val="198"/>
        <w:spacing w:before="50" w:after="50"/>
        <w:ind w:firstLine="720"/>
        <w:rPr>
          <w:rFonts w:ascii="宋体" w:hAnsi="宋体" w:cs="仿宋_GB2312"/>
          <w:bCs/>
          <w:color w:val="auto"/>
          <w:sz w:val="32"/>
          <w:szCs w:val="32"/>
          <w:highlight w:val="none"/>
        </w:rPr>
      </w:pPr>
    </w:p>
    <w:p w14:paraId="08B57C3B">
      <w:pPr>
        <w:pStyle w:val="198"/>
        <w:spacing w:before="50" w:after="50"/>
        <w:ind w:firstLine="0"/>
        <w:rPr>
          <w:rFonts w:ascii="宋体" w:hAnsi="宋体" w:cs="仿宋_GB2312"/>
          <w:bCs/>
          <w:color w:val="auto"/>
          <w:sz w:val="32"/>
          <w:szCs w:val="32"/>
          <w:highlight w:val="none"/>
        </w:rPr>
      </w:pPr>
    </w:p>
    <w:p w14:paraId="4568268C">
      <w:pPr>
        <w:pStyle w:val="198"/>
        <w:spacing w:before="50" w:after="50"/>
        <w:ind w:firstLine="1280"/>
        <w:rPr>
          <w:rFonts w:ascii="宋体" w:hAnsi="宋体" w:cs="仿宋_GB2312"/>
          <w:bCs/>
          <w:color w:val="auto"/>
          <w:sz w:val="32"/>
          <w:szCs w:val="32"/>
          <w:highlight w:val="none"/>
        </w:rPr>
      </w:pPr>
    </w:p>
    <w:p w14:paraId="5427604D">
      <w:pPr>
        <w:spacing w:before="12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D284D2C">
      <w:pPr>
        <w:spacing w:before="120" w:after="50" w:line="360" w:lineRule="auto"/>
        <w:ind w:left="142"/>
        <w:jc w:val="left"/>
        <w:rPr>
          <w:rFonts w:ascii="宋体" w:hAnsi="宋体"/>
          <w:b/>
          <w:bCs/>
          <w:color w:val="auto"/>
          <w:sz w:val="24"/>
          <w:highlight w:val="none"/>
        </w:rPr>
      </w:pPr>
      <w:r>
        <w:rPr>
          <w:rFonts w:hint="eastAsia" w:ascii="宋体" w:hAnsi="宋体"/>
          <w:color w:val="auto"/>
          <w:sz w:val="24"/>
          <w:highlight w:val="none"/>
        </w:rPr>
        <w:br w:type="page" w:clear="all"/>
      </w:r>
      <w:r>
        <w:rPr>
          <w:rFonts w:hint="eastAsia" w:ascii="宋体" w:hAnsi="宋体"/>
          <w:b/>
          <w:bCs/>
          <w:color w:val="auto"/>
          <w:sz w:val="32"/>
          <w:szCs w:val="32"/>
          <w:highlight w:val="none"/>
        </w:rPr>
        <w:t>2.商务技术文件目录</w:t>
      </w:r>
    </w:p>
    <w:p w14:paraId="495BE8AF">
      <w:pPr>
        <w:spacing w:before="120" w:after="50" w:line="360" w:lineRule="auto"/>
        <w:ind w:firstLine="64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1FA3BE08">
      <w:pPr>
        <w:spacing w:line="400" w:lineRule="exact"/>
        <w:rPr>
          <w:rFonts w:ascii="仿宋_GB2312" w:hAnsi="仿宋_GB2312" w:eastAsia="仿宋_GB2312" w:cs="仿宋_GB2312"/>
          <w:color w:val="auto"/>
          <w:sz w:val="32"/>
          <w:szCs w:val="32"/>
          <w:highlight w:val="none"/>
        </w:rPr>
      </w:pPr>
    </w:p>
    <w:p w14:paraId="0491621D">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clear="all"/>
      </w:r>
      <w:r>
        <w:rPr>
          <w:rFonts w:hint="eastAsia" w:ascii="方正小标宋简体" w:hAnsi="方正小标宋简体" w:eastAsia="方正小标宋简体" w:cs="方正小标宋简体"/>
          <w:color w:val="auto"/>
          <w:sz w:val="44"/>
          <w:szCs w:val="44"/>
          <w:highlight w:val="none"/>
        </w:rPr>
        <w:t>无串通竞标行为的承诺函</w:t>
      </w:r>
    </w:p>
    <w:p w14:paraId="78B2C85D">
      <w:pPr>
        <w:spacing w:line="360" w:lineRule="auto"/>
        <w:ind w:firstLine="640"/>
        <w:rPr>
          <w:rFonts w:ascii="仿宋_GB2312" w:hAnsi="仿宋_GB2312" w:eastAsia="仿宋_GB2312" w:cs="仿宋_GB2312"/>
          <w:color w:val="auto"/>
          <w:sz w:val="32"/>
          <w:szCs w:val="32"/>
          <w:highlight w:val="none"/>
        </w:rPr>
      </w:pPr>
    </w:p>
    <w:p w14:paraId="2DF8ED75">
      <w:pPr>
        <w:spacing w:line="360" w:lineRule="auto"/>
        <w:ind w:firstLine="482"/>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36C307C4">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r>
        <w:rPr>
          <w:rFonts w:hint="eastAsia" w:ascii="宋体" w:hAnsi="宋体"/>
          <w:color w:val="auto"/>
          <w:sz w:val="24"/>
          <w:highlight w:val="none"/>
        </w:rPr>
        <w:t xml:space="preserve">或不同供应商报名的IP地址一致的；或不同供应商竞标设备信息（包括但不限于：IP地址、MAC地址、硬盘号、主板号）一致的； </w:t>
      </w:r>
    </w:p>
    <w:p w14:paraId="4E652435">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3D8DF0DC">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0F4EE396">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0BBCDFD2">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5D761B29">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14:paraId="10878B01">
      <w:pPr>
        <w:spacing w:line="360" w:lineRule="auto"/>
        <w:ind w:firstLine="482"/>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138F60AD">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5BA993DF">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5C60EF5D">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0BE6983D">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24C06878">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337A9DF1">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4A59BE8E">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2CB30DDD">
      <w:pPr>
        <w:spacing w:line="360" w:lineRule="auto"/>
        <w:ind w:firstLine="480"/>
        <w:rPr>
          <w:rFonts w:ascii="宋体" w:hAnsi="宋体" w:cs="仿宋_GB2312"/>
          <w:color w:val="auto"/>
          <w:sz w:val="24"/>
          <w:highlight w:val="none"/>
        </w:rPr>
      </w:pPr>
    </w:p>
    <w:p w14:paraId="3D62C8E5">
      <w:pPr>
        <w:spacing w:line="360" w:lineRule="auto"/>
        <w:ind w:firstLine="482"/>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1826AE6B">
      <w:pPr>
        <w:spacing w:line="360" w:lineRule="auto"/>
        <w:ind w:firstLine="480"/>
        <w:rPr>
          <w:rFonts w:ascii="宋体" w:hAnsi="宋体" w:cs="仿宋_GB2312"/>
          <w:color w:val="auto"/>
          <w:sz w:val="24"/>
          <w:highlight w:val="none"/>
        </w:rPr>
      </w:pPr>
    </w:p>
    <w:p w14:paraId="5256BB9F">
      <w:pPr>
        <w:spacing w:line="360" w:lineRule="auto"/>
        <w:rPr>
          <w:rFonts w:ascii="宋体" w:hAnsi="宋体" w:cs="仿宋_GB2312"/>
          <w:color w:val="auto"/>
          <w:sz w:val="24"/>
          <w:highlight w:val="none"/>
        </w:rPr>
      </w:pPr>
    </w:p>
    <w:p w14:paraId="798A8FD7">
      <w:pPr>
        <w:spacing w:line="360" w:lineRule="auto"/>
        <w:ind w:firstLine="3600"/>
        <w:rPr>
          <w:rFonts w:ascii="宋体" w:hAnsi="宋体" w:cs="仿宋_GB2312"/>
          <w:color w:val="auto"/>
          <w:sz w:val="24"/>
          <w:highlight w:val="none"/>
        </w:rPr>
      </w:pPr>
      <w:r>
        <w:rPr>
          <w:rFonts w:hint="eastAsia" w:ascii="宋体" w:hAnsi="宋体" w:cs="仿宋_GB2312"/>
          <w:color w:val="auto"/>
          <w:sz w:val="24"/>
          <w:highlight w:val="none"/>
        </w:rPr>
        <w:t>供应商名称（电子签章）：</w:t>
      </w:r>
    </w:p>
    <w:p w14:paraId="73618485">
      <w:pPr>
        <w:spacing w:line="360" w:lineRule="auto"/>
        <w:ind w:firstLine="480"/>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0279B49E">
      <w:pPr>
        <w:spacing w:line="360" w:lineRule="auto"/>
        <w:ind w:firstLine="640"/>
        <w:contextualSpacing/>
        <w:jc w:val="center"/>
        <w:rPr>
          <w:rFonts w:ascii="宋体" w:hAnsi="宋体" w:cs="仿宋_GB2312"/>
          <w:color w:val="auto"/>
          <w:sz w:val="32"/>
          <w:szCs w:val="32"/>
          <w:highlight w:val="none"/>
        </w:rPr>
      </w:pPr>
    </w:p>
    <w:p w14:paraId="3D6185E9">
      <w:pPr>
        <w:spacing w:before="240" w:after="120" w:line="520" w:lineRule="exact"/>
        <w:ind w:left="540"/>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7A5FC6E1">
      <w:pPr>
        <w:spacing w:line="360" w:lineRule="auto"/>
        <w:ind w:left="540"/>
        <w:contextualSpacing/>
        <w:rPr>
          <w:rFonts w:ascii="仿宋_GB2312" w:hAnsi="仿宋_GB2312" w:eastAsia="仿宋_GB2312" w:cs="仿宋_GB2312"/>
          <w:color w:val="auto"/>
          <w:sz w:val="32"/>
          <w:szCs w:val="32"/>
          <w:highlight w:val="none"/>
        </w:rPr>
      </w:pPr>
    </w:p>
    <w:p w14:paraId="65DA0C54">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0B5C2712">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1FCD3581">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4333DF7B">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4F4BCE53">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1DA321E3">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0300918A">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4C5CF8DD">
      <w:pPr>
        <w:spacing w:line="360" w:lineRule="auto"/>
        <w:ind w:left="540"/>
        <w:contextualSpacing/>
        <w:rPr>
          <w:rFonts w:ascii="宋体" w:hAnsi="宋体" w:cs="仿宋_GB2312"/>
          <w:color w:val="auto"/>
          <w:sz w:val="24"/>
          <w:highlight w:val="none"/>
        </w:rPr>
      </w:pPr>
    </w:p>
    <w:p w14:paraId="47F8001A">
      <w:pPr>
        <w:spacing w:line="360" w:lineRule="auto"/>
        <w:ind w:left="540"/>
        <w:contextualSpacing/>
        <w:rPr>
          <w:rFonts w:ascii="宋体" w:hAnsi="宋体" w:cs="仿宋_GB2312"/>
          <w:color w:val="auto"/>
          <w:sz w:val="24"/>
          <w:highlight w:val="none"/>
        </w:rPr>
      </w:pPr>
    </w:p>
    <w:p w14:paraId="3EF3F7F2">
      <w:pPr>
        <w:spacing w:line="360" w:lineRule="auto"/>
        <w:ind w:left="540"/>
        <w:contextualSpacing/>
        <w:rPr>
          <w:rFonts w:ascii="宋体" w:hAnsi="宋体" w:cs="仿宋_GB2312"/>
          <w:color w:val="auto"/>
          <w:sz w:val="24"/>
          <w:highlight w:val="none"/>
        </w:rPr>
      </w:pPr>
    </w:p>
    <w:p w14:paraId="07AA22F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0C9C8387">
      <w:pPr>
        <w:spacing w:line="360" w:lineRule="auto"/>
        <w:ind w:left="540"/>
        <w:contextualSpacing/>
        <w:rPr>
          <w:rFonts w:ascii="宋体" w:hAnsi="宋体" w:cs="仿宋_GB2312"/>
          <w:color w:val="auto"/>
          <w:sz w:val="24"/>
          <w:highlight w:val="none"/>
        </w:rPr>
      </w:pPr>
    </w:p>
    <w:p w14:paraId="264553A7">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5467752A">
      <w:pPr>
        <w:spacing w:line="360" w:lineRule="auto"/>
        <w:ind w:firstLine="408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23B6C3BF">
      <w:pPr>
        <w:spacing w:line="360" w:lineRule="auto"/>
        <w:contextualSpacing/>
        <w:jc w:val="center"/>
        <w:rPr>
          <w:rFonts w:ascii="宋体" w:hAnsi="宋体" w:cs="仿宋_GB2312"/>
          <w:b/>
          <w:color w:val="auto"/>
          <w:sz w:val="24"/>
          <w:highlight w:val="none"/>
        </w:rPr>
      </w:pPr>
    </w:p>
    <w:p w14:paraId="550702F1">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6859A033">
      <w:pPr>
        <w:spacing w:line="300" w:lineRule="auto"/>
        <w:jc w:val="left"/>
        <w:rPr>
          <w:rFonts w:ascii="宋体" w:hAnsi="宋体"/>
          <w:b/>
          <w:color w:val="auto"/>
          <w:szCs w:val="21"/>
          <w:highlight w:val="none"/>
        </w:rPr>
      </w:pPr>
    </w:p>
    <w:p w14:paraId="4E19879B">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clear="all"/>
      </w:r>
      <w:r>
        <w:rPr>
          <w:rFonts w:hint="eastAsia" w:ascii="方正小标宋简体" w:hAnsi="方正小标宋简体" w:eastAsia="方正小标宋简体" w:cs="方正小标宋简体"/>
          <w:color w:val="auto"/>
          <w:sz w:val="44"/>
          <w:szCs w:val="44"/>
          <w:highlight w:val="none"/>
        </w:rPr>
        <w:t>授权委托书</w:t>
      </w:r>
    </w:p>
    <w:p w14:paraId="3B005FCF">
      <w:pPr>
        <w:spacing w:line="52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62531D85">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1D6DEE3A">
      <w:pPr>
        <w:spacing w:line="520" w:lineRule="exact"/>
        <w:rPr>
          <w:rFonts w:ascii="仿宋_GB2312" w:hAnsi="仿宋_GB2312" w:eastAsia="仿宋_GB2312" w:cs="仿宋_GB2312"/>
          <w:color w:val="auto"/>
          <w:sz w:val="32"/>
          <w:szCs w:val="32"/>
          <w:highlight w:val="none"/>
        </w:rPr>
      </w:pPr>
    </w:p>
    <w:p w14:paraId="7DCCC4FF">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61BC68B6">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ascii="Wingdings 2" w:hAnsi="Wingdings 2" w:eastAsia="Wingdings 2" w:cs="Wingdings 2"/>
          <w:color w:val="auto"/>
          <w:sz w:val="24"/>
          <w:highlight w:val="none"/>
          <w:u w:val="single"/>
        </w:rPr>
        <w:t></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096E6443">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16FA103A">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0FE52079">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6EF5F677">
      <w:pPr>
        <w:spacing w:line="360" w:lineRule="auto"/>
        <w:ind w:firstLine="48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21598172">
      <w:pPr>
        <w:spacing w:line="360" w:lineRule="auto"/>
        <w:rPr>
          <w:rFonts w:ascii="宋体" w:hAnsi="宋体" w:cs="仿宋_GB2312"/>
          <w:color w:val="auto"/>
          <w:sz w:val="24"/>
          <w:highlight w:val="none"/>
        </w:rPr>
      </w:pPr>
    </w:p>
    <w:p w14:paraId="68D4AAA9">
      <w:pPr>
        <w:spacing w:line="360" w:lineRule="auto"/>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69DEEE08">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26A10E5D">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178134E5">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3A7A0748">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319C8251">
      <w:pPr>
        <w:spacing w:line="360" w:lineRule="auto"/>
        <w:rPr>
          <w:rFonts w:ascii="宋体" w:hAnsi="宋体" w:cs="仿宋_GB2312"/>
          <w:color w:val="auto"/>
          <w:sz w:val="24"/>
          <w:highlight w:val="none"/>
        </w:rPr>
      </w:pPr>
    </w:p>
    <w:p w14:paraId="4429B508">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345D0049">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2.法人、其他组织竞标时“我方”是指“我单位”，自然人竞标时“我方”是指“本人”。</w:t>
      </w:r>
    </w:p>
    <w:p w14:paraId="0D38BE4A">
      <w:pPr>
        <w:spacing w:line="500" w:lineRule="exact"/>
        <w:contextualSpacing/>
        <w:jc w:val="center"/>
        <w:rPr>
          <w:rFonts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clear="all"/>
      </w:r>
      <w:r>
        <w:rPr>
          <w:rFonts w:hint="eastAsia" w:ascii="方正小标宋简体" w:hAnsi="方正小标宋简体" w:eastAsia="方正小标宋简体" w:cs="方正小标宋简体"/>
          <w:bCs/>
          <w:color w:val="auto"/>
          <w:sz w:val="44"/>
          <w:szCs w:val="44"/>
          <w:highlight w:val="none"/>
        </w:rPr>
        <w:t>商务要求偏离表格式</w:t>
      </w:r>
    </w:p>
    <w:p w14:paraId="351ABF5F">
      <w:pPr>
        <w:spacing w:line="500" w:lineRule="exact"/>
        <w:contextualSpacing/>
        <w:jc w:val="center"/>
        <w:rPr>
          <w:rFonts w:ascii="宋体" w:hAnsi="宋体"/>
          <w:b/>
          <w:i/>
          <w:color w:val="auto"/>
          <w:sz w:val="32"/>
          <w:szCs w:val="32"/>
          <w:highlight w:val="none"/>
        </w:rPr>
      </w:pPr>
    </w:p>
    <w:p w14:paraId="1DC31E18">
      <w:pPr>
        <w:spacing w:line="360" w:lineRule="auto"/>
        <w:contextualSpacing/>
        <w:jc w:val="left"/>
        <w:rPr>
          <w:rFonts w:ascii="宋体" w:hAnsi="宋体"/>
          <w:color w:val="auto"/>
          <w:sz w:val="24"/>
          <w:highlight w:val="none"/>
        </w:rPr>
      </w:pPr>
    </w:p>
    <w:p w14:paraId="2248C934">
      <w:pPr>
        <w:pStyle w:val="214"/>
        <w:spacing w:line="360" w:lineRule="auto"/>
        <w:contextualSpacing/>
        <w:rPr>
          <w:rFonts w:hAnsi="宋体" w:cs="仿宋_GB2312"/>
          <w:color w:val="auto"/>
          <w:sz w:val="24"/>
          <w:szCs w:val="24"/>
          <w:highlight w:val="none"/>
        </w:rPr>
      </w:pPr>
      <w:bookmarkStart w:id="86" w:name="_Hlk48036267"/>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tbl>
      <w:tblPr>
        <w:tblStyle w:val="31"/>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917"/>
        <w:gridCol w:w="1545"/>
      </w:tblGrid>
      <w:tr w14:paraId="516AD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5182172A">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4D452AC0">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谈判文件商务要求</w:t>
            </w:r>
          </w:p>
        </w:tc>
        <w:tc>
          <w:tcPr>
            <w:tcW w:w="2917" w:type="dxa"/>
            <w:tcBorders>
              <w:top w:val="single" w:color="auto" w:sz="4" w:space="0"/>
              <w:left w:val="single" w:color="auto" w:sz="4" w:space="0"/>
              <w:bottom w:val="single" w:color="auto" w:sz="4" w:space="0"/>
              <w:right w:val="single" w:color="auto" w:sz="4" w:space="0"/>
            </w:tcBorders>
            <w:vAlign w:val="center"/>
          </w:tcPr>
          <w:p w14:paraId="7927F698">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供应商的响应</w:t>
            </w:r>
          </w:p>
        </w:tc>
        <w:tc>
          <w:tcPr>
            <w:tcW w:w="1545" w:type="dxa"/>
            <w:tcBorders>
              <w:top w:val="single" w:color="auto" w:sz="4" w:space="0"/>
              <w:left w:val="single" w:color="auto" w:sz="4" w:space="0"/>
              <w:bottom w:val="single" w:color="auto" w:sz="4" w:space="0"/>
              <w:right w:val="single" w:color="auto" w:sz="4" w:space="0"/>
            </w:tcBorders>
            <w:vAlign w:val="center"/>
          </w:tcPr>
          <w:p w14:paraId="3B2E9192">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r>
      <w:tr w14:paraId="56349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461BC010">
            <w:pPr>
              <w:jc w:val="center"/>
              <w:rPr>
                <w:rFonts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472FF2CF">
            <w:pPr>
              <w:spacing w:line="360" w:lineRule="auto"/>
              <w:contextualSpacing/>
              <w:jc w:val="center"/>
              <w:rPr>
                <w:rFonts w:ascii="宋体" w:hAnsi="宋体" w:cs="仿宋_GB2312"/>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14:paraId="207FC0EB">
            <w:pPr>
              <w:spacing w:line="360" w:lineRule="auto"/>
              <w:ind w:left="43"/>
              <w:contextualSpacing/>
              <w:jc w:val="center"/>
              <w:rPr>
                <w:rFonts w:ascii="宋体" w:hAnsi="宋体" w:cs="仿宋_GB2312"/>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38F7F611">
            <w:pPr>
              <w:spacing w:line="360" w:lineRule="auto"/>
              <w:ind w:left="43"/>
              <w:contextualSpacing/>
              <w:jc w:val="center"/>
              <w:rPr>
                <w:rFonts w:ascii="宋体" w:hAnsi="宋体" w:cs="仿宋_GB2312"/>
                <w:color w:val="auto"/>
                <w:sz w:val="24"/>
                <w:highlight w:val="none"/>
              </w:rPr>
            </w:pPr>
          </w:p>
        </w:tc>
      </w:tr>
      <w:tr w14:paraId="51312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vAlign w:val="center"/>
          </w:tcPr>
          <w:p w14:paraId="761F8E23">
            <w:pPr>
              <w:jc w:val="center"/>
              <w:rPr>
                <w:rFonts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7633F367">
            <w:pPr>
              <w:spacing w:line="360" w:lineRule="auto"/>
              <w:contextualSpacing/>
              <w:jc w:val="center"/>
              <w:rPr>
                <w:rFonts w:ascii="宋体" w:hAnsi="宋体" w:cs="仿宋_GB2312"/>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14:paraId="6A28574C">
            <w:pPr>
              <w:spacing w:line="360" w:lineRule="auto"/>
              <w:contextualSpacing/>
              <w:jc w:val="center"/>
              <w:rPr>
                <w:rFonts w:ascii="宋体" w:hAnsi="宋体" w:cs="仿宋_GB2312"/>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11310AA4">
            <w:pPr>
              <w:spacing w:line="360" w:lineRule="auto"/>
              <w:contextualSpacing/>
              <w:jc w:val="center"/>
              <w:rPr>
                <w:rFonts w:ascii="宋体" w:hAnsi="宋体" w:cs="仿宋_GB2312"/>
                <w:color w:val="auto"/>
                <w:sz w:val="24"/>
                <w:highlight w:val="none"/>
              </w:rPr>
            </w:pPr>
          </w:p>
        </w:tc>
      </w:tr>
      <w:tr w14:paraId="2B25F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3A6805A6">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07AA9F46">
            <w:pPr>
              <w:spacing w:line="360" w:lineRule="auto"/>
              <w:contextualSpacing/>
              <w:jc w:val="center"/>
              <w:rPr>
                <w:rFonts w:ascii="宋体" w:hAnsi="宋体" w:cs="仿宋_GB2312"/>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14:paraId="3F962332">
            <w:pPr>
              <w:spacing w:line="360" w:lineRule="auto"/>
              <w:contextualSpacing/>
              <w:jc w:val="center"/>
              <w:rPr>
                <w:rFonts w:ascii="宋体" w:hAnsi="宋体" w:cs="仿宋_GB2312"/>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14:paraId="7EDA8597">
            <w:pPr>
              <w:spacing w:line="360" w:lineRule="auto"/>
              <w:contextualSpacing/>
              <w:jc w:val="center"/>
              <w:rPr>
                <w:rFonts w:ascii="宋体" w:hAnsi="宋体" w:cs="仿宋_GB2312"/>
                <w:color w:val="auto"/>
                <w:sz w:val="24"/>
                <w:highlight w:val="none"/>
              </w:rPr>
            </w:pPr>
          </w:p>
        </w:tc>
      </w:tr>
    </w:tbl>
    <w:p w14:paraId="61FE54FC">
      <w:pPr>
        <w:pStyle w:val="207"/>
        <w:spacing w:after="0" w:line="360" w:lineRule="auto"/>
        <w:contextualSpacing/>
        <w:rPr>
          <w:rFonts w:ascii="宋体" w:hAnsi="宋体"/>
          <w:color w:val="auto"/>
          <w:sz w:val="24"/>
          <w:szCs w:val="24"/>
          <w:highlight w:val="none"/>
        </w:rPr>
      </w:pPr>
      <w:r>
        <w:rPr>
          <w:rFonts w:hint="eastAsia" w:ascii="宋体" w:hAnsi="宋体"/>
          <w:color w:val="auto"/>
          <w:sz w:val="24"/>
          <w:szCs w:val="24"/>
          <w:highlight w:val="none"/>
        </w:rPr>
        <w:t>注：</w:t>
      </w:r>
    </w:p>
    <w:p w14:paraId="4526BF01">
      <w:pPr>
        <w:pStyle w:val="207"/>
        <w:spacing w:after="0" w:line="360" w:lineRule="auto"/>
        <w:contextualSpacing/>
        <w:rPr>
          <w:rFonts w:ascii="宋体" w:hAnsi="宋体"/>
          <w:color w:val="auto"/>
          <w:sz w:val="24"/>
          <w:szCs w:val="24"/>
          <w:highlight w:val="none"/>
        </w:rPr>
      </w:pPr>
      <w:r>
        <w:rPr>
          <w:rFonts w:hint="eastAsia" w:ascii="宋体" w:hAnsi="宋体"/>
          <w:color w:val="auto"/>
          <w:sz w:val="24"/>
          <w:szCs w:val="24"/>
          <w:highlight w:val="none"/>
        </w:rPr>
        <w:t>1. 说明：应对照谈判文件“第三章 采购需求”中的商务要求</w:t>
      </w:r>
      <w:r>
        <w:rPr>
          <w:rFonts w:hint="eastAsia" w:ascii="宋体" w:hAnsi="宋体" w:cs="仿宋_GB2312"/>
          <w:color w:val="auto"/>
          <w:sz w:val="24"/>
          <w:szCs w:val="24"/>
          <w:highlight w:val="none"/>
        </w:rPr>
        <w:t>逐条作出明确响应</w:t>
      </w:r>
      <w:r>
        <w:rPr>
          <w:rFonts w:hint="eastAsia" w:ascii="宋体" w:hAnsi="宋体"/>
          <w:color w:val="auto"/>
          <w:sz w:val="24"/>
          <w:szCs w:val="24"/>
          <w:highlight w:val="none"/>
        </w:rPr>
        <w:t>，并作出偏离说明。</w:t>
      </w:r>
    </w:p>
    <w:p w14:paraId="629A48A4">
      <w:pPr>
        <w:spacing w:line="360" w:lineRule="auto"/>
        <w:contextualSpacing/>
        <w:jc w:val="left"/>
        <w:rPr>
          <w:rFonts w:ascii="宋体" w:hAnsi="宋体" w:cs="仿宋_GB2312"/>
          <w:color w:val="auto"/>
          <w:sz w:val="24"/>
          <w:highlight w:val="none"/>
          <w:u w:val="single"/>
        </w:rPr>
      </w:pPr>
      <w:r>
        <w:rPr>
          <w:rFonts w:hint="eastAsia" w:ascii="宋体" w:hAnsi="宋体"/>
          <w:color w:val="auto"/>
          <w:sz w:val="24"/>
          <w:highlight w:val="none"/>
        </w:rPr>
        <w:t>2.供应商应根据自身的承诺，对照谈判文件要求在“偏离说明”中注明“正偏离”“负偏离”或者“无偏离”。既不属于“正偏离”也不属于“负偏离”即为“无偏离”。</w:t>
      </w:r>
    </w:p>
    <w:p w14:paraId="17E7E5D6">
      <w:pPr>
        <w:spacing w:line="360" w:lineRule="auto"/>
        <w:contextualSpacing/>
        <w:jc w:val="left"/>
        <w:rPr>
          <w:rFonts w:ascii="宋体" w:hAnsi="宋体" w:cs="仿宋_GB2312"/>
          <w:color w:val="auto"/>
          <w:sz w:val="24"/>
          <w:highlight w:val="none"/>
          <w:u w:val="single"/>
        </w:rPr>
      </w:pPr>
    </w:p>
    <w:p w14:paraId="6DA27FC0">
      <w:pPr>
        <w:spacing w:line="360" w:lineRule="auto"/>
        <w:ind w:right="-817"/>
        <w:contextualSpacing/>
        <w:rPr>
          <w:rFonts w:ascii="宋体" w:hAnsi="宋体" w:cs="仿宋_GB2312"/>
          <w:color w:val="auto"/>
          <w:sz w:val="24"/>
          <w:highlight w:val="none"/>
        </w:rPr>
      </w:pPr>
    </w:p>
    <w:p w14:paraId="0765CD27">
      <w:pPr>
        <w:spacing w:line="360" w:lineRule="auto"/>
        <w:ind w:right="-817"/>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526FB1E9">
      <w:pPr>
        <w:spacing w:line="360" w:lineRule="auto"/>
        <w:ind w:right="-817" w:firstLine="288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63D50B39">
      <w:pPr>
        <w:spacing w:line="360" w:lineRule="auto"/>
        <w:ind w:right="-817" w:firstLine="288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bookmarkEnd w:id="86"/>
    </w:p>
    <w:p w14:paraId="46D4DAC4">
      <w:pPr>
        <w:spacing w:line="520" w:lineRule="exact"/>
        <w:ind w:firstLine="7040"/>
        <w:jc w:val="center"/>
        <w:rPr>
          <w:rFonts w:ascii="方正小标宋简体" w:hAnsi="方正小标宋简体" w:eastAsia="方正小标宋简体" w:cs="方正小标宋简体"/>
          <w:bCs/>
          <w:color w:val="auto"/>
          <w:sz w:val="44"/>
          <w:szCs w:val="44"/>
          <w:highlight w:val="none"/>
        </w:rPr>
      </w:pPr>
    </w:p>
    <w:p w14:paraId="19A12368">
      <w:pPr>
        <w:spacing w:line="520" w:lineRule="exact"/>
        <w:ind w:firstLine="7040"/>
        <w:jc w:val="center"/>
        <w:rPr>
          <w:rFonts w:ascii="方正小标宋简体" w:hAnsi="方正小标宋简体" w:eastAsia="方正小标宋简体" w:cs="方正小标宋简体"/>
          <w:bCs/>
          <w:color w:val="auto"/>
          <w:sz w:val="44"/>
          <w:szCs w:val="44"/>
          <w:highlight w:val="none"/>
        </w:rPr>
      </w:pPr>
    </w:p>
    <w:p w14:paraId="2DF47FD4">
      <w:pPr>
        <w:spacing w:line="520" w:lineRule="exact"/>
        <w:ind w:firstLine="7040"/>
        <w:jc w:val="center"/>
        <w:rPr>
          <w:rFonts w:ascii="方正小标宋简体" w:hAnsi="方正小标宋简体" w:eastAsia="方正小标宋简体" w:cs="方正小标宋简体"/>
          <w:bCs/>
          <w:color w:val="auto"/>
          <w:sz w:val="44"/>
          <w:szCs w:val="44"/>
          <w:highlight w:val="none"/>
        </w:rPr>
      </w:pPr>
    </w:p>
    <w:p w14:paraId="02B58F47">
      <w:pPr>
        <w:spacing w:line="520" w:lineRule="exact"/>
        <w:ind w:firstLine="7040"/>
        <w:jc w:val="center"/>
        <w:rPr>
          <w:rFonts w:ascii="方正小标宋简体" w:hAnsi="方正小标宋简体" w:eastAsia="方正小标宋简体" w:cs="方正小标宋简体"/>
          <w:bCs/>
          <w:color w:val="auto"/>
          <w:sz w:val="44"/>
          <w:szCs w:val="44"/>
          <w:highlight w:val="none"/>
        </w:rPr>
      </w:pPr>
    </w:p>
    <w:p w14:paraId="356A7A3C">
      <w:pPr>
        <w:spacing w:line="520" w:lineRule="exact"/>
        <w:rPr>
          <w:rFonts w:ascii="方正小标宋简体" w:hAnsi="方正小标宋简体" w:eastAsia="方正小标宋简体" w:cs="方正小标宋简体"/>
          <w:bCs/>
          <w:color w:val="auto"/>
          <w:sz w:val="44"/>
          <w:szCs w:val="44"/>
          <w:highlight w:val="none"/>
        </w:rPr>
      </w:pPr>
    </w:p>
    <w:p w14:paraId="42AAAB4D">
      <w:pPr>
        <w:spacing w:line="300" w:lineRule="auto"/>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clear="all"/>
      </w:r>
      <w:r>
        <w:rPr>
          <w:rFonts w:hint="eastAsia" w:ascii="方正小标宋简体" w:hAnsi="方正小标宋简体" w:eastAsia="方正小标宋简体" w:cs="方正小标宋简体"/>
          <w:bCs/>
          <w:color w:val="auto"/>
          <w:sz w:val="44"/>
          <w:szCs w:val="44"/>
          <w:highlight w:val="none"/>
        </w:rPr>
        <w:t>技术要求偏离表</w:t>
      </w:r>
    </w:p>
    <w:p w14:paraId="1A2DADAD">
      <w:pPr>
        <w:spacing w:line="360" w:lineRule="auto"/>
        <w:contextualSpacing/>
        <w:rPr>
          <w:rFonts w:ascii="仿宋_GB2312" w:hAnsi="仿宋_GB2312" w:eastAsia="仿宋_GB2312" w:cs="仿宋_GB2312"/>
          <w:color w:val="auto"/>
          <w:sz w:val="32"/>
          <w:szCs w:val="32"/>
          <w:highlight w:val="none"/>
        </w:rPr>
      </w:pPr>
    </w:p>
    <w:p w14:paraId="5338D53D">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63BF26A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584C6B22">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仿宋_GB2312"/>
          <w:color w:val="auto"/>
          <w:sz w:val="24"/>
          <w:highlight w:val="none"/>
          <w:u w:val="single"/>
        </w:rPr>
        <w:t xml:space="preserve">                       </w:t>
      </w:r>
    </w:p>
    <w:tbl>
      <w:tblPr>
        <w:tblStyle w:val="31"/>
        <w:tblW w:w="444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00"/>
        <w:gridCol w:w="800"/>
        <w:gridCol w:w="2657"/>
        <w:gridCol w:w="2391"/>
        <w:gridCol w:w="1305"/>
      </w:tblGrid>
      <w:tr w14:paraId="4DF6F3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5FAEE62D">
            <w:pPr>
              <w:pStyle w:val="211"/>
              <w:spacing w:line="360" w:lineRule="auto"/>
              <w:ind w:firstLine="0"/>
              <w:contextualSpacing/>
              <w:jc w:val="center"/>
              <w:rPr>
                <w:rFonts w:ascii="宋体" w:hAnsi="宋体" w:eastAsia="宋体" w:cs="仿宋_GB2312"/>
                <w:color w:val="auto"/>
                <w:sz w:val="24"/>
                <w:szCs w:val="24"/>
                <w:highlight w:val="none"/>
              </w:rPr>
            </w:pPr>
            <w:bookmarkStart w:id="87" w:name="_Toc295404981"/>
            <w:bookmarkStart w:id="88" w:name="_Toc383699906"/>
            <w:bookmarkStart w:id="89" w:name="_Toc254970588"/>
            <w:bookmarkStart w:id="90" w:name="_Toc373333689"/>
            <w:bookmarkStart w:id="91" w:name="_Toc297193185"/>
            <w:bookmarkStart w:id="92" w:name="_Toc254970729"/>
            <w:bookmarkStart w:id="93" w:name="_Toc173066401"/>
            <w:bookmarkStart w:id="94" w:name="_Toc301781611"/>
            <w:bookmarkStart w:id="95" w:name="_Toc173211900"/>
            <w:r>
              <w:rPr>
                <w:rFonts w:hint="eastAsia" w:ascii="宋体" w:hAnsi="宋体" w:eastAsia="宋体" w:cs="仿宋_GB2312"/>
                <w:color w:val="auto"/>
                <w:sz w:val="24"/>
                <w:szCs w:val="24"/>
                <w:highlight w:val="none"/>
              </w:rPr>
              <w:t>序号</w:t>
            </w:r>
            <w:bookmarkEnd w:id="87"/>
            <w:bookmarkEnd w:id="88"/>
            <w:bookmarkEnd w:id="89"/>
            <w:bookmarkEnd w:id="90"/>
            <w:bookmarkEnd w:id="91"/>
            <w:bookmarkEnd w:id="92"/>
            <w:bookmarkEnd w:id="93"/>
            <w:bookmarkEnd w:id="94"/>
            <w:bookmarkEnd w:id="95"/>
          </w:p>
        </w:tc>
        <w:tc>
          <w:tcPr>
            <w:tcW w:w="503" w:type="pct"/>
            <w:tcBorders>
              <w:top w:val="single" w:color="auto" w:sz="4" w:space="0"/>
              <w:left w:val="single" w:color="auto" w:sz="4" w:space="0"/>
              <w:bottom w:val="single" w:color="auto" w:sz="4" w:space="0"/>
              <w:right w:val="single" w:color="auto" w:sz="4" w:space="0"/>
            </w:tcBorders>
            <w:vAlign w:val="center"/>
          </w:tcPr>
          <w:p w14:paraId="42916A5A">
            <w:pPr>
              <w:pStyle w:val="211"/>
              <w:spacing w:line="360" w:lineRule="auto"/>
              <w:ind w:firstLine="0"/>
              <w:contextualSpacing/>
              <w:jc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名称</w:t>
            </w:r>
          </w:p>
        </w:tc>
        <w:tc>
          <w:tcPr>
            <w:tcW w:w="1670" w:type="pct"/>
            <w:tcBorders>
              <w:top w:val="single" w:color="auto" w:sz="4" w:space="0"/>
              <w:left w:val="single" w:color="auto" w:sz="4" w:space="0"/>
              <w:bottom w:val="single" w:color="auto" w:sz="4" w:space="0"/>
              <w:right w:val="single" w:color="auto" w:sz="4" w:space="0"/>
            </w:tcBorders>
            <w:vAlign w:val="center"/>
          </w:tcPr>
          <w:p w14:paraId="2CEAA814">
            <w:pPr>
              <w:pStyle w:val="211"/>
              <w:spacing w:line="360" w:lineRule="auto"/>
              <w:ind w:firstLine="0"/>
              <w:contextualSpacing/>
              <w:jc w:val="center"/>
              <w:rPr>
                <w:rFonts w:ascii="宋体" w:hAnsi="宋体" w:eastAsia="宋体" w:cs="仿宋_GB2312"/>
                <w:color w:val="auto"/>
                <w:sz w:val="24"/>
                <w:szCs w:val="24"/>
                <w:highlight w:val="none"/>
              </w:rPr>
            </w:pPr>
            <w:bookmarkStart w:id="96" w:name="_Toc254970730"/>
            <w:bookmarkStart w:id="97" w:name="_Toc373333690"/>
            <w:bookmarkStart w:id="98" w:name="_Toc173066402"/>
            <w:bookmarkStart w:id="99" w:name="_Toc297193186"/>
            <w:bookmarkStart w:id="100" w:name="_Toc295404982"/>
            <w:bookmarkStart w:id="101" w:name="_Toc254970589"/>
            <w:bookmarkStart w:id="102" w:name="_Toc301781612"/>
            <w:bookmarkStart w:id="103" w:name="_Toc173211901"/>
            <w:bookmarkStart w:id="104" w:name="_Toc383699907"/>
            <w:r>
              <w:rPr>
                <w:rFonts w:hint="eastAsia" w:ascii="宋体" w:hAnsi="宋体" w:eastAsia="宋体" w:cs="仿宋_GB2312"/>
                <w:color w:val="auto"/>
                <w:sz w:val="24"/>
                <w:szCs w:val="24"/>
                <w:highlight w:val="none"/>
              </w:rPr>
              <w:t>谈判文件要求</w:t>
            </w:r>
            <w:bookmarkEnd w:id="96"/>
            <w:bookmarkEnd w:id="97"/>
            <w:bookmarkEnd w:id="98"/>
            <w:bookmarkEnd w:id="99"/>
            <w:bookmarkEnd w:id="100"/>
            <w:bookmarkEnd w:id="101"/>
            <w:bookmarkEnd w:id="102"/>
            <w:bookmarkEnd w:id="103"/>
            <w:bookmarkEnd w:id="104"/>
          </w:p>
        </w:tc>
        <w:tc>
          <w:tcPr>
            <w:tcW w:w="1503" w:type="pct"/>
            <w:tcBorders>
              <w:top w:val="single" w:color="auto" w:sz="4" w:space="0"/>
              <w:left w:val="single" w:color="auto" w:sz="4" w:space="0"/>
              <w:bottom w:val="single" w:color="auto" w:sz="4" w:space="0"/>
              <w:right w:val="single" w:color="auto" w:sz="4" w:space="0"/>
            </w:tcBorders>
            <w:vAlign w:val="center"/>
          </w:tcPr>
          <w:p w14:paraId="466A5F6F">
            <w:pPr>
              <w:pStyle w:val="211"/>
              <w:spacing w:line="360" w:lineRule="auto"/>
              <w:ind w:firstLine="0"/>
              <w:contextualSpacing/>
              <w:jc w:val="center"/>
              <w:rPr>
                <w:rFonts w:ascii="宋体" w:hAnsi="宋体" w:eastAsia="宋体" w:cs="仿宋_GB2312"/>
                <w:color w:val="auto"/>
                <w:sz w:val="24"/>
                <w:szCs w:val="24"/>
                <w:highlight w:val="none"/>
              </w:rPr>
            </w:pPr>
            <w:bookmarkStart w:id="105" w:name="_Toc173066403"/>
            <w:bookmarkStart w:id="106" w:name="_Toc254970731"/>
            <w:bookmarkStart w:id="107" w:name="_Toc383699908"/>
            <w:bookmarkStart w:id="108" w:name="_Toc254970590"/>
            <w:bookmarkStart w:id="109" w:name="_Toc373333691"/>
            <w:bookmarkStart w:id="110" w:name="_Toc301781613"/>
            <w:bookmarkStart w:id="111" w:name="_Toc295404983"/>
            <w:bookmarkStart w:id="112" w:name="_Toc173211902"/>
            <w:bookmarkStart w:id="113" w:name="_Toc297193187"/>
            <w:r>
              <w:rPr>
                <w:rFonts w:hint="eastAsia" w:ascii="宋体" w:hAnsi="宋体" w:eastAsia="宋体" w:cs="仿宋_GB2312"/>
                <w:color w:val="auto"/>
                <w:sz w:val="24"/>
                <w:szCs w:val="24"/>
                <w:highlight w:val="none"/>
              </w:rPr>
              <w:t>竞标响应</w:t>
            </w:r>
            <w:bookmarkEnd w:id="105"/>
            <w:bookmarkEnd w:id="106"/>
            <w:bookmarkEnd w:id="107"/>
            <w:bookmarkEnd w:id="108"/>
            <w:bookmarkEnd w:id="109"/>
            <w:bookmarkEnd w:id="110"/>
            <w:bookmarkEnd w:id="111"/>
            <w:bookmarkEnd w:id="112"/>
            <w:bookmarkEnd w:id="113"/>
          </w:p>
        </w:tc>
        <w:tc>
          <w:tcPr>
            <w:tcW w:w="820" w:type="pct"/>
            <w:tcBorders>
              <w:top w:val="single" w:color="auto" w:sz="4" w:space="0"/>
              <w:left w:val="single" w:color="auto" w:sz="4" w:space="0"/>
              <w:bottom w:val="single" w:color="auto" w:sz="4" w:space="0"/>
              <w:right w:val="single" w:color="auto" w:sz="4" w:space="0"/>
            </w:tcBorders>
            <w:vAlign w:val="center"/>
          </w:tcPr>
          <w:p w14:paraId="61FC814E">
            <w:pPr>
              <w:pStyle w:val="211"/>
              <w:spacing w:line="360" w:lineRule="auto"/>
              <w:ind w:firstLine="0"/>
              <w:contextualSpacing/>
              <w:jc w:val="center"/>
              <w:rPr>
                <w:rFonts w:ascii="宋体" w:hAnsi="宋体" w:eastAsia="宋体" w:cs="仿宋_GB2312"/>
                <w:color w:val="auto"/>
                <w:sz w:val="24"/>
                <w:szCs w:val="24"/>
                <w:highlight w:val="none"/>
              </w:rPr>
            </w:pPr>
            <w:bookmarkStart w:id="114" w:name="_Toc173211903"/>
            <w:bookmarkStart w:id="115" w:name="_Toc297193188"/>
            <w:bookmarkStart w:id="116" w:name="_Toc383699909"/>
            <w:bookmarkStart w:id="117" w:name="_Toc254970732"/>
            <w:bookmarkStart w:id="118" w:name="_Toc173066404"/>
            <w:bookmarkStart w:id="119" w:name="_Toc301781614"/>
            <w:bookmarkStart w:id="120" w:name="_Toc295404984"/>
            <w:bookmarkStart w:id="121" w:name="_Toc254970591"/>
            <w:bookmarkStart w:id="122" w:name="_Toc373333692"/>
            <w:r>
              <w:rPr>
                <w:rFonts w:hint="eastAsia" w:ascii="宋体" w:hAnsi="宋体" w:eastAsia="宋体" w:cs="仿宋_GB2312"/>
                <w:color w:val="auto"/>
                <w:sz w:val="24"/>
                <w:szCs w:val="24"/>
                <w:highlight w:val="none"/>
              </w:rPr>
              <w:t>偏离</w:t>
            </w:r>
            <w:bookmarkEnd w:id="114"/>
            <w:bookmarkEnd w:id="115"/>
            <w:bookmarkEnd w:id="116"/>
            <w:bookmarkEnd w:id="117"/>
            <w:bookmarkEnd w:id="118"/>
            <w:bookmarkEnd w:id="119"/>
            <w:bookmarkEnd w:id="120"/>
            <w:bookmarkEnd w:id="121"/>
            <w:bookmarkEnd w:id="122"/>
            <w:r>
              <w:rPr>
                <w:rFonts w:hint="eastAsia" w:ascii="宋体" w:hAnsi="宋体" w:eastAsia="宋体" w:cs="仿宋_GB2312"/>
                <w:color w:val="auto"/>
                <w:sz w:val="24"/>
                <w:szCs w:val="24"/>
                <w:highlight w:val="none"/>
              </w:rPr>
              <w:t>说明</w:t>
            </w:r>
          </w:p>
        </w:tc>
      </w:tr>
      <w:tr w14:paraId="4C9B8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2215D447">
            <w:pPr>
              <w:pStyle w:val="211"/>
              <w:spacing w:line="360" w:lineRule="auto"/>
              <w:ind w:firstLine="0"/>
              <w:contextualSpacing/>
              <w:jc w:val="center"/>
              <w:rPr>
                <w:rFonts w:ascii="宋体" w:hAnsi="宋体" w:eastAsia="宋体" w:cs="仿宋_GB2312"/>
                <w:color w:val="auto"/>
                <w:sz w:val="24"/>
                <w:szCs w:val="24"/>
                <w:highlight w:val="none"/>
              </w:rPr>
            </w:pPr>
            <w:bookmarkStart w:id="123" w:name="_Toc373333694"/>
            <w:bookmarkStart w:id="124" w:name="_Toc297193190"/>
            <w:bookmarkStart w:id="125" w:name="_Toc383699911"/>
            <w:bookmarkStart w:id="126" w:name="_Toc173211905"/>
            <w:bookmarkStart w:id="127" w:name="_Toc173066406"/>
            <w:bookmarkStart w:id="128" w:name="_Toc254970734"/>
            <w:bookmarkStart w:id="129" w:name="_Toc254970593"/>
            <w:bookmarkStart w:id="130" w:name="_Toc295404986"/>
            <w:bookmarkStart w:id="131" w:name="_Toc301781616"/>
            <w:r>
              <w:rPr>
                <w:rFonts w:hint="eastAsia" w:ascii="宋体" w:hAnsi="宋体" w:eastAsia="宋体" w:cs="仿宋_GB2312"/>
                <w:color w:val="auto"/>
                <w:sz w:val="24"/>
                <w:szCs w:val="24"/>
                <w:highlight w:val="none"/>
              </w:rPr>
              <w:t>1</w:t>
            </w:r>
            <w:bookmarkEnd w:id="123"/>
            <w:bookmarkEnd w:id="124"/>
            <w:bookmarkEnd w:id="125"/>
            <w:bookmarkEnd w:id="126"/>
            <w:bookmarkEnd w:id="127"/>
            <w:bookmarkEnd w:id="128"/>
            <w:bookmarkEnd w:id="129"/>
            <w:bookmarkEnd w:id="130"/>
            <w:bookmarkEnd w:id="131"/>
          </w:p>
        </w:tc>
        <w:tc>
          <w:tcPr>
            <w:tcW w:w="503" w:type="pct"/>
            <w:tcBorders>
              <w:top w:val="single" w:color="auto" w:sz="4" w:space="0"/>
              <w:left w:val="single" w:color="auto" w:sz="4" w:space="0"/>
              <w:bottom w:val="single" w:color="auto" w:sz="4" w:space="0"/>
              <w:right w:val="single" w:color="auto" w:sz="4" w:space="0"/>
            </w:tcBorders>
            <w:vAlign w:val="center"/>
          </w:tcPr>
          <w:p w14:paraId="2C2DC00D">
            <w:pPr>
              <w:pStyle w:val="211"/>
              <w:spacing w:line="360" w:lineRule="auto"/>
              <w:ind w:firstLine="0"/>
              <w:contextualSpacing/>
              <w:jc w:val="center"/>
              <w:rPr>
                <w:rFonts w:ascii="宋体" w:hAnsi="宋体" w:eastAsia="宋体" w:cs="仿宋_GB2312"/>
                <w:color w:val="auto"/>
                <w:sz w:val="24"/>
                <w:szCs w:val="24"/>
                <w:highlight w:val="none"/>
              </w:rPr>
            </w:pPr>
          </w:p>
        </w:tc>
        <w:tc>
          <w:tcPr>
            <w:tcW w:w="1670" w:type="pct"/>
            <w:tcBorders>
              <w:top w:val="single" w:color="auto" w:sz="4" w:space="0"/>
              <w:left w:val="single" w:color="auto" w:sz="4" w:space="0"/>
              <w:bottom w:val="single" w:color="auto" w:sz="4" w:space="0"/>
              <w:right w:val="single" w:color="auto" w:sz="4" w:space="0"/>
            </w:tcBorders>
            <w:vAlign w:val="center"/>
          </w:tcPr>
          <w:p w14:paraId="229CC19E">
            <w:pPr>
              <w:pStyle w:val="211"/>
              <w:spacing w:line="360" w:lineRule="auto"/>
              <w:ind w:firstLine="0"/>
              <w:contextualSpacing/>
              <w:jc w:val="center"/>
              <w:rPr>
                <w:rFonts w:ascii="宋体" w:hAnsi="宋体" w:eastAsia="宋体" w:cs="仿宋_GB2312"/>
                <w:color w:val="auto"/>
                <w:sz w:val="24"/>
                <w:szCs w:val="24"/>
                <w:highlight w:val="none"/>
              </w:rPr>
            </w:pPr>
          </w:p>
        </w:tc>
        <w:tc>
          <w:tcPr>
            <w:tcW w:w="1503" w:type="pct"/>
            <w:tcBorders>
              <w:top w:val="single" w:color="auto" w:sz="4" w:space="0"/>
              <w:left w:val="single" w:color="auto" w:sz="4" w:space="0"/>
              <w:bottom w:val="single" w:color="auto" w:sz="4" w:space="0"/>
              <w:right w:val="single" w:color="auto" w:sz="4" w:space="0"/>
            </w:tcBorders>
            <w:vAlign w:val="center"/>
          </w:tcPr>
          <w:p w14:paraId="36D998AA">
            <w:pPr>
              <w:pStyle w:val="211"/>
              <w:spacing w:line="360" w:lineRule="auto"/>
              <w:ind w:firstLine="0"/>
              <w:contextualSpacing/>
              <w:jc w:val="center"/>
              <w:rPr>
                <w:rFonts w:ascii="宋体" w:hAnsi="宋体" w:eastAsia="宋体" w:cs="仿宋_GB2312"/>
                <w:color w:val="auto"/>
                <w:sz w:val="24"/>
                <w:szCs w:val="24"/>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3F06604">
            <w:pPr>
              <w:pStyle w:val="211"/>
              <w:spacing w:line="360" w:lineRule="auto"/>
              <w:ind w:firstLine="0"/>
              <w:contextualSpacing/>
              <w:jc w:val="center"/>
              <w:rPr>
                <w:rFonts w:ascii="宋体" w:hAnsi="宋体" w:eastAsia="宋体" w:cs="仿宋_GB2312"/>
                <w:color w:val="auto"/>
                <w:sz w:val="24"/>
                <w:szCs w:val="24"/>
                <w:highlight w:val="none"/>
              </w:rPr>
            </w:pPr>
          </w:p>
        </w:tc>
      </w:tr>
      <w:tr w14:paraId="7E2000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4D1462C7">
            <w:pPr>
              <w:pStyle w:val="211"/>
              <w:spacing w:line="360" w:lineRule="auto"/>
              <w:ind w:firstLine="0"/>
              <w:contextualSpacing/>
              <w:jc w:val="center"/>
              <w:rPr>
                <w:rFonts w:ascii="宋体" w:hAnsi="宋体" w:eastAsia="宋体" w:cs="仿宋_GB2312"/>
                <w:color w:val="auto"/>
                <w:sz w:val="24"/>
                <w:szCs w:val="24"/>
                <w:highlight w:val="none"/>
              </w:rPr>
            </w:pPr>
            <w:bookmarkStart w:id="132" w:name="_Toc254970735"/>
            <w:bookmarkStart w:id="133" w:name="_Toc254970594"/>
            <w:bookmarkStart w:id="134" w:name="_Toc295404987"/>
            <w:bookmarkStart w:id="135" w:name="_Toc301781617"/>
            <w:bookmarkStart w:id="136" w:name="_Toc173211906"/>
            <w:bookmarkStart w:id="137" w:name="_Toc373333695"/>
            <w:bookmarkStart w:id="138" w:name="_Toc173066407"/>
            <w:bookmarkStart w:id="139" w:name="_Toc297193191"/>
            <w:bookmarkStart w:id="140" w:name="_Toc383699912"/>
            <w:r>
              <w:rPr>
                <w:rFonts w:hint="eastAsia" w:ascii="宋体" w:hAnsi="宋体" w:eastAsia="宋体" w:cs="仿宋_GB2312"/>
                <w:color w:val="auto"/>
                <w:sz w:val="24"/>
                <w:szCs w:val="24"/>
                <w:highlight w:val="none"/>
              </w:rPr>
              <w:t>2</w:t>
            </w:r>
            <w:bookmarkEnd w:id="132"/>
            <w:bookmarkEnd w:id="133"/>
            <w:bookmarkEnd w:id="134"/>
            <w:bookmarkEnd w:id="135"/>
            <w:bookmarkEnd w:id="136"/>
            <w:bookmarkEnd w:id="137"/>
            <w:bookmarkEnd w:id="138"/>
            <w:bookmarkEnd w:id="139"/>
            <w:bookmarkEnd w:id="140"/>
          </w:p>
        </w:tc>
        <w:tc>
          <w:tcPr>
            <w:tcW w:w="503" w:type="pct"/>
            <w:tcBorders>
              <w:top w:val="single" w:color="auto" w:sz="4" w:space="0"/>
              <w:left w:val="single" w:color="auto" w:sz="4" w:space="0"/>
              <w:bottom w:val="single" w:color="auto" w:sz="4" w:space="0"/>
              <w:right w:val="single" w:color="auto" w:sz="4" w:space="0"/>
            </w:tcBorders>
            <w:vAlign w:val="center"/>
          </w:tcPr>
          <w:p w14:paraId="05DEFC82">
            <w:pPr>
              <w:pStyle w:val="211"/>
              <w:spacing w:line="360" w:lineRule="auto"/>
              <w:ind w:firstLine="0"/>
              <w:contextualSpacing/>
              <w:jc w:val="center"/>
              <w:rPr>
                <w:rFonts w:ascii="宋体" w:hAnsi="宋体" w:eastAsia="宋体" w:cs="仿宋_GB2312"/>
                <w:color w:val="auto"/>
                <w:sz w:val="24"/>
                <w:szCs w:val="24"/>
                <w:highlight w:val="none"/>
              </w:rPr>
            </w:pPr>
          </w:p>
        </w:tc>
        <w:tc>
          <w:tcPr>
            <w:tcW w:w="1670" w:type="pct"/>
            <w:tcBorders>
              <w:top w:val="single" w:color="auto" w:sz="4" w:space="0"/>
              <w:left w:val="single" w:color="auto" w:sz="4" w:space="0"/>
              <w:bottom w:val="single" w:color="auto" w:sz="4" w:space="0"/>
              <w:right w:val="single" w:color="auto" w:sz="4" w:space="0"/>
            </w:tcBorders>
            <w:vAlign w:val="center"/>
          </w:tcPr>
          <w:p w14:paraId="33F7DCB2">
            <w:pPr>
              <w:pStyle w:val="211"/>
              <w:spacing w:line="360" w:lineRule="auto"/>
              <w:ind w:firstLine="0"/>
              <w:contextualSpacing/>
              <w:jc w:val="center"/>
              <w:rPr>
                <w:rFonts w:ascii="宋体" w:hAnsi="宋体" w:eastAsia="宋体" w:cs="仿宋_GB2312"/>
                <w:color w:val="auto"/>
                <w:sz w:val="24"/>
                <w:szCs w:val="24"/>
                <w:highlight w:val="none"/>
              </w:rPr>
            </w:pPr>
          </w:p>
        </w:tc>
        <w:tc>
          <w:tcPr>
            <w:tcW w:w="1503" w:type="pct"/>
            <w:tcBorders>
              <w:top w:val="single" w:color="auto" w:sz="4" w:space="0"/>
              <w:left w:val="single" w:color="auto" w:sz="4" w:space="0"/>
              <w:bottom w:val="single" w:color="auto" w:sz="4" w:space="0"/>
              <w:right w:val="single" w:color="auto" w:sz="4" w:space="0"/>
            </w:tcBorders>
            <w:vAlign w:val="center"/>
          </w:tcPr>
          <w:p w14:paraId="0C53A65A">
            <w:pPr>
              <w:pStyle w:val="211"/>
              <w:spacing w:line="360" w:lineRule="auto"/>
              <w:ind w:firstLine="0"/>
              <w:contextualSpacing/>
              <w:jc w:val="center"/>
              <w:rPr>
                <w:rFonts w:ascii="宋体" w:hAnsi="宋体" w:eastAsia="宋体" w:cs="仿宋_GB2312"/>
                <w:color w:val="auto"/>
                <w:sz w:val="24"/>
                <w:szCs w:val="24"/>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1BF21BD1">
            <w:pPr>
              <w:pStyle w:val="211"/>
              <w:spacing w:line="360" w:lineRule="auto"/>
              <w:ind w:firstLine="0"/>
              <w:contextualSpacing/>
              <w:jc w:val="center"/>
              <w:rPr>
                <w:rFonts w:ascii="宋体" w:hAnsi="宋体" w:eastAsia="宋体" w:cs="仿宋_GB2312"/>
                <w:color w:val="auto"/>
                <w:sz w:val="24"/>
                <w:szCs w:val="24"/>
                <w:highlight w:val="none"/>
              </w:rPr>
            </w:pPr>
          </w:p>
        </w:tc>
      </w:tr>
      <w:tr w14:paraId="749F1E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2DFCB855">
            <w:pPr>
              <w:pStyle w:val="211"/>
              <w:spacing w:line="360" w:lineRule="auto"/>
              <w:ind w:firstLine="0"/>
              <w:contextualSpacing/>
              <w:jc w:val="center"/>
              <w:rPr>
                <w:rFonts w:ascii="宋体" w:hAnsi="宋体" w:eastAsia="宋体" w:cs="仿宋_GB2312"/>
                <w:color w:val="auto"/>
                <w:sz w:val="24"/>
                <w:szCs w:val="24"/>
                <w:highlight w:val="none"/>
              </w:rPr>
            </w:pPr>
            <w:bookmarkStart w:id="141" w:name="_Toc383699913"/>
            <w:bookmarkStart w:id="142" w:name="_Toc373333696"/>
            <w:bookmarkStart w:id="143" w:name="_Toc254970736"/>
            <w:bookmarkStart w:id="144" w:name="_Toc254970595"/>
            <w:r>
              <w:rPr>
                <w:rFonts w:hint="eastAsia" w:ascii="宋体" w:hAnsi="宋体" w:eastAsia="宋体" w:cs="仿宋_GB2312"/>
                <w:color w:val="auto"/>
                <w:sz w:val="24"/>
                <w:szCs w:val="24"/>
                <w:highlight w:val="none"/>
              </w:rPr>
              <w:t>3</w:t>
            </w:r>
            <w:bookmarkEnd w:id="141"/>
            <w:bookmarkEnd w:id="142"/>
            <w:bookmarkEnd w:id="143"/>
            <w:bookmarkEnd w:id="144"/>
          </w:p>
        </w:tc>
        <w:tc>
          <w:tcPr>
            <w:tcW w:w="503" w:type="pct"/>
            <w:tcBorders>
              <w:top w:val="single" w:color="auto" w:sz="4" w:space="0"/>
              <w:left w:val="single" w:color="auto" w:sz="4" w:space="0"/>
              <w:bottom w:val="single" w:color="auto" w:sz="4" w:space="0"/>
              <w:right w:val="single" w:color="auto" w:sz="4" w:space="0"/>
            </w:tcBorders>
            <w:vAlign w:val="center"/>
          </w:tcPr>
          <w:p w14:paraId="16C28FA5">
            <w:pPr>
              <w:pStyle w:val="211"/>
              <w:spacing w:line="360" w:lineRule="auto"/>
              <w:ind w:firstLine="0"/>
              <w:contextualSpacing/>
              <w:jc w:val="center"/>
              <w:rPr>
                <w:rFonts w:ascii="宋体" w:hAnsi="宋体" w:eastAsia="宋体" w:cs="仿宋_GB2312"/>
                <w:color w:val="auto"/>
                <w:sz w:val="24"/>
                <w:szCs w:val="24"/>
                <w:highlight w:val="none"/>
              </w:rPr>
            </w:pPr>
          </w:p>
        </w:tc>
        <w:tc>
          <w:tcPr>
            <w:tcW w:w="1670" w:type="pct"/>
            <w:tcBorders>
              <w:top w:val="single" w:color="auto" w:sz="4" w:space="0"/>
              <w:left w:val="single" w:color="auto" w:sz="4" w:space="0"/>
              <w:bottom w:val="single" w:color="auto" w:sz="4" w:space="0"/>
              <w:right w:val="single" w:color="auto" w:sz="4" w:space="0"/>
            </w:tcBorders>
            <w:vAlign w:val="center"/>
          </w:tcPr>
          <w:p w14:paraId="05B1849F">
            <w:pPr>
              <w:pStyle w:val="211"/>
              <w:spacing w:line="360" w:lineRule="auto"/>
              <w:ind w:firstLine="0"/>
              <w:contextualSpacing/>
              <w:jc w:val="center"/>
              <w:rPr>
                <w:rFonts w:ascii="宋体" w:hAnsi="宋体" w:eastAsia="宋体" w:cs="仿宋_GB2312"/>
                <w:color w:val="auto"/>
                <w:sz w:val="24"/>
                <w:szCs w:val="24"/>
                <w:highlight w:val="none"/>
              </w:rPr>
            </w:pPr>
          </w:p>
        </w:tc>
        <w:tc>
          <w:tcPr>
            <w:tcW w:w="1503" w:type="pct"/>
            <w:tcBorders>
              <w:top w:val="single" w:color="auto" w:sz="4" w:space="0"/>
              <w:left w:val="single" w:color="auto" w:sz="4" w:space="0"/>
              <w:bottom w:val="single" w:color="auto" w:sz="4" w:space="0"/>
              <w:right w:val="single" w:color="auto" w:sz="4" w:space="0"/>
            </w:tcBorders>
            <w:vAlign w:val="center"/>
          </w:tcPr>
          <w:p w14:paraId="60E05826">
            <w:pPr>
              <w:pStyle w:val="211"/>
              <w:spacing w:line="360" w:lineRule="auto"/>
              <w:ind w:firstLine="0"/>
              <w:contextualSpacing/>
              <w:jc w:val="center"/>
              <w:rPr>
                <w:rFonts w:ascii="宋体" w:hAnsi="宋体" w:eastAsia="宋体" w:cs="仿宋_GB2312"/>
                <w:color w:val="auto"/>
                <w:sz w:val="24"/>
                <w:szCs w:val="24"/>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46871CA">
            <w:pPr>
              <w:pStyle w:val="211"/>
              <w:spacing w:line="360" w:lineRule="auto"/>
              <w:ind w:firstLine="0"/>
              <w:contextualSpacing/>
              <w:jc w:val="center"/>
              <w:rPr>
                <w:rFonts w:ascii="宋体" w:hAnsi="宋体" w:eastAsia="宋体" w:cs="仿宋_GB2312"/>
                <w:color w:val="auto"/>
                <w:sz w:val="24"/>
                <w:szCs w:val="24"/>
                <w:highlight w:val="none"/>
              </w:rPr>
            </w:pPr>
          </w:p>
        </w:tc>
      </w:tr>
      <w:tr w14:paraId="071458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1A8C1034">
            <w:pPr>
              <w:pStyle w:val="211"/>
              <w:spacing w:line="360" w:lineRule="auto"/>
              <w:ind w:firstLine="0"/>
              <w:contextualSpacing/>
              <w:jc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w:t>
            </w:r>
          </w:p>
        </w:tc>
        <w:tc>
          <w:tcPr>
            <w:tcW w:w="503" w:type="pct"/>
            <w:tcBorders>
              <w:top w:val="single" w:color="auto" w:sz="4" w:space="0"/>
              <w:left w:val="single" w:color="auto" w:sz="4" w:space="0"/>
              <w:bottom w:val="single" w:color="auto" w:sz="4" w:space="0"/>
              <w:right w:val="single" w:color="auto" w:sz="4" w:space="0"/>
            </w:tcBorders>
            <w:vAlign w:val="center"/>
          </w:tcPr>
          <w:p w14:paraId="048ACEC3">
            <w:pPr>
              <w:pStyle w:val="211"/>
              <w:spacing w:line="360" w:lineRule="auto"/>
              <w:ind w:firstLine="0"/>
              <w:contextualSpacing/>
              <w:jc w:val="center"/>
              <w:rPr>
                <w:rFonts w:ascii="宋体" w:hAnsi="宋体" w:eastAsia="宋体" w:cs="仿宋_GB2312"/>
                <w:color w:val="auto"/>
                <w:sz w:val="24"/>
                <w:szCs w:val="24"/>
                <w:highlight w:val="none"/>
              </w:rPr>
            </w:pPr>
          </w:p>
        </w:tc>
        <w:tc>
          <w:tcPr>
            <w:tcW w:w="1670" w:type="pct"/>
            <w:tcBorders>
              <w:top w:val="single" w:color="auto" w:sz="4" w:space="0"/>
              <w:left w:val="single" w:color="auto" w:sz="4" w:space="0"/>
              <w:bottom w:val="single" w:color="auto" w:sz="4" w:space="0"/>
              <w:right w:val="single" w:color="auto" w:sz="4" w:space="0"/>
            </w:tcBorders>
            <w:vAlign w:val="center"/>
          </w:tcPr>
          <w:p w14:paraId="40F40A3C">
            <w:pPr>
              <w:pStyle w:val="211"/>
              <w:spacing w:line="360" w:lineRule="auto"/>
              <w:ind w:firstLine="0"/>
              <w:contextualSpacing/>
              <w:jc w:val="center"/>
              <w:rPr>
                <w:rFonts w:ascii="宋体" w:hAnsi="宋体" w:eastAsia="宋体" w:cs="仿宋_GB2312"/>
                <w:color w:val="auto"/>
                <w:sz w:val="24"/>
                <w:szCs w:val="24"/>
                <w:highlight w:val="none"/>
              </w:rPr>
            </w:pPr>
          </w:p>
        </w:tc>
        <w:tc>
          <w:tcPr>
            <w:tcW w:w="1503" w:type="pct"/>
            <w:tcBorders>
              <w:top w:val="single" w:color="auto" w:sz="4" w:space="0"/>
              <w:left w:val="single" w:color="auto" w:sz="4" w:space="0"/>
              <w:bottom w:val="single" w:color="auto" w:sz="4" w:space="0"/>
              <w:right w:val="single" w:color="auto" w:sz="4" w:space="0"/>
            </w:tcBorders>
            <w:vAlign w:val="center"/>
          </w:tcPr>
          <w:p w14:paraId="20AB6BCD">
            <w:pPr>
              <w:pStyle w:val="211"/>
              <w:spacing w:line="360" w:lineRule="auto"/>
              <w:ind w:firstLine="0"/>
              <w:contextualSpacing/>
              <w:jc w:val="center"/>
              <w:rPr>
                <w:rFonts w:ascii="宋体" w:hAnsi="宋体" w:eastAsia="宋体" w:cs="仿宋_GB2312"/>
                <w:color w:val="auto"/>
                <w:sz w:val="24"/>
                <w:szCs w:val="24"/>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3A6607A">
            <w:pPr>
              <w:pStyle w:val="211"/>
              <w:spacing w:line="360" w:lineRule="auto"/>
              <w:ind w:firstLine="0"/>
              <w:contextualSpacing/>
              <w:jc w:val="center"/>
              <w:rPr>
                <w:rFonts w:ascii="宋体" w:hAnsi="宋体" w:eastAsia="宋体" w:cs="仿宋_GB2312"/>
                <w:color w:val="auto"/>
                <w:sz w:val="24"/>
                <w:szCs w:val="24"/>
                <w:highlight w:val="none"/>
              </w:rPr>
            </w:pPr>
          </w:p>
        </w:tc>
      </w:tr>
      <w:tr w14:paraId="114C6A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1278A7C0">
            <w:pPr>
              <w:pStyle w:val="211"/>
              <w:spacing w:line="360" w:lineRule="auto"/>
              <w:ind w:firstLine="0"/>
              <w:contextualSpacing/>
              <w:jc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w:t>
            </w:r>
          </w:p>
        </w:tc>
        <w:tc>
          <w:tcPr>
            <w:tcW w:w="503" w:type="pct"/>
            <w:tcBorders>
              <w:top w:val="single" w:color="auto" w:sz="4" w:space="0"/>
              <w:left w:val="single" w:color="auto" w:sz="4" w:space="0"/>
              <w:bottom w:val="single" w:color="auto" w:sz="4" w:space="0"/>
              <w:right w:val="single" w:color="auto" w:sz="4" w:space="0"/>
            </w:tcBorders>
            <w:vAlign w:val="center"/>
          </w:tcPr>
          <w:p w14:paraId="6111B866">
            <w:pPr>
              <w:pStyle w:val="211"/>
              <w:spacing w:line="360" w:lineRule="auto"/>
              <w:ind w:firstLine="0"/>
              <w:contextualSpacing/>
              <w:jc w:val="center"/>
              <w:rPr>
                <w:rFonts w:ascii="宋体" w:hAnsi="宋体" w:eastAsia="宋体" w:cs="仿宋_GB2312"/>
                <w:color w:val="auto"/>
                <w:sz w:val="24"/>
                <w:szCs w:val="24"/>
                <w:highlight w:val="none"/>
              </w:rPr>
            </w:pPr>
          </w:p>
        </w:tc>
        <w:tc>
          <w:tcPr>
            <w:tcW w:w="1670" w:type="pct"/>
            <w:tcBorders>
              <w:top w:val="single" w:color="auto" w:sz="4" w:space="0"/>
              <w:left w:val="single" w:color="auto" w:sz="4" w:space="0"/>
              <w:bottom w:val="single" w:color="auto" w:sz="4" w:space="0"/>
              <w:right w:val="single" w:color="auto" w:sz="4" w:space="0"/>
            </w:tcBorders>
            <w:vAlign w:val="center"/>
          </w:tcPr>
          <w:p w14:paraId="7266ACEC">
            <w:pPr>
              <w:pStyle w:val="211"/>
              <w:spacing w:line="360" w:lineRule="auto"/>
              <w:ind w:firstLine="0"/>
              <w:contextualSpacing/>
              <w:jc w:val="center"/>
              <w:rPr>
                <w:rFonts w:ascii="宋体" w:hAnsi="宋体" w:eastAsia="宋体" w:cs="仿宋_GB2312"/>
                <w:color w:val="auto"/>
                <w:sz w:val="24"/>
                <w:szCs w:val="24"/>
                <w:highlight w:val="none"/>
              </w:rPr>
            </w:pPr>
          </w:p>
        </w:tc>
        <w:tc>
          <w:tcPr>
            <w:tcW w:w="1503" w:type="pct"/>
            <w:tcBorders>
              <w:top w:val="single" w:color="auto" w:sz="4" w:space="0"/>
              <w:left w:val="single" w:color="auto" w:sz="4" w:space="0"/>
              <w:bottom w:val="single" w:color="auto" w:sz="4" w:space="0"/>
              <w:right w:val="single" w:color="auto" w:sz="4" w:space="0"/>
            </w:tcBorders>
            <w:vAlign w:val="center"/>
          </w:tcPr>
          <w:p w14:paraId="722CA91C">
            <w:pPr>
              <w:pStyle w:val="211"/>
              <w:spacing w:line="360" w:lineRule="auto"/>
              <w:ind w:firstLine="0"/>
              <w:contextualSpacing/>
              <w:jc w:val="center"/>
              <w:rPr>
                <w:rFonts w:ascii="宋体" w:hAnsi="宋体" w:eastAsia="宋体" w:cs="仿宋_GB2312"/>
                <w:color w:val="auto"/>
                <w:sz w:val="24"/>
                <w:szCs w:val="24"/>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F655318">
            <w:pPr>
              <w:pStyle w:val="211"/>
              <w:spacing w:line="360" w:lineRule="auto"/>
              <w:ind w:firstLine="0"/>
              <w:contextualSpacing/>
              <w:jc w:val="center"/>
              <w:rPr>
                <w:rFonts w:ascii="宋体" w:hAnsi="宋体" w:eastAsia="宋体" w:cs="仿宋_GB2312"/>
                <w:color w:val="auto"/>
                <w:sz w:val="24"/>
                <w:szCs w:val="24"/>
                <w:highlight w:val="none"/>
              </w:rPr>
            </w:pPr>
          </w:p>
        </w:tc>
      </w:tr>
      <w:tr w14:paraId="6DB3BB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6F2C7E31">
            <w:pPr>
              <w:pStyle w:val="211"/>
              <w:spacing w:line="360" w:lineRule="auto"/>
              <w:ind w:firstLine="0"/>
              <w:contextualSpacing/>
              <w:jc w:val="center"/>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w:t>
            </w:r>
          </w:p>
        </w:tc>
        <w:tc>
          <w:tcPr>
            <w:tcW w:w="503" w:type="pct"/>
            <w:tcBorders>
              <w:top w:val="single" w:color="auto" w:sz="4" w:space="0"/>
              <w:left w:val="single" w:color="auto" w:sz="4" w:space="0"/>
              <w:bottom w:val="single" w:color="auto" w:sz="4" w:space="0"/>
              <w:right w:val="single" w:color="auto" w:sz="4" w:space="0"/>
            </w:tcBorders>
            <w:vAlign w:val="center"/>
          </w:tcPr>
          <w:p w14:paraId="1DA0C6BE">
            <w:pPr>
              <w:pStyle w:val="211"/>
              <w:spacing w:line="360" w:lineRule="auto"/>
              <w:ind w:firstLine="0"/>
              <w:contextualSpacing/>
              <w:jc w:val="center"/>
              <w:rPr>
                <w:rFonts w:ascii="宋体" w:hAnsi="宋体" w:eastAsia="宋体" w:cs="仿宋_GB2312"/>
                <w:color w:val="auto"/>
                <w:sz w:val="24"/>
                <w:szCs w:val="24"/>
                <w:highlight w:val="none"/>
              </w:rPr>
            </w:pPr>
          </w:p>
        </w:tc>
        <w:tc>
          <w:tcPr>
            <w:tcW w:w="1670" w:type="pct"/>
            <w:tcBorders>
              <w:top w:val="single" w:color="auto" w:sz="4" w:space="0"/>
              <w:left w:val="single" w:color="auto" w:sz="4" w:space="0"/>
              <w:bottom w:val="single" w:color="auto" w:sz="4" w:space="0"/>
              <w:right w:val="single" w:color="auto" w:sz="4" w:space="0"/>
            </w:tcBorders>
            <w:vAlign w:val="center"/>
          </w:tcPr>
          <w:p w14:paraId="5ED969FD">
            <w:pPr>
              <w:pStyle w:val="211"/>
              <w:spacing w:line="360" w:lineRule="auto"/>
              <w:ind w:firstLine="0"/>
              <w:contextualSpacing/>
              <w:jc w:val="center"/>
              <w:rPr>
                <w:rFonts w:ascii="宋体" w:hAnsi="宋体" w:eastAsia="宋体" w:cs="仿宋_GB2312"/>
                <w:color w:val="auto"/>
                <w:sz w:val="24"/>
                <w:szCs w:val="24"/>
                <w:highlight w:val="none"/>
              </w:rPr>
            </w:pPr>
          </w:p>
        </w:tc>
        <w:tc>
          <w:tcPr>
            <w:tcW w:w="1503" w:type="pct"/>
            <w:tcBorders>
              <w:top w:val="single" w:color="auto" w:sz="4" w:space="0"/>
              <w:left w:val="single" w:color="auto" w:sz="4" w:space="0"/>
              <w:bottom w:val="single" w:color="auto" w:sz="4" w:space="0"/>
              <w:right w:val="single" w:color="auto" w:sz="4" w:space="0"/>
            </w:tcBorders>
            <w:vAlign w:val="center"/>
          </w:tcPr>
          <w:p w14:paraId="1B2D29E1">
            <w:pPr>
              <w:pStyle w:val="211"/>
              <w:spacing w:line="360" w:lineRule="auto"/>
              <w:ind w:firstLine="0"/>
              <w:contextualSpacing/>
              <w:jc w:val="center"/>
              <w:rPr>
                <w:rFonts w:ascii="宋体" w:hAnsi="宋体" w:eastAsia="宋体" w:cs="仿宋_GB2312"/>
                <w:color w:val="auto"/>
                <w:sz w:val="24"/>
                <w:szCs w:val="24"/>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339881A6">
            <w:pPr>
              <w:pStyle w:val="211"/>
              <w:spacing w:line="360" w:lineRule="auto"/>
              <w:ind w:firstLine="0"/>
              <w:contextualSpacing/>
              <w:jc w:val="center"/>
              <w:rPr>
                <w:rFonts w:ascii="宋体" w:hAnsi="宋体" w:eastAsia="宋体" w:cs="仿宋_GB2312"/>
                <w:color w:val="auto"/>
                <w:sz w:val="24"/>
                <w:szCs w:val="24"/>
                <w:highlight w:val="none"/>
              </w:rPr>
            </w:pPr>
          </w:p>
        </w:tc>
      </w:tr>
    </w:tbl>
    <w:p w14:paraId="37ACAF76">
      <w:pPr>
        <w:spacing w:line="360" w:lineRule="auto"/>
        <w:contextualSpacing/>
        <w:rPr>
          <w:rFonts w:ascii="宋体" w:hAnsi="宋体" w:cs="仿宋_GB2312"/>
          <w:color w:val="auto"/>
          <w:sz w:val="24"/>
          <w:highlight w:val="none"/>
        </w:rPr>
      </w:pPr>
    </w:p>
    <w:p w14:paraId="2C5D8999">
      <w:pPr>
        <w:pStyle w:val="211"/>
        <w:spacing w:line="360" w:lineRule="auto"/>
        <w:ind w:firstLine="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35448EDD">
      <w:pPr>
        <w:pStyle w:val="211"/>
        <w:spacing w:line="360" w:lineRule="auto"/>
        <w:ind w:firstLine="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说明：应对照谈判文件“第三章 采购需求”中的技术要求逐条作出明确响应，并作出偏离说明。</w:t>
      </w:r>
    </w:p>
    <w:p w14:paraId="37038B06">
      <w:pPr>
        <w:pStyle w:val="211"/>
        <w:spacing w:line="360" w:lineRule="auto"/>
        <w:ind w:firstLine="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 供应商应根据自身的承诺，对照谈判文件要求，在“偏离说明”中注明“正偏离”“负偏离”或者“无偏离”。既不属于“正偏离”也不属于“负偏离”即为“无偏离”。</w:t>
      </w:r>
    </w:p>
    <w:p w14:paraId="30F2080E">
      <w:pPr>
        <w:spacing w:line="360" w:lineRule="auto"/>
        <w:ind w:right="-817"/>
        <w:contextualSpacing/>
        <w:jc w:val="center"/>
        <w:rPr>
          <w:rFonts w:ascii="宋体" w:hAnsi="宋体" w:cs="仿宋_GB2312"/>
          <w:color w:val="auto"/>
          <w:sz w:val="24"/>
          <w:highlight w:val="none"/>
        </w:rPr>
      </w:pPr>
    </w:p>
    <w:p w14:paraId="260CB864">
      <w:pPr>
        <w:spacing w:line="360" w:lineRule="auto"/>
        <w:ind w:right="-817"/>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41A3F966">
      <w:pPr>
        <w:spacing w:line="360" w:lineRule="auto"/>
        <w:ind w:right="-817" w:firstLine="288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062A4C14">
      <w:pPr>
        <w:spacing w:line="360" w:lineRule="auto"/>
        <w:ind w:right="-817" w:firstLine="288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4E32A8F2">
      <w:pPr>
        <w:spacing w:line="360" w:lineRule="auto"/>
        <w:ind w:left="142"/>
        <w:contextualSpacing/>
        <w:jc w:val="left"/>
        <w:rPr>
          <w:rFonts w:ascii="宋体" w:hAnsi="宋体"/>
          <w:b/>
          <w:color w:val="auto"/>
          <w:sz w:val="24"/>
          <w:highlight w:val="none"/>
        </w:rPr>
      </w:pPr>
      <w:r>
        <w:rPr>
          <w:rFonts w:ascii="宋体" w:hAnsi="宋体" w:cs="仿宋_GB2312"/>
          <w:color w:val="auto"/>
          <w:sz w:val="24"/>
          <w:highlight w:val="none"/>
        </w:rPr>
        <w:br w:type="page" w:clear="all"/>
      </w:r>
      <w:r>
        <w:rPr>
          <w:rFonts w:hint="eastAsia" w:ascii="宋体" w:hAnsi="宋体"/>
          <w:b/>
          <w:color w:val="auto"/>
          <w:sz w:val="24"/>
          <w:highlight w:val="none"/>
        </w:rPr>
        <w:t>项目实施人员一览表格式</w:t>
      </w:r>
    </w:p>
    <w:p w14:paraId="5C8C3F29">
      <w:pPr>
        <w:spacing w:line="360" w:lineRule="auto"/>
        <w:ind w:left="142"/>
        <w:contextualSpacing/>
        <w:jc w:val="left"/>
        <w:rPr>
          <w:rFonts w:ascii="宋体" w:hAnsi="宋体"/>
          <w:b/>
          <w:color w:val="auto"/>
          <w:sz w:val="24"/>
          <w:highlight w:val="none"/>
        </w:rPr>
      </w:pPr>
    </w:p>
    <w:p w14:paraId="0493D851">
      <w:pPr>
        <w:spacing w:line="360" w:lineRule="auto"/>
        <w:ind w:left="142"/>
        <w:contextualSpacing/>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2DA0ED8C">
      <w:pPr>
        <w:pStyle w:val="214"/>
        <w:spacing w:line="360" w:lineRule="auto"/>
        <w:contextualSpacing/>
        <w:rPr>
          <w:color w:val="auto"/>
          <w:sz w:val="24"/>
          <w:szCs w:val="24"/>
          <w:highlight w:val="none"/>
        </w:rPr>
      </w:pPr>
      <w:r>
        <w:rPr>
          <w:rFonts w:hint="eastAsia"/>
          <w:color w:val="auto"/>
          <w:sz w:val="24"/>
          <w:szCs w:val="24"/>
          <w:highlight w:val="none"/>
        </w:rPr>
        <w:t>所竞分标：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276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A92C6CC">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tcBorders>
              <w:top w:val="single" w:color="auto" w:sz="4" w:space="0"/>
              <w:left w:val="single" w:color="auto" w:sz="4" w:space="0"/>
              <w:bottom w:val="single" w:color="auto" w:sz="4" w:space="0"/>
              <w:right w:val="single" w:color="auto" w:sz="4" w:space="0"/>
            </w:tcBorders>
            <w:vAlign w:val="center"/>
          </w:tcPr>
          <w:p w14:paraId="6D13FC7B">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048DBB45">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vAlign w:val="center"/>
          </w:tcPr>
          <w:p w14:paraId="5CF5BF2A">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tcBorders>
              <w:top w:val="single" w:color="auto" w:sz="4" w:space="0"/>
              <w:left w:val="single" w:color="auto" w:sz="4" w:space="0"/>
              <w:bottom w:val="single" w:color="auto" w:sz="4" w:space="0"/>
              <w:right w:val="single" w:color="auto" w:sz="4" w:space="0"/>
            </w:tcBorders>
            <w:vAlign w:val="center"/>
          </w:tcPr>
          <w:p w14:paraId="1F23D438">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2B47CBA4">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tcBorders>
              <w:top w:val="single" w:color="auto" w:sz="4" w:space="0"/>
              <w:left w:val="single" w:color="auto" w:sz="4" w:space="0"/>
              <w:bottom w:val="single" w:color="auto" w:sz="4" w:space="0"/>
              <w:right w:val="single" w:color="auto" w:sz="4" w:space="0"/>
            </w:tcBorders>
            <w:vAlign w:val="center"/>
          </w:tcPr>
          <w:p w14:paraId="38793990">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572C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D209232">
            <w:pPr>
              <w:spacing w:line="360" w:lineRule="auto"/>
              <w:contextualSpacing/>
              <w:jc w:val="center"/>
              <w:rPr>
                <w:rFonts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54937C5">
            <w:pPr>
              <w:spacing w:line="360" w:lineRule="auto"/>
              <w:contextualSpacing/>
              <w:jc w:val="center"/>
              <w:rPr>
                <w:rFonts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A5EB89D">
            <w:pPr>
              <w:spacing w:line="360" w:lineRule="auto"/>
              <w:contextualSpacing/>
              <w:jc w:val="center"/>
              <w:rPr>
                <w:rFonts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6DF48768">
            <w:pPr>
              <w:spacing w:line="360" w:lineRule="auto"/>
              <w:contextualSpacing/>
              <w:jc w:val="center"/>
              <w:rPr>
                <w:rFonts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45034F79">
            <w:pPr>
              <w:spacing w:line="360" w:lineRule="auto"/>
              <w:contextualSpacing/>
              <w:jc w:val="center"/>
              <w:rPr>
                <w:rFonts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1E084D9">
            <w:pPr>
              <w:spacing w:line="360" w:lineRule="auto"/>
              <w:contextualSpacing/>
              <w:jc w:val="center"/>
              <w:rPr>
                <w:rFonts w:ascii="宋体" w:hAnsi="宋体"/>
                <w:color w:val="auto"/>
                <w:sz w:val="24"/>
                <w:szCs w:val="20"/>
                <w:highlight w:val="none"/>
              </w:rPr>
            </w:pPr>
          </w:p>
        </w:tc>
      </w:tr>
      <w:tr w14:paraId="5A90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A74C824">
            <w:pPr>
              <w:spacing w:line="360" w:lineRule="auto"/>
              <w:contextualSpacing/>
              <w:jc w:val="center"/>
              <w:rPr>
                <w:rFonts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B5FFB9B">
            <w:pPr>
              <w:spacing w:line="360" w:lineRule="auto"/>
              <w:contextualSpacing/>
              <w:jc w:val="center"/>
              <w:rPr>
                <w:rFonts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7B1C73F">
            <w:pPr>
              <w:spacing w:line="360" w:lineRule="auto"/>
              <w:contextualSpacing/>
              <w:jc w:val="center"/>
              <w:rPr>
                <w:rFonts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01109800">
            <w:pPr>
              <w:spacing w:line="360" w:lineRule="auto"/>
              <w:contextualSpacing/>
              <w:jc w:val="center"/>
              <w:rPr>
                <w:rFonts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73153100">
            <w:pPr>
              <w:spacing w:line="360" w:lineRule="auto"/>
              <w:contextualSpacing/>
              <w:jc w:val="center"/>
              <w:rPr>
                <w:rFonts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6874F05">
            <w:pPr>
              <w:spacing w:line="360" w:lineRule="auto"/>
              <w:contextualSpacing/>
              <w:jc w:val="center"/>
              <w:rPr>
                <w:rFonts w:ascii="宋体" w:hAnsi="宋体"/>
                <w:color w:val="auto"/>
                <w:sz w:val="24"/>
                <w:szCs w:val="20"/>
                <w:highlight w:val="none"/>
              </w:rPr>
            </w:pPr>
          </w:p>
        </w:tc>
      </w:tr>
      <w:tr w14:paraId="33A9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045448E">
            <w:pPr>
              <w:spacing w:line="360" w:lineRule="auto"/>
              <w:contextualSpacing/>
              <w:jc w:val="center"/>
              <w:rPr>
                <w:rFonts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669B864">
            <w:pPr>
              <w:spacing w:line="360" w:lineRule="auto"/>
              <w:contextualSpacing/>
              <w:jc w:val="center"/>
              <w:rPr>
                <w:rFonts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B67591D">
            <w:pPr>
              <w:spacing w:line="360" w:lineRule="auto"/>
              <w:contextualSpacing/>
              <w:jc w:val="center"/>
              <w:rPr>
                <w:rFonts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vAlign w:val="center"/>
          </w:tcPr>
          <w:p w14:paraId="2B168821">
            <w:pPr>
              <w:spacing w:line="360" w:lineRule="auto"/>
              <w:contextualSpacing/>
              <w:jc w:val="center"/>
              <w:rPr>
                <w:rFonts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vAlign w:val="center"/>
          </w:tcPr>
          <w:p w14:paraId="157D89EE">
            <w:pPr>
              <w:spacing w:line="360" w:lineRule="auto"/>
              <w:contextualSpacing/>
              <w:jc w:val="center"/>
              <w:rPr>
                <w:rFonts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1B991A1">
            <w:pPr>
              <w:spacing w:line="360" w:lineRule="auto"/>
              <w:contextualSpacing/>
              <w:jc w:val="center"/>
              <w:rPr>
                <w:rFonts w:ascii="宋体" w:hAnsi="宋体"/>
                <w:color w:val="auto"/>
                <w:sz w:val="24"/>
                <w:szCs w:val="20"/>
                <w:highlight w:val="none"/>
              </w:rPr>
            </w:pPr>
          </w:p>
        </w:tc>
      </w:tr>
    </w:tbl>
    <w:p w14:paraId="5F5DB649">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698CD916">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04C9B64F">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供应商应当附本表所列证书的复印件并加盖供应商电子签章。</w:t>
      </w:r>
    </w:p>
    <w:p w14:paraId="438081B4">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w:t>
      </w:r>
      <w:r>
        <w:rPr>
          <w:rFonts w:hint="eastAsia" w:ascii="宋体" w:hAnsi="宋体" w:cs="仿宋_GB2312"/>
          <w:color w:val="auto"/>
          <w:sz w:val="24"/>
          <w:highlight w:val="none"/>
        </w:rPr>
        <w:t>签字或者电子签名</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p>
    <w:p w14:paraId="7B6C1B99">
      <w:pPr>
        <w:spacing w:line="360" w:lineRule="auto"/>
        <w:contextualSpacing/>
        <w:jc w:val="left"/>
        <w:rPr>
          <w:rFonts w:ascii="宋体" w:hAnsi="宋体"/>
          <w:color w:val="auto"/>
          <w:spacing w:val="20"/>
          <w:sz w:val="24"/>
          <w:highlight w:val="none"/>
        </w:rPr>
      </w:pPr>
      <w:r>
        <w:rPr>
          <w:rFonts w:hint="eastAsia" w:ascii="宋体" w:hAnsi="宋体"/>
          <w:color w:val="auto"/>
          <w:spacing w:val="20"/>
          <w:sz w:val="24"/>
          <w:highlight w:val="none"/>
        </w:rPr>
        <w:t>供应商名称（电子签章）：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02A02C26">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DB1E010">
      <w:pPr>
        <w:spacing w:before="120" w:after="50"/>
        <w:jc w:val="left"/>
        <w:rPr>
          <w:rFonts w:ascii="方正小标宋简体" w:hAnsi="方正小标宋简体" w:eastAsia="方正小标宋简体" w:cs="方正小标宋简体"/>
          <w:bCs/>
          <w:color w:val="auto"/>
          <w:szCs w:val="21"/>
          <w:highlight w:val="none"/>
        </w:rPr>
      </w:pPr>
      <w:r>
        <w:rPr>
          <w:rFonts w:ascii="宋体" w:hAnsi="宋体"/>
          <w:color w:val="auto"/>
          <w:sz w:val="24"/>
          <w:szCs w:val="20"/>
          <w:highlight w:val="none"/>
        </w:rPr>
        <w:br w:type="page" w:clear="all"/>
      </w:r>
      <w:r>
        <w:rPr>
          <w:rFonts w:hint="eastAsia" w:ascii="宋体" w:hAnsi="宋体"/>
          <w:b/>
          <w:color w:val="auto"/>
          <w:sz w:val="24"/>
          <w:highlight w:val="none"/>
        </w:rPr>
        <w:t>代理服务费承诺书</w:t>
      </w:r>
    </w:p>
    <w:p w14:paraId="196943B6">
      <w:pPr>
        <w:spacing w:before="120" w:after="50"/>
        <w:jc w:val="left"/>
        <w:rPr>
          <w:rFonts w:ascii="方正小标宋简体" w:hAnsi="方正小标宋简体" w:eastAsia="方正小标宋简体" w:cs="方正小标宋简体"/>
          <w:bCs/>
          <w:color w:val="auto"/>
          <w:szCs w:val="21"/>
          <w:highlight w:val="none"/>
        </w:rPr>
      </w:pPr>
    </w:p>
    <w:p w14:paraId="66946049">
      <w:pPr>
        <w:spacing w:before="12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5E28E46A">
      <w:pPr>
        <w:spacing w:before="120" w:after="50"/>
        <w:jc w:val="center"/>
        <w:rPr>
          <w:rFonts w:ascii="宋体" w:hAnsi="宋体"/>
          <w:b/>
          <w:color w:val="auto"/>
          <w:sz w:val="24"/>
          <w:highlight w:val="none"/>
        </w:rPr>
      </w:pPr>
    </w:p>
    <w:p w14:paraId="352902BF">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77AE9044">
      <w:pPr>
        <w:spacing w:line="360" w:lineRule="auto"/>
        <w:ind w:firstLine="48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0320570B">
      <w:pPr>
        <w:spacing w:line="360" w:lineRule="auto"/>
        <w:ind w:firstLine="360"/>
        <w:rPr>
          <w:rFonts w:ascii="宋体" w:hAnsi="宋体"/>
          <w:color w:val="auto"/>
          <w:sz w:val="24"/>
          <w:highlight w:val="none"/>
        </w:rPr>
      </w:pPr>
      <w:r>
        <w:rPr>
          <w:rFonts w:hint="eastAsia" w:ascii="宋体" w:hAnsi="宋体"/>
          <w:color w:val="auto"/>
          <w:sz w:val="24"/>
          <w:highlight w:val="none"/>
        </w:rPr>
        <w:t>1.我方承诺，若本单位成交，保证在发出成交通知书之后，按本项目采购文件的规定标准向贵单位一次性足额支付代理服务费， 在领取成交通知书后，由于被质疑、投诉或者其他原因而导致成交结果改变，我方将放弃对已缴纳的代理服务费追还的一切权利。</w:t>
      </w:r>
    </w:p>
    <w:p w14:paraId="0A7FCBF9">
      <w:pPr>
        <w:spacing w:line="360" w:lineRule="auto"/>
        <w:ind w:firstLine="36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1AB9DFF5">
      <w:pPr>
        <w:spacing w:line="360" w:lineRule="auto"/>
        <w:ind w:firstLine="36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698CA5D8">
      <w:pPr>
        <w:spacing w:line="360" w:lineRule="auto"/>
        <w:ind w:firstLine="360"/>
        <w:rPr>
          <w:rFonts w:ascii="宋体" w:hAnsi="宋体"/>
          <w:color w:val="auto"/>
          <w:sz w:val="24"/>
          <w:highlight w:val="none"/>
        </w:rPr>
      </w:pPr>
      <w:r>
        <w:rPr>
          <w:rFonts w:hint="eastAsia" w:ascii="宋体" w:hAnsi="宋体"/>
          <w:color w:val="auto"/>
          <w:sz w:val="24"/>
          <w:highlight w:val="none"/>
        </w:rPr>
        <w:t>（1）公司名称_</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C72C691">
      <w:pPr>
        <w:spacing w:line="360" w:lineRule="auto"/>
        <w:ind w:firstLine="360"/>
        <w:rPr>
          <w:rFonts w:ascii="宋体" w:hAnsi="宋体"/>
          <w:color w:val="auto"/>
          <w:sz w:val="24"/>
          <w:highlight w:val="none"/>
        </w:rPr>
      </w:pPr>
      <w:r>
        <w:rPr>
          <w:rFonts w:hint="eastAsia" w:ascii="宋体" w:hAnsi="宋体"/>
          <w:color w:val="auto"/>
          <w:sz w:val="24"/>
          <w:highlight w:val="none"/>
        </w:rPr>
        <w:t>（2）纳税人识别号_</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2B92D83">
      <w:pPr>
        <w:spacing w:line="360" w:lineRule="auto"/>
        <w:ind w:firstLine="360"/>
        <w:rPr>
          <w:rFonts w:ascii="宋体" w:hAnsi="宋体"/>
          <w:color w:val="auto"/>
          <w:sz w:val="24"/>
          <w:highlight w:val="none"/>
        </w:rPr>
      </w:pPr>
      <w:r>
        <w:rPr>
          <w:rFonts w:hint="eastAsia" w:ascii="宋体" w:hAnsi="宋体"/>
          <w:color w:val="auto"/>
          <w:sz w:val="24"/>
          <w:highlight w:val="none"/>
        </w:rPr>
        <w:t>第二种方式：开具增值税专用发票，开票信息如下：</w:t>
      </w:r>
    </w:p>
    <w:p w14:paraId="427EF709">
      <w:pPr>
        <w:spacing w:line="360" w:lineRule="auto"/>
        <w:ind w:firstLine="36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22BC10A">
      <w:pPr>
        <w:spacing w:line="360" w:lineRule="auto"/>
        <w:ind w:firstLine="36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07D8942">
      <w:pPr>
        <w:spacing w:line="360" w:lineRule="auto"/>
        <w:ind w:firstLine="360"/>
        <w:rPr>
          <w:rFonts w:ascii="宋体" w:hAnsi="宋体"/>
          <w:color w:val="auto"/>
          <w:sz w:val="24"/>
          <w:highlight w:val="none"/>
        </w:rPr>
      </w:pPr>
      <w:r>
        <w:rPr>
          <w:rFonts w:hint="eastAsia" w:ascii="宋体" w:hAnsi="宋体"/>
          <w:color w:val="auto"/>
          <w:sz w:val="24"/>
          <w:highlight w:val="none"/>
        </w:rPr>
        <w:t>（3）在税务局登记的地址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97E52B1">
      <w:pPr>
        <w:spacing w:line="360" w:lineRule="auto"/>
        <w:ind w:firstLine="360"/>
        <w:rPr>
          <w:rFonts w:ascii="宋体" w:hAnsi="宋体"/>
          <w:color w:val="auto"/>
          <w:sz w:val="24"/>
          <w:highlight w:val="none"/>
        </w:rPr>
      </w:pPr>
      <w:r>
        <w:rPr>
          <w:rFonts w:hint="eastAsia" w:ascii="宋体" w:hAnsi="宋体"/>
          <w:color w:val="auto"/>
          <w:sz w:val="24"/>
          <w:highlight w:val="none"/>
        </w:rPr>
        <w:t>（4）在税务局登记的电话</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901C34A">
      <w:pPr>
        <w:spacing w:line="360" w:lineRule="auto"/>
        <w:ind w:firstLine="36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29A6A4E">
      <w:pPr>
        <w:spacing w:line="360" w:lineRule="auto"/>
        <w:ind w:firstLine="36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161C02E">
      <w:pPr>
        <w:spacing w:line="440" w:lineRule="exact"/>
        <w:rPr>
          <w:rFonts w:ascii="宋体" w:hAnsi="宋体"/>
          <w:color w:val="auto"/>
          <w:sz w:val="24"/>
          <w:highlight w:val="none"/>
        </w:rPr>
      </w:pPr>
    </w:p>
    <w:p w14:paraId="64A403D4">
      <w:pPr>
        <w:spacing w:line="440" w:lineRule="exact"/>
        <w:rPr>
          <w:rFonts w:ascii="宋体" w:hAnsi="宋体"/>
          <w:color w:val="auto"/>
          <w:sz w:val="24"/>
          <w:highlight w:val="none"/>
        </w:rPr>
      </w:pPr>
    </w:p>
    <w:p w14:paraId="51C567CF">
      <w:pPr>
        <w:spacing w:line="440" w:lineRule="exact"/>
        <w:rPr>
          <w:rFonts w:ascii="宋体" w:hAnsi="宋体"/>
          <w:color w:val="auto"/>
          <w:sz w:val="24"/>
          <w:highlight w:val="none"/>
        </w:rPr>
      </w:pPr>
    </w:p>
    <w:p w14:paraId="4E37D7EA">
      <w:pPr>
        <w:spacing w:line="360" w:lineRule="auto"/>
        <w:ind w:left="-2" w:right="-817" w:firstLine="192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3DE787C0">
      <w:pPr>
        <w:spacing w:line="360" w:lineRule="auto"/>
        <w:ind w:left="-3" w:right="-817" w:hanging="28"/>
        <w:rPr>
          <w:rFonts w:ascii="宋体" w:hAnsi="宋体"/>
          <w:color w:val="auto"/>
          <w:sz w:val="24"/>
          <w:highlight w:val="none"/>
        </w:rPr>
      </w:pPr>
      <w:r>
        <w:rPr>
          <w:rFonts w:hint="eastAsia" w:ascii="宋体" w:hAnsi="宋体"/>
          <w:color w:val="auto"/>
          <w:sz w:val="24"/>
          <w:highlight w:val="none"/>
        </w:rPr>
        <w:t xml:space="preserve">                                      供应商公章（电子签章）：</w:t>
      </w:r>
    </w:p>
    <w:p w14:paraId="413E87E0">
      <w:pPr>
        <w:spacing w:before="50" w:after="50" w:line="360" w:lineRule="auto"/>
        <w:ind w:right="-817" w:firstLine="4080"/>
        <w:rPr>
          <w:rFonts w:ascii="仿宋_GB2312" w:hAnsi="仿宋_GB2312" w:eastAsia="仿宋_GB2312" w:cs="仿宋_GB2312"/>
          <w:b/>
          <w:color w:val="auto"/>
          <w:sz w:val="32"/>
          <w:szCs w:val="32"/>
          <w:highlight w:val="none"/>
        </w:rPr>
      </w:pPr>
      <w:r>
        <w:rPr>
          <w:rFonts w:hint="eastAsia" w:ascii="宋体" w:hAnsi="宋体"/>
          <w:color w:val="auto"/>
          <w:sz w:val="24"/>
          <w:highlight w:val="none"/>
        </w:rPr>
        <w:t xml:space="preserve">                   日期：    年   月   日</w:t>
      </w:r>
    </w:p>
    <w:p w14:paraId="64FB0CAE">
      <w:pPr>
        <w:spacing w:line="360" w:lineRule="auto"/>
        <w:ind w:right="-817" w:firstLine="3840"/>
        <w:contextualSpacing/>
        <w:rPr>
          <w:rFonts w:ascii="仿宋_GB2312" w:hAnsi="仿宋_GB2312" w:eastAsia="仿宋_GB2312" w:cs="仿宋_GB2312"/>
          <w:color w:val="auto"/>
          <w:sz w:val="32"/>
          <w:szCs w:val="32"/>
          <w:highlight w:val="none"/>
        </w:rPr>
      </w:pPr>
    </w:p>
    <w:p w14:paraId="1A112F0F">
      <w:pPr>
        <w:spacing w:before="50" w:after="50" w:line="360" w:lineRule="auto"/>
        <w:ind w:right="-817"/>
        <w:rPr>
          <w:rFonts w:ascii="仿宋_GB2312" w:hAnsi="仿宋_GB2312" w:eastAsia="仿宋_GB2312" w:cs="仿宋_GB2312"/>
          <w:color w:val="auto"/>
          <w:sz w:val="32"/>
          <w:szCs w:val="32"/>
          <w:highlight w:val="none"/>
        </w:rPr>
      </w:pPr>
    </w:p>
    <w:p w14:paraId="7EA4778C">
      <w:pPr>
        <w:spacing w:line="300" w:lineRule="auto"/>
        <w:rPr>
          <w:rFonts w:ascii="宋体" w:hAnsi="宋体"/>
          <w:color w:val="auto"/>
          <w:szCs w:val="21"/>
          <w:highlight w:val="none"/>
        </w:rPr>
      </w:pPr>
      <w:r>
        <w:rPr>
          <w:rFonts w:hint="eastAsia" w:ascii="宋体" w:hAnsi="宋体"/>
          <w:b/>
          <w:bCs/>
          <w:color w:val="auto"/>
          <w:sz w:val="24"/>
          <w:highlight w:val="none"/>
        </w:rPr>
        <w:t>其他文书、文件格式</w:t>
      </w:r>
    </w:p>
    <w:p w14:paraId="7D82C1C0">
      <w:pPr>
        <w:rPr>
          <w:rFonts w:ascii="宋体" w:hAnsi="宋体"/>
          <w:color w:val="auto"/>
          <w:highlight w:val="none"/>
        </w:rPr>
      </w:pPr>
    </w:p>
    <w:p w14:paraId="7B01254F">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3600C408">
      <w:pPr>
        <w:spacing w:before="2" w:line="500" w:lineRule="exact"/>
        <w:ind w:firstLine="708"/>
        <w:rPr>
          <w:rFonts w:ascii="宋体" w:hAnsi="宋体" w:cs="宋体"/>
          <w:b/>
          <w:bCs/>
          <w:color w:val="auto"/>
          <w:sz w:val="24"/>
          <w:highlight w:val="none"/>
        </w:rPr>
      </w:pPr>
    </w:p>
    <w:p w14:paraId="46137EA0">
      <w:pPr>
        <w:pStyle w:val="209"/>
        <w:spacing w:line="500" w:lineRule="exact"/>
        <w:ind w:right="142" w:firstLine="705"/>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27962EDB">
      <w:pPr>
        <w:tabs>
          <w:tab w:val="left" w:pos="1384"/>
          <w:tab w:val="left" w:pos="4562"/>
          <w:tab w:val="left" w:pos="6803"/>
        </w:tabs>
        <w:spacing w:before="13" w:line="500" w:lineRule="exact"/>
        <w:ind w:right="142" w:firstLine="77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FA77824">
      <w:pPr>
        <w:tabs>
          <w:tab w:val="left" w:pos="1065"/>
          <w:tab w:val="left" w:pos="4262"/>
          <w:tab w:val="left" w:pos="6477"/>
        </w:tabs>
        <w:spacing w:before="20" w:line="500" w:lineRule="exact"/>
        <w:ind w:right="84" w:firstLine="77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F3FD14A">
      <w:pPr>
        <w:pStyle w:val="209"/>
        <w:spacing w:before="34" w:line="500" w:lineRule="exact"/>
        <w:ind w:right="142" w:firstLine="705"/>
        <w:rPr>
          <w:rFonts w:ascii="宋体" w:hAnsi="宋体"/>
          <w:color w:val="auto"/>
          <w:sz w:val="24"/>
          <w:highlight w:val="none"/>
        </w:rPr>
      </w:pPr>
      <w:r>
        <w:rPr>
          <w:rFonts w:ascii="宋体" w:hAnsi="宋体"/>
          <w:color w:val="auto"/>
          <w:sz w:val="24"/>
          <w:highlight w:val="none"/>
        </w:rPr>
        <w:t xml:space="preserve">…… </w:t>
      </w:r>
    </w:p>
    <w:p w14:paraId="6711F888">
      <w:pPr>
        <w:pStyle w:val="209"/>
        <w:spacing w:before="34" w:line="500" w:lineRule="exact"/>
        <w:ind w:right="142" w:firstLine="705"/>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40AD06FB">
      <w:pPr>
        <w:pStyle w:val="209"/>
        <w:spacing w:before="25" w:line="500" w:lineRule="exact"/>
        <w:ind w:right="142" w:firstLine="705"/>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580CA4B2">
      <w:pPr>
        <w:pStyle w:val="209"/>
        <w:spacing w:before="56" w:line="500" w:lineRule="exact"/>
        <w:ind w:right="1808" w:firstLine="705"/>
        <w:rPr>
          <w:rFonts w:ascii="宋体" w:hAnsi="宋体"/>
          <w:color w:val="auto"/>
          <w:sz w:val="24"/>
          <w:highlight w:val="none"/>
        </w:rPr>
      </w:pPr>
    </w:p>
    <w:p w14:paraId="33D29084">
      <w:pPr>
        <w:pStyle w:val="209"/>
        <w:spacing w:before="56" w:line="500" w:lineRule="exact"/>
        <w:ind w:right="650" w:firstLine="5625"/>
        <w:rPr>
          <w:rFonts w:ascii="宋体" w:hAnsi="宋体"/>
          <w:color w:val="auto"/>
          <w:sz w:val="24"/>
          <w:highlight w:val="none"/>
        </w:rPr>
      </w:pPr>
      <w:r>
        <w:rPr>
          <w:rFonts w:ascii="宋体" w:hAnsi="宋体"/>
          <w:color w:val="auto"/>
          <w:sz w:val="24"/>
          <w:highlight w:val="none"/>
        </w:rPr>
        <w:t xml:space="preserve">企业名称（章）： </w:t>
      </w:r>
    </w:p>
    <w:p w14:paraId="29775EA3">
      <w:pPr>
        <w:pStyle w:val="209"/>
        <w:spacing w:before="56" w:line="500" w:lineRule="exact"/>
        <w:ind w:right="1808" w:firstLine="5625"/>
        <w:rPr>
          <w:rFonts w:ascii="宋体" w:hAnsi="宋体"/>
          <w:color w:val="auto"/>
          <w:sz w:val="24"/>
          <w:highlight w:val="none"/>
        </w:rPr>
      </w:pPr>
      <w:r>
        <w:rPr>
          <w:rFonts w:ascii="宋体" w:hAnsi="宋体"/>
          <w:color w:val="auto"/>
          <w:sz w:val="24"/>
          <w:highlight w:val="none"/>
        </w:rPr>
        <w:t>日 期：</w:t>
      </w:r>
    </w:p>
    <w:p w14:paraId="2F49A6C6">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1844C3E">
      <w:pPr>
        <w:spacing w:line="520" w:lineRule="exact"/>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clear="all"/>
      </w:r>
      <w:r>
        <w:rPr>
          <w:rFonts w:hint="eastAsia" w:ascii="方正小标宋简体" w:hAnsi="方正小标宋简体" w:eastAsia="方正小标宋简体" w:cs="方正小标宋简体"/>
          <w:color w:val="auto"/>
          <w:sz w:val="44"/>
          <w:szCs w:val="44"/>
          <w:highlight w:val="none"/>
        </w:rPr>
        <w:t>残疾人福利性单位声明函</w:t>
      </w:r>
    </w:p>
    <w:p w14:paraId="35D70197">
      <w:pPr>
        <w:spacing w:line="520" w:lineRule="exact"/>
        <w:rPr>
          <w:rFonts w:ascii="仿宋_GB2312" w:hAnsi="仿宋_GB2312" w:eastAsia="仿宋_GB2312" w:cs="仿宋_GB2312"/>
          <w:color w:val="auto"/>
          <w:sz w:val="32"/>
          <w:szCs w:val="32"/>
          <w:highlight w:val="none"/>
        </w:rPr>
      </w:pPr>
    </w:p>
    <w:p w14:paraId="31B7261E">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9C04DB8">
      <w:pPr>
        <w:spacing w:line="360" w:lineRule="auto"/>
        <w:ind w:firstLine="48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A85151D">
      <w:pPr>
        <w:spacing w:line="360" w:lineRule="auto"/>
        <w:contextualSpacing/>
        <w:rPr>
          <w:rFonts w:ascii="宋体" w:hAnsi="宋体" w:cs="仿宋_GB2312"/>
          <w:color w:val="auto"/>
          <w:sz w:val="24"/>
          <w:highlight w:val="none"/>
        </w:rPr>
      </w:pPr>
    </w:p>
    <w:p w14:paraId="6BB1FB8B">
      <w:pPr>
        <w:spacing w:line="360" w:lineRule="auto"/>
        <w:contextualSpacing/>
        <w:rPr>
          <w:rFonts w:ascii="宋体" w:hAnsi="宋体" w:cs="仿宋_GB2312"/>
          <w:color w:val="auto"/>
          <w:sz w:val="24"/>
          <w:highlight w:val="none"/>
        </w:rPr>
      </w:pPr>
    </w:p>
    <w:p w14:paraId="72B408B9">
      <w:pPr>
        <w:spacing w:line="360" w:lineRule="auto"/>
        <w:contextualSpacing/>
        <w:rPr>
          <w:rFonts w:ascii="宋体" w:hAnsi="宋体" w:cs="仿宋_GB2312"/>
          <w:color w:val="auto"/>
          <w:sz w:val="24"/>
          <w:highlight w:val="none"/>
        </w:rPr>
      </w:pPr>
    </w:p>
    <w:p w14:paraId="120D2B92">
      <w:pPr>
        <w:spacing w:line="360" w:lineRule="auto"/>
        <w:ind w:firstLine="24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25488696">
      <w:pPr>
        <w:spacing w:line="360" w:lineRule="auto"/>
        <w:ind w:firstLine="36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310DFC3B">
      <w:pPr>
        <w:spacing w:line="360" w:lineRule="auto"/>
        <w:contextualSpacing/>
        <w:rPr>
          <w:rFonts w:ascii="宋体" w:hAnsi="宋体" w:cs="仿宋_GB2312"/>
          <w:color w:val="auto"/>
          <w:sz w:val="24"/>
          <w:highlight w:val="none"/>
        </w:rPr>
      </w:pPr>
    </w:p>
    <w:p w14:paraId="0EF60169">
      <w:pPr>
        <w:spacing w:line="360" w:lineRule="auto"/>
        <w:contextualSpacing/>
        <w:rPr>
          <w:rFonts w:ascii="宋体" w:hAnsi="宋体" w:cs="仿宋_GB2312"/>
          <w:color w:val="auto"/>
          <w:sz w:val="24"/>
          <w:highlight w:val="none"/>
        </w:rPr>
      </w:pPr>
    </w:p>
    <w:p w14:paraId="6EE77810">
      <w:pPr>
        <w:spacing w:line="360" w:lineRule="auto"/>
        <w:contextualSpacing/>
        <w:rPr>
          <w:rFonts w:ascii="宋体" w:hAnsi="宋体" w:cs="仿宋_GB2312"/>
          <w:color w:val="auto"/>
          <w:sz w:val="24"/>
          <w:highlight w:val="none"/>
        </w:rPr>
      </w:pPr>
    </w:p>
    <w:p w14:paraId="6C0840D4">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141D9632">
      <w:pPr>
        <w:widowControl/>
        <w:shd w:val="clear" w:color="auto" w:fill="FFFFFF"/>
        <w:jc w:val="center"/>
        <w:rPr>
          <w:rFonts w:ascii="宋体" w:hAnsi="宋体" w:cs="宋体"/>
          <w:color w:val="auto"/>
          <w:sz w:val="36"/>
          <w:szCs w:val="36"/>
          <w:highlight w:val="none"/>
        </w:rPr>
      </w:pPr>
      <w:r>
        <w:rPr>
          <w:rFonts w:ascii="宋体" w:hAnsi="宋体" w:cs="仿宋_GB2312"/>
          <w:color w:val="auto"/>
          <w:sz w:val="24"/>
          <w:highlight w:val="none"/>
        </w:rPr>
        <w:br w:type="page" w:clear="all"/>
      </w:r>
      <w:r>
        <w:rPr>
          <w:rFonts w:hint="eastAsia" w:ascii="宋体" w:hAnsi="宋体" w:cs="宋体"/>
          <w:b/>
          <w:bCs/>
          <w:color w:val="auto"/>
          <w:sz w:val="36"/>
          <w:szCs w:val="36"/>
          <w:highlight w:val="none"/>
        </w:rPr>
        <w:t>关于符合本国产品标准的声明函</w:t>
      </w:r>
    </w:p>
    <w:p w14:paraId="4911B525">
      <w:pPr>
        <w:widowControl/>
        <w:shd w:val="clear" w:color="auto" w:fill="FFFFFF"/>
        <w:spacing w:before="30" w:after="30"/>
        <w:ind w:firstLine="480"/>
        <w:jc w:val="left"/>
        <w:rPr>
          <w:rFonts w:ascii="宋体" w:hAnsi="宋体" w:cs="宋体"/>
          <w:color w:val="auto"/>
          <w:sz w:val="24"/>
          <w:highlight w:val="none"/>
        </w:rPr>
      </w:pPr>
      <w:r>
        <w:rPr>
          <w:rFonts w:hint="eastAsia" w:ascii="宋体" w:hAnsi="宋体" w:cs="宋体"/>
          <w:color w:val="auto"/>
          <w:sz w:val="24"/>
          <w:highlight w:val="none"/>
        </w:rPr>
        <w:t> </w:t>
      </w:r>
    </w:p>
    <w:p w14:paraId="0F21B647">
      <w:pPr>
        <w:widowControl/>
        <w:shd w:val="clear" w:color="auto" w:fill="FFFFFF"/>
        <w:spacing w:before="30" w:after="30"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1C4F7F48">
      <w:pPr>
        <w:widowControl/>
        <w:shd w:val="clear" w:color="auto" w:fill="FFFFFF"/>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i/>
          <w:iCs/>
          <w:color w:val="auto"/>
          <w:sz w:val="24"/>
          <w:highlight w:val="none"/>
          <w:u w:val="single"/>
        </w:rPr>
        <w:t>（产品名称1）</w:t>
      </w:r>
      <w:r>
        <w:rPr>
          <w:rFonts w:hint="eastAsia" w:ascii="宋体" w:hAnsi="宋体" w:cs="宋体"/>
          <w:i/>
          <w:iCs/>
          <w:color w:val="auto"/>
          <w:sz w:val="24"/>
          <w:highlight w:val="none"/>
          <w:u w:val="single"/>
          <w:vertAlign w:val="superscript"/>
        </w:rPr>
        <w:t>1</w:t>
      </w:r>
      <w:r>
        <w:rPr>
          <w:rFonts w:hint="eastAsia" w:ascii="宋体" w:hAnsi="宋体" w:cs="宋体"/>
          <w:color w:val="auto"/>
          <w:sz w:val="24"/>
          <w:highlight w:val="none"/>
        </w:rPr>
        <w:t>，生产厂为</w:t>
      </w:r>
      <w:r>
        <w:rPr>
          <w:rFonts w:hint="eastAsia" w:ascii="宋体" w:hAnsi="宋体" w:cs="宋体"/>
          <w:i/>
          <w:iCs/>
          <w:color w:val="auto"/>
          <w:sz w:val="24"/>
          <w:highlight w:val="none"/>
          <w:u w:val="single"/>
        </w:rPr>
        <w:t>（厂名）</w:t>
      </w:r>
      <w:r>
        <w:rPr>
          <w:rFonts w:hint="eastAsia" w:ascii="宋体" w:hAnsi="宋体" w:cs="宋体"/>
          <w:i/>
          <w:iCs/>
          <w:color w:val="auto"/>
          <w:sz w:val="24"/>
          <w:highlight w:val="none"/>
          <w:u w:val="single"/>
          <w:vertAlign w:val="superscript"/>
        </w:rPr>
        <w:t>2</w:t>
      </w:r>
      <w:r>
        <w:rPr>
          <w:rFonts w:hint="eastAsia" w:ascii="宋体" w:hAnsi="宋体" w:cs="宋体"/>
          <w:color w:val="auto"/>
          <w:sz w:val="24"/>
          <w:highlight w:val="none"/>
        </w:rPr>
        <w:t>，厂址为</w:t>
      </w:r>
      <w:r>
        <w:rPr>
          <w:rFonts w:hint="eastAsia" w:ascii="宋体" w:hAnsi="宋体" w:cs="宋体"/>
          <w:i/>
          <w:iCs/>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i/>
          <w:iCs/>
          <w:color w:val="auto"/>
          <w:sz w:val="24"/>
          <w:highlight w:val="none"/>
          <w:u w:val="single"/>
        </w:rPr>
        <w:t>（产品名称1）</w:t>
      </w:r>
      <w:r>
        <w:rPr>
          <w:rFonts w:hint="eastAsia" w:ascii="宋体" w:hAnsi="宋体" w:cs="宋体"/>
          <w:color w:val="auto"/>
          <w:sz w:val="24"/>
          <w:highlight w:val="none"/>
        </w:rPr>
        <w:t>的中国境内生产的组件成本占比≥</w:t>
      </w:r>
      <w:r>
        <w:rPr>
          <w:rFonts w:hint="eastAsia" w:ascii="宋体" w:hAnsi="宋体" w:cs="宋体"/>
          <w:i/>
          <w:iCs/>
          <w:color w:val="auto"/>
          <w:sz w:val="24"/>
          <w:highlight w:val="none"/>
          <w:u w:val="single"/>
        </w:rPr>
        <w:t>（规定比例）</w:t>
      </w:r>
      <w:r>
        <w:rPr>
          <w:rFonts w:hint="eastAsia" w:ascii="宋体" w:hAnsi="宋体" w:cs="宋体"/>
          <w:i/>
          <w:iCs/>
          <w:color w:val="auto"/>
          <w:sz w:val="24"/>
          <w:highlight w:val="none"/>
          <w:u w:val="single"/>
          <w:vertAlign w:val="superscript"/>
        </w:rPr>
        <w:t>3</w:t>
      </w:r>
      <w:r>
        <w:rPr>
          <w:rFonts w:hint="eastAsia" w:ascii="宋体" w:hAnsi="宋体" w:cs="宋体"/>
          <w:color w:val="auto"/>
          <w:sz w:val="24"/>
          <w:highlight w:val="none"/>
        </w:rPr>
        <w:t>。</w:t>
      </w:r>
      <w:r>
        <w:rPr>
          <w:rFonts w:hint="eastAsia" w:ascii="宋体" w:hAnsi="宋体" w:cs="宋体"/>
          <w:i/>
          <w:iCs/>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i/>
          <w:iCs/>
          <w:color w:val="auto"/>
          <w:sz w:val="24"/>
          <w:highlight w:val="none"/>
          <w:u w:val="single"/>
        </w:rPr>
        <w:t>（关键组件）</w:t>
      </w:r>
      <w:r>
        <w:rPr>
          <w:rFonts w:hint="eastAsia" w:ascii="宋体" w:hAnsi="宋体" w:cs="宋体"/>
          <w:i/>
          <w:iCs/>
          <w:color w:val="auto"/>
          <w:sz w:val="24"/>
          <w:highlight w:val="none"/>
          <w:u w:val="single"/>
          <w:vertAlign w:val="superscript"/>
        </w:rPr>
        <w:t>4</w:t>
      </w:r>
      <w:r>
        <w:rPr>
          <w:rFonts w:hint="eastAsia" w:ascii="宋体" w:hAnsi="宋体" w:cs="宋体"/>
          <w:color w:val="auto"/>
          <w:sz w:val="24"/>
          <w:highlight w:val="none"/>
        </w:rPr>
        <w:t>在中国境内生产。</w:t>
      </w:r>
      <w:r>
        <w:rPr>
          <w:rFonts w:hint="eastAsia" w:ascii="宋体" w:hAnsi="宋体" w:cs="宋体"/>
          <w:i/>
          <w:iCs/>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i/>
          <w:iCs/>
          <w:color w:val="auto"/>
          <w:sz w:val="24"/>
          <w:highlight w:val="none"/>
          <w:u w:val="single"/>
        </w:rPr>
        <w:t>（关键工序）</w:t>
      </w:r>
      <w:r>
        <w:rPr>
          <w:rFonts w:hint="eastAsia" w:ascii="宋体" w:hAnsi="宋体" w:cs="宋体"/>
          <w:i/>
          <w:iCs/>
          <w:color w:val="auto"/>
          <w:sz w:val="24"/>
          <w:highlight w:val="none"/>
          <w:u w:val="single"/>
          <w:vertAlign w:val="superscript"/>
        </w:rPr>
        <w:t>5</w:t>
      </w:r>
      <w:r>
        <w:rPr>
          <w:rFonts w:hint="eastAsia" w:ascii="宋体" w:hAnsi="宋体" w:cs="宋体"/>
          <w:color w:val="auto"/>
          <w:sz w:val="24"/>
          <w:highlight w:val="none"/>
        </w:rPr>
        <w:t>在中国境内完成。</w:t>
      </w:r>
    </w:p>
    <w:p w14:paraId="7D0DDB6F">
      <w:pPr>
        <w:widowControl/>
        <w:shd w:val="clear" w:color="auto" w:fill="FFFFFF"/>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i/>
          <w:iCs/>
          <w:color w:val="auto"/>
          <w:sz w:val="24"/>
          <w:highlight w:val="none"/>
          <w:u w:val="single"/>
        </w:rPr>
        <w:t>（产品名称2）</w:t>
      </w:r>
      <w:r>
        <w:rPr>
          <w:rFonts w:hint="eastAsia" w:ascii="宋体" w:hAnsi="宋体" w:cs="宋体"/>
          <w:color w:val="auto"/>
          <w:sz w:val="24"/>
          <w:highlight w:val="none"/>
        </w:rPr>
        <w:t>，生产厂为</w:t>
      </w:r>
      <w:r>
        <w:rPr>
          <w:rFonts w:hint="eastAsia" w:ascii="宋体" w:hAnsi="宋体" w:cs="宋体"/>
          <w:i/>
          <w:iCs/>
          <w:color w:val="auto"/>
          <w:sz w:val="24"/>
          <w:highlight w:val="none"/>
          <w:u w:val="single"/>
        </w:rPr>
        <w:t>（厂名）</w:t>
      </w:r>
      <w:r>
        <w:rPr>
          <w:rFonts w:hint="eastAsia" w:ascii="宋体" w:hAnsi="宋体" w:cs="宋体"/>
          <w:color w:val="auto"/>
          <w:sz w:val="24"/>
          <w:highlight w:val="none"/>
        </w:rPr>
        <w:t>，厂址为</w:t>
      </w:r>
      <w:r>
        <w:rPr>
          <w:rFonts w:hint="eastAsia" w:ascii="宋体" w:hAnsi="宋体" w:cs="宋体"/>
          <w:i/>
          <w:iCs/>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i/>
          <w:iCs/>
          <w:color w:val="auto"/>
          <w:sz w:val="24"/>
          <w:highlight w:val="none"/>
          <w:u w:val="single"/>
        </w:rPr>
        <w:t>（产品名称2）</w:t>
      </w:r>
      <w:r>
        <w:rPr>
          <w:rFonts w:hint="eastAsia" w:ascii="宋体" w:hAnsi="宋体" w:cs="宋体"/>
          <w:color w:val="auto"/>
          <w:sz w:val="24"/>
          <w:highlight w:val="none"/>
        </w:rPr>
        <w:t>的中国境内生产的组件成本占比≥</w:t>
      </w:r>
      <w:r>
        <w:rPr>
          <w:rFonts w:hint="eastAsia" w:ascii="宋体" w:hAnsi="宋体" w:cs="宋体"/>
          <w:i/>
          <w:iCs/>
          <w:color w:val="auto"/>
          <w:sz w:val="24"/>
          <w:highlight w:val="none"/>
          <w:u w:val="single"/>
        </w:rPr>
        <w:t>（规定比例）</w:t>
      </w:r>
      <w:r>
        <w:rPr>
          <w:rFonts w:hint="eastAsia" w:ascii="宋体" w:hAnsi="宋体" w:cs="宋体"/>
          <w:color w:val="auto"/>
          <w:sz w:val="24"/>
          <w:highlight w:val="none"/>
        </w:rPr>
        <w:t>。</w:t>
      </w:r>
      <w:r>
        <w:rPr>
          <w:rFonts w:hint="eastAsia" w:ascii="宋体" w:hAnsi="宋体" w:cs="宋体"/>
          <w:i/>
          <w:iCs/>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i/>
          <w:iCs/>
          <w:color w:val="auto"/>
          <w:sz w:val="24"/>
          <w:highlight w:val="none"/>
          <w:u w:val="single"/>
        </w:rPr>
        <w:t>（关键组件）</w:t>
      </w:r>
      <w:r>
        <w:rPr>
          <w:rFonts w:hint="eastAsia" w:ascii="宋体" w:hAnsi="宋体" w:cs="宋体"/>
          <w:color w:val="auto"/>
          <w:sz w:val="24"/>
          <w:highlight w:val="none"/>
        </w:rPr>
        <w:t>在中国境内生产。</w:t>
      </w:r>
      <w:r>
        <w:rPr>
          <w:rFonts w:hint="eastAsia" w:ascii="宋体" w:hAnsi="宋体" w:cs="宋体"/>
          <w:i/>
          <w:iCs/>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i/>
          <w:iCs/>
          <w:color w:val="auto"/>
          <w:sz w:val="24"/>
          <w:highlight w:val="none"/>
          <w:u w:val="single"/>
        </w:rPr>
        <w:t>（关键工序）</w:t>
      </w:r>
      <w:r>
        <w:rPr>
          <w:rFonts w:hint="eastAsia" w:ascii="宋体" w:hAnsi="宋体" w:cs="宋体"/>
          <w:color w:val="auto"/>
          <w:sz w:val="24"/>
          <w:highlight w:val="none"/>
        </w:rPr>
        <w:t>在中国境内完成。</w:t>
      </w:r>
    </w:p>
    <w:p w14:paraId="42CD5970">
      <w:pPr>
        <w:widowControl/>
        <w:shd w:val="clear" w:color="auto" w:fill="FFFFFF"/>
        <w:spacing w:before="30" w:after="30"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w:t>
      </w:r>
    </w:p>
    <w:p w14:paraId="2AD538C7">
      <w:pPr>
        <w:widowControl/>
        <w:shd w:val="clear" w:color="auto" w:fill="FFFFFF"/>
        <w:spacing w:before="30" w:after="30"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0A45C7C2">
      <w:pPr>
        <w:widowControl/>
        <w:shd w:val="clear" w:color="auto" w:fill="FFFFFF"/>
        <w:spacing w:before="30" w:after="30"/>
        <w:jc w:val="left"/>
        <w:rPr>
          <w:rFonts w:ascii="宋体" w:hAnsi="宋体" w:cs="宋体"/>
          <w:color w:val="auto"/>
          <w:sz w:val="24"/>
          <w:highlight w:val="none"/>
        </w:rPr>
      </w:pPr>
      <w:r>
        <w:rPr>
          <w:rFonts w:hint="eastAsia" w:ascii="宋体" w:hAnsi="宋体" w:cs="宋体"/>
          <w:color w:val="auto"/>
          <w:sz w:val="24"/>
          <w:highlight w:val="none"/>
        </w:rPr>
        <w:t> </w:t>
      </w:r>
    </w:p>
    <w:p w14:paraId="439CA80C">
      <w:pPr>
        <w:widowControl/>
        <w:shd w:val="clear" w:color="auto" w:fill="FFFFFF"/>
        <w:spacing w:before="30" w:after="30"/>
        <w:jc w:val="right"/>
        <w:rPr>
          <w:rFonts w:ascii="宋体" w:hAnsi="宋体" w:cs="宋体"/>
          <w:color w:val="auto"/>
          <w:sz w:val="24"/>
          <w:highlight w:val="none"/>
        </w:rPr>
      </w:pPr>
      <w:r>
        <w:rPr>
          <w:rFonts w:hint="eastAsia" w:ascii="宋体" w:hAnsi="宋体" w:cs="宋体"/>
          <w:color w:val="auto"/>
          <w:sz w:val="24"/>
          <w:highlight w:val="none"/>
        </w:rPr>
        <w:t>公司（单位）名称（盖章）：　        </w:t>
      </w:r>
    </w:p>
    <w:p w14:paraId="2BBDB18E">
      <w:pPr>
        <w:widowControl/>
        <w:shd w:val="clear" w:color="auto" w:fill="FFFFFF"/>
        <w:jc w:val="right"/>
        <w:rPr>
          <w:rFonts w:ascii="宋体" w:hAnsi="宋体" w:cs="宋体"/>
          <w:color w:val="auto"/>
          <w:sz w:val="24"/>
          <w:highlight w:val="none"/>
        </w:rPr>
      </w:pPr>
      <w:r>
        <w:rPr>
          <w:rFonts w:hint="eastAsia" w:ascii="宋体" w:hAnsi="宋体" w:cs="宋体"/>
          <w:color w:val="auto"/>
          <w:sz w:val="24"/>
          <w:highlight w:val="none"/>
        </w:rPr>
        <w:t>日期：　     年　  月　  日         </w:t>
      </w:r>
    </w:p>
    <w:p w14:paraId="6E0C9CCD">
      <w:pPr>
        <w:widowControl/>
        <w:shd w:val="clear" w:color="auto" w:fill="FFFFFF"/>
        <w:spacing w:before="30" w:after="30"/>
        <w:jc w:val="left"/>
        <w:rPr>
          <w:rFonts w:ascii="宋体" w:hAnsi="宋体" w:cs="宋体"/>
          <w:color w:val="auto"/>
          <w:sz w:val="24"/>
          <w:highlight w:val="none"/>
        </w:rPr>
      </w:pPr>
      <w:r>
        <w:rPr>
          <w:rFonts w:hint="eastAsia" w:ascii="宋体" w:hAnsi="宋体" w:cs="宋体"/>
          <w:color w:val="auto"/>
          <w:sz w:val="24"/>
          <w:highlight w:val="none"/>
        </w:rPr>
        <w:t>__________________</w:t>
      </w:r>
    </w:p>
    <w:p w14:paraId="3DAF3C20">
      <w:pPr>
        <w:widowControl/>
        <w:shd w:val="clear" w:color="auto" w:fill="FFFFFF"/>
        <w:ind w:firstLine="480"/>
        <w:jc w:val="left"/>
        <w:rPr>
          <w:rFonts w:ascii="宋体" w:hAnsi="宋体" w:cs="宋体"/>
          <w:color w:val="auto"/>
          <w:szCs w:val="21"/>
          <w:highlight w:val="none"/>
        </w:rPr>
      </w:pPr>
      <w:r>
        <w:rPr>
          <w:rFonts w:hint="eastAsia" w:ascii="宋体" w:hAnsi="宋体" w:cs="宋体"/>
          <w:color w:val="auto"/>
          <w:szCs w:val="21"/>
          <w:highlight w:val="none"/>
        </w:rPr>
        <w:t>1.产品如有型号，请在“产品名称”栏一并填写。</w:t>
      </w:r>
    </w:p>
    <w:p w14:paraId="388BD160">
      <w:pPr>
        <w:widowControl/>
        <w:shd w:val="clear" w:color="auto" w:fill="FFFFFF"/>
        <w:ind w:firstLine="480"/>
        <w:jc w:val="left"/>
        <w:rPr>
          <w:rFonts w:ascii="宋体" w:hAnsi="宋体" w:cs="宋体"/>
          <w:color w:val="auto"/>
          <w:szCs w:val="21"/>
          <w:highlight w:val="none"/>
        </w:rPr>
      </w:pPr>
      <w:r>
        <w:rPr>
          <w:rFonts w:hint="eastAsia" w:ascii="宋体" w:hAnsi="宋体" w:cs="宋体"/>
          <w:color w:val="auto"/>
          <w:szCs w:val="21"/>
          <w:highlight w:val="none"/>
        </w:rPr>
        <w:t>2.生产厂名与厂址应与生产厂营业执照载明的相关信息保持一致。</w:t>
      </w:r>
    </w:p>
    <w:p w14:paraId="002D02E1">
      <w:pPr>
        <w:widowControl/>
        <w:shd w:val="clear" w:color="auto" w:fill="FFFFFF"/>
        <w:ind w:firstLine="480"/>
        <w:jc w:val="left"/>
        <w:rPr>
          <w:rFonts w:ascii="宋体" w:hAnsi="宋体" w:cs="宋体"/>
          <w:color w:val="auto"/>
          <w:szCs w:val="21"/>
          <w:highlight w:val="none"/>
        </w:rPr>
      </w:pPr>
      <w:r>
        <w:rPr>
          <w:rFonts w:hint="eastAsia" w:ascii="宋体" w:hAnsi="宋体" w:cs="宋体"/>
          <w:color w:val="auto"/>
          <w:szCs w:val="21"/>
          <w:highlight w:val="none"/>
        </w:rPr>
        <w:t>3.该产品的中国境内生产的组件成本占比相关要求实施前，“规定比例”栏可不填，下同。</w:t>
      </w:r>
    </w:p>
    <w:p w14:paraId="2A300610">
      <w:pPr>
        <w:widowControl/>
        <w:shd w:val="clear" w:color="auto" w:fill="FFFFFF"/>
        <w:ind w:firstLine="480"/>
        <w:jc w:val="left"/>
        <w:rPr>
          <w:rFonts w:ascii="宋体" w:hAnsi="宋体" w:cs="宋体"/>
          <w:color w:val="auto"/>
          <w:szCs w:val="21"/>
          <w:highlight w:val="none"/>
        </w:rPr>
      </w:pPr>
      <w:r>
        <w:rPr>
          <w:rFonts w:hint="eastAsia" w:ascii="宋体" w:hAnsi="宋体" w:cs="宋体"/>
          <w:color w:val="auto"/>
          <w:szCs w:val="21"/>
          <w:highlight w:val="none"/>
        </w:rPr>
        <w:t>4.该产品的关键组件要求实施前，“关键组件”栏可不填，下同。</w:t>
      </w:r>
    </w:p>
    <w:p w14:paraId="2C089107">
      <w:pPr>
        <w:widowControl/>
        <w:shd w:val="clear" w:color="auto" w:fill="FFFFFF"/>
        <w:ind w:firstLine="480"/>
        <w:jc w:val="left"/>
        <w:rPr>
          <w:rFonts w:ascii="宋体" w:hAnsi="宋体" w:cs="宋体"/>
          <w:color w:val="auto"/>
          <w:szCs w:val="21"/>
          <w:highlight w:val="none"/>
        </w:rPr>
      </w:pPr>
      <w:r>
        <w:rPr>
          <w:rFonts w:hint="eastAsia" w:ascii="宋体" w:hAnsi="宋体" w:cs="宋体"/>
          <w:color w:val="auto"/>
          <w:szCs w:val="21"/>
          <w:highlight w:val="none"/>
        </w:rPr>
        <w:t>5.该产品的关键工序要求实施前，“关键工序”栏可不填，下同。</w:t>
      </w:r>
    </w:p>
    <w:p w14:paraId="478BAEFA">
      <w:pPr>
        <w:spacing w:line="360" w:lineRule="auto"/>
        <w:contextualSpacing/>
        <w:rPr>
          <w:rFonts w:ascii="宋体" w:hAnsi="宋体" w:cs="仿宋_GB2312"/>
          <w:color w:val="auto"/>
          <w:sz w:val="24"/>
          <w:highlight w:val="none"/>
        </w:rPr>
      </w:pPr>
    </w:p>
    <w:p w14:paraId="778010B8">
      <w:pPr>
        <w:spacing w:line="360" w:lineRule="auto"/>
        <w:contextualSpacing/>
        <w:rPr>
          <w:rFonts w:ascii="宋体" w:hAnsi="宋体" w:cs="仿宋_GB2312"/>
          <w:color w:val="auto"/>
          <w:sz w:val="24"/>
          <w:highlight w:val="none"/>
        </w:rPr>
      </w:pPr>
    </w:p>
    <w:p w14:paraId="6D5FA020">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clear="all"/>
      </w:r>
    </w:p>
    <w:p w14:paraId="66CA2E61">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22AEA219">
      <w:pPr>
        <w:pStyle w:val="214"/>
        <w:spacing w:line="360" w:lineRule="auto"/>
        <w:ind w:firstLine="482"/>
        <w:rPr>
          <w:rFonts w:hAnsi="宋体"/>
          <w:b/>
          <w:bCs/>
          <w:color w:val="auto"/>
          <w:sz w:val="24"/>
          <w:szCs w:val="24"/>
          <w:highlight w:val="none"/>
        </w:rPr>
      </w:pPr>
      <w:r>
        <w:rPr>
          <w:rFonts w:hint="eastAsia" w:hAnsi="宋体"/>
          <w:b/>
          <w:bCs/>
          <w:color w:val="auto"/>
          <w:sz w:val="24"/>
          <w:szCs w:val="24"/>
          <w:highlight w:val="none"/>
        </w:rPr>
        <w:t>一、质疑供应商基本信息：</w:t>
      </w:r>
    </w:p>
    <w:p w14:paraId="2ED301A5">
      <w:pPr>
        <w:pStyle w:val="214"/>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EEC3FDD">
      <w:pPr>
        <w:pStyle w:val="214"/>
        <w:spacing w:line="360" w:lineRule="auto"/>
        <w:ind w:firstLine="48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6DF4976">
      <w:pPr>
        <w:pStyle w:val="214"/>
        <w:spacing w:line="360" w:lineRule="auto"/>
        <w:ind w:firstLine="480"/>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E02A96A">
      <w:pPr>
        <w:pStyle w:val="214"/>
        <w:spacing w:line="360" w:lineRule="auto"/>
        <w:ind w:firstLine="480"/>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6A7C0965">
      <w:pPr>
        <w:pStyle w:val="214"/>
        <w:spacing w:line="360" w:lineRule="auto"/>
        <w:ind w:firstLine="480"/>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E4770A5">
      <w:pPr>
        <w:pStyle w:val="214"/>
        <w:spacing w:line="360" w:lineRule="auto"/>
        <w:ind w:firstLine="48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53F4A6C">
      <w:pPr>
        <w:pStyle w:val="214"/>
        <w:spacing w:line="360" w:lineRule="auto"/>
        <w:ind w:firstLine="482"/>
        <w:rPr>
          <w:rFonts w:hAnsi="宋体"/>
          <w:b/>
          <w:bCs/>
          <w:color w:val="auto"/>
          <w:sz w:val="24"/>
          <w:szCs w:val="24"/>
          <w:highlight w:val="none"/>
        </w:rPr>
      </w:pPr>
      <w:r>
        <w:rPr>
          <w:rFonts w:hint="eastAsia" w:hAnsi="宋体"/>
          <w:b/>
          <w:bCs/>
          <w:color w:val="auto"/>
          <w:sz w:val="24"/>
          <w:szCs w:val="24"/>
          <w:highlight w:val="none"/>
        </w:rPr>
        <w:t>二、质疑项目基本情况：</w:t>
      </w:r>
    </w:p>
    <w:p w14:paraId="55A37DC4">
      <w:pPr>
        <w:pStyle w:val="214"/>
        <w:spacing w:line="360" w:lineRule="auto"/>
        <w:ind w:left="25" w:firstLine="472"/>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876325D">
      <w:pPr>
        <w:pStyle w:val="214"/>
        <w:spacing w:line="360" w:lineRule="auto"/>
        <w:ind w:left="25" w:firstLine="472"/>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7C7149DE">
      <w:pPr>
        <w:pStyle w:val="214"/>
        <w:spacing w:line="360" w:lineRule="auto"/>
        <w:ind w:left="25" w:firstLine="472"/>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FA54F86">
      <w:pPr>
        <w:pStyle w:val="214"/>
        <w:spacing w:line="360" w:lineRule="auto"/>
        <w:ind w:left="25" w:firstLine="472"/>
        <w:rPr>
          <w:rFonts w:hAnsi="宋体"/>
          <w:color w:val="auto"/>
          <w:sz w:val="24"/>
          <w:szCs w:val="24"/>
          <w:highlight w:val="none"/>
        </w:rPr>
      </w:pPr>
      <w:r>
        <w:rPr>
          <w:rFonts w:hint="eastAsia" w:hAnsi="宋体"/>
          <w:color w:val="auto"/>
          <w:sz w:val="24"/>
          <w:szCs w:val="24"/>
          <w:highlight w:val="none"/>
        </w:rPr>
        <w:t>质疑事项：</w:t>
      </w:r>
    </w:p>
    <w:p w14:paraId="3379D8AE">
      <w:pPr>
        <w:pStyle w:val="214"/>
        <w:spacing w:line="360" w:lineRule="auto"/>
        <w:ind w:left="25" w:firstLine="352"/>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6CCA5935">
      <w:pPr>
        <w:pStyle w:val="214"/>
        <w:spacing w:line="360" w:lineRule="auto"/>
        <w:ind w:left="25" w:firstLine="352"/>
        <w:rPr>
          <w:rFonts w:hAnsi="宋体"/>
          <w:color w:val="auto"/>
          <w:sz w:val="24"/>
          <w:szCs w:val="24"/>
          <w:highlight w:val="none"/>
        </w:rPr>
      </w:pPr>
      <w:r>
        <w:rPr>
          <w:rFonts w:hint="eastAsia" w:hAnsi="宋体"/>
          <w:color w:val="auto"/>
          <w:sz w:val="24"/>
          <w:szCs w:val="24"/>
          <w:highlight w:val="none"/>
        </w:rPr>
        <w:t xml:space="preserve">□采购过程   </w:t>
      </w:r>
    </w:p>
    <w:p w14:paraId="63C744CC">
      <w:pPr>
        <w:pStyle w:val="214"/>
        <w:spacing w:line="360" w:lineRule="auto"/>
        <w:ind w:left="25" w:firstLine="352"/>
        <w:rPr>
          <w:rFonts w:hAnsi="宋体"/>
          <w:bCs/>
          <w:color w:val="auto"/>
          <w:sz w:val="24"/>
          <w:szCs w:val="24"/>
          <w:highlight w:val="none"/>
          <w:u w:val="single"/>
        </w:rPr>
      </w:pPr>
      <w:r>
        <w:rPr>
          <w:rFonts w:hint="eastAsia" w:hAnsi="宋体"/>
          <w:color w:val="auto"/>
          <w:sz w:val="24"/>
          <w:szCs w:val="24"/>
          <w:highlight w:val="none"/>
        </w:rPr>
        <w:t xml:space="preserve">□成交结果   </w:t>
      </w:r>
    </w:p>
    <w:p w14:paraId="1F861B83">
      <w:pPr>
        <w:pStyle w:val="214"/>
        <w:spacing w:line="360" w:lineRule="auto"/>
        <w:ind w:left="25" w:firstLine="472"/>
        <w:rPr>
          <w:rFonts w:hAnsi="宋体"/>
          <w:b/>
          <w:color w:val="auto"/>
          <w:sz w:val="24"/>
          <w:szCs w:val="24"/>
          <w:highlight w:val="none"/>
        </w:rPr>
      </w:pPr>
      <w:r>
        <w:rPr>
          <w:rFonts w:hint="eastAsia" w:hAnsi="宋体"/>
          <w:b/>
          <w:color w:val="auto"/>
          <w:sz w:val="24"/>
          <w:szCs w:val="24"/>
          <w:highlight w:val="none"/>
        </w:rPr>
        <w:t>三、质疑事项具体内容</w:t>
      </w:r>
    </w:p>
    <w:p w14:paraId="784958FC">
      <w:pPr>
        <w:pStyle w:val="214"/>
        <w:spacing w:line="360" w:lineRule="auto"/>
        <w:ind w:left="25" w:firstLine="472"/>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5386FC81">
      <w:pPr>
        <w:pStyle w:val="214"/>
        <w:spacing w:line="360" w:lineRule="auto"/>
        <w:ind w:left="25" w:firstLine="472"/>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18393FEB">
      <w:pPr>
        <w:pStyle w:val="214"/>
        <w:spacing w:line="360" w:lineRule="auto"/>
        <w:ind w:left="25" w:firstLine="472"/>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7FC9386C">
      <w:pPr>
        <w:pStyle w:val="214"/>
        <w:spacing w:line="360" w:lineRule="auto"/>
        <w:ind w:left="25" w:firstLine="472"/>
        <w:rPr>
          <w:rFonts w:hAnsi="宋体"/>
          <w:color w:val="auto"/>
          <w:sz w:val="24"/>
          <w:szCs w:val="24"/>
          <w:highlight w:val="none"/>
        </w:rPr>
      </w:pPr>
      <w:r>
        <w:rPr>
          <w:rFonts w:hint="eastAsia" w:hAnsi="宋体"/>
          <w:color w:val="auto"/>
          <w:sz w:val="24"/>
          <w:szCs w:val="24"/>
          <w:highlight w:val="none"/>
        </w:rPr>
        <w:t>质疑事项2</w:t>
      </w:r>
    </w:p>
    <w:p w14:paraId="598ABB00">
      <w:pPr>
        <w:pStyle w:val="214"/>
        <w:spacing w:line="360" w:lineRule="auto"/>
        <w:ind w:left="25" w:firstLine="472"/>
        <w:rPr>
          <w:rFonts w:hAnsi="宋体"/>
          <w:color w:val="auto"/>
          <w:sz w:val="24"/>
          <w:szCs w:val="24"/>
          <w:highlight w:val="none"/>
        </w:rPr>
      </w:pPr>
      <w:r>
        <w:rPr>
          <w:rFonts w:hAnsi="宋体"/>
          <w:color w:val="auto"/>
          <w:sz w:val="24"/>
          <w:szCs w:val="24"/>
          <w:highlight w:val="none"/>
        </w:rPr>
        <w:t>……</w:t>
      </w:r>
    </w:p>
    <w:p w14:paraId="7A12FB26">
      <w:pPr>
        <w:pStyle w:val="214"/>
        <w:spacing w:line="360" w:lineRule="auto"/>
        <w:ind w:left="25" w:firstLine="472"/>
        <w:rPr>
          <w:rFonts w:hAnsi="宋体"/>
          <w:color w:val="auto"/>
          <w:sz w:val="24"/>
          <w:szCs w:val="24"/>
          <w:highlight w:val="none"/>
        </w:rPr>
      </w:pPr>
      <w:r>
        <w:rPr>
          <w:rFonts w:hint="eastAsia" w:hAnsi="宋体"/>
          <w:color w:val="auto"/>
          <w:sz w:val="24"/>
          <w:szCs w:val="24"/>
          <w:highlight w:val="none"/>
        </w:rPr>
        <w:t>四、与质疑事项相关的质疑请求：</w:t>
      </w:r>
    </w:p>
    <w:p w14:paraId="3AFE2EC0">
      <w:pPr>
        <w:pStyle w:val="214"/>
        <w:spacing w:line="360" w:lineRule="auto"/>
        <w:ind w:left="25" w:firstLine="472"/>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46FDF06">
      <w:pPr>
        <w:pStyle w:val="214"/>
        <w:spacing w:line="360" w:lineRule="auto"/>
        <w:ind w:left="25" w:firstLine="352"/>
        <w:rPr>
          <w:rFonts w:hAnsi="宋体"/>
          <w:color w:val="auto"/>
          <w:sz w:val="24"/>
          <w:szCs w:val="24"/>
          <w:highlight w:val="none"/>
        </w:rPr>
      </w:pPr>
    </w:p>
    <w:p w14:paraId="53FA07BB">
      <w:pPr>
        <w:pStyle w:val="214"/>
        <w:spacing w:line="360" w:lineRule="auto"/>
        <w:ind w:left="25" w:firstLine="472"/>
        <w:rPr>
          <w:rFonts w:hAnsi="宋体"/>
          <w:color w:val="auto"/>
          <w:sz w:val="24"/>
          <w:szCs w:val="24"/>
          <w:highlight w:val="none"/>
        </w:rPr>
      </w:pPr>
      <w:r>
        <w:rPr>
          <w:rFonts w:hint="eastAsia" w:hAnsi="宋体"/>
          <w:color w:val="auto"/>
          <w:sz w:val="24"/>
          <w:szCs w:val="24"/>
          <w:highlight w:val="none"/>
        </w:rPr>
        <w:t>签字（签章）：                                       公章：</w:t>
      </w:r>
    </w:p>
    <w:p w14:paraId="6E2A6D4D">
      <w:pPr>
        <w:pStyle w:val="214"/>
        <w:spacing w:line="360" w:lineRule="auto"/>
        <w:ind w:left="25" w:firstLine="352"/>
        <w:rPr>
          <w:rFonts w:hAnsi="宋体"/>
          <w:color w:val="auto"/>
          <w:sz w:val="24"/>
          <w:szCs w:val="24"/>
          <w:highlight w:val="none"/>
        </w:rPr>
      </w:pPr>
    </w:p>
    <w:p w14:paraId="01643436">
      <w:pPr>
        <w:pStyle w:val="214"/>
        <w:spacing w:line="360" w:lineRule="auto"/>
        <w:ind w:left="25" w:firstLine="472"/>
        <w:rPr>
          <w:rFonts w:hAnsi="宋体"/>
          <w:color w:val="auto"/>
          <w:sz w:val="24"/>
          <w:szCs w:val="24"/>
          <w:highlight w:val="none"/>
        </w:rPr>
      </w:pPr>
      <w:r>
        <w:rPr>
          <w:rFonts w:hint="eastAsia" w:hAnsi="宋体"/>
          <w:color w:val="auto"/>
          <w:sz w:val="24"/>
          <w:szCs w:val="24"/>
          <w:highlight w:val="none"/>
        </w:rPr>
        <w:t>日期：</w:t>
      </w:r>
    </w:p>
    <w:p w14:paraId="70065B13">
      <w:pPr>
        <w:pStyle w:val="214"/>
        <w:spacing w:line="360" w:lineRule="auto"/>
        <w:rPr>
          <w:rFonts w:hAnsi="宋体"/>
          <w:b/>
          <w:color w:val="auto"/>
          <w:sz w:val="24"/>
          <w:szCs w:val="24"/>
          <w:highlight w:val="none"/>
        </w:rPr>
      </w:pPr>
    </w:p>
    <w:p w14:paraId="2D97BB53">
      <w:pPr>
        <w:pStyle w:val="214"/>
        <w:spacing w:line="360" w:lineRule="auto"/>
        <w:rPr>
          <w:rFonts w:hAnsi="宋体"/>
          <w:b/>
          <w:color w:val="auto"/>
          <w:sz w:val="24"/>
          <w:szCs w:val="24"/>
          <w:highlight w:val="none"/>
        </w:rPr>
      </w:pPr>
    </w:p>
    <w:p w14:paraId="4A8EE850">
      <w:pPr>
        <w:pStyle w:val="214"/>
        <w:spacing w:line="360" w:lineRule="auto"/>
        <w:rPr>
          <w:rFonts w:hAnsi="宋体"/>
          <w:b/>
          <w:color w:val="auto"/>
          <w:sz w:val="24"/>
          <w:szCs w:val="24"/>
          <w:highlight w:val="none"/>
        </w:rPr>
      </w:pPr>
      <w:r>
        <w:rPr>
          <w:rFonts w:hint="eastAsia" w:hAnsi="宋体"/>
          <w:b/>
          <w:color w:val="auto"/>
          <w:sz w:val="24"/>
          <w:szCs w:val="24"/>
          <w:highlight w:val="none"/>
        </w:rPr>
        <w:t>说明：</w:t>
      </w:r>
    </w:p>
    <w:p w14:paraId="1EDEC9B2">
      <w:pPr>
        <w:pStyle w:val="214"/>
        <w:spacing w:line="360" w:lineRule="auto"/>
        <w:ind w:left="25" w:firstLine="354"/>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5E39587">
      <w:pPr>
        <w:pStyle w:val="214"/>
        <w:spacing w:line="360" w:lineRule="auto"/>
        <w:ind w:left="25" w:firstLine="354"/>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31AD1F1">
      <w:pPr>
        <w:pStyle w:val="214"/>
        <w:spacing w:line="360" w:lineRule="auto"/>
        <w:ind w:left="25" w:firstLine="354"/>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1E00521B">
      <w:pPr>
        <w:pStyle w:val="214"/>
        <w:spacing w:line="360" w:lineRule="auto"/>
        <w:ind w:left="25" w:firstLine="354"/>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12D7B466">
      <w:pPr>
        <w:pStyle w:val="214"/>
        <w:spacing w:line="360" w:lineRule="auto"/>
        <w:ind w:left="25" w:firstLine="354"/>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613D0B7">
      <w:pPr>
        <w:pStyle w:val="214"/>
        <w:rPr>
          <w:b/>
          <w:color w:val="auto"/>
          <w:sz w:val="24"/>
          <w:szCs w:val="24"/>
          <w:highlight w:val="none"/>
        </w:rPr>
      </w:pPr>
    </w:p>
    <w:p w14:paraId="0257B157">
      <w:pPr>
        <w:spacing w:line="460" w:lineRule="exact"/>
        <w:jc w:val="center"/>
        <w:rPr>
          <w:rFonts w:eastAsia="隶书"/>
          <w:color w:val="auto"/>
          <w:sz w:val="44"/>
          <w:highlight w:val="none"/>
        </w:rPr>
      </w:pPr>
      <w:r>
        <w:rPr>
          <w:rFonts w:eastAsia="隶书"/>
          <w:color w:val="auto"/>
          <w:sz w:val="44"/>
          <w:highlight w:val="none"/>
        </w:rPr>
        <w:br w:type="page" w:clear="all"/>
      </w:r>
    </w:p>
    <w:p w14:paraId="2E1E76B1">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478C6AA0">
      <w:pPr>
        <w:pStyle w:val="214"/>
        <w:spacing w:line="360" w:lineRule="auto"/>
        <w:ind w:firstLine="482"/>
        <w:rPr>
          <w:rFonts w:hAnsi="宋体"/>
          <w:b/>
          <w:bCs/>
          <w:color w:val="auto"/>
          <w:sz w:val="24"/>
          <w:szCs w:val="24"/>
          <w:highlight w:val="none"/>
        </w:rPr>
      </w:pPr>
      <w:r>
        <w:rPr>
          <w:rFonts w:hint="eastAsia" w:hAnsi="宋体"/>
          <w:b/>
          <w:bCs/>
          <w:color w:val="auto"/>
          <w:sz w:val="24"/>
          <w:szCs w:val="24"/>
          <w:highlight w:val="none"/>
        </w:rPr>
        <w:t>一、投诉相关主体基本情况：</w:t>
      </w:r>
    </w:p>
    <w:p w14:paraId="7F3B71E5">
      <w:pPr>
        <w:pStyle w:val="214"/>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3719003">
      <w:pPr>
        <w:pStyle w:val="214"/>
        <w:spacing w:line="360" w:lineRule="auto"/>
        <w:ind w:firstLine="48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6075CD2">
      <w:pPr>
        <w:pStyle w:val="214"/>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6519FE33">
      <w:pPr>
        <w:pStyle w:val="214"/>
        <w:spacing w:line="360" w:lineRule="auto"/>
        <w:ind w:firstLine="48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15704CC">
      <w:pPr>
        <w:pStyle w:val="214"/>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46A755D">
      <w:pPr>
        <w:pStyle w:val="214"/>
        <w:spacing w:line="360" w:lineRule="auto"/>
        <w:ind w:firstLine="48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D35BDBD">
      <w:pPr>
        <w:pStyle w:val="214"/>
        <w:spacing w:line="360" w:lineRule="auto"/>
        <w:ind w:firstLine="48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AFBD2E4">
      <w:pPr>
        <w:pStyle w:val="214"/>
        <w:spacing w:line="360" w:lineRule="auto"/>
        <w:ind w:firstLine="480"/>
        <w:rPr>
          <w:rFonts w:hAnsi="宋体"/>
          <w:bCs/>
          <w:color w:val="auto"/>
          <w:sz w:val="24"/>
          <w:szCs w:val="24"/>
          <w:highlight w:val="none"/>
        </w:rPr>
      </w:pPr>
      <w:r>
        <w:rPr>
          <w:rFonts w:hint="eastAsia" w:hAnsi="宋体"/>
          <w:bCs/>
          <w:color w:val="auto"/>
          <w:sz w:val="24"/>
          <w:szCs w:val="24"/>
          <w:highlight w:val="none"/>
        </w:rPr>
        <w:t>被投诉人1：</w:t>
      </w:r>
    </w:p>
    <w:p w14:paraId="22A9C647">
      <w:pPr>
        <w:pStyle w:val="214"/>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A6A3CC6">
      <w:pPr>
        <w:pStyle w:val="214"/>
        <w:spacing w:line="360" w:lineRule="auto"/>
        <w:ind w:firstLine="48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F058641">
      <w:pPr>
        <w:pStyle w:val="214"/>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297C5E5">
      <w:pPr>
        <w:pStyle w:val="214"/>
        <w:spacing w:line="360" w:lineRule="auto"/>
        <w:ind w:firstLine="480"/>
        <w:rPr>
          <w:rFonts w:hAnsi="宋体"/>
          <w:bCs/>
          <w:color w:val="auto"/>
          <w:sz w:val="24"/>
          <w:szCs w:val="24"/>
          <w:highlight w:val="none"/>
        </w:rPr>
      </w:pPr>
      <w:r>
        <w:rPr>
          <w:rFonts w:hint="eastAsia" w:hAnsi="宋体"/>
          <w:bCs/>
          <w:color w:val="auto"/>
          <w:sz w:val="24"/>
          <w:szCs w:val="24"/>
          <w:highlight w:val="none"/>
        </w:rPr>
        <w:t>被投诉人2：</w:t>
      </w:r>
    </w:p>
    <w:p w14:paraId="44F5BC33">
      <w:pPr>
        <w:pStyle w:val="214"/>
        <w:spacing w:line="360" w:lineRule="auto"/>
        <w:ind w:firstLine="480"/>
        <w:rPr>
          <w:rFonts w:hAnsi="宋体"/>
          <w:bCs/>
          <w:color w:val="auto"/>
          <w:sz w:val="24"/>
          <w:szCs w:val="24"/>
          <w:highlight w:val="none"/>
        </w:rPr>
      </w:pPr>
      <w:r>
        <w:rPr>
          <w:rFonts w:hAnsi="宋体"/>
          <w:bCs/>
          <w:color w:val="auto"/>
          <w:sz w:val="24"/>
          <w:szCs w:val="24"/>
          <w:highlight w:val="none"/>
        </w:rPr>
        <w:t>……</w:t>
      </w:r>
    </w:p>
    <w:p w14:paraId="4AE8AAE2">
      <w:pPr>
        <w:pStyle w:val="214"/>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61626994">
      <w:pPr>
        <w:pStyle w:val="214"/>
        <w:spacing w:line="360" w:lineRule="auto"/>
        <w:ind w:firstLine="48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10C9B1F">
      <w:pPr>
        <w:pStyle w:val="214"/>
        <w:spacing w:line="360" w:lineRule="auto"/>
        <w:ind w:firstLine="48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44AAF31">
      <w:pPr>
        <w:pStyle w:val="214"/>
        <w:spacing w:line="360" w:lineRule="auto"/>
        <w:ind w:firstLine="482"/>
        <w:rPr>
          <w:rFonts w:hAnsi="宋体"/>
          <w:b/>
          <w:bCs/>
          <w:color w:val="auto"/>
          <w:sz w:val="24"/>
          <w:szCs w:val="24"/>
          <w:highlight w:val="none"/>
        </w:rPr>
      </w:pPr>
      <w:r>
        <w:rPr>
          <w:rFonts w:hint="eastAsia" w:hAnsi="宋体"/>
          <w:b/>
          <w:bCs/>
          <w:color w:val="auto"/>
          <w:sz w:val="24"/>
          <w:szCs w:val="24"/>
          <w:highlight w:val="none"/>
        </w:rPr>
        <w:t>二、投诉项目基本情况：</w:t>
      </w:r>
    </w:p>
    <w:p w14:paraId="4ED88FB3">
      <w:pPr>
        <w:pStyle w:val="214"/>
        <w:spacing w:line="360" w:lineRule="auto"/>
        <w:ind w:left="25" w:firstLine="472"/>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481F57B">
      <w:pPr>
        <w:pStyle w:val="214"/>
        <w:spacing w:line="360" w:lineRule="auto"/>
        <w:ind w:left="25" w:firstLine="472"/>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900415D">
      <w:pPr>
        <w:pStyle w:val="214"/>
        <w:spacing w:line="360" w:lineRule="auto"/>
        <w:ind w:left="25" w:firstLine="472"/>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4A8D008">
      <w:pPr>
        <w:pStyle w:val="214"/>
        <w:spacing w:line="360" w:lineRule="auto"/>
        <w:ind w:left="25" w:firstLine="472"/>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68CEEBEA">
      <w:pPr>
        <w:pStyle w:val="214"/>
        <w:spacing w:line="360" w:lineRule="auto"/>
        <w:ind w:left="25" w:firstLine="472"/>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0FB57A5">
      <w:pPr>
        <w:pStyle w:val="214"/>
        <w:spacing w:line="360" w:lineRule="auto"/>
        <w:ind w:left="25" w:firstLine="472"/>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64531AC">
      <w:pPr>
        <w:pStyle w:val="214"/>
        <w:spacing w:line="360" w:lineRule="auto"/>
        <w:ind w:left="25" w:firstLine="472"/>
        <w:rPr>
          <w:rFonts w:hAnsi="宋体"/>
          <w:b/>
          <w:color w:val="auto"/>
          <w:sz w:val="24"/>
          <w:szCs w:val="24"/>
          <w:highlight w:val="none"/>
        </w:rPr>
      </w:pPr>
      <w:r>
        <w:rPr>
          <w:rFonts w:hint="eastAsia" w:hAnsi="宋体"/>
          <w:b/>
          <w:color w:val="auto"/>
          <w:sz w:val="24"/>
          <w:szCs w:val="24"/>
          <w:highlight w:val="none"/>
        </w:rPr>
        <w:t>三、质疑基本情况</w:t>
      </w:r>
    </w:p>
    <w:p w14:paraId="06E7DC1A">
      <w:pPr>
        <w:pStyle w:val="214"/>
        <w:spacing w:line="360" w:lineRule="auto"/>
        <w:ind w:left="25" w:firstLine="48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22E048B8">
      <w:pPr>
        <w:pStyle w:val="214"/>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4DA82AF">
      <w:pPr>
        <w:pStyle w:val="214"/>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6F56663">
      <w:pPr>
        <w:pStyle w:val="214"/>
        <w:spacing w:line="360" w:lineRule="auto"/>
        <w:ind w:firstLine="241"/>
        <w:rPr>
          <w:rFonts w:hAnsi="宋体"/>
          <w:color w:val="auto"/>
          <w:sz w:val="24"/>
          <w:szCs w:val="24"/>
          <w:highlight w:val="non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9942173">
      <w:pPr>
        <w:pStyle w:val="214"/>
        <w:spacing w:line="360" w:lineRule="auto"/>
        <w:ind w:left="25" w:firstLine="472"/>
        <w:rPr>
          <w:rFonts w:hAnsi="宋体"/>
          <w:b/>
          <w:color w:val="auto"/>
          <w:sz w:val="24"/>
          <w:szCs w:val="24"/>
          <w:highlight w:val="none"/>
        </w:rPr>
      </w:pPr>
      <w:r>
        <w:rPr>
          <w:rFonts w:hint="eastAsia" w:hAnsi="宋体"/>
          <w:b/>
          <w:color w:val="auto"/>
          <w:sz w:val="24"/>
          <w:szCs w:val="24"/>
          <w:highlight w:val="none"/>
        </w:rPr>
        <w:t>四、投诉事项具体内容</w:t>
      </w:r>
    </w:p>
    <w:p w14:paraId="5D8FB776">
      <w:pPr>
        <w:pStyle w:val="214"/>
        <w:spacing w:line="360" w:lineRule="auto"/>
        <w:ind w:left="25" w:firstLine="472"/>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3AEF3EF1">
      <w:pPr>
        <w:pStyle w:val="214"/>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284AB7D">
      <w:pPr>
        <w:pStyle w:val="214"/>
        <w:spacing w:line="360" w:lineRule="auto"/>
        <w:ind w:left="25" w:firstLine="472"/>
        <w:rPr>
          <w:rFonts w:hAnsi="宋体"/>
          <w:color w:val="auto"/>
          <w:sz w:val="24"/>
          <w:szCs w:val="24"/>
          <w:highlight w:val="none"/>
        </w:rPr>
      </w:pPr>
      <w:r>
        <w:rPr>
          <w:rFonts w:hint="eastAsia" w:hAnsi="宋体"/>
          <w:bCs/>
          <w:color w:val="auto"/>
          <w:sz w:val="24"/>
          <w:szCs w:val="24"/>
          <w:highlight w:val="none"/>
          <w:u w:val="single"/>
        </w:rPr>
        <w:t xml:space="preserve">                                                                                        </w:t>
      </w:r>
    </w:p>
    <w:p w14:paraId="13CDFC5A">
      <w:pPr>
        <w:pStyle w:val="214"/>
        <w:spacing w:line="360" w:lineRule="auto"/>
        <w:ind w:firstLine="48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659A31F">
      <w:pPr>
        <w:pStyle w:val="214"/>
        <w:spacing w:line="360" w:lineRule="auto"/>
        <w:ind w:left="25" w:firstLine="352"/>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025AF39">
      <w:pPr>
        <w:pStyle w:val="214"/>
        <w:spacing w:line="360" w:lineRule="auto"/>
        <w:ind w:left="25" w:firstLine="472"/>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62B47BF9">
      <w:pPr>
        <w:pStyle w:val="214"/>
        <w:spacing w:line="360" w:lineRule="auto"/>
        <w:ind w:left="25" w:firstLine="472"/>
        <w:rPr>
          <w:rFonts w:hAnsi="宋体"/>
          <w:bCs/>
          <w:color w:val="auto"/>
          <w:sz w:val="24"/>
          <w:szCs w:val="24"/>
          <w:highlight w:val="none"/>
        </w:rPr>
      </w:pPr>
      <w:r>
        <w:rPr>
          <w:rFonts w:hAnsi="宋体"/>
          <w:bCs/>
          <w:color w:val="auto"/>
          <w:sz w:val="24"/>
          <w:szCs w:val="24"/>
          <w:highlight w:val="none"/>
        </w:rPr>
        <w:t>……</w:t>
      </w:r>
    </w:p>
    <w:p w14:paraId="10C7F7C5">
      <w:pPr>
        <w:pStyle w:val="214"/>
        <w:spacing w:line="360" w:lineRule="auto"/>
        <w:ind w:left="25" w:firstLine="472"/>
        <w:rPr>
          <w:rFonts w:hAnsi="宋体"/>
          <w:b/>
          <w:color w:val="auto"/>
          <w:sz w:val="24"/>
          <w:szCs w:val="24"/>
          <w:highlight w:val="none"/>
        </w:rPr>
      </w:pPr>
      <w:r>
        <w:rPr>
          <w:rFonts w:hint="eastAsia" w:hAnsi="宋体"/>
          <w:b/>
          <w:color w:val="auto"/>
          <w:sz w:val="24"/>
          <w:szCs w:val="24"/>
          <w:highlight w:val="none"/>
        </w:rPr>
        <w:t>五、与投诉事项相关的投诉请求：</w:t>
      </w:r>
    </w:p>
    <w:p w14:paraId="67AC8A7E">
      <w:pPr>
        <w:pStyle w:val="214"/>
        <w:spacing w:line="360" w:lineRule="auto"/>
        <w:ind w:left="25" w:firstLine="472"/>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93AA944">
      <w:pPr>
        <w:pStyle w:val="214"/>
        <w:spacing w:line="360" w:lineRule="auto"/>
        <w:ind w:left="25" w:firstLine="352"/>
        <w:rPr>
          <w:rFonts w:hAnsi="宋体"/>
          <w:color w:val="auto"/>
          <w:sz w:val="24"/>
          <w:szCs w:val="24"/>
          <w:highlight w:val="none"/>
        </w:rPr>
      </w:pPr>
    </w:p>
    <w:p w14:paraId="2C32CE90">
      <w:pPr>
        <w:pStyle w:val="214"/>
        <w:spacing w:line="360" w:lineRule="auto"/>
        <w:ind w:left="25" w:firstLine="472"/>
        <w:rPr>
          <w:rFonts w:hAnsi="宋体"/>
          <w:color w:val="auto"/>
          <w:sz w:val="24"/>
          <w:szCs w:val="24"/>
          <w:highlight w:val="none"/>
        </w:rPr>
      </w:pPr>
      <w:r>
        <w:rPr>
          <w:rFonts w:hint="eastAsia" w:hAnsi="宋体"/>
          <w:color w:val="auto"/>
          <w:sz w:val="24"/>
          <w:szCs w:val="24"/>
          <w:highlight w:val="none"/>
        </w:rPr>
        <w:t>签字（签章）：                                       公章：</w:t>
      </w:r>
    </w:p>
    <w:p w14:paraId="12B75A27">
      <w:pPr>
        <w:pStyle w:val="214"/>
        <w:spacing w:line="360" w:lineRule="auto"/>
        <w:ind w:left="25" w:firstLine="352"/>
        <w:rPr>
          <w:rFonts w:hAnsi="宋体"/>
          <w:color w:val="auto"/>
          <w:sz w:val="24"/>
          <w:szCs w:val="24"/>
          <w:highlight w:val="none"/>
        </w:rPr>
      </w:pPr>
    </w:p>
    <w:p w14:paraId="6EDC62EE">
      <w:pPr>
        <w:pStyle w:val="214"/>
        <w:spacing w:line="360" w:lineRule="auto"/>
        <w:ind w:left="25" w:firstLine="472"/>
        <w:rPr>
          <w:rFonts w:hAnsi="宋体"/>
          <w:color w:val="auto"/>
          <w:sz w:val="24"/>
          <w:szCs w:val="24"/>
          <w:highlight w:val="none"/>
        </w:rPr>
      </w:pPr>
      <w:r>
        <w:rPr>
          <w:rFonts w:hint="eastAsia" w:hAnsi="宋体"/>
          <w:color w:val="auto"/>
          <w:sz w:val="24"/>
          <w:szCs w:val="24"/>
          <w:highlight w:val="none"/>
        </w:rPr>
        <w:t>日期：</w:t>
      </w:r>
    </w:p>
    <w:p w14:paraId="18122E54">
      <w:pPr>
        <w:pStyle w:val="214"/>
        <w:spacing w:line="360" w:lineRule="auto"/>
        <w:ind w:left="25" w:firstLine="472"/>
        <w:rPr>
          <w:rFonts w:hAnsi="宋体"/>
          <w:b/>
          <w:color w:val="auto"/>
          <w:sz w:val="24"/>
          <w:szCs w:val="24"/>
          <w:highlight w:val="none"/>
        </w:rPr>
      </w:pPr>
      <w:r>
        <w:rPr>
          <w:rFonts w:hint="eastAsia" w:hAnsi="宋体"/>
          <w:bCs/>
          <w:color w:val="auto"/>
          <w:sz w:val="24"/>
          <w:szCs w:val="24"/>
          <w:highlight w:val="none"/>
        </w:rPr>
        <w:t xml:space="preserve">                                                                                 </w:t>
      </w:r>
    </w:p>
    <w:p w14:paraId="64FECF70">
      <w:pPr>
        <w:pStyle w:val="214"/>
        <w:spacing w:line="360" w:lineRule="auto"/>
        <w:rPr>
          <w:rFonts w:hAnsi="宋体"/>
          <w:b/>
          <w:color w:val="auto"/>
          <w:sz w:val="24"/>
          <w:szCs w:val="24"/>
          <w:highlight w:val="none"/>
        </w:rPr>
      </w:pPr>
      <w:r>
        <w:rPr>
          <w:rFonts w:hint="eastAsia" w:hAnsi="宋体"/>
          <w:b/>
          <w:color w:val="auto"/>
          <w:sz w:val="24"/>
          <w:szCs w:val="24"/>
          <w:highlight w:val="none"/>
        </w:rPr>
        <w:t>说明：</w:t>
      </w:r>
    </w:p>
    <w:p w14:paraId="784E505F">
      <w:pPr>
        <w:pStyle w:val="214"/>
        <w:spacing w:line="360" w:lineRule="auto"/>
        <w:ind w:left="25" w:firstLine="354"/>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59791540">
      <w:pPr>
        <w:pStyle w:val="214"/>
        <w:spacing w:line="360" w:lineRule="auto"/>
        <w:ind w:left="25" w:firstLine="354"/>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0AF9E94">
      <w:pPr>
        <w:pStyle w:val="214"/>
        <w:spacing w:line="360" w:lineRule="auto"/>
        <w:ind w:left="25" w:firstLine="354"/>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1232B48">
      <w:pPr>
        <w:pStyle w:val="214"/>
        <w:spacing w:line="360" w:lineRule="auto"/>
        <w:ind w:left="25" w:firstLine="354"/>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A699D55">
      <w:pPr>
        <w:pStyle w:val="214"/>
        <w:spacing w:line="360" w:lineRule="auto"/>
        <w:ind w:left="25" w:firstLine="354"/>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5E84EBD1">
      <w:pPr>
        <w:pStyle w:val="214"/>
        <w:spacing w:line="360" w:lineRule="auto"/>
        <w:ind w:left="25" w:firstLine="354"/>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178118E0">
      <w:pPr>
        <w:pStyle w:val="194"/>
        <w:jc w:val="center"/>
        <w:rPr>
          <w:color w:val="auto"/>
          <w:highlight w:val="none"/>
        </w:rPr>
      </w:pPr>
      <w:r>
        <w:rPr>
          <w:color w:val="auto"/>
          <w:highlight w:val="none"/>
        </w:rPr>
        <w:br w:type="page" w:clear="all"/>
      </w:r>
      <w:r>
        <w:rPr>
          <w:rFonts w:hint="eastAsia"/>
          <w:color w:val="auto"/>
          <w:highlight w:val="none"/>
        </w:rPr>
        <w:t>第六章</w:t>
      </w:r>
      <w:r>
        <w:rPr>
          <w:color w:val="auto"/>
          <w:highlight w:val="none"/>
        </w:rPr>
        <w:t xml:space="preserve"> </w:t>
      </w:r>
      <w:r>
        <w:rPr>
          <w:rFonts w:hint="eastAsia"/>
          <w:color w:val="auto"/>
          <w:highlight w:val="none"/>
        </w:rPr>
        <w:t>合同文本</w:t>
      </w:r>
    </w:p>
    <w:p w14:paraId="6ED89921">
      <w:pPr>
        <w:spacing w:line="360" w:lineRule="auto"/>
        <w:rPr>
          <w:rFonts w:ascii="宋体" w:hAnsi="宋体"/>
          <w:b/>
          <w:bCs/>
          <w:color w:val="auto"/>
          <w:sz w:val="32"/>
          <w:szCs w:val="32"/>
          <w:highlight w:val="none"/>
        </w:rPr>
      </w:pPr>
      <w:r>
        <w:rPr>
          <w:rFonts w:hint="eastAsia" w:ascii="宋体" w:hAnsi="宋体" w:cs="Courier New"/>
          <w:b/>
          <w:color w:val="auto"/>
          <w:sz w:val="32"/>
          <w:szCs w:val="32"/>
          <w:highlight w:val="none"/>
        </w:rPr>
        <w:br w:type="page" w:clear="all"/>
      </w:r>
    </w:p>
    <w:p w14:paraId="680FDC43">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政府采购合同</w:t>
      </w:r>
    </w:p>
    <w:p w14:paraId="1FECE45D">
      <w:pPr>
        <w:spacing w:line="360" w:lineRule="auto"/>
        <w:ind w:right="480" w:firstLine="5250"/>
        <w:rPr>
          <w:rFonts w:ascii="宋体" w:hAnsi="宋体"/>
          <w:bCs/>
          <w:color w:val="auto"/>
          <w:szCs w:val="21"/>
          <w:highlight w:val="none"/>
          <w:u w:val="single"/>
        </w:rPr>
      </w:pPr>
      <w:r>
        <w:rPr>
          <w:rFonts w:hint="eastAsia" w:ascii="宋体" w:hAnsi="宋体"/>
          <w:bCs/>
          <w:color w:val="auto"/>
          <w:szCs w:val="21"/>
          <w:highlight w:val="none"/>
        </w:rPr>
        <w:t>合同编号：</w:t>
      </w:r>
    </w:p>
    <w:p w14:paraId="44440746">
      <w:pPr>
        <w:spacing w:line="360" w:lineRule="auto"/>
        <w:rPr>
          <w:rFonts w:ascii="宋体" w:hAnsi="宋体"/>
          <w:color w:val="auto"/>
          <w:szCs w:val="21"/>
          <w:highlight w:val="none"/>
        </w:rPr>
      </w:pPr>
    </w:p>
    <w:p w14:paraId="5F851D07">
      <w:pPr>
        <w:spacing w:line="360" w:lineRule="auto"/>
        <w:rPr>
          <w:rFonts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9FAA52A">
      <w:pPr>
        <w:spacing w:line="360" w:lineRule="auto"/>
        <w:rPr>
          <w:rFonts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p>
    <w:p w14:paraId="69EBA094">
      <w:pPr>
        <w:spacing w:line="360" w:lineRule="auto"/>
        <w:rPr>
          <w:rFonts w:ascii="宋体" w:hAnsi="宋体"/>
          <w:color w:val="auto"/>
          <w:szCs w:val="21"/>
          <w:highlight w:val="none"/>
        </w:rPr>
      </w:pP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635948B8">
      <w:pPr>
        <w:spacing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p>
    <w:p w14:paraId="3E8E8881">
      <w:pPr>
        <w:spacing w:line="360" w:lineRule="auto"/>
        <w:rPr>
          <w:rFonts w:ascii="宋体" w:hAnsi="宋体"/>
          <w:color w:val="auto"/>
          <w:highlight w:val="none"/>
        </w:rPr>
      </w:pPr>
      <w:r>
        <w:rPr>
          <w:rFonts w:hint="eastAsia" w:ascii="宋体" w:hAnsi="宋体"/>
          <w:color w:val="auto"/>
          <w:szCs w:val="21"/>
          <w:highlight w:val="none"/>
        </w:rPr>
        <w:t>合同</w:t>
      </w:r>
      <w:r>
        <w:rPr>
          <w:rFonts w:hint="eastAsia" w:ascii="宋体" w:hAnsi="宋体"/>
          <w:color w:val="auto"/>
          <w:highlight w:val="none"/>
        </w:rPr>
        <w:t>类型：</w:t>
      </w:r>
      <w:r>
        <w:rPr>
          <w:rFonts w:hint="eastAsia" w:ascii="宋体" w:hAnsi="宋体"/>
          <w:color w:val="auto"/>
          <w:highlight w:val="none"/>
          <w:u w:val="single"/>
        </w:rPr>
        <w:t xml:space="preserve">      </w:t>
      </w:r>
      <w:r>
        <w:rPr>
          <w:rFonts w:hint="eastAsia" w:ascii="宋体" w:hAnsi="宋体"/>
          <w:color w:val="auto"/>
          <w:highlight w:val="none"/>
        </w:rPr>
        <w:t>合同</w:t>
      </w:r>
    </w:p>
    <w:p w14:paraId="020AB5AF">
      <w:pPr>
        <w:spacing w:line="360" w:lineRule="auto"/>
        <w:rPr>
          <w:rFonts w:ascii="宋体" w:hAnsi="宋体" w:cs="宋体"/>
          <w:color w:val="auto"/>
          <w:szCs w:val="21"/>
          <w:highlight w:val="none"/>
        </w:rPr>
      </w:pPr>
      <w:r>
        <w:rPr>
          <w:rFonts w:hint="eastAsia" w:ascii="宋体" w:hAnsi="宋体" w:cs="宋体"/>
          <w:color w:val="auto"/>
          <w:szCs w:val="21"/>
          <w:highlight w:val="none"/>
        </w:rPr>
        <w:t>本合同是否为中小企业预留合同：</w:t>
      </w:r>
      <w:r>
        <w:rPr>
          <w:rFonts w:hint="eastAsia" w:ascii="宋体" w:hAnsi="宋体" w:cs="宋体"/>
          <w:iCs/>
          <w:color w:val="auto"/>
          <w:szCs w:val="21"/>
          <w:highlight w:val="none"/>
          <w:u w:val="single"/>
        </w:rPr>
        <w:t>（是/否）</w:t>
      </w:r>
      <w:r>
        <w:rPr>
          <w:rFonts w:hint="eastAsia" w:ascii="宋体" w:hAnsi="宋体" w:cs="宋体"/>
          <w:color w:val="auto"/>
          <w:szCs w:val="21"/>
          <w:highlight w:val="none"/>
        </w:rPr>
        <w:t>。</w:t>
      </w:r>
    </w:p>
    <w:p w14:paraId="0869233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谈判文件规定条款和乙方响应文件及其承诺，甲乙双方签订本合同。</w:t>
      </w:r>
    </w:p>
    <w:p w14:paraId="63D7F95D">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第一条　合同标的</w:t>
      </w:r>
    </w:p>
    <w:tbl>
      <w:tblPr>
        <w:tblStyle w:val="31"/>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7AE6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1F1025B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60F816B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61751AB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40EB43E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74126F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0762325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14:paraId="2FD94B2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74B2BBE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总  价</w:t>
            </w:r>
          </w:p>
          <w:p w14:paraId="19329D8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14:paraId="5C9F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1CB3319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213" w:type="dxa"/>
            <w:tcBorders>
              <w:top w:val="single" w:color="auto" w:sz="4" w:space="0"/>
              <w:left w:val="single" w:color="auto" w:sz="4" w:space="0"/>
              <w:bottom w:val="single" w:color="auto" w:sz="4" w:space="0"/>
              <w:right w:val="single" w:color="auto" w:sz="4" w:space="0"/>
            </w:tcBorders>
            <w:vAlign w:val="center"/>
          </w:tcPr>
          <w:p w14:paraId="56FE8AD5">
            <w:pPr>
              <w:spacing w:line="360" w:lineRule="auto"/>
              <w:jc w:val="center"/>
              <w:rPr>
                <w:rFonts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11377B34">
            <w:pPr>
              <w:spacing w:line="360" w:lineRule="auto"/>
              <w:jc w:val="center"/>
              <w:rPr>
                <w:rFonts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2EE740B4">
            <w:pPr>
              <w:spacing w:line="360" w:lineRule="auto"/>
              <w:jc w:val="center"/>
              <w:rPr>
                <w:rFonts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489507B3">
            <w:pPr>
              <w:spacing w:line="360" w:lineRule="auto"/>
              <w:jc w:val="center"/>
              <w:rPr>
                <w:rFonts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4C3B4AFB">
            <w:pPr>
              <w:spacing w:line="360" w:lineRule="auto"/>
              <w:jc w:val="center"/>
              <w:rPr>
                <w:rFonts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0A16D1A9">
            <w:pPr>
              <w:spacing w:line="360" w:lineRule="auto"/>
              <w:jc w:val="center"/>
              <w:rPr>
                <w:rFonts w:ascii="宋体" w:hAnsi="宋体" w:cs="宋体"/>
                <w:color w:val="auto"/>
                <w:szCs w:val="21"/>
                <w:highlight w:val="none"/>
              </w:rPr>
            </w:pPr>
          </w:p>
        </w:tc>
      </w:tr>
      <w:tr w14:paraId="534E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7E57CA2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213" w:type="dxa"/>
            <w:tcBorders>
              <w:top w:val="single" w:color="auto" w:sz="4" w:space="0"/>
              <w:left w:val="single" w:color="auto" w:sz="4" w:space="0"/>
              <w:bottom w:val="single" w:color="auto" w:sz="4" w:space="0"/>
              <w:right w:val="single" w:color="auto" w:sz="4" w:space="0"/>
            </w:tcBorders>
            <w:vAlign w:val="center"/>
          </w:tcPr>
          <w:p w14:paraId="5531263C">
            <w:pPr>
              <w:spacing w:line="360" w:lineRule="auto"/>
              <w:jc w:val="center"/>
              <w:rPr>
                <w:rFonts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19E9E513">
            <w:pPr>
              <w:spacing w:line="360" w:lineRule="auto"/>
              <w:jc w:val="center"/>
              <w:rPr>
                <w:rFonts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3045CC21">
            <w:pPr>
              <w:spacing w:line="360" w:lineRule="auto"/>
              <w:jc w:val="center"/>
              <w:rPr>
                <w:rFonts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74F878EC">
            <w:pPr>
              <w:spacing w:line="360" w:lineRule="auto"/>
              <w:jc w:val="center"/>
              <w:rPr>
                <w:rFonts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6C5AFB8D">
            <w:pPr>
              <w:spacing w:line="360" w:lineRule="auto"/>
              <w:jc w:val="center"/>
              <w:rPr>
                <w:rFonts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62DA04DF">
            <w:pPr>
              <w:spacing w:line="360" w:lineRule="auto"/>
              <w:jc w:val="center"/>
              <w:rPr>
                <w:rFonts w:ascii="宋体" w:hAnsi="宋体" w:cs="宋体"/>
                <w:color w:val="auto"/>
                <w:szCs w:val="21"/>
                <w:highlight w:val="none"/>
              </w:rPr>
            </w:pPr>
          </w:p>
        </w:tc>
      </w:tr>
      <w:tr w14:paraId="169B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2E2EAF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213" w:type="dxa"/>
            <w:tcBorders>
              <w:top w:val="single" w:color="auto" w:sz="4" w:space="0"/>
              <w:left w:val="single" w:color="auto" w:sz="4" w:space="0"/>
              <w:bottom w:val="single" w:color="auto" w:sz="4" w:space="0"/>
              <w:right w:val="single" w:color="auto" w:sz="4" w:space="0"/>
            </w:tcBorders>
            <w:vAlign w:val="center"/>
          </w:tcPr>
          <w:p w14:paraId="76185DF1">
            <w:pPr>
              <w:spacing w:line="360" w:lineRule="auto"/>
              <w:jc w:val="center"/>
              <w:rPr>
                <w:rFonts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035862C1">
            <w:pPr>
              <w:spacing w:line="360" w:lineRule="auto"/>
              <w:jc w:val="center"/>
              <w:rPr>
                <w:rFonts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512CFA33">
            <w:pPr>
              <w:spacing w:line="360" w:lineRule="auto"/>
              <w:jc w:val="center"/>
              <w:rPr>
                <w:rFonts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098FD419">
            <w:pPr>
              <w:spacing w:line="360" w:lineRule="auto"/>
              <w:jc w:val="center"/>
              <w:rPr>
                <w:rFonts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7A7B9018">
            <w:pPr>
              <w:spacing w:line="360" w:lineRule="auto"/>
              <w:jc w:val="center"/>
              <w:rPr>
                <w:rFonts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154E8C86">
            <w:pPr>
              <w:spacing w:line="360" w:lineRule="auto"/>
              <w:jc w:val="center"/>
              <w:rPr>
                <w:rFonts w:ascii="宋体" w:hAnsi="宋体" w:cs="宋体"/>
                <w:color w:val="auto"/>
                <w:szCs w:val="21"/>
                <w:highlight w:val="none"/>
              </w:rPr>
            </w:pPr>
          </w:p>
        </w:tc>
      </w:tr>
      <w:tr w14:paraId="107F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0837A884">
            <w:pPr>
              <w:spacing w:line="360" w:lineRule="auto"/>
              <w:rPr>
                <w:rFonts w:ascii="宋体" w:hAnsi="宋体" w:cs="宋体"/>
                <w:color w:val="auto"/>
                <w:szCs w:val="21"/>
                <w:highlight w:val="none"/>
              </w:rPr>
            </w:pPr>
            <w:r>
              <w:rPr>
                <w:rFonts w:hint="eastAsia" w:ascii="宋体" w:hAnsi="宋体" w:cs="宋体"/>
                <w:color w:val="auto"/>
                <w:szCs w:val="21"/>
                <w:highlight w:val="none"/>
              </w:rPr>
              <w:t>合计金额（人民币）：</w:t>
            </w:r>
            <w:r>
              <w:rPr>
                <w:rFonts w:hint="eastAsia" w:ascii="宋体" w:hAnsi="宋体" w:cs="宋体"/>
                <w:color w:val="auto"/>
                <w:szCs w:val="21"/>
                <w:highlight w:val="none"/>
                <w:u w:val="single"/>
              </w:rPr>
              <w:t xml:space="preserve">（大写）                          （小写）                   </w:t>
            </w:r>
            <w:r>
              <w:rPr>
                <w:rFonts w:hint="eastAsia" w:ascii="宋体" w:hAnsi="宋体" w:cs="宋体"/>
                <w:color w:val="auto"/>
                <w:szCs w:val="21"/>
                <w:highlight w:val="none"/>
              </w:rPr>
              <w:t xml:space="preserve">             </w:t>
            </w:r>
          </w:p>
        </w:tc>
      </w:tr>
    </w:tbl>
    <w:p w14:paraId="6AA26B1E">
      <w:pPr>
        <w:spacing w:line="360" w:lineRule="auto"/>
        <w:ind w:firstLine="420"/>
        <w:rPr>
          <w:rFonts w:ascii="宋体" w:hAnsi="宋体" w:cs="宋体"/>
          <w:color w:val="auto"/>
          <w:szCs w:val="21"/>
          <w:highlight w:val="none"/>
        </w:rPr>
      </w:pPr>
    </w:p>
    <w:p w14:paraId="1AF636CC">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第二条　质量保证</w:t>
      </w:r>
    </w:p>
    <w:p w14:paraId="2BBF708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乙方所提供的服务及服务内容必须与</w:t>
      </w:r>
      <w:r>
        <w:rPr>
          <w:rFonts w:hint="eastAsia" w:ascii="宋体" w:hAnsi="宋体"/>
          <w:color w:val="auto"/>
          <w:szCs w:val="21"/>
          <w:highlight w:val="none"/>
        </w:rPr>
        <w:t>响应</w:t>
      </w:r>
      <w:r>
        <w:rPr>
          <w:rFonts w:hint="eastAsia" w:ascii="宋体" w:hAnsi="宋体" w:cs="宋体"/>
          <w:color w:val="auto"/>
          <w:szCs w:val="21"/>
          <w:highlight w:val="none"/>
        </w:rPr>
        <w:t>承诺相一致，</w:t>
      </w:r>
      <w:r>
        <w:rPr>
          <w:rFonts w:hint="eastAsia" w:ascii="宋体" w:hAnsi="宋体"/>
          <w:color w:val="auto"/>
          <w:szCs w:val="21"/>
          <w:highlight w:val="none"/>
        </w:rPr>
        <w:t>且满足项目实施要求，</w:t>
      </w:r>
      <w:r>
        <w:rPr>
          <w:rFonts w:hint="eastAsia" w:ascii="宋体" w:hAnsi="宋体" w:cs="宋体"/>
          <w:color w:val="auto"/>
          <w:szCs w:val="21"/>
          <w:highlight w:val="none"/>
        </w:rPr>
        <w:t>有国家强制性标准的，还必须符合国家强制性标准的规定，没有国家强制性标准但有其他强制性标准的，必须符合其他强制性标准的规定。</w:t>
      </w:r>
    </w:p>
    <w:p w14:paraId="0D8D277C">
      <w:pPr>
        <w:spacing w:line="360" w:lineRule="auto"/>
        <w:ind w:firstLine="422"/>
        <w:rPr>
          <w:rFonts w:ascii="宋体" w:hAnsi="宋体"/>
          <w:color w:val="auto"/>
          <w:szCs w:val="21"/>
          <w:highlight w:val="none"/>
        </w:rPr>
      </w:pPr>
      <w:r>
        <w:rPr>
          <w:rFonts w:hint="eastAsia" w:ascii="宋体" w:hAnsi="宋体" w:cs="宋体"/>
          <w:b/>
          <w:color w:val="auto"/>
          <w:szCs w:val="21"/>
          <w:highlight w:val="none"/>
        </w:rPr>
        <w:t>第三条  履行时间（期限）、地点和方式</w:t>
      </w:r>
    </w:p>
    <w:p w14:paraId="08DF5523">
      <w:pPr>
        <w:spacing w:line="360" w:lineRule="auto"/>
        <w:ind w:firstLine="420"/>
        <w:rPr>
          <w:rFonts w:ascii="宋体" w:hAnsi="宋体"/>
          <w:i/>
          <w:color w:val="auto"/>
          <w:szCs w:val="21"/>
          <w:highlight w:val="none"/>
        </w:rPr>
      </w:pPr>
      <w:r>
        <w:rPr>
          <w:rFonts w:hint="eastAsia" w:ascii="宋体" w:hAnsi="宋体" w:cs="宋体"/>
          <w:color w:val="auto"/>
          <w:szCs w:val="21"/>
          <w:highlight w:val="none"/>
        </w:rPr>
        <w:t>1.履行时间（期限）：</w:t>
      </w:r>
      <w:r>
        <w:rPr>
          <w:rFonts w:hint="eastAsia" w:ascii="宋体" w:hAnsi="宋体" w:cs="宋体"/>
          <w:color w:val="auto"/>
          <w:szCs w:val="21"/>
          <w:highlight w:val="none"/>
          <w:u w:val="single"/>
        </w:rPr>
        <w:t xml:space="preserve">                          </w:t>
      </w:r>
    </w:p>
    <w:p w14:paraId="23118F5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2.履行地点：</w:t>
      </w:r>
      <w:r>
        <w:rPr>
          <w:rFonts w:hint="eastAsia" w:ascii="宋体" w:hAnsi="宋体" w:cs="宋体"/>
          <w:color w:val="auto"/>
          <w:szCs w:val="21"/>
          <w:highlight w:val="none"/>
          <w:u w:val="single"/>
        </w:rPr>
        <w:t xml:space="preserve">                       </w:t>
      </w:r>
    </w:p>
    <w:p w14:paraId="7E74A97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3.履行方式</w:t>
      </w:r>
    </w:p>
    <w:p w14:paraId="6989581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（1）履行方式：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718BC7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（2）伴随货物的，</w:t>
      </w:r>
      <w:r>
        <w:rPr>
          <w:rFonts w:hint="eastAsia" w:ascii="宋体" w:hAnsi="宋体"/>
          <w:color w:val="auto"/>
          <w:szCs w:val="21"/>
          <w:highlight w:val="none"/>
        </w:rPr>
        <w:t>乙方负责货物运输，</w:t>
      </w:r>
      <w:r>
        <w:rPr>
          <w:rFonts w:hint="eastAsia" w:ascii="宋体" w:hAnsi="宋体" w:cs="宋体"/>
          <w:color w:val="auto"/>
          <w:szCs w:val="21"/>
          <w:highlight w:val="none"/>
        </w:rPr>
        <w:t>货物的运输方式：</w:t>
      </w:r>
      <w:r>
        <w:rPr>
          <w:rFonts w:hint="eastAsia" w:ascii="宋体" w:hAnsi="宋体" w:cs="宋体"/>
          <w:color w:val="auto"/>
          <w:szCs w:val="21"/>
          <w:highlight w:val="none"/>
          <w:u w:val="single"/>
        </w:rPr>
        <w:t xml:space="preserve"> 不限 </w:t>
      </w:r>
      <w:r>
        <w:rPr>
          <w:rFonts w:hint="eastAsia" w:ascii="宋体" w:hAnsi="宋体" w:cs="宋体"/>
          <w:color w:val="auto"/>
          <w:szCs w:val="21"/>
          <w:highlight w:val="none"/>
        </w:rPr>
        <w:t>，交货方式：</w:t>
      </w:r>
    </w:p>
    <w:p w14:paraId="2BB2147C">
      <w:pPr>
        <w:spacing w:line="360" w:lineRule="auto"/>
        <w:ind w:firstLine="42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乙方将货物送到甲方指定地点。</w:t>
      </w:r>
    </w:p>
    <w:p w14:paraId="37B509FF">
      <w:pPr>
        <w:spacing w:line="360" w:lineRule="auto"/>
        <w:ind w:firstLine="42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甲方自行到乙方指定地点提货。</w:t>
      </w:r>
    </w:p>
    <w:p w14:paraId="285186D0">
      <w:pPr>
        <w:spacing w:line="360" w:lineRule="auto"/>
        <w:ind w:firstLine="420"/>
        <w:rPr>
          <w:rFonts w:ascii="宋体" w:hAnsi="宋体" w:cs="宋体"/>
          <w:b/>
          <w:color w:val="auto"/>
          <w:szCs w:val="21"/>
          <w:highlight w:val="none"/>
        </w:rPr>
      </w:pPr>
      <w:r>
        <w:rPr>
          <w:rFonts w:hint="eastAsia" w:ascii="宋体" w:hAnsi="宋体" w:cs="宋体"/>
          <w:color w:val="auto"/>
          <w:szCs w:val="21"/>
          <w:highlight w:val="none"/>
        </w:rPr>
        <w:t>□其他：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b/>
          <w:color w:val="auto"/>
          <w:szCs w:val="21"/>
          <w:highlight w:val="none"/>
        </w:rPr>
        <w:t xml:space="preserve"> </w:t>
      </w:r>
    </w:p>
    <w:p w14:paraId="3C18DF7B">
      <w:pPr>
        <w:spacing w:line="360" w:lineRule="auto"/>
        <w:ind w:firstLine="422"/>
        <w:rPr>
          <w:rFonts w:ascii="宋体" w:hAnsi="宋体"/>
          <w:b/>
          <w:color w:val="auto"/>
          <w:szCs w:val="21"/>
          <w:highlight w:val="none"/>
        </w:rPr>
      </w:pPr>
      <w:r>
        <w:rPr>
          <w:rFonts w:hint="eastAsia" w:ascii="宋体" w:hAnsi="宋体"/>
          <w:b/>
          <w:color w:val="auto"/>
          <w:szCs w:val="21"/>
          <w:highlight w:val="none"/>
        </w:rPr>
        <w:t>第四条　</w:t>
      </w:r>
      <w:r>
        <w:rPr>
          <w:rFonts w:hint="eastAsia" w:ascii="宋体" w:hAnsi="宋体"/>
          <w:b/>
          <w:color w:val="auto"/>
          <w:highlight w:val="none"/>
        </w:rPr>
        <w:t>包装方式（如有</w:t>
      </w:r>
      <w:r>
        <w:rPr>
          <w:rFonts w:hint="eastAsia" w:ascii="宋体" w:hAnsi="宋体"/>
          <w:b/>
          <w:color w:val="auto"/>
          <w:szCs w:val="21"/>
          <w:highlight w:val="none"/>
        </w:rPr>
        <w:t>伴随货物的</w:t>
      </w:r>
      <w:r>
        <w:rPr>
          <w:rFonts w:hint="eastAsia" w:ascii="宋体" w:hAnsi="宋体"/>
          <w:b/>
          <w:color w:val="auto"/>
          <w:highlight w:val="none"/>
        </w:rPr>
        <w:t>）</w:t>
      </w:r>
    </w:p>
    <w:p w14:paraId="03ED6063">
      <w:pPr>
        <w:spacing w:line="360" w:lineRule="auto"/>
        <w:ind w:firstLine="420"/>
        <w:rPr>
          <w:rFonts w:ascii="宋体" w:hAnsi="宋体"/>
          <w:color w:val="auto"/>
          <w:szCs w:val="21"/>
          <w:highlight w:val="none"/>
        </w:rPr>
      </w:pPr>
      <w:r>
        <w:rPr>
          <w:rFonts w:hint="eastAsia" w:ascii="宋体" w:hAnsi="宋体"/>
          <w:color w:val="auto"/>
          <w:szCs w:val="21"/>
          <w:highlight w:val="none"/>
        </w:rPr>
        <w:t>1.乙方提供的货物均应按响应文件承诺的要求的包装材料、包装标准、包装方式进行包装。</w:t>
      </w:r>
    </w:p>
    <w:p w14:paraId="03528635">
      <w:pPr>
        <w:pStyle w:val="214"/>
        <w:spacing w:line="360" w:lineRule="auto"/>
        <w:ind w:firstLine="420"/>
        <w:rPr>
          <w:rFonts w:hAnsi="宋体"/>
          <w:color w:val="auto"/>
          <w:sz w:val="21"/>
          <w:highlight w:val="none"/>
        </w:rPr>
      </w:pPr>
      <w:r>
        <w:rPr>
          <w:rFonts w:hint="eastAsia" w:hAnsi="宋体"/>
          <w:color w:val="auto"/>
          <w:sz w:val="21"/>
          <w:highlight w:val="none"/>
        </w:rPr>
        <w:t>2.乙方应在货物发运前对其进行满足运输距离、防水、防潮、防震、防锈和防破损装卸等要求包装，以保证货物安全运达甲方指定地点。</w:t>
      </w:r>
    </w:p>
    <w:p w14:paraId="4C12F546">
      <w:pPr>
        <w:pStyle w:val="214"/>
        <w:spacing w:line="360" w:lineRule="auto"/>
        <w:ind w:firstLine="420"/>
        <w:rPr>
          <w:rFonts w:hAnsi="宋体"/>
          <w:color w:val="auto"/>
          <w:sz w:val="21"/>
          <w:highlight w:val="none"/>
        </w:rPr>
      </w:pPr>
      <w:r>
        <w:rPr>
          <w:rFonts w:hint="eastAsia" w:hAnsi="宋体"/>
          <w:color w:val="auto"/>
          <w:sz w:val="21"/>
          <w:highlight w:val="none"/>
        </w:rPr>
        <w:t>3.货物的使用说明书（货物属于进口产品的，供货时应同时附上中文使用说明书）、质量检验证明书、质量合格证、随配附件和工具以及清单一并附于货物包装内。</w:t>
      </w:r>
    </w:p>
    <w:p w14:paraId="103D1F84">
      <w:pPr>
        <w:spacing w:line="360" w:lineRule="auto"/>
        <w:ind w:firstLine="422"/>
        <w:rPr>
          <w:rFonts w:ascii="宋体" w:hAnsi="宋体"/>
          <w:color w:val="auto"/>
          <w:szCs w:val="21"/>
          <w:highlight w:val="none"/>
        </w:rPr>
      </w:pPr>
      <w:r>
        <w:rPr>
          <w:rFonts w:hint="eastAsia" w:ascii="宋体" w:hAnsi="宋体"/>
          <w:b/>
          <w:color w:val="auto"/>
          <w:szCs w:val="21"/>
          <w:highlight w:val="none"/>
        </w:rPr>
        <w:t>第五条　实施和培训</w:t>
      </w:r>
    </w:p>
    <w:p w14:paraId="6556F7D4">
      <w:pPr>
        <w:spacing w:line="360" w:lineRule="auto"/>
        <w:ind w:firstLine="420"/>
        <w:rPr>
          <w:rFonts w:ascii="宋体" w:hAnsi="宋体"/>
          <w:color w:val="auto"/>
          <w:szCs w:val="21"/>
          <w:highlight w:val="none"/>
        </w:rPr>
      </w:pPr>
      <w:r>
        <w:rPr>
          <w:rFonts w:hint="eastAsia" w:ascii="宋体" w:hAnsi="宋体"/>
          <w:color w:val="auto"/>
          <w:szCs w:val="21"/>
          <w:highlight w:val="none"/>
        </w:rPr>
        <w:t>1.实施时间：</w:t>
      </w:r>
      <w:r>
        <w:rPr>
          <w:rFonts w:hint="eastAsia" w:ascii="宋体" w:hAnsi="宋体"/>
          <w:color w:val="auto"/>
          <w:szCs w:val="21"/>
          <w:highlight w:val="none"/>
          <w:u w:val="single"/>
        </w:rPr>
        <w:t xml:space="preserve">                     </w:t>
      </w:r>
      <w:r>
        <w:rPr>
          <w:rFonts w:hint="eastAsia" w:ascii="宋体" w:hAnsi="宋体"/>
          <w:color w:val="auto"/>
          <w:szCs w:val="21"/>
          <w:highlight w:val="none"/>
        </w:rPr>
        <w:t>；实施地点：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E7EA1F6">
      <w:pPr>
        <w:spacing w:line="360" w:lineRule="auto"/>
        <w:ind w:firstLine="420"/>
        <w:rPr>
          <w:rFonts w:ascii="宋体" w:hAnsi="宋体"/>
          <w:color w:val="auto"/>
          <w:szCs w:val="21"/>
          <w:highlight w:val="none"/>
        </w:rPr>
      </w:pPr>
      <w:r>
        <w:rPr>
          <w:rFonts w:hint="eastAsia" w:ascii="宋体" w:hAnsi="宋体"/>
          <w:color w:val="auto"/>
          <w:szCs w:val="21"/>
          <w:highlight w:val="none"/>
        </w:rPr>
        <w:t>2.实施要求：</w:t>
      </w:r>
      <w:r>
        <w:rPr>
          <w:rFonts w:hint="eastAsia" w:ascii="宋体" w:hAnsi="宋体"/>
          <w:iCs/>
          <w:color w:val="auto"/>
          <w:szCs w:val="21"/>
          <w:highlight w:val="none"/>
          <w:u w:val="single"/>
        </w:rPr>
        <w:t>乙方应当按响应文件要求（如有）或甲方要求进行实施</w:t>
      </w:r>
      <w:r>
        <w:rPr>
          <w:rFonts w:hint="eastAsia" w:ascii="宋体" w:hAnsi="宋体"/>
          <w:iCs/>
          <w:color w:val="auto"/>
          <w:szCs w:val="21"/>
          <w:highlight w:val="none"/>
        </w:rPr>
        <w:t>。</w:t>
      </w:r>
    </w:p>
    <w:p w14:paraId="56C94923">
      <w:pPr>
        <w:spacing w:line="360" w:lineRule="auto"/>
        <w:ind w:firstLine="420"/>
        <w:rPr>
          <w:rFonts w:ascii="宋体" w:hAnsi="宋体"/>
          <w:color w:val="auto"/>
          <w:szCs w:val="21"/>
          <w:highlight w:val="none"/>
        </w:rPr>
      </w:pPr>
      <w:r>
        <w:rPr>
          <w:rFonts w:hint="eastAsia" w:ascii="宋体" w:hAnsi="宋体"/>
          <w:color w:val="auto"/>
          <w:szCs w:val="21"/>
          <w:highlight w:val="none"/>
        </w:rPr>
        <w:t>3.乙方应按响应文件的承诺向甲方提供相应的服务，并提供所服务内容的相关技术资料，乙方提供不符合响应文件和本合同规定的服务成果，甲方有权拒绝接受。</w:t>
      </w:r>
    </w:p>
    <w:p w14:paraId="7D8D925B">
      <w:pPr>
        <w:pStyle w:val="209"/>
        <w:spacing w:line="360" w:lineRule="auto"/>
        <w:ind w:firstLine="420"/>
        <w:rPr>
          <w:rFonts w:ascii="宋体" w:hAnsi="宋体"/>
          <w:color w:val="auto"/>
          <w:szCs w:val="21"/>
          <w:highlight w:val="none"/>
        </w:rPr>
      </w:pPr>
      <w:r>
        <w:rPr>
          <w:rFonts w:hint="eastAsia" w:ascii="宋体" w:hAnsi="宋体"/>
          <w:color w:val="auto"/>
          <w:szCs w:val="21"/>
          <w:highlight w:val="none"/>
        </w:rPr>
        <w:t>4.乙方应当按照响应文件的承诺对甲方有关人员进行培训。培训时间：</w:t>
      </w:r>
      <w:r>
        <w:rPr>
          <w:rFonts w:hint="eastAsia" w:ascii="宋体" w:hAnsi="宋体"/>
          <w:color w:val="auto"/>
          <w:szCs w:val="21"/>
          <w:highlight w:val="none"/>
          <w:u w:val="single"/>
        </w:rPr>
        <w:t xml:space="preserve">                     </w:t>
      </w:r>
      <w:r>
        <w:rPr>
          <w:rFonts w:hint="eastAsia" w:ascii="宋体" w:hAnsi="宋体"/>
          <w:color w:val="auto"/>
          <w:szCs w:val="21"/>
          <w:highlight w:val="none"/>
        </w:rPr>
        <w:t>；培训地点：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690CE58">
      <w:pPr>
        <w:spacing w:line="360" w:lineRule="auto"/>
        <w:ind w:firstLine="422"/>
        <w:rPr>
          <w:rFonts w:ascii="宋体" w:hAnsi="宋体"/>
          <w:b/>
          <w:color w:val="auto"/>
          <w:szCs w:val="21"/>
          <w:highlight w:val="none"/>
        </w:rPr>
      </w:pPr>
      <w:r>
        <w:rPr>
          <w:rFonts w:hint="eastAsia" w:ascii="宋体" w:hAnsi="宋体"/>
          <w:b/>
          <w:color w:val="auto"/>
          <w:szCs w:val="21"/>
          <w:highlight w:val="none"/>
        </w:rPr>
        <w:t>第六条　合同价款及支付</w:t>
      </w:r>
    </w:p>
    <w:p w14:paraId="3BE0C47F">
      <w:pPr>
        <w:pStyle w:val="214"/>
        <w:spacing w:line="360" w:lineRule="auto"/>
        <w:ind w:firstLine="420"/>
        <w:rPr>
          <w:rFonts w:hAnsi="宋体"/>
          <w:color w:val="auto"/>
          <w:sz w:val="21"/>
          <w:highlight w:val="none"/>
        </w:rPr>
      </w:pPr>
      <w:r>
        <w:rPr>
          <w:rFonts w:hint="eastAsia" w:hAnsi="宋体"/>
          <w:color w:val="auto"/>
          <w:sz w:val="21"/>
          <w:highlight w:val="none"/>
        </w:rPr>
        <w:t>1.本合同以人民币付款。</w:t>
      </w:r>
    </w:p>
    <w:p w14:paraId="2E2F6E54">
      <w:pPr>
        <w:pStyle w:val="214"/>
        <w:spacing w:line="360" w:lineRule="auto"/>
        <w:ind w:firstLine="420"/>
        <w:rPr>
          <w:rFonts w:hAnsi="宋体"/>
          <w:color w:val="auto"/>
          <w:highlight w:val="none"/>
        </w:rPr>
      </w:pPr>
      <w:r>
        <w:rPr>
          <w:rFonts w:hint="eastAsia" w:hAnsi="宋体"/>
          <w:color w:val="auto"/>
          <w:sz w:val="21"/>
          <w:highlight w:val="none"/>
        </w:rPr>
        <w:t>2.合同价款（或者报酬）：</w:t>
      </w:r>
      <w:r>
        <w:rPr>
          <w:rFonts w:hint="eastAsia" w:hAnsi="宋体"/>
          <w:color w:val="auto"/>
          <w:highlight w:val="none"/>
          <w:u w:val="single"/>
        </w:rPr>
        <w:t xml:space="preserve">                     </w:t>
      </w:r>
      <w:r>
        <w:rPr>
          <w:rFonts w:hint="eastAsia" w:hAnsi="宋体"/>
          <w:color w:val="auto"/>
          <w:highlight w:val="none"/>
        </w:rPr>
        <w:t>。</w:t>
      </w:r>
    </w:p>
    <w:p w14:paraId="155D4F20">
      <w:pPr>
        <w:spacing w:line="360" w:lineRule="auto"/>
        <w:ind w:firstLine="420"/>
        <w:rPr>
          <w:rFonts w:ascii="宋体" w:hAnsi="宋体"/>
          <w:color w:val="auto"/>
          <w:szCs w:val="21"/>
          <w:highlight w:val="none"/>
        </w:rPr>
      </w:pPr>
      <w:r>
        <w:rPr>
          <w:rFonts w:hint="eastAsia" w:ascii="宋体" w:hAnsi="宋体"/>
          <w:color w:val="auto"/>
          <w:szCs w:val="21"/>
          <w:highlight w:val="none"/>
        </w:rPr>
        <w:t>3. 合同价款</w:t>
      </w:r>
      <w:r>
        <w:rPr>
          <w:rFonts w:hint="eastAsia" w:ascii="宋体" w:hAnsi="宋体" w:cs="宋体"/>
          <w:color w:val="auto"/>
          <w:szCs w:val="21"/>
          <w:highlight w:val="none"/>
        </w:rPr>
        <w:t>包括</w:t>
      </w:r>
      <w:r>
        <w:rPr>
          <w:rFonts w:hint="eastAsia" w:ascii="宋体" w:hAnsi="宋体" w:cs="宋体"/>
          <w:iCs/>
          <w:color w:val="auto"/>
          <w:szCs w:val="21"/>
          <w:highlight w:val="none"/>
          <w:u w:val="single"/>
        </w:rPr>
        <w:t>但不限于满足本次投标全部采购需求所应提供的服务，以及伴随的货物和工程（如有）的价格；包含投标服务、货物、工程的成本、运输（含保险）、安装（如有）、调试、检验、技术服务、培训、税费等所有费用。项目结算费用按实际开通的终端服务量计算</w:t>
      </w:r>
      <w:r>
        <w:rPr>
          <w:rFonts w:hint="eastAsia" w:ascii="宋体" w:hAnsi="宋体" w:cs="宋体"/>
          <w:iCs/>
          <w:color w:val="auto"/>
          <w:szCs w:val="21"/>
          <w:highlight w:val="none"/>
          <w:u w:val="single"/>
          <w:lang w:eastAsia="zh-CN"/>
        </w:rPr>
        <w:t>。</w:t>
      </w:r>
    </w:p>
    <w:p w14:paraId="68DC6DB8">
      <w:pPr>
        <w:pStyle w:val="214"/>
        <w:spacing w:line="360" w:lineRule="auto"/>
        <w:ind w:firstLine="420"/>
        <w:rPr>
          <w:rFonts w:hAnsi="宋体"/>
          <w:bCs/>
          <w:color w:val="auto"/>
          <w:sz w:val="21"/>
          <w:highlight w:val="none"/>
        </w:rPr>
      </w:pPr>
      <w:r>
        <w:rPr>
          <w:rFonts w:hint="eastAsia" w:hAnsi="宋体"/>
          <w:bCs/>
          <w:color w:val="auto"/>
          <w:sz w:val="21"/>
          <w:highlight w:val="none"/>
        </w:rPr>
        <w:t>4.预付款：</w:t>
      </w:r>
      <w:r>
        <w:rPr>
          <w:rFonts w:hint="eastAsia" w:hAnsi="宋体"/>
          <w:bCs/>
          <w:iCs/>
          <w:color w:val="auto"/>
          <w:sz w:val="21"/>
          <w:highlight w:val="none"/>
        </w:rPr>
        <w:t>无</w:t>
      </w:r>
    </w:p>
    <w:p w14:paraId="2CB14563">
      <w:pPr>
        <w:spacing w:line="360" w:lineRule="auto"/>
        <w:ind w:firstLine="420"/>
        <w:rPr>
          <w:rFonts w:ascii="宋体" w:hAnsi="宋体"/>
          <w:color w:val="auto"/>
          <w:szCs w:val="21"/>
          <w:highlight w:val="none"/>
          <w:u w:val="single"/>
        </w:rPr>
      </w:pPr>
      <w:r>
        <w:rPr>
          <w:rFonts w:hAnsi="宋体"/>
          <w:bCs/>
          <w:color w:val="auto"/>
          <w:highlight w:val="none"/>
        </w:rPr>
        <w:t>5.</w:t>
      </w:r>
      <w:r>
        <w:rPr>
          <w:rFonts w:hint="eastAsia" w:hAnsi="宋体"/>
          <w:color w:val="auto"/>
          <w:highlight w:val="none"/>
        </w:rPr>
        <w:t>付款进度安排</w:t>
      </w:r>
      <w:r>
        <w:rPr>
          <w:rFonts w:hint="eastAsia" w:hAnsi="宋体"/>
          <w:iCs/>
          <w:color w:val="auto"/>
          <w:highlight w:val="none"/>
        </w:rPr>
        <w:t>：</w:t>
      </w:r>
      <w:r>
        <w:rPr>
          <w:rFonts w:hint="eastAsia" w:hAnsi="宋体"/>
          <w:iCs/>
          <w:color w:val="auto"/>
          <w:highlight w:val="none"/>
          <w:u w:val="single"/>
        </w:rPr>
        <w:t xml:space="preserve">                                  </w:t>
      </w:r>
    </w:p>
    <w:p w14:paraId="795CB9DA">
      <w:pPr>
        <w:spacing w:line="360" w:lineRule="auto"/>
        <w:ind w:firstLine="420"/>
        <w:rPr>
          <w:rFonts w:ascii="宋体" w:hAnsi="宋体"/>
          <w:b/>
          <w:color w:val="auto"/>
          <w:szCs w:val="21"/>
          <w:highlight w:val="none"/>
        </w:rPr>
      </w:pPr>
      <w:r>
        <w:rPr>
          <w:rFonts w:hAnsi="宋体"/>
          <w:color w:val="auto"/>
          <w:highlight w:val="none"/>
        </w:rPr>
        <w:t>6.</w:t>
      </w:r>
      <w:r>
        <w:rPr>
          <w:rFonts w:hint="eastAsia" w:hAnsi="宋体"/>
          <w:color w:val="auto"/>
          <w:highlight w:val="none"/>
        </w:rPr>
        <w:t>资金支付方式：</w:t>
      </w:r>
      <w:r>
        <w:rPr>
          <w:rFonts w:hAnsi="宋体"/>
          <w:color w:val="auto"/>
          <w:highlight w:val="none"/>
          <w:u w:val="single"/>
        </w:rPr>
        <w:t xml:space="preserve">  </w:t>
      </w:r>
      <w:r>
        <w:rPr>
          <w:rFonts w:hAnsi="宋体"/>
          <w:i/>
          <w:color w:val="auto"/>
          <w:highlight w:val="none"/>
          <w:u w:val="single"/>
        </w:rPr>
        <w:t xml:space="preserve">  </w:t>
      </w:r>
      <w:r>
        <w:rPr>
          <w:rFonts w:hint="eastAsia" w:hAnsi="宋体"/>
          <w:iCs/>
          <w:color w:val="auto"/>
          <w:highlight w:val="none"/>
          <w:u w:val="single"/>
        </w:rPr>
        <w:t>（银行转账）</w:t>
      </w:r>
      <w:r>
        <w:rPr>
          <w:rFonts w:hAnsi="宋体"/>
          <w:iCs/>
          <w:color w:val="auto"/>
          <w:highlight w:val="none"/>
          <w:u w:val="single"/>
        </w:rPr>
        <w:t xml:space="preserve"> </w:t>
      </w:r>
      <w:r>
        <w:rPr>
          <w:rFonts w:hAnsi="宋体"/>
          <w:i/>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4DF85755">
      <w:pPr>
        <w:spacing w:line="360" w:lineRule="auto"/>
        <w:ind w:firstLine="422"/>
        <w:rPr>
          <w:rFonts w:ascii="宋体" w:hAnsi="宋体"/>
          <w:b/>
          <w:color w:val="auto"/>
          <w:szCs w:val="21"/>
          <w:highlight w:val="none"/>
        </w:rPr>
      </w:pPr>
      <w:r>
        <w:rPr>
          <w:rFonts w:hint="eastAsia" w:ascii="宋体" w:hAnsi="宋体"/>
          <w:b/>
          <w:color w:val="auto"/>
          <w:szCs w:val="21"/>
          <w:highlight w:val="none"/>
        </w:rPr>
        <w:t>第七条　验收、交付标准和方法</w:t>
      </w:r>
    </w:p>
    <w:p w14:paraId="49006443">
      <w:pPr>
        <w:spacing w:line="360" w:lineRule="auto"/>
        <w:ind w:firstLine="420"/>
        <w:rPr>
          <w:rFonts w:ascii="宋体" w:hAnsi="宋体"/>
          <w:color w:val="auto"/>
          <w:szCs w:val="21"/>
          <w:highlight w:val="none"/>
        </w:rPr>
      </w:pPr>
      <w:r>
        <w:rPr>
          <w:rFonts w:hint="eastAsia" w:ascii="宋体" w:hAnsi="宋体"/>
          <w:color w:val="auto"/>
          <w:szCs w:val="21"/>
          <w:highlight w:val="none"/>
        </w:rPr>
        <w:t>1.验收标准和方法</w:t>
      </w:r>
    </w:p>
    <w:p w14:paraId="0CEE619E">
      <w:pPr>
        <w:spacing w:line="360" w:lineRule="auto"/>
        <w:ind w:firstLine="420"/>
        <w:rPr>
          <w:rFonts w:ascii="宋体" w:hAnsi="宋体"/>
          <w:color w:val="auto"/>
          <w:szCs w:val="21"/>
          <w:highlight w:val="none"/>
        </w:rPr>
      </w:pPr>
      <w:r>
        <w:rPr>
          <w:rFonts w:hint="eastAsia" w:ascii="宋体" w:hAnsi="宋体"/>
          <w:color w:val="auto"/>
          <w:szCs w:val="21"/>
          <w:highlight w:val="none"/>
        </w:rPr>
        <w:t>（1）验收标准：</w:t>
      </w:r>
      <w:r>
        <w:rPr>
          <w:rFonts w:hint="eastAsia" w:ascii="宋体" w:hAnsi="宋体"/>
          <w:iCs/>
          <w:color w:val="auto"/>
          <w:szCs w:val="21"/>
          <w:highlight w:val="none"/>
        </w:rPr>
        <w:t>符合现行国家相关标准、行业标准、地方标准或者其他标准、规范</w:t>
      </w:r>
    </w:p>
    <w:p w14:paraId="072EBCCA">
      <w:pPr>
        <w:spacing w:line="360" w:lineRule="auto"/>
        <w:ind w:firstLine="420"/>
        <w:rPr>
          <w:rFonts w:ascii="宋体" w:hAnsi="宋体"/>
          <w:color w:val="auto"/>
          <w:szCs w:val="21"/>
          <w:highlight w:val="none"/>
        </w:rPr>
      </w:pPr>
      <w:r>
        <w:rPr>
          <w:rFonts w:hint="eastAsia" w:ascii="宋体" w:hAnsi="宋体"/>
          <w:color w:val="auto"/>
          <w:szCs w:val="21"/>
          <w:highlight w:val="none"/>
        </w:rPr>
        <w:t>（2）验收程序及方法：</w:t>
      </w:r>
    </w:p>
    <w:p w14:paraId="3C750182">
      <w:pPr>
        <w:spacing w:line="360" w:lineRule="auto"/>
        <w:ind w:firstLine="420"/>
        <w:rPr>
          <w:rFonts w:ascii="宋体" w:hAnsi="宋体"/>
          <w:color w:val="auto"/>
          <w:szCs w:val="21"/>
          <w:highlight w:val="none"/>
        </w:rPr>
      </w:pPr>
      <w:r>
        <w:rPr>
          <w:rFonts w:hint="eastAsia" w:ascii="宋体" w:hAnsi="宋体"/>
          <w:color w:val="auto"/>
          <w:szCs w:val="21"/>
          <w:highlight w:val="none"/>
        </w:rPr>
        <w:t>1）乙方完成服务实施和培训后，向甲方提交验收书面申请。</w:t>
      </w:r>
    </w:p>
    <w:p w14:paraId="08604A0B">
      <w:pPr>
        <w:spacing w:line="360" w:lineRule="auto"/>
        <w:ind w:firstLine="420"/>
        <w:rPr>
          <w:rFonts w:ascii="宋体" w:hAnsi="宋体"/>
          <w:color w:val="auto"/>
          <w:szCs w:val="21"/>
          <w:highlight w:val="none"/>
        </w:rPr>
      </w:pPr>
      <w:r>
        <w:rPr>
          <w:rFonts w:hint="eastAsia" w:ascii="宋体" w:hAnsi="宋体"/>
          <w:color w:val="auto"/>
          <w:szCs w:val="21"/>
          <w:highlight w:val="none"/>
        </w:rPr>
        <w:t>2）甲方收到乙方验收申请之日起</w:t>
      </w:r>
      <w:r>
        <w:rPr>
          <w:rFonts w:hint="eastAsia" w:ascii="宋体" w:hAnsi="宋体"/>
          <w:color w:val="auto"/>
          <w:szCs w:val="21"/>
          <w:highlight w:val="none"/>
          <w:u w:val="single"/>
        </w:rPr>
        <w:t xml:space="preserve"> 5 </w:t>
      </w:r>
      <w:r>
        <w:rPr>
          <w:rFonts w:hint="eastAsia" w:ascii="宋体" w:hAnsi="宋体"/>
          <w:color w:val="auto"/>
          <w:szCs w:val="21"/>
          <w:highlight w:val="none"/>
        </w:rPr>
        <w:t>个工作日内组织开展履约验收。甲方委托第三方机构组织项目验收的，其验收时间以该项目验收方案确定的验收时间为准。</w:t>
      </w:r>
    </w:p>
    <w:p w14:paraId="0C947FC5">
      <w:pPr>
        <w:spacing w:line="360" w:lineRule="auto"/>
        <w:ind w:firstLine="420"/>
        <w:rPr>
          <w:rFonts w:ascii="宋体" w:hAnsi="宋体"/>
          <w:color w:val="auto"/>
          <w:szCs w:val="21"/>
          <w:highlight w:val="none"/>
        </w:rPr>
      </w:pPr>
      <w:r>
        <w:rPr>
          <w:rFonts w:hint="eastAsia" w:ascii="宋体" w:hAnsi="宋体"/>
          <w:color w:val="auto"/>
          <w:szCs w:val="21"/>
          <w:highlight w:val="none"/>
        </w:rPr>
        <w:t>3）负责本项目验收的单位按下列</w:t>
      </w:r>
      <w:r>
        <w:rPr>
          <w:rFonts w:hint="eastAsia" w:ascii="宋体" w:hAnsi="宋体"/>
          <w:color w:val="auto"/>
          <w:szCs w:val="21"/>
          <w:highlight w:val="none"/>
          <w:u w:val="single"/>
        </w:rPr>
        <w:t xml:space="preserve">    </w:t>
      </w:r>
      <w:r>
        <w:rPr>
          <w:rFonts w:hint="eastAsia" w:ascii="宋体" w:hAnsi="宋体"/>
          <w:color w:val="auto"/>
          <w:szCs w:val="21"/>
          <w:highlight w:val="none"/>
        </w:rPr>
        <w:t>方式确定：</w:t>
      </w:r>
    </w:p>
    <w:p w14:paraId="71F96D60">
      <w:pPr>
        <w:spacing w:line="360" w:lineRule="auto"/>
        <w:ind w:firstLine="420"/>
        <w:rPr>
          <w:rFonts w:ascii="宋体" w:hAnsi="宋体"/>
          <w:color w:val="auto"/>
          <w:szCs w:val="21"/>
          <w:highlight w:val="none"/>
        </w:rPr>
      </w:pPr>
      <w:r>
        <w:rPr>
          <w:rFonts w:hint="eastAsia" w:ascii="宋体" w:hAnsi="宋体"/>
          <w:color w:val="auto"/>
          <w:szCs w:val="21"/>
          <w:highlight w:val="none"/>
        </w:rPr>
        <w:t>①甲方自行组织；</w:t>
      </w:r>
    </w:p>
    <w:p w14:paraId="4184EA91">
      <w:pPr>
        <w:spacing w:line="360" w:lineRule="auto"/>
        <w:ind w:firstLine="420"/>
        <w:rPr>
          <w:rFonts w:ascii="宋体" w:hAnsi="宋体"/>
          <w:color w:val="auto"/>
          <w:szCs w:val="21"/>
          <w:highlight w:val="none"/>
        </w:rPr>
      </w:pPr>
      <w:r>
        <w:rPr>
          <w:rFonts w:hint="eastAsia" w:ascii="宋体" w:hAnsi="宋体"/>
          <w:color w:val="auto"/>
          <w:szCs w:val="21"/>
          <w:highlight w:val="none"/>
        </w:rPr>
        <w:t>②甲方委托的第三方机构组织；</w:t>
      </w:r>
    </w:p>
    <w:p w14:paraId="45E31FE0">
      <w:pPr>
        <w:spacing w:line="360" w:lineRule="auto"/>
        <w:ind w:firstLine="420"/>
        <w:rPr>
          <w:rFonts w:ascii="宋体" w:hAnsi="宋体"/>
          <w:color w:val="auto"/>
          <w:szCs w:val="21"/>
          <w:highlight w:val="none"/>
        </w:rPr>
      </w:pPr>
      <w:r>
        <w:rPr>
          <w:rFonts w:hint="eastAsia" w:ascii="宋体" w:hAnsi="宋体"/>
          <w:color w:val="auto"/>
          <w:szCs w:val="21"/>
          <w:highlight w:val="none"/>
        </w:rPr>
        <w:t>4）本项目验收由验收小组按照采购合同约定对每一项技术和商务要求的履约情况进行确认。</w:t>
      </w:r>
    </w:p>
    <w:p w14:paraId="3E0FEE04">
      <w:pPr>
        <w:spacing w:line="360" w:lineRule="auto"/>
        <w:ind w:firstLine="420"/>
        <w:rPr>
          <w:rFonts w:ascii="宋体" w:hAnsi="宋体" w:cs="宋体"/>
          <w:color w:val="auto"/>
          <w:szCs w:val="21"/>
          <w:highlight w:val="none"/>
        </w:rPr>
      </w:pPr>
      <w:r>
        <w:rPr>
          <w:rFonts w:hint="eastAsia" w:ascii="宋体" w:hAnsi="宋体"/>
          <w:color w:val="auto"/>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62B52BF4">
      <w:pPr>
        <w:spacing w:line="360" w:lineRule="auto"/>
        <w:ind w:firstLine="420"/>
        <w:rPr>
          <w:rFonts w:ascii="宋体" w:hAnsi="宋体"/>
          <w:color w:val="auto"/>
          <w:szCs w:val="21"/>
          <w:highlight w:val="none"/>
        </w:rPr>
      </w:pPr>
      <w:r>
        <w:rPr>
          <w:rFonts w:hint="eastAsia" w:ascii="宋体" w:hAnsi="宋体"/>
          <w:color w:val="auto"/>
          <w:szCs w:val="21"/>
          <w:highlight w:val="none"/>
        </w:rPr>
        <w:t>6）</w:t>
      </w:r>
      <w:r>
        <w:rPr>
          <w:rFonts w:hint="eastAsia"/>
          <w:color w:val="auto"/>
          <w:szCs w:val="21"/>
          <w:highlight w:val="none"/>
        </w:rPr>
        <w:t>验收书一式</w:t>
      </w:r>
      <w:r>
        <w:rPr>
          <w:color w:val="auto"/>
          <w:szCs w:val="21"/>
          <w:highlight w:val="none"/>
          <w:u w:val="single"/>
        </w:rPr>
        <w:t xml:space="preserve"> </w:t>
      </w:r>
      <w:r>
        <w:rPr>
          <w:rFonts w:hint="eastAsia"/>
          <w:color w:val="auto"/>
          <w:szCs w:val="21"/>
          <w:highlight w:val="none"/>
          <w:u w:val="single"/>
        </w:rPr>
        <w:t>肆</w:t>
      </w:r>
      <w:r>
        <w:rPr>
          <w:color w:val="auto"/>
          <w:szCs w:val="21"/>
          <w:highlight w:val="none"/>
          <w:u w:val="single"/>
        </w:rPr>
        <w:t xml:space="preserve"> </w:t>
      </w:r>
      <w:r>
        <w:rPr>
          <w:rFonts w:hint="eastAsia"/>
          <w:color w:val="auto"/>
          <w:szCs w:val="21"/>
          <w:highlight w:val="none"/>
        </w:rPr>
        <w:t>份，甲乙双方各执</w:t>
      </w:r>
      <w:r>
        <w:rPr>
          <w:color w:val="auto"/>
          <w:szCs w:val="21"/>
          <w:highlight w:val="none"/>
          <w:u w:val="single"/>
        </w:rPr>
        <w:t xml:space="preserve"> </w:t>
      </w:r>
      <w:r>
        <w:rPr>
          <w:rFonts w:hint="eastAsia"/>
          <w:color w:val="auto"/>
          <w:szCs w:val="21"/>
          <w:highlight w:val="none"/>
          <w:u w:val="single"/>
        </w:rPr>
        <w:t>贰</w:t>
      </w:r>
      <w:r>
        <w:rPr>
          <w:color w:val="auto"/>
          <w:szCs w:val="21"/>
          <w:highlight w:val="none"/>
          <w:u w:val="single"/>
        </w:rPr>
        <w:t xml:space="preserve"> </w:t>
      </w:r>
      <w:r>
        <w:rPr>
          <w:rFonts w:hint="eastAsia"/>
          <w:color w:val="auto"/>
          <w:szCs w:val="21"/>
          <w:highlight w:val="none"/>
        </w:rPr>
        <w:t>份、受托第三方机构一份（如有）</w:t>
      </w:r>
      <w:r>
        <w:rPr>
          <w:rFonts w:hint="eastAsia" w:ascii="宋体" w:hAnsi="宋体"/>
          <w:color w:val="auto"/>
          <w:szCs w:val="21"/>
          <w:highlight w:val="none"/>
        </w:rPr>
        <w:t xml:space="preserve">。 </w:t>
      </w:r>
    </w:p>
    <w:p w14:paraId="58651147">
      <w:pPr>
        <w:spacing w:line="360" w:lineRule="auto"/>
        <w:ind w:firstLine="420"/>
        <w:rPr>
          <w:rFonts w:ascii="宋体" w:hAnsi="宋体"/>
          <w:color w:val="auto"/>
          <w:szCs w:val="21"/>
          <w:highlight w:val="none"/>
        </w:rPr>
      </w:pPr>
      <w:r>
        <w:rPr>
          <w:rFonts w:hint="eastAsia" w:ascii="宋体" w:hAnsi="宋体"/>
          <w:color w:val="auto"/>
          <w:szCs w:val="21"/>
          <w:highlight w:val="none"/>
        </w:rPr>
        <w:t>7）验收结论不合格的，乙方应自收到验收书后</w:t>
      </w:r>
      <w:r>
        <w:rPr>
          <w:rFonts w:hint="eastAsia" w:ascii="宋体" w:hAnsi="宋体"/>
          <w:color w:val="auto"/>
          <w:szCs w:val="21"/>
          <w:highlight w:val="none"/>
          <w:u w:val="single"/>
        </w:rPr>
        <w:t xml:space="preserve"> 3 </w:t>
      </w:r>
      <w:r>
        <w:rPr>
          <w:rFonts w:hint="eastAsia" w:ascii="宋体" w:hAnsi="宋体"/>
          <w:color w:val="auto"/>
          <w:szCs w:val="21"/>
          <w:highlight w:val="none"/>
        </w:rPr>
        <w:t>日内及时予以解决。经乙方对验收结论不合格的货物进行整改后，仍然达不到要求的，经双方协商，可按以下办法处理：</w:t>
      </w:r>
    </w:p>
    <w:p w14:paraId="4A6E65BF">
      <w:pPr>
        <w:spacing w:line="360" w:lineRule="auto"/>
        <w:ind w:firstLine="420"/>
        <w:rPr>
          <w:rFonts w:ascii="宋体" w:hAnsi="宋体"/>
          <w:color w:val="auto"/>
          <w:szCs w:val="21"/>
          <w:highlight w:val="none"/>
        </w:rPr>
      </w:pPr>
      <w:r>
        <w:rPr>
          <w:rFonts w:hint="eastAsia" w:ascii="宋体" w:hAnsi="宋体"/>
          <w:color w:val="auto"/>
          <w:szCs w:val="21"/>
          <w:highlight w:val="none"/>
        </w:rPr>
        <w:t>①更换：由乙方承担所发生的全部费用。</w:t>
      </w:r>
    </w:p>
    <w:p w14:paraId="07C8563F">
      <w:pPr>
        <w:spacing w:line="360" w:lineRule="auto"/>
        <w:ind w:firstLine="420"/>
        <w:rPr>
          <w:rFonts w:ascii="宋体" w:hAnsi="宋体"/>
          <w:color w:val="auto"/>
          <w:szCs w:val="21"/>
          <w:highlight w:val="none"/>
        </w:rPr>
      </w:pPr>
      <w:r>
        <w:rPr>
          <w:rFonts w:hint="eastAsia" w:ascii="宋体" w:hAnsi="宋体"/>
          <w:color w:val="auto"/>
          <w:szCs w:val="21"/>
          <w:highlight w:val="none"/>
        </w:rPr>
        <w:t>②贬值处理：由甲乙双方合议定价。</w:t>
      </w:r>
    </w:p>
    <w:p w14:paraId="1BBA56FC">
      <w:pPr>
        <w:spacing w:line="360" w:lineRule="auto"/>
        <w:ind w:firstLine="420"/>
        <w:rPr>
          <w:rFonts w:ascii="宋体" w:hAnsi="宋体"/>
          <w:color w:val="auto"/>
          <w:szCs w:val="21"/>
          <w:highlight w:val="none"/>
        </w:rPr>
      </w:pPr>
      <w:r>
        <w:rPr>
          <w:rFonts w:hint="eastAsia" w:ascii="宋体" w:hAnsi="宋体"/>
          <w:color w:val="auto"/>
          <w:szCs w:val="21"/>
          <w:highlight w:val="none"/>
        </w:rPr>
        <w:t>8）</w:t>
      </w:r>
      <w:r>
        <w:rPr>
          <w:rFonts w:hint="eastAsia"/>
          <w:color w:val="auto"/>
          <w:highlight w:val="none"/>
        </w:rPr>
        <w:t>验收费用</w:t>
      </w:r>
      <w:r>
        <w:rPr>
          <w:rFonts w:hint="eastAsia" w:ascii="宋体" w:hAnsi="宋体"/>
          <w:color w:val="auto"/>
          <w:szCs w:val="21"/>
          <w:highlight w:val="none"/>
        </w:rPr>
        <w:t>按下列</w:t>
      </w:r>
      <w:r>
        <w:rPr>
          <w:rFonts w:hint="eastAsia" w:ascii="宋体" w:hAnsi="宋体"/>
          <w:color w:val="auto"/>
          <w:szCs w:val="21"/>
          <w:highlight w:val="none"/>
          <w:u w:val="single"/>
        </w:rPr>
        <w:t xml:space="preserve"> ② </w:t>
      </w:r>
      <w:r>
        <w:rPr>
          <w:rFonts w:hint="eastAsia" w:ascii="宋体" w:hAnsi="宋体"/>
          <w:color w:val="auto"/>
          <w:szCs w:val="21"/>
          <w:highlight w:val="none"/>
        </w:rPr>
        <w:t>方式确定：</w:t>
      </w:r>
    </w:p>
    <w:p w14:paraId="79D10748">
      <w:pPr>
        <w:spacing w:line="360" w:lineRule="auto"/>
        <w:ind w:firstLine="420"/>
        <w:rPr>
          <w:rFonts w:ascii="宋体" w:hAnsi="宋体"/>
          <w:color w:val="auto"/>
          <w:szCs w:val="21"/>
          <w:highlight w:val="none"/>
        </w:rPr>
      </w:pPr>
      <w:r>
        <w:rPr>
          <w:rFonts w:hint="eastAsia" w:ascii="宋体" w:hAnsi="宋体"/>
          <w:color w:val="auto"/>
          <w:szCs w:val="21"/>
          <w:highlight w:val="none"/>
        </w:rPr>
        <w:t>①甲方支付；</w:t>
      </w:r>
    </w:p>
    <w:p w14:paraId="5249F701">
      <w:pPr>
        <w:spacing w:line="360" w:lineRule="auto"/>
        <w:ind w:firstLine="420"/>
        <w:rPr>
          <w:rFonts w:ascii="宋体" w:hAnsi="宋体"/>
          <w:color w:val="auto"/>
          <w:szCs w:val="21"/>
          <w:highlight w:val="none"/>
        </w:rPr>
      </w:pPr>
      <w:r>
        <w:rPr>
          <w:rFonts w:hint="eastAsia" w:ascii="宋体" w:hAnsi="宋体"/>
          <w:color w:val="auto"/>
          <w:szCs w:val="21"/>
          <w:highlight w:val="none"/>
        </w:rPr>
        <w:t>②乙方支付；</w:t>
      </w:r>
    </w:p>
    <w:p w14:paraId="7D90A263">
      <w:pPr>
        <w:spacing w:line="360" w:lineRule="auto"/>
        <w:ind w:firstLine="420"/>
        <w:rPr>
          <w:rFonts w:ascii="宋体" w:hAnsi="宋体"/>
          <w:color w:val="auto"/>
          <w:highlight w:val="none"/>
        </w:rPr>
      </w:pPr>
      <w:r>
        <w:rPr>
          <w:rFonts w:hint="eastAsia" w:ascii="宋体" w:hAnsi="宋体"/>
          <w:color w:val="auto"/>
          <w:highlight w:val="none"/>
        </w:rPr>
        <w:t>2.交付标准和方法</w:t>
      </w:r>
    </w:p>
    <w:p w14:paraId="25B966CB">
      <w:pPr>
        <w:spacing w:line="360" w:lineRule="auto"/>
        <w:ind w:firstLine="420"/>
        <w:rPr>
          <w:rFonts w:ascii="宋体" w:hAnsi="宋体"/>
          <w:color w:val="auto"/>
          <w:szCs w:val="21"/>
          <w:highlight w:val="none"/>
        </w:rPr>
      </w:pPr>
      <w:r>
        <w:rPr>
          <w:rFonts w:hint="eastAsia" w:ascii="宋体" w:hAnsi="宋体"/>
          <w:color w:val="auto"/>
          <w:highlight w:val="none"/>
        </w:rPr>
        <w:t>（1）除售后服务验收外，</w:t>
      </w:r>
      <w:r>
        <w:rPr>
          <w:rFonts w:hint="eastAsia" w:ascii="宋体" w:hAnsi="宋体"/>
          <w:color w:val="auto"/>
          <w:szCs w:val="21"/>
          <w:highlight w:val="none"/>
        </w:rPr>
        <w:t>验收结论合格的，乙方应自收到验收书/报告后</w:t>
      </w:r>
      <w:r>
        <w:rPr>
          <w:rFonts w:hint="eastAsia" w:ascii="宋体" w:hAnsi="宋体"/>
          <w:color w:val="auto"/>
          <w:szCs w:val="21"/>
          <w:highlight w:val="none"/>
          <w:u w:val="single"/>
        </w:rPr>
        <w:t xml:space="preserve"> 3 </w:t>
      </w:r>
      <w:r>
        <w:rPr>
          <w:rFonts w:hint="eastAsia" w:ascii="宋体" w:hAnsi="宋体"/>
          <w:color w:val="auto"/>
          <w:szCs w:val="21"/>
          <w:highlight w:val="none"/>
        </w:rPr>
        <w:t>日内向甲方交付使用。</w:t>
      </w:r>
    </w:p>
    <w:p w14:paraId="404D01CB">
      <w:pPr>
        <w:spacing w:line="360" w:lineRule="auto"/>
        <w:ind w:firstLine="420"/>
        <w:rPr>
          <w:rFonts w:ascii="宋体" w:hAnsi="宋体"/>
          <w:color w:val="auto"/>
          <w:highlight w:val="none"/>
        </w:rPr>
      </w:pPr>
      <w:r>
        <w:rPr>
          <w:rFonts w:hint="eastAsia" w:ascii="宋体" w:hAnsi="宋体"/>
          <w:color w:val="auto"/>
          <w:highlight w:val="none"/>
        </w:rPr>
        <w:t>（2）甲方在初步验收或者最终验收过程中如发现乙方提供的服务成果不满足响应文件及本合同规定的，暂停向乙方付款，直到乙方及时完善并提交相应的服务成果且经甲方验收合格后，方可办理付款。</w:t>
      </w:r>
    </w:p>
    <w:p w14:paraId="0A36E93E">
      <w:pPr>
        <w:spacing w:line="360" w:lineRule="auto"/>
        <w:ind w:firstLine="420"/>
        <w:rPr>
          <w:rFonts w:ascii="宋体" w:hAnsi="宋体"/>
          <w:b/>
          <w:color w:val="auto"/>
          <w:szCs w:val="21"/>
          <w:highlight w:val="none"/>
        </w:rPr>
      </w:pPr>
      <w:r>
        <w:rPr>
          <w:rFonts w:hint="eastAsia" w:ascii="宋体" w:hAnsi="宋体"/>
          <w:color w:val="auto"/>
          <w:highlight w:val="none"/>
        </w:rPr>
        <w:t>（3）伴随货物的，其所有权和风险自交付时起由乙方转移至甲方，货物交付给甲方之前所有风险均由乙方承担。</w:t>
      </w:r>
    </w:p>
    <w:p w14:paraId="083E07E2">
      <w:pPr>
        <w:spacing w:line="360" w:lineRule="auto"/>
        <w:ind w:firstLine="422"/>
        <w:rPr>
          <w:rFonts w:ascii="宋体" w:hAnsi="宋体"/>
          <w:b/>
          <w:color w:val="auto"/>
          <w:szCs w:val="21"/>
          <w:highlight w:val="none"/>
        </w:rPr>
      </w:pPr>
      <w:r>
        <w:rPr>
          <w:rFonts w:hint="eastAsia" w:ascii="宋体" w:hAnsi="宋体"/>
          <w:b/>
          <w:color w:val="auto"/>
          <w:szCs w:val="21"/>
          <w:highlight w:val="none"/>
        </w:rPr>
        <w:t>第八条  售后服务</w:t>
      </w:r>
    </w:p>
    <w:p w14:paraId="052CC65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color w:val="auto"/>
          <w:highlight w:val="none"/>
        </w:rPr>
        <w:t xml:space="preserve"> </w:t>
      </w:r>
      <w:r>
        <w:rPr>
          <w:rFonts w:hint="eastAsia" w:ascii="宋体" w:hAnsi="宋体" w:cs="宋体"/>
          <w:color w:val="auto"/>
          <w:szCs w:val="21"/>
          <w:highlight w:val="none"/>
        </w:rPr>
        <w:t>乙方应按照国家有关法律法规规定以及响应文件承诺，为甲方提供售后服务。</w:t>
      </w:r>
    </w:p>
    <w:p w14:paraId="507631A2">
      <w:pPr>
        <w:spacing w:line="360" w:lineRule="auto"/>
        <w:ind w:firstLine="420"/>
        <w:rPr>
          <w:rFonts w:ascii="宋体" w:hAnsi="宋体"/>
          <w:color w:val="auto"/>
          <w:szCs w:val="21"/>
          <w:highlight w:val="none"/>
          <w:u w:val="single"/>
        </w:rPr>
      </w:pPr>
      <w:r>
        <w:rPr>
          <w:rFonts w:hint="eastAsia" w:ascii="宋体" w:hAnsi="宋体" w:cs="宋体"/>
          <w:color w:val="auto"/>
          <w:szCs w:val="21"/>
          <w:highlight w:val="none"/>
        </w:rPr>
        <w:t>2.伴随货</w:t>
      </w:r>
      <w:r>
        <w:rPr>
          <w:rFonts w:hint="eastAsia" w:ascii="宋体" w:hAnsi="宋体"/>
          <w:color w:val="auto"/>
          <w:szCs w:val="21"/>
          <w:highlight w:val="none"/>
        </w:rPr>
        <w:t>物的质量保修范围：</w:t>
      </w:r>
      <w:r>
        <w:rPr>
          <w:rFonts w:hint="eastAsia" w:ascii="宋体" w:hAnsi="宋体"/>
          <w:color w:val="auto"/>
          <w:szCs w:val="21"/>
          <w:highlight w:val="none"/>
          <w:u w:val="single"/>
        </w:rPr>
        <w:t xml:space="preserve">                  </w:t>
      </w:r>
      <w:r>
        <w:rPr>
          <w:rFonts w:hint="eastAsia" w:ascii="宋体" w:hAnsi="宋体"/>
          <w:color w:val="auto"/>
          <w:szCs w:val="21"/>
          <w:highlight w:val="none"/>
        </w:rPr>
        <w:t>；保修期：</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BA3019B">
      <w:pPr>
        <w:spacing w:line="360" w:lineRule="auto"/>
        <w:ind w:left="-61" w:firstLine="517"/>
        <w:rPr>
          <w:rFonts w:ascii="宋体" w:hAnsi="宋体"/>
          <w:b/>
          <w:color w:val="auto"/>
          <w:szCs w:val="21"/>
          <w:highlight w:val="none"/>
        </w:rPr>
      </w:pPr>
      <w:r>
        <w:rPr>
          <w:rFonts w:hint="eastAsia" w:ascii="宋体" w:hAnsi="宋体"/>
          <w:b/>
          <w:color w:val="auto"/>
          <w:szCs w:val="21"/>
          <w:highlight w:val="none"/>
        </w:rPr>
        <w:t>第九条　履约保证金</w:t>
      </w:r>
    </w:p>
    <w:p w14:paraId="131D54D7">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1.履约保证金金额：</w:t>
      </w:r>
      <w:r>
        <w:rPr>
          <w:rFonts w:hint="eastAsia" w:ascii="宋体" w:hAnsi="宋体" w:cs="宋体"/>
          <w:color w:val="auto"/>
          <w:szCs w:val="21"/>
          <w:highlight w:val="none"/>
          <w:u w:val="single"/>
        </w:rPr>
        <w:t xml:space="preserve">           。</w:t>
      </w:r>
    </w:p>
    <w:p w14:paraId="4715670C">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2.履约保证金递交方式：</w:t>
      </w:r>
      <w:r>
        <w:rPr>
          <w:rFonts w:hint="eastAsia" w:ascii="宋体" w:hAnsi="宋体" w:cs="宋体"/>
          <w:iCs/>
          <w:color w:val="auto"/>
          <w:szCs w:val="21"/>
          <w:highlight w:val="none"/>
          <w:u w:val="single"/>
        </w:rPr>
        <w:t>支票、汇票、本票或者银行、保险机构出具的保函等非现金方式</w:t>
      </w:r>
      <w:r>
        <w:rPr>
          <w:rFonts w:hint="eastAsia" w:ascii="宋体" w:hAnsi="宋体" w:cs="宋体"/>
          <w:iCs/>
          <w:color w:val="auto"/>
          <w:szCs w:val="21"/>
          <w:highlight w:val="none"/>
        </w:rPr>
        <w:t>。</w:t>
      </w:r>
    </w:p>
    <w:p w14:paraId="38015D62">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3.履约保证金退付的方式、时间及条件：</w:t>
      </w:r>
      <w:r>
        <w:rPr>
          <w:rFonts w:hint="eastAsia" w:ascii="宋体" w:hAnsi="宋体" w:cs="宋体"/>
          <w:iCs/>
          <w:color w:val="auto"/>
          <w:szCs w:val="21"/>
          <w:highlight w:val="none"/>
          <w:u w:val="single"/>
        </w:rPr>
        <w:t>由乙方向履约保证金收取单位提供《广西壮族自治区政府采购项目合同验收书》（详见桂财采〔2015〕22号），保证金收取单位在收到合格材料后5个工作日内办理退还手续（不计利息）</w:t>
      </w:r>
      <w:r>
        <w:rPr>
          <w:rFonts w:hint="eastAsia" w:ascii="宋体" w:hAnsi="宋体" w:cs="宋体"/>
          <w:iCs/>
          <w:color w:val="auto"/>
          <w:szCs w:val="21"/>
          <w:highlight w:val="none"/>
        </w:rPr>
        <w:t>。</w:t>
      </w:r>
    </w:p>
    <w:p w14:paraId="63F05356">
      <w:pPr>
        <w:spacing w:line="360" w:lineRule="auto"/>
        <w:ind w:firstLine="424"/>
        <w:rPr>
          <w:rFonts w:ascii="宋体" w:hAnsi="宋体" w:cs="宋体"/>
          <w:color w:val="auto"/>
          <w:szCs w:val="21"/>
          <w:highlight w:val="none"/>
        </w:rPr>
      </w:pPr>
      <w:r>
        <w:rPr>
          <w:rFonts w:hint="eastAsia" w:ascii="宋体" w:hAnsi="宋体" w:cs="宋体"/>
          <w:color w:val="auto"/>
          <w:szCs w:val="21"/>
          <w:highlight w:val="none"/>
        </w:rPr>
        <w:t>4.不予退还的情形：签订合同后，如乙方不按双方签订的合同规定履约，则其全部履约保证金不予退还。</w:t>
      </w:r>
    </w:p>
    <w:p w14:paraId="10B4CC30">
      <w:pPr>
        <w:spacing w:line="360" w:lineRule="auto"/>
        <w:ind w:firstLine="422"/>
        <w:rPr>
          <w:rFonts w:ascii="宋体" w:hAnsi="宋体"/>
          <w:b/>
          <w:color w:val="auto"/>
          <w:szCs w:val="21"/>
          <w:highlight w:val="none"/>
        </w:rPr>
      </w:pPr>
      <w:r>
        <w:rPr>
          <w:rFonts w:hint="eastAsia" w:ascii="宋体" w:hAnsi="宋体"/>
          <w:b/>
          <w:color w:val="auto"/>
          <w:szCs w:val="21"/>
          <w:highlight w:val="none"/>
        </w:rPr>
        <w:t>第十条　违约责任</w:t>
      </w:r>
    </w:p>
    <w:p w14:paraId="0209EDB8">
      <w:pPr>
        <w:pStyle w:val="214"/>
        <w:spacing w:line="360" w:lineRule="auto"/>
        <w:ind w:firstLine="420"/>
        <w:rPr>
          <w:rFonts w:hAnsi="宋体"/>
          <w:color w:val="auto"/>
          <w:sz w:val="21"/>
          <w:highlight w:val="none"/>
        </w:rPr>
      </w:pPr>
      <w:r>
        <w:rPr>
          <w:rFonts w:hint="eastAsia" w:hAnsi="宋体"/>
          <w:color w:val="auto"/>
          <w:sz w:val="21"/>
          <w:highlight w:val="none"/>
        </w:rPr>
        <w:t>1.合同一方不履行合同义务、履行合同义务不符合约定或者违反合同项下所作保证的， 应向对方承担继续履行、采取修理、更换、退货等补救措施或者赔偿损失等违约责任。</w:t>
      </w:r>
    </w:p>
    <w:p w14:paraId="4C65F001">
      <w:pPr>
        <w:pStyle w:val="214"/>
        <w:spacing w:line="360" w:lineRule="auto"/>
        <w:ind w:firstLine="420"/>
        <w:rPr>
          <w:rFonts w:hAnsi="宋体"/>
          <w:color w:val="auto"/>
          <w:sz w:val="21"/>
          <w:highlight w:val="none"/>
        </w:rPr>
      </w:pPr>
      <w:r>
        <w:rPr>
          <w:rFonts w:hint="eastAsia" w:hAnsi="宋体"/>
          <w:color w:val="auto"/>
          <w:sz w:val="21"/>
          <w:highlight w:val="none"/>
        </w:rPr>
        <w:t>2.乙方未能按时交付服务的，应向甲方支付迟延交付违约金。迟延交付违约金的计算方法如下：</w:t>
      </w:r>
    </w:p>
    <w:p w14:paraId="7529ECB0">
      <w:pPr>
        <w:pStyle w:val="214"/>
        <w:spacing w:line="360" w:lineRule="auto"/>
        <w:ind w:firstLine="420"/>
        <w:rPr>
          <w:rFonts w:hAnsi="宋体"/>
          <w:color w:val="auto"/>
          <w:sz w:val="21"/>
          <w:highlight w:val="none"/>
        </w:rPr>
      </w:pPr>
      <w:r>
        <w:rPr>
          <w:rFonts w:hint="eastAsia" w:hAnsi="宋体"/>
          <w:color w:val="auto"/>
          <w:sz w:val="21"/>
          <w:highlight w:val="none"/>
        </w:rPr>
        <w:t>（1）从迟交的第一周到第四周，每周迟延交付违约金为合同价款（报酬）的</w:t>
      </w:r>
      <w:r>
        <w:rPr>
          <w:rFonts w:hint="eastAsia" w:hAnsi="宋体"/>
          <w:i/>
          <w:color w:val="auto"/>
          <w:sz w:val="21"/>
          <w:highlight w:val="none"/>
          <w:u w:val="single"/>
        </w:rPr>
        <w:t xml:space="preserve"> 0.5%</w:t>
      </w:r>
      <w:r>
        <w:rPr>
          <w:rFonts w:hint="eastAsia" w:hAnsi="宋体"/>
          <w:color w:val="auto"/>
          <w:sz w:val="21"/>
          <w:highlight w:val="none"/>
        </w:rPr>
        <w:t>；</w:t>
      </w:r>
    </w:p>
    <w:p w14:paraId="55B906CC">
      <w:pPr>
        <w:pStyle w:val="214"/>
        <w:spacing w:line="360" w:lineRule="auto"/>
        <w:ind w:firstLine="420"/>
        <w:rPr>
          <w:rFonts w:hAnsi="宋体"/>
          <w:color w:val="auto"/>
          <w:sz w:val="21"/>
          <w:highlight w:val="none"/>
        </w:rPr>
      </w:pPr>
      <w:r>
        <w:rPr>
          <w:rFonts w:hint="eastAsia" w:hAnsi="宋体"/>
          <w:color w:val="auto"/>
          <w:sz w:val="21"/>
          <w:highlight w:val="none"/>
        </w:rPr>
        <w:t>（2）从迟交的第五周到第八周，每周迟延交付违约金为合同价款（报酬）的</w:t>
      </w:r>
      <w:r>
        <w:rPr>
          <w:rFonts w:hint="eastAsia" w:hAnsi="宋体"/>
          <w:i/>
          <w:color w:val="auto"/>
          <w:sz w:val="21"/>
          <w:highlight w:val="none"/>
          <w:u w:val="single"/>
        </w:rPr>
        <w:t xml:space="preserve"> 1%</w:t>
      </w:r>
      <w:r>
        <w:rPr>
          <w:rFonts w:hint="eastAsia" w:hAnsi="宋体"/>
          <w:color w:val="auto"/>
          <w:sz w:val="21"/>
          <w:highlight w:val="none"/>
        </w:rPr>
        <w:t>；</w:t>
      </w:r>
    </w:p>
    <w:p w14:paraId="07514424">
      <w:pPr>
        <w:pStyle w:val="214"/>
        <w:spacing w:line="360" w:lineRule="auto"/>
        <w:ind w:firstLine="420"/>
        <w:rPr>
          <w:rFonts w:hAnsi="宋体"/>
          <w:color w:val="auto"/>
          <w:sz w:val="21"/>
          <w:highlight w:val="none"/>
        </w:rPr>
      </w:pPr>
      <w:r>
        <w:rPr>
          <w:rFonts w:hint="eastAsia" w:hAnsi="宋体"/>
          <w:color w:val="auto"/>
          <w:sz w:val="21"/>
          <w:highlight w:val="none"/>
        </w:rPr>
        <w:t>（3）从迟交第九周起，每周迟延交付违约金为合同价款（报酬）的</w:t>
      </w:r>
      <w:r>
        <w:rPr>
          <w:rFonts w:hint="eastAsia" w:hAnsi="宋体"/>
          <w:i/>
          <w:color w:val="auto"/>
          <w:sz w:val="21"/>
          <w:highlight w:val="none"/>
          <w:u w:val="single"/>
        </w:rPr>
        <w:t xml:space="preserve"> 1.5%</w:t>
      </w:r>
      <w:r>
        <w:rPr>
          <w:rFonts w:hint="eastAsia" w:hAnsi="宋体"/>
          <w:color w:val="auto"/>
          <w:sz w:val="21"/>
          <w:highlight w:val="none"/>
        </w:rPr>
        <w:t>。在计算迟延交付违约金时，迟交不足一周的按一周计算。迟延交付违约金的总额不得超过合同价款（报酬）的</w:t>
      </w:r>
      <w:r>
        <w:rPr>
          <w:rFonts w:hint="eastAsia" w:hAnsi="宋体"/>
          <w:color w:val="auto"/>
          <w:sz w:val="21"/>
          <w:highlight w:val="none"/>
          <w:u w:val="single"/>
        </w:rPr>
        <w:t xml:space="preserve"> 5%</w:t>
      </w:r>
      <w:r>
        <w:rPr>
          <w:rFonts w:hint="eastAsia" w:hAnsi="宋体"/>
          <w:color w:val="auto"/>
          <w:sz w:val="21"/>
          <w:highlight w:val="none"/>
        </w:rPr>
        <w:t>。迟延交付违约金的支付不能免除乙方继续交付相关合同服务的义务，但如迟延交付必然导致合同服务实施、调试、验收等工作推迟的，相关工作应相应顺延。</w:t>
      </w:r>
    </w:p>
    <w:p w14:paraId="78FE1389">
      <w:pPr>
        <w:pStyle w:val="214"/>
        <w:spacing w:line="360" w:lineRule="auto"/>
        <w:ind w:firstLine="420"/>
        <w:rPr>
          <w:rFonts w:hAnsi="宋体"/>
          <w:color w:val="auto"/>
          <w:sz w:val="21"/>
          <w:highlight w:val="none"/>
        </w:rPr>
      </w:pPr>
      <w:r>
        <w:rPr>
          <w:rFonts w:hint="eastAsia" w:hAnsi="宋体"/>
          <w:color w:val="auto"/>
          <w:sz w:val="21"/>
          <w:highlight w:val="none"/>
        </w:rPr>
        <w:t>3.甲方未能按合同约定支付合同价款的，应向乙方支付延迟付款违约金。迟延付款违约金的计算方法如下：</w:t>
      </w:r>
    </w:p>
    <w:p w14:paraId="4C5B434F">
      <w:pPr>
        <w:pStyle w:val="214"/>
        <w:spacing w:line="360" w:lineRule="auto"/>
        <w:ind w:firstLine="420"/>
        <w:rPr>
          <w:rFonts w:hAnsi="宋体"/>
          <w:color w:val="auto"/>
          <w:sz w:val="21"/>
          <w:highlight w:val="none"/>
        </w:rPr>
      </w:pPr>
      <w:r>
        <w:rPr>
          <w:rFonts w:hint="eastAsia" w:hAnsi="宋体"/>
          <w:color w:val="auto"/>
          <w:sz w:val="21"/>
          <w:highlight w:val="none"/>
        </w:rPr>
        <w:t>（1）从迟付的第一周到第四周，每周迟延付款违约金为迟延付款金额的</w:t>
      </w:r>
      <w:r>
        <w:rPr>
          <w:rFonts w:hint="eastAsia" w:hAnsi="宋体"/>
          <w:i/>
          <w:color w:val="auto"/>
          <w:sz w:val="21"/>
          <w:highlight w:val="none"/>
          <w:u w:val="single"/>
        </w:rPr>
        <w:t xml:space="preserve"> 0.5%</w:t>
      </w:r>
      <w:r>
        <w:rPr>
          <w:rFonts w:hint="eastAsia" w:hAnsi="宋体"/>
          <w:color w:val="auto"/>
          <w:sz w:val="21"/>
          <w:highlight w:val="none"/>
        </w:rPr>
        <w:t>；</w:t>
      </w:r>
    </w:p>
    <w:p w14:paraId="346E9C97">
      <w:pPr>
        <w:pStyle w:val="214"/>
        <w:spacing w:line="360" w:lineRule="auto"/>
        <w:ind w:firstLine="420"/>
        <w:rPr>
          <w:rFonts w:hAnsi="宋体"/>
          <w:color w:val="auto"/>
          <w:sz w:val="21"/>
          <w:highlight w:val="none"/>
        </w:rPr>
      </w:pPr>
      <w:r>
        <w:rPr>
          <w:rFonts w:hint="eastAsia" w:hAnsi="宋体"/>
          <w:color w:val="auto"/>
          <w:sz w:val="21"/>
          <w:highlight w:val="none"/>
        </w:rPr>
        <w:t>（2）从迟付的第五周到第八周，每周迟延付款违约金为迟延付款金额的</w:t>
      </w:r>
      <w:r>
        <w:rPr>
          <w:rFonts w:hint="eastAsia" w:hAnsi="宋体"/>
          <w:i/>
          <w:color w:val="auto"/>
          <w:sz w:val="21"/>
          <w:highlight w:val="none"/>
          <w:u w:val="single"/>
        </w:rPr>
        <w:t xml:space="preserve"> 1%</w:t>
      </w:r>
      <w:r>
        <w:rPr>
          <w:rFonts w:hint="eastAsia" w:hAnsi="宋体"/>
          <w:color w:val="auto"/>
          <w:sz w:val="21"/>
          <w:highlight w:val="none"/>
        </w:rPr>
        <w:t>；</w:t>
      </w:r>
    </w:p>
    <w:p w14:paraId="56B8A057">
      <w:pPr>
        <w:pStyle w:val="214"/>
        <w:spacing w:line="360" w:lineRule="auto"/>
        <w:ind w:firstLine="420"/>
        <w:rPr>
          <w:rFonts w:hAnsi="宋体"/>
          <w:color w:val="auto"/>
          <w:sz w:val="21"/>
          <w:highlight w:val="none"/>
        </w:rPr>
      </w:pPr>
      <w:r>
        <w:rPr>
          <w:rFonts w:hint="eastAsia" w:hAnsi="宋体"/>
          <w:color w:val="auto"/>
          <w:sz w:val="21"/>
          <w:highlight w:val="none"/>
        </w:rPr>
        <w:t>（3）从迟付第九周起，每周迟延付款违约金为迟延付款金额的</w:t>
      </w:r>
      <w:r>
        <w:rPr>
          <w:rFonts w:hint="eastAsia" w:hAnsi="宋体"/>
          <w:i/>
          <w:color w:val="auto"/>
          <w:sz w:val="21"/>
          <w:highlight w:val="none"/>
          <w:u w:val="single"/>
        </w:rPr>
        <w:t xml:space="preserve"> 1.5%</w:t>
      </w:r>
      <w:r>
        <w:rPr>
          <w:rFonts w:hint="eastAsia" w:hAnsi="宋体"/>
          <w:color w:val="auto"/>
          <w:sz w:val="21"/>
          <w:highlight w:val="none"/>
        </w:rPr>
        <w:t>。在计算迟延付款违约金时，迟付不足一周的按一周计算。迟延付款违约金的总额不得超过合同价格的</w:t>
      </w:r>
      <w:r>
        <w:rPr>
          <w:rFonts w:hint="eastAsia" w:hAnsi="宋体"/>
          <w:color w:val="auto"/>
          <w:sz w:val="21"/>
          <w:highlight w:val="none"/>
          <w:u w:val="single"/>
        </w:rPr>
        <w:t xml:space="preserve"> 5%</w:t>
      </w:r>
      <w:r>
        <w:rPr>
          <w:rFonts w:hint="eastAsia" w:hAnsi="宋体"/>
          <w:color w:val="auto"/>
          <w:sz w:val="21"/>
          <w:highlight w:val="none"/>
        </w:rPr>
        <w:t>。</w:t>
      </w:r>
    </w:p>
    <w:p w14:paraId="73AD4B9A">
      <w:pPr>
        <w:pStyle w:val="214"/>
        <w:spacing w:line="360" w:lineRule="auto"/>
        <w:ind w:firstLine="420"/>
        <w:rPr>
          <w:rFonts w:hAnsi="宋体"/>
          <w:color w:val="auto"/>
          <w:sz w:val="21"/>
          <w:highlight w:val="none"/>
        </w:rPr>
      </w:pPr>
      <w:r>
        <w:rPr>
          <w:rFonts w:hint="eastAsia" w:hAnsi="宋体"/>
          <w:color w:val="auto"/>
          <w:sz w:val="21"/>
          <w:highlight w:val="none"/>
        </w:rPr>
        <w:t xml:space="preserve">4.乙方未按本合同和响应文件承诺提供售后服务的，乙方应按本合同价款（报酬）的 </w:t>
      </w:r>
      <w:r>
        <w:rPr>
          <w:rFonts w:hint="eastAsia" w:hAnsi="宋体"/>
          <w:color w:val="auto"/>
          <w:sz w:val="21"/>
          <w:highlight w:val="none"/>
          <w:u w:val="single"/>
        </w:rPr>
        <w:t>5</w:t>
      </w:r>
      <w:r>
        <w:rPr>
          <w:rFonts w:hint="eastAsia" w:hAnsi="宋体"/>
          <w:color w:val="auto"/>
          <w:sz w:val="21"/>
          <w:highlight w:val="none"/>
        </w:rPr>
        <w:t>%向甲方支付违约金。</w:t>
      </w:r>
    </w:p>
    <w:p w14:paraId="4FEC2531">
      <w:pPr>
        <w:pStyle w:val="214"/>
        <w:spacing w:line="360" w:lineRule="auto"/>
        <w:ind w:firstLine="420"/>
        <w:rPr>
          <w:rFonts w:hAnsi="宋体"/>
          <w:color w:val="auto"/>
          <w:sz w:val="21"/>
          <w:highlight w:val="none"/>
        </w:rPr>
      </w:pPr>
      <w:r>
        <w:rPr>
          <w:rFonts w:hint="eastAsia" w:hAnsi="宋体"/>
          <w:color w:val="auto"/>
          <w:sz w:val="21"/>
          <w:highlight w:val="none"/>
        </w:rPr>
        <w:t>5.因某一方原因导致变更、中止或者终止政府采购合同的，该方应当对另一方受到的损失予以赔偿或者补偿。</w:t>
      </w:r>
    </w:p>
    <w:p w14:paraId="20950250">
      <w:pPr>
        <w:pStyle w:val="214"/>
        <w:spacing w:line="360" w:lineRule="auto"/>
        <w:ind w:firstLine="420"/>
        <w:rPr>
          <w:rFonts w:hAnsi="宋体"/>
          <w:color w:val="auto"/>
          <w:sz w:val="21"/>
          <w:highlight w:val="none"/>
        </w:rPr>
      </w:pPr>
      <w:r>
        <w:rPr>
          <w:rFonts w:hint="eastAsia" w:hAnsi="宋体"/>
          <w:color w:val="auto"/>
          <w:sz w:val="21"/>
          <w:highlight w:val="none"/>
        </w:rPr>
        <w:t>6.其他违约责任按《中华人民共和国民法典》处理。</w:t>
      </w:r>
    </w:p>
    <w:p w14:paraId="558A611F">
      <w:pPr>
        <w:pStyle w:val="214"/>
        <w:spacing w:line="360" w:lineRule="auto"/>
        <w:ind w:firstLine="413"/>
        <w:rPr>
          <w:rFonts w:hAnsi="宋体"/>
          <w:b/>
          <w:color w:val="auto"/>
          <w:sz w:val="21"/>
          <w:highlight w:val="none"/>
        </w:rPr>
      </w:pPr>
      <w:r>
        <w:rPr>
          <w:rFonts w:hint="eastAsia" w:hAnsi="宋体"/>
          <w:b/>
          <w:color w:val="auto"/>
          <w:sz w:val="21"/>
          <w:highlight w:val="none"/>
        </w:rPr>
        <w:t>第十一条  不可抗力事件处理</w:t>
      </w:r>
    </w:p>
    <w:p w14:paraId="088AEA93">
      <w:pPr>
        <w:pStyle w:val="214"/>
        <w:spacing w:line="360" w:lineRule="auto"/>
        <w:ind w:firstLine="420"/>
        <w:rPr>
          <w:rFonts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25F2F9E4">
      <w:pPr>
        <w:pStyle w:val="214"/>
        <w:spacing w:line="360" w:lineRule="auto"/>
        <w:ind w:firstLine="420"/>
        <w:rPr>
          <w:rFonts w:hAnsi="宋体"/>
          <w:color w:val="auto"/>
          <w:sz w:val="21"/>
          <w:highlight w:val="none"/>
        </w:rPr>
      </w:pPr>
      <w:r>
        <w:rPr>
          <w:rFonts w:hint="eastAsia" w:hAnsi="宋体"/>
          <w:color w:val="auto"/>
          <w:sz w:val="21"/>
          <w:highlight w:val="none"/>
        </w:rPr>
        <w:t>2.不可抗力事件发生后，应立即通知对方，并寄送有关权威机构出具的证明。</w:t>
      </w:r>
    </w:p>
    <w:p w14:paraId="5F8B5444">
      <w:pPr>
        <w:spacing w:line="360" w:lineRule="auto"/>
        <w:ind w:firstLine="420"/>
        <w:rPr>
          <w:rFonts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3F02181F">
      <w:pPr>
        <w:spacing w:line="360" w:lineRule="auto"/>
        <w:ind w:firstLine="422"/>
        <w:rPr>
          <w:rFonts w:ascii="宋体" w:hAnsi="宋体"/>
          <w:color w:val="auto"/>
          <w:szCs w:val="21"/>
          <w:highlight w:val="none"/>
        </w:rPr>
      </w:pPr>
      <w:r>
        <w:rPr>
          <w:rFonts w:hint="eastAsia" w:ascii="宋体" w:hAnsi="宋体"/>
          <w:b/>
          <w:color w:val="auto"/>
          <w:szCs w:val="21"/>
          <w:highlight w:val="none"/>
        </w:rPr>
        <w:t>第十二条  合同争议解决</w:t>
      </w:r>
    </w:p>
    <w:p w14:paraId="3DBDA0DB">
      <w:pPr>
        <w:spacing w:line="360" w:lineRule="auto"/>
        <w:ind w:firstLine="420"/>
        <w:rPr>
          <w:rFonts w:ascii="宋体" w:hAnsi="宋体"/>
          <w:color w:val="auto"/>
          <w:szCs w:val="21"/>
          <w:highlight w:val="none"/>
        </w:rPr>
      </w:pPr>
      <w:r>
        <w:rPr>
          <w:rFonts w:hint="eastAsia" w:ascii="宋体" w:hAnsi="宋体"/>
          <w:color w:val="auto"/>
          <w:szCs w:val="21"/>
          <w:highlight w:val="none"/>
        </w:rPr>
        <w:t>1.因服务质量问题发生争议的，应邀请国家认可的质量检测机构或专家组进行鉴定。服务符合标准的，鉴定费由甲方承担；服务不符合标准的，鉴定费由乙方承担。</w:t>
      </w:r>
    </w:p>
    <w:p w14:paraId="17A54373">
      <w:pPr>
        <w:spacing w:line="360" w:lineRule="auto"/>
        <w:ind w:left="100" w:right="42" w:firstLine="420"/>
        <w:rPr>
          <w:rFonts w:ascii="宋体" w:hAnsi="宋体"/>
          <w:color w:val="auto"/>
          <w:szCs w:val="21"/>
          <w:highlight w:val="none"/>
        </w:rPr>
      </w:pPr>
      <w:r>
        <w:rPr>
          <w:rFonts w:hint="eastAsia" w:ascii="宋体" w:hAnsi="宋体"/>
          <w:color w:val="auto"/>
          <w:szCs w:val="21"/>
          <w:highlight w:val="none"/>
        </w:rPr>
        <w:t>2.因履行本合同引起的或者与本合同有关的争议，甲乙双方应首先通过友好协商解决，如果协商不能解决，按下列</w:t>
      </w:r>
      <w:r>
        <w:rPr>
          <w:rFonts w:hint="eastAsia" w:ascii="宋体" w:hAnsi="宋体"/>
          <w:color w:val="auto"/>
          <w:szCs w:val="21"/>
          <w:highlight w:val="none"/>
          <w:u w:val="single"/>
        </w:rPr>
        <w:t xml:space="preserve"> （2） </w:t>
      </w:r>
      <w:r>
        <w:rPr>
          <w:rFonts w:hint="eastAsia" w:ascii="宋体" w:hAnsi="宋体"/>
          <w:color w:val="auto"/>
          <w:szCs w:val="21"/>
          <w:highlight w:val="none"/>
        </w:rPr>
        <w:t>方式解决：</w:t>
      </w:r>
    </w:p>
    <w:p w14:paraId="4DC838C9">
      <w:pPr>
        <w:spacing w:line="360" w:lineRule="auto"/>
        <w:ind w:right="40" w:firstLine="42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梧州市 </w:t>
      </w:r>
      <w:r>
        <w:rPr>
          <w:rFonts w:hint="eastAsia" w:ascii="宋体" w:hAnsi="宋体"/>
          <w:color w:val="auto"/>
          <w:szCs w:val="21"/>
          <w:highlight w:val="none"/>
        </w:rPr>
        <w:t>仲裁委员会申请仲裁；</w:t>
      </w:r>
    </w:p>
    <w:p w14:paraId="7C8D70EC">
      <w:pPr>
        <w:spacing w:line="360" w:lineRule="auto"/>
        <w:ind w:right="40" w:firstLine="420"/>
        <w:rPr>
          <w:rFonts w:ascii="宋体" w:hAnsi="宋体"/>
          <w:color w:val="auto"/>
          <w:szCs w:val="21"/>
          <w:highlight w:val="none"/>
        </w:rPr>
      </w:pPr>
      <w:r>
        <w:rPr>
          <w:rFonts w:hint="eastAsia" w:ascii="宋体" w:hAnsi="宋体"/>
          <w:color w:val="auto"/>
          <w:szCs w:val="21"/>
          <w:highlight w:val="none"/>
        </w:rPr>
        <w:t>（2）向甲方所在地的人民法院提起诉讼。</w:t>
      </w:r>
    </w:p>
    <w:p w14:paraId="7A34DEF1">
      <w:pPr>
        <w:spacing w:line="360" w:lineRule="auto"/>
        <w:ind w:firstLine="422"/>
        <w:rPr>
          <w:rFonts w:ascii="宋体" w:hAnsi="宋体"/>
          <w:b/>
          <w:color w:val="auto"/>
          <w:szCs w:val="21"/>
          <w:highlight w:val="none"/>
        </w:rPr>
      </w:pPr>
      <w:r>
        <w:rPr>
          <w:rFonts w:hint="eastAsia" w:ascii="宋体" w:hAnsi="宋体"/>
          <w:b/>
          <w:color w:val="auto"/>
          <w:szCs w:val="21"/>
          <w:highlight w:val="none"/>
        </w:rPr>
        <w:t>第十三条　合同的变更、中止或者终止</w:t>
      </w:r>
    </w:p>
    <w:p w14:paraId="789E9F45">
      <w:pPr>
        <w:spacing w:line="360" w:lineRule="auto"/>
        <w:ind w:firstLine="420"/>
        <w:rPr>
          <w:rFonts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除《中华人民共和国政府采购法》第五十条规定的情形外，本合同一经签订，甲乙双方不得擅自变更、中止或者终止合同。</w:t>
      </w:r>
    </w:p>
    <w:p w14:paraId="5F382DCB">
      <w:pPr>
        <w:spacing w:line="360" w:lineRule="auto"/>
        <w:ind w:firstLine="420"/>
        <w:rPr>
          <w:rFonts w:ascii="宋体" w:hAnsi="宋体"/>
          <w:color w:val="auto"/>
          <w:szCs w:val="21"/>
          <w:highlight w:val="none"/>
        </w:rPr>
      </w:pPr>
      <w:r>
        <w:rPr>
          <w:rFonts w:hint="eastAsia" w:ascii="宋体" w:hAnsi="宋体"/>
          <w:color w:val="auto"/>
          <w:szCs w:val="21"/>
          <w:highlight w:val="none"/>
        </w:rPr>
        <w:t>2.采购合同继续履行将损害国家利益和社会公共利益的，双方当事人应当变更、中止或者终止合同。有过错的一方应当承担赔偿责任，双方都有过错的，各自承担相应的责任。</w:t>
      </w:r>
    </w:p>
    <w:p w14:paraId="3355341F">
      <w:pPr>
        <w:spacing w:line="360" w:lineRule="auto"/>
        <w:ind w:firstLine="422"/>
        <w:rPr>
          <w:rFonts w:ascii="宋体" w:hAnsi="宋体"/>
          <w:b/>
          <w:color w:val="auto"/>
          <w:szCs w:val="21"/>
          <w:highlight w:val="none"/>
        </w:rPr>
      </w:pPr>
      <w:r>
        <w:rPr>
          <w:rFonts w:hint="eastAsia" w:ascii="宋体" w:hAnsi="宋体"/>
          <w:b/>
          <w:color w:val="auto"/>
          <w:szCs w:val="21"/>
          <w:highlight w:val="none"/>
        </w:rPr>
        <w:t>第十四条　</w:t>
      </w:r>
      <w:r>
        <w:rPr>
          <w:rFonts w:hint="eastAsia" w:ascii="宋体" w:hAnsi="宋体" w:cs="微软雅黑"/>
          <w:b/>
          <w:color w:val="auto"/>
          <w:szCs w:val="21"/>
          <w:highlight w:val="none"/>
        </w:rPr>
        <w:t>合</w:t>
      </w:r>
      <w:r>
        <w:rPr>
          <w:rFonts w:hint="eastAsia" w:ascii="宋体" w:hAnsi="宋体" w:cs="微软雅黑"/>
          <w:b/>
          <w:color w:val="auto"/>
          <w:spacing w:val="-2"/>
          <w:szCs w:val="21"/>
          <w:highlight w:val="none"/>
        </w:rPr>
        <w:t>同</w:t>
      </w:r>
      <w:r>
        <w:rPr>
          <w:rFonts w:hint="eastAsia" w:ascii="宋体" w:hAnsi="宋体" w:cs="微软雅黑"/>
          <w:b/>
          <w:color w:val="auto"/>
          <w:szCs w:val="21"/>
          <w:highlight w:val="none"/>
        </w:rPr>
        <w:t>文</w:t>
      </w:r>
      <w:r>
        <w:rPr>
          <w:rFonts w:hint="eastAsia" w:ascii="宋体" w:hAnsi="宋体" w:cs="微软雅黑"/>
          <w:b/>
          <w:color w:val="auto"/>
          <w:spacing w:val="-2"/>
          <w:szCs w:val="21"/>
          <w:highlight w:val="none"/>
        </w:rPr>
        <w:t>件构成</w:t>
      </w:r>
    </w:p>
    <w:p w14:paraId="58393A99">
      <w:pPr>
        <w:pStyle w:val="214"/>
        <w:spacing w:line="360" w:lineRule="auto"/>
        <w:ind w:left="420"/>
        <w:rPr>
          <w:rFonts w:hAnsi="宋体"/>
          <w:color w:val="auto"/>
          <w:sz w:val="21"/>
          <w:highlight w:val="none"/>
        </w:rPr>
      </w:pPr>
      <w:r>
        <w:rPr>
          <w:rFonts w:hint="eastAsia" w:hAnsi="宋体"/>
          <w:color w:val="auto"/>
          <w:sz w:val="21"/>
          <w:highlight w:val="none"/>
        </w:rPr>
        <w:t>1.政府采购合同</w:t>
      </w:r>
    </w:p>
    <w:p w14:paraId="0814CA22">
      <w:pPr>
        <w:pStyle w:val="214"/>
        <w:spacing w:line="360" w:lineRule="auto"/>
        <w:ind w:left="420"/>
        <w:rPr>
          <w:rFonts w:hAnsi="宋体"/>
          <w:color w:val="auto"/>
          <w:sz w:val="21"/>
          <w:highlight w:val="none"/>
        </w:rPr>
      </w:pPr>
      <w:r>
        <w:rPr>
          <w:rFonts w:hint="eastAsia" w:hAnsi="宋体"/>
          <w:color w:val="auto"/>
          <w:sz w:val="21"/>
          <w:highlight w:val="none"/>
        </w:rPr>
        <w:t>2.成交通知书；</w:t>
      </w:r>
    </w:p>
    <w:p w14:paraId="75BA8699">
      <w:pPr>
        <w:pStyle w:val="214"/>
        <w:spacing w:line="360" w:lineRule="auto"/>
        <w:ind w:left="420"/>
        <w:rPr>
          <w:rFonts w:hAnsi="宋体"/>
          <w:color w:val="auto"/>
          <w:sz w:val="21"/>
          <w:highlight w:val="none"/>
        </w:rPr>
      </w:pPr>
      <w:r>
        <w:rPr>
          <w:rFonts w:hint="eastAsia" w:hAnsi="宋体"/>
          <w:color w:val="auto"/>
          <w:sz w:val="21"/>
          <w:highlight w:val="none"/>
        </w:rPr>
        <w:t>3.响应文件；</w:t>
      </w:r>
    </w:p>
    <w:p w14:paraId="4EBE5EAB">
      <w:pPr>
        <w:pStyle w:val="214"/>
        <w:spacing w:line="360" w:lineRule="auto"/>
        <w:ind w:left="420"/>
        <w:rPr>
          <w:rFonts w:hAnsi="宋体"/>
          <w:color w:val="auto"/>
          <w:sz w:val="21"/>
          <w:highlight w:val="none"/>
        </w:rPr>
      </w:pPr>
      <w:r>
        <w:rPr>
          <w:rFonts w:hint="eastAsia" w:hAnsi="宋体"/>
          <w:color w:val="auto"/>
          <w:sz w:val="21"/>
          <w:highlight w:val="none"/>
        </w:rPr>
        <w:t>4.采购文件及更正公告（澄清或补充通知）；</w:t>
      </w:r>
    </w:p>
    <w:p w14:paraId="77433A44">
      <w:pPr>
        <w:pStyle w:val="214"/>
        <w:spacing w:line="360" w:lineRule="auto"/>
        <w:ind w:left="420"/>
        <w:rPr>
          <w:rFonts w:hAnsi="宋体"/>
          <w:color w:val="auto"/>
          <w:sz w:val="21"/>
          <w:highlight w:val="none"/>
        </w:rPr>
      </w:pPr>
      <w:r>
        <w:rPr>
          <w:rFonts w:hint="eastAsia" w:hAnsi="宋体"/>
          <w:color w:val="auto"/>
          <w:sz w:val="21"/>
          <w:highlight w:val="none"/>
        </w:rPr>
        <w:t>5.标准、规范及有关技术文件；</w:t>
      </w:r>
    </w:p>
    <w:p w14:paraId="6B27A4D1">
      <w:pPr>
        <w:pStyle w:val="214"/>
        <w:spacing w:line="360" w:lineRule="auto"/>
        <w:ind w:left="420"/>
        <w:rPr>
          <w:rFonts w:hAnsi="宋体"/>
          <w:color w:val="auto"/>
          <w:sz w:val="21"/>
          <w:highlight w:val="none"/>
        </w:rPr>
      </w:pPr>
      <w:r>
        <w:rPr>
          <w:rFonts w:hint="eastAsia" w:hAnsi="宋体"/>
          <w:color w:val="auto"/>
          <w:sz w:val="21"/>
          <w:highlight w:val="none"/>
        </w:rPr>
        <w:t>6.双方约定的其他合同文件。</w:t>
      </w:r>
    </w:p>
    <w:p w14:paraId="078BF873">
      <w:pPr>
        <w:pStyle w:val="214"/>
        <w:spacing w:line="360" w:lineRule="auto"/>
        <w:ind w:firstLine="420"/>
        <w:rPr>
          <w:rFonts w:hAnsi="宋体"/>
          <w:color w:val="auto"/>
          <w:sz w:val="21"/>
          <w:highlight w:val="none"/>
        </w:rPr>
      </w:pPr>
      <w:r>
        <w:rPr>
          <w:rFonts w:hint="eastAsia" w:hAnsi="宋体"/>
          <w:color w:val="auto"/>
          <w:sz w:val="21"/>
          <w:highlight w:val="none"/>
        </w:rPr>
        <w:t>上述合同文件互相补充和解释。如果合同文件之间存在矛盾或者不一致之处，以上述文件的排列顺序在先者为准。</w:t>
      </w:r>
    </w:p>
    <w:p w14:paraId="3EBB6327">
      <w:pPr>
        <w:spacing w:line="360" w:lineRule="auto"/>
        <w:ind w:firstLine="422"/>
        <w:rPr>
          <w:rFonts w:ascii="宋体" w:hAnsi="宋体"/>
          <w:color w:val="auto"/>
          <w:szCs w:val="21"/>
          <w:highlight w:val="none"/>
        </w:rPr>
      </w:pPr>
      <w:r>
        <w:rPr>
          <w:rFonts w:hint="eastAsia" w:ascii="宋体" w:hAnsi="宋体"/>
          <w:b/>
          <w:color w:val="auto"/>
          <w:szCs w:val="21"/>
          <w:highlight w:val="none"/>
        </w:rPr>
        <w:t>第</w:t>
      </w:r>
      <w:r>
        <w:rPr>
          <w:rFonts w:hint="eastAsia" w:hAnsi="宋体"/>
          <w:b/>
          <w:color w:val="auto"/>
          <w:highlight w:val="none"/>
        </w:rPr>
        <w:t>十五</w:t>
      </w:r>
      <w:r>
        <w:rPr>
          <w:rFonts w:hint="eastAsia" w:ascii="宋体" w:hAnsi="宋体"/>
          <w:b/>
          <w:color w:val="auto"/>
          <w:szCs w:val="21"/>
          <w:highlight w:val="none"/>
        </w:rPr>
        <w:t>条　知识产权和保密要求</w:t>
      </w:r>
    </w:p>
    <w:p w14:paraId="4D164286">
      <w:pPr>
        <w:spacing w:line="360" w:lineRule="auto"/>
        <w:ind w:firstLine="420"/>
        <w:rPr>
          <w:rFonts w:ascii="宋体" w:hAnsi="宋体"/>
          <w:color w:val="auto"/>
          <w:szCs w:val="21"/>
          <w:highlight w:val="none"/>
        </w:rPr>
      </w:pPr>
      <w:r>
        <w:rPr>
          <w:rFonts w:hint="eastAsia" w:ascii="宋体" w:hAnsi="宋体"/>
          <w:color w:val="auto"/>
          <w:szCs w:val="21"/>
          <w:highlight w:val="none"/>
        </w:rPr>
        <w:t>1.甲方在履行合同过程中提供给乙方的全部图纸、文件和其他含有数据和信息的资料，其知识产权属于甲方。</w:t>
      </w:r>
    </w:p>
    <w:p w14:paraId="09843EB5">
      <w:pPr>
        <w:spacing w:line="360" w:lineRule="auto"/>
        <w:ind w:firstLine="420"/>
        <w:rPr>
          <w:rFonts w:ascii="宋体" w:hAnsi="宋体"/>
          <w:color w:val="auto"/>
          <w:szCs w:val="21"/>
          <w:highlight w:val="none"/>
        </w:rPr>
      </w:pPr>
      <w:r>
        <w:rPr>
          <w:rFonts w:hint="eastAsia" w:ascii="宋体" w:hAnsi="宋体"/>
          <w:color w:val="auto"/>
          <w:szCs w:val="21"/>
          <w:highlight w:val="none"/>
        </w:rPr>
        <w:t>2.除采购文件采购需求另有约定外，甲方不因签署和履行合同而享有乙方在履行合同过程中提供给甲方的图纸、文件、配套软件、电子辅助程序和其他含有数据和信息的资料的知识产权。</w:t>
      </w:r>
    </w:p>
    <w:p w14:paraId="350C6EAD">
      <w:pPr>
        <w:spacing w:line="360" w:lineRule="auto"/>
        <w:ind w:firstLine="420"/>
        <w:rPr>
          <w:rFonts w:ascii="宋体" w:hAnsi="宋体"/>
          <w:color w:val="auto"/>
          <w:szCs w:val="21"/>
          <w:highlight w:val="none"/>
        </w:rPr>
      </w:pPr>
      <w:r>
        <w:rPr>
          <w:rFonts w:hint="eastAsia" w:ascii="宋体" w:hAnsi="宋体"/>
          <w:color w:val="auto"/>
          <w:szCs w:val="21"/>
          <w:highlight w:val="none"/>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43CC4EE4">
      <w:pPr>
        <w:spacing w:line="360" w:lineRule="auto"/>
        <w:ind w:firstLine="420"/>
        <w:rPr>
          <w:rFonts w:ascii="宋体" w:hAnsi="宋体"/>
          <w:color w:val="auto"/>
          <w:szCs w:val="21"/>
          <w:highlight w:val="none"/>
        </w:rPr>
      </w:pPr>
      <w:r>
        <w:rPr>
          <w:rFonts w:hint="eastAsia" w:ascii="宋体" w:hAnsi="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56A22173">
      <w:pPr>
        <w:spacing w:line="360" w:lineRule="auto"/>
        <w:ind w:firstLine="420"/>
        <w:rPr>
          <w:rFonts w:ascii="宋体" w:hAnsi="宋体"/>
          <w:color w:val="auto"/>
          <w:szCs w:val="21"/>
          <w:highlight w:val="none"/>
        </w:rPr>
      </w:pPr>
      <w:r>
        <w:rPr>
          <w:rFonts w:hint="eastAsia" w:ascii="宋体" w:hAnsi="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21D05B7D">
      <w:pPr>
        <w:spacing w:line="360" w:lineRule="auto"/>
        <w:ind w:firstLine="420"/>
        <w:rPr>
          <w:rFonts w:ascii="宋体" w:hAnsi="宋体"/>
          <w:color w:val="auto"/>
          <w:szCs w:val="21"/>
          <w:highlight w:val="none"/>
        </w:rPr>
      </w:pPr>
      <w:r>
        <w:rPr>
          <w:rFonts w:hint="eastAsia" w:ascii="宋体" w:hAnsi="宋体"/>
          <w:color w:val="auto"/>
          <w:szCs w:val="21"/>
          <w:highlight w:val="none"/>
        </w:rPr>
        <w:t>6.伴随货物的，乙方保证将要交付的货物的所有权完全属于乙方且无任何抵押、质押、查封等产权瑕疵。</w:t>
      </w:r>
    </w:p>
    <w:p w14:paraId="0736D68C">
      <w:pPr>
        <w:pStyle w:val="214"/>
        <w:spacing w:line="360" w:lineRule="auto"/>
        <w:ind w:firstLine="413"/>
        <w:rPr>
          <w:rFonts w:hAnsi="宋体"/>
          <w:b/>
          <w:color w:val="auto"/>
          <w:sz w:val="21"/>
          <w:highlight w:val="none"/>
        </w:rPr>
      </w:pPr>
      <w:r>
        <w:rPr>
          <w:rFonts w:hint="eastAsia" w:hAnsi="宋体"/>
          <w:b/>
          <w:color w:val="auto"/>
          <w:sz w:val="21"/>
          <w:highlight w:val="none"/>
        </w:rPr>
        <w:t>第十六条  合同生效及其他</w:t>
      </w:r>
    </w:p>
    <w:p w14:paraId="49FFF3AF">
      <w:pPr>
        <w:pStyle w:val="214"/>
        <w:spacing w:line="360" w:lineRule="auto"/>
        <w:ind w:firstLine="420"/>
        <w:rPr>
          <w:rFonts w:hAnsi="宋体"/>
          <w:color w:val="auto"/>
          <w:sz w:val="21"/>
          <w:highlight w:val="none"/>
        </w:rPr>
      </w:pPr>
      <w:r>
        <w:rPr>
          <w:rFonts w:hint="eastAsia" w:hAnsi="宋体"/>
          <w:color w:val="auto"/>
          <w:sz w:val="21"/>
          <w:highlight w:val="none"/>
        </w:rPr>
        <w:t>1.合同经双方法定代表人或者委托代理人签字并加盖单位公章后生效（委托代理人签字的需后附授权委托书，格式自拟）。</w:t>
      </w:r>
    </w:p>
    <w:p w14:paraId="513AD644">
      <w:pPr>
        <w:pStyle w:val="214"/>
        <w:spacing w:line="360" w:lineRule="auto"/>
        <w:ind w:firstLine="420"/>
        <w:rPr>
          <w:rFonts w:hAnsi="宋体"/>
          <w:color w:val="auto"/>
          <w:sz w:val="21"/>
          <w:highlight w:val="none"/>
        </w:rPr>
      </w:pPr>
      <w:r>
        <w:rPr>
          <w:rFonts w:hint="eastAsia" w:hAnsi="宋体"/>
          <w:color w:val="auto"/>
          <w:sz w:val="21"/>
          <w:highlight w:val="none"/>
        </w:rPr>
        <w:t>2.合同执行中涉及采购资金和采购内容修改或者补充的，并签书面补充协议报财政部门备案，方可作为主合同不可分割的一部分。</w:t>
      </w:r>
    </w:p>
    <w:p w14:paraId="06B5401C">
      <w:pPr>
        <w:pStyle w:val="214"/>
        <w:spacing w:line="360" w:lineRule="auto"/>
        <w:ind w:firstLine="420"/>
        <w:rPr>
          <w:rFonts w:hAnsi="宋体"/>
          <w:color w:val="auto"/>
          <w:sz w:val="21"/>
          <w:highlight w:val="none"/>
        </w:rPr>
      </w:pPr>
      <w:r>
        <w:rPr>
          <w:rFonts w:hint="eastAsia" w:hAnsi="宋体"/>
          <w:color w:val="auto"/>
          <w:sz w:val="21"/>
          <w:highlight w:val="none"/>
        </w:rPr>
        <w:t>3.合同生效后，甲乙双方不得因姓名、名称的变更或者法定代表人、负责人、承办人的变动而不履行合同义务。</w:t>
      </w:r>
    </w:p>
    <w:p w14:paraId="7E60BA56">
      <w:pPr>
        <w:pStyle w:val="214"/>
        <w:spacing w:line="360" w:lineRule="auto"/>
        <w:ind w:left="420"/>
        <w:rPr>
          <w:rFonts w:hAnsi="宋体"/>
          <w:color w:val="auto"/>
          <w:sz w:val="21"/>
          <w:highlight w:val="none"/>
        </w:rPr>
      </w:pPr>
      <w:r>
        <w:rPr>
          <w:rFonts w:hint="eastAsia" w:hAnsi="宋体"/>
          <w:color w:val="auto"/>
          <w:sz w:val="21"/>
          <w:highlight w:val="none"/>
        </w:rPr>
        <w:t>4.本合同未尽事宜，遵照《中华人民共和国民法典》有关条文执行。</w:t>
      </w:r>
    </w:p>
    <w:p w14:paraId="050F3DA9">
      <w:pPr>
        <w:spacing w:line="360" w:lineRule="auto"/>
        <w:ind w:firstLine="420"/>
        <w:rPr>
          <w:rFonts w:ascii="宋体" w:hAnsi="宋体"/>
          <w:color w:val="auto"/>
          <w:szCs w:val="21"/>
          <w:highlight w:val="none"/>
        </w:rPr>
      </w:pPr>
      <w:r>
        <w:rPr>
          <w:rFonts w:hint="eastAsia" w:ascii="宋体" w:hAnsi="宋体"/>
          <w:color w:val="auto"/>
          <w:szCs w:val="21"/>
          <w:highlight w:val="none"/>
        </w:rPr>
        <w:t>5.本合同自签订之日起2个工作日内，甲方应当将采购合同在广西壮族自治区财政厅指定的媒体上公告。</w:t>
      </w:r>
    </w:p>
    <w:p w14:paraId="1C376409">
      <w:pPr>
        <w:spacing w:line="360" w:lineRule="auto"/>
        <w:ind w:firstLine="422"/>
        <w:rPr>
          <w:rFonts w:ascii="宋体" w:hAnsi="宋体" w:cs="宋体"/>
          <w:b/>
          <w:color w:val="auto"/>
          <w:szCs w:val="21"/>
          <w:highlight w:val="none"/>
        </w:rPr>
      </w:pPr>
    </w:p>
    <w:p w14:paraId="7F1A6DCA">
      <w:pPr>
        <w:tabs>
          <w:tab w:val="left" w:pos="4395"/>
        </w:tabs>
        <w:spacing w:line="360" w:lineRule="auto"/>
        <w:rPr>
          <w:rFonts w:ascii="宋体" w:hAnsi="宋体"/>
          <w:b/>
          <w:color w:val="auto"/>
          <w:szCs w:val="21"/>
          <w:highlight w:val="none"/>
        </w:rPr>
      </w:pPr>
      <w:r>
        <w:rPr>
          <w:rFonts w:hint="eastAsia" w:ascii="宋体" w:hAnsi="宋体"/>
          <w:b/>
          <w:color w:val="auto"/>
          <w:szCs w:val="21"/>
          <w:highlight w:val="none"/>
        </w:rPr>
        <w:t>甲方（盖章）：</w:t>
      </w:r>
      <w:r>
        <w:rPr>
          <w:rFonts w:hint="eastAsia" w:ascii="宋体" w:hAnsi="宋体"/>
          <w:b/>
          <w:color w:val="auto"/>
          <w:szCs w:val="21"/>
          <w:highlight w:val="none"/>
        </w:rPr>
        <w:tab/>
      </w:r>
      <w:r>
        <w:rPr>
          <w:rFonts w:hint="eastAsia" w:ascii="宋体" w:hAnsi="宋体"/>
          <w:b/>
          <w:color w:val="auto"/>
          <w:szCs w:val="21"/>
          <w:highlight w:val="none"/>
        </w:rPr>
        <w:t>乙方（盖章）：</w:t>
      </w:r>
    </w:p>
    <w:p w14:paraId="4303D0AD">
      <w:pPr>
        <w:tabs>
          <w:tab w:val="left" w:pos="4395"/>
        </w:tabs>
        <w:spacing w:line="360" w:lineRule="auto"/>
        <w:rPr>
          <w:rFonts w:ascii="宋体" w:hAnsi="宋体"/>
          <w:b/>
          <w:color w:val="auto"/>
          <w:szCs w:val="21"/>
          <w:highlight w:val="none"/>
        </w:rPr>
      </w:pP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w:t>
      </w:r>
      <w:r>
        <w:rPr>
          <w:rFonts w:hint="eastAsia" w:ascii="宋体" w:hAnsi="宋体"/>
          <w:b/>
          <w:color w:val="auto"/>
          <w:szCs w:val="21"/>
          <w:highlight w:val="none"/>
        </w:rPr>
        <w:tab/>
      </w: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 xml:space="preserve">： </w:t>
      </w:r>
    </w:p>
    <w:p w14:paraId="2A324339">
      <w:pPr>
        <w:tabs>
          <w:tab w:val="left" w:pos="4395"/>
        </w:tabs>
        <w:spacing w:line="360" w:lineRule="auto"/>
        <w:rPr>
          <w:rFonts w:ascii="宋体" w:hAnsi="宋体"/>
          <w:color w:val="auto"/>
          <w:szCs w:val="21"/>
          <w:highlight w:val="none"/>
        </w:rPr>
      </w:pPr>
    </w:p>
    <w:p w14:paraId="6C42D7AA">
      <w:pPr>
        <w:tabs>
          <w:tab w:val="left" w:pos="4395"/>
        </w:tabs>
        <w:spacing w:line="360" w:lineRule="auto"/>
        <w:rPr>
          <w:rFonts w:ascii="宋体" w:hAnsi="宋体"/>
          <w:color w:val="auto"/>
          <w:szCs w:val="21"/>
          <w:highlight w:val="none"/>
        </w:rPr>
      </w:pPr>
      <w:r>
        <w:rPr>
          <w:rFonts w:hint="eastAsia" w:ascii="宋体" w:hAnsi="宋体"/>
          <w:color w:val="auto"/>
          <w:szCs w:val="21"/>
          <w:highlight w:val="none"/>
        </w:rPr>
        <w:t>签订日期：　　　年　　月　　日</w:t>
      </w:r>
      <w:r>
        <w:rPr>
          <w:rFonts w:hint="eastAsia" w:ascii="宋体" w:hAnsi="宋体"/>
          <w:color w:val="auto"/>
          <w:szCs w:val="21"/>
          <w:highlight w:val="none"/>
        </w:rPr>
        <w:tab/>
      </w:r>
      <w:r>
        <w:rPr>
          <w:rFonts w:hint="eastAsia" w:ascii="宋体" w:hAnsi="宋体"/>
          <w:color w:val="auto"/>
          <w:szCs w:val="21"/>
          <w:highlight w:val="none"/>
        </w:rPr>
        <w:t>签订日期：　　　年　　月　　日</w:t>
      </w:r>
    </w:p>
    <w:p w14:paraId="7A45FE8A">
      <w:pPr>
        <w:tabs>
          <w:tab w:val="left" w:pos="4395"/>
        </w:tabs>
        <w:spacing w:line="360" w:lineRule="auto"/>
        <w:rPr>
          <w:rFonts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开户名称：</w:t>
      </w:r>
    </w:p>
    <w:p w14:paraId="4C125A9E">
      <w:pPr>
        <w:tabs>
          <w:tab w:val="left" w:pos="4395"/>
        </w:tabs>
        <w:spacing w:line="360" w:lineRule="auto"/>
        <w:rPr>
          <w:rFonts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银行账号：</w:t>
      </w:r>
    </w:p>
    <w:p w14:paraId="5AF8AD5A">
      <w:pPr>
        <w:tabs>
          <w:tab w:val="left" w:pos="4395"/>
        </w:tabs>
        <w:spacing w:line="360" w:lineRule="auto"/>
        <w:rPr>
          <w:rFonts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 户 行：</w:t>
      </w:r>
    </w:p>
    <w:p w14:paraId="39C1D4B8">
      <w:pPr>
        <w:pStyle w:val="209"/>
        <w:spacing w:after="0"/>
        <w:rPr>
          <w:rFonts w:ascii="宋体" w:hAnsi="宋体" w:cs="宋体"/>
          <w:color w:val="auto"/>
          <w:sz w:val="6"/>
          <w:szCs w:val="6"/>
          <w:highlight w:val="none"/>
        </w:rPr>
      </w:pPr>
    </w:p>
    <w:sectPr>
      <w:footerReference r:id="rId6" w:type="first"/>
      <w:footerReference r:id="rId5" w:type="default"/>
      <w:pgSz w:w="11910" w:h="16840"/>
      <w:pgMar w:top="1520" w:right="1500" w:bottom="280" w:left="1680" w:header="720" w:footer="720"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E14D4">
    <w:pPr>
      <w:pStyle w:val="219"/>
      <w:jc w:val="center"/>
    </w:pPr>
    <w:r>
      <w:fldChar w:fldCharType="begin"/>
    </w:r>
    <w:r>
      <w:instrText xml:space="preserve"> PAGE   \* MERGEFORMAT </w:instrText>
    </w:r>
    <w:r>
      <w:fldChar w:fldCharType="separate"/>
    </w:r>
    <w:r>
      <w:rPr>
        <w:lang w:val="zh-CN"/>
      </w:rPr>
      <w:t>2</w:t>
    </w:r>
    <w:r>
      <w:fldChar w:fldCharType="end"/>
    </w:r>
  </w:p>
  <w:p w14:paraId="53BD2F58">
    <w:pPr>
      <w:pStyle w:val="2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29CC">
    <w:pPr>
      <w:pStyle w:val="2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716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893C491">
                          <w:pPr>
                            <w:pStyle w:val="219"/>
                            <w:jc w:val="center"/>
                          </w:pPr>
                          <w:r>
                            <w:fldChar w:fldCharType="begin"/>
                          </w:r>
                          <w:r>
                            <w:instrText xml:space="preserve"> PAGE   \* MERGEFORMAT </w:instrText>
                          </w:r>
                          <w:r>
                            <w:fldChar w:fldCharType="separate"/>
                          </w:r>
                          <w:r>
                            <w:rPr>
                              <w:lang w:val="zh-CN"/>
                            </w:rPr>
                            <w:t>38</w:t>
                          </w:r>
                          <w:r>
                            <w:fldChar w:fldCharType="end"/>
                          </w:r>
                        </w:p>
                      </w:txbxContent>
                    </wps:txbx>
                    <wps:bodyPr wrap="none" lIns="0" tIns="0" rIns="0" bIns="0" upright="1">
                      <a:spAutoFit/>
                    </wps:bodyPr>
                  </wps:wsp>
                </a:graphicData>
              </a:graphic>
            </wp:anchor>
          </w:drawing>
        </mc:Choice>
        <mc:Fallback>
          <w:pict>
            <v:shape id="_x0000_s716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BO+S8cBAACoAwAADgAAAAAAAAABACAAAAAeAQAAZHJzL2Uyb0RvYy54&#10;bWxQSwUGAAAAAAYABgBZAQAAVwUAAAAA&#10;">
              <v:fill on="f" focussize="0,0"/>
              <v:stroke on="f"/>
              <v:imagedata o:title=""/>
              <o:lock v:ext="edit" aspectratio="f"/>
              <v:textbox inset="0mm,0mm,0mm,0mm" style="mso-fit-shape-to-text:t;">
                <w:txbxContent>
                  <w:p w14:paraId="7893C491">
                    <w:pPr>
                      <w:pStyle w:val="219"/>
                      <w:jc w:val="center"/>
                    </w:pPr>
                    <w:r>
                      <w:fldChar w:fldCharType="begin"/>
                    </w:r>
                    <w:r>
                      <w:instrText xml:space="preserve"> PAGE   \* MERGEFORMAT </w:instrText>
                    </w:r>
                    <w:r>
                      <w:fldChar w:fldCharType="separate"/>
                    </w:r>
                    <w:r>
                      <w:rPr>
                        <w:lang w:val="zh-CN"/>
                      </w:rPr>
                      <w:t>38</w:t>
                    </w:r>
                    <w:r>
                      <w:fldChar w:fldCharType="end"/>
                    </w:r>
                  </w:p>
                </w:txbxContent>
              </v:textbox>
            </v:shape>
          </w:pict>
        </mc:Fallback>
      </mc:AlternateContent>
    </w:r>
  </w:p>
  <w:p w14:paraId="093A7A09">
    <w:pPr>
      <w:pStyle w:val="2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E2E4">
    <w:pPr>
      <w:pStyle w:val="2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717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FE2263A">
                          <w:pPr>
                            <w:pStyle w:val="2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717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O5nXhxgEAAKgDAAAOAAAAAAAAAAEAIAAAAB4BAABkcnMvZTJvRG9jLnht&#10;bFBLBQYAAAAABgAGAFkBAABWBQAAAAA=&#10;">
              <v:fill on="f" focussize="0,0"/>
              <v:stroke on="f"/>
              <v:imagedata o:title=""/>
              <o:lock v:ext="edit" aspectratio="f"/>
              <v:textbox inset="0mm,0mm,0mm,0mm" style="mso-fit-shape-to-text:t;">
                <w:txbxContent>
                  <w:p w14:paraId="2FE2263A">
                    <w:pPr>
                      <w:pStyle w:val="2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D99E">
    <w:pPr>
      <w:pStyle w:val="221"/>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F49"/>
    <w:rsid w:val="001E1729"/>
    <w:rsid w:val="00AB2F49"/>
    <w:rsid w:val="00CD2E68"/>
    <w:rsid w:val="03B41E8C"/>
    <w:rsid w:val="0FA53F06"/>
    <w:rsid w:val="11304489"/>
    <w:rsid w:val="174D4DF0"/>
    <w:rsid w:val="25923CAF"/>
    <w:rsid w:val="34A71691"/>
    <w:rsid w:val="42405426"/>
    <w:rsid w:val="51787209"/>
    <w:rsid w:val="52D33DA7"/>
    <w:rsid w:val="5CDF7BFB"/>
    <w:rsid w:val="6ED92B4E"/>
    <w:rsid w:val="6F32398A"/>
    <w:rsid w:val="732B0935"/>
    <w:rsid w:val="7456046A"/>
    <w:rsid w:val="79D721CF"/>
    <w:rsid w:val="7C2B0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166"/>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7"/>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8"/>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9"/>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70"/>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71"/>
    <w:unhideWhenUsed/>
    <w:qFormat/>
    <w:uiPriority w:val="9"/>
    <w:pPr>
      <w:keepNext/>
      <w:keepLines/>
      <w:spacing w:before="4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2"/>
    <w:unhideWhenUsed/>
    <w:qFormat/>
    <w:uiPriority w:val="9"/>
    <w:pPr>
      <w:keepNext/>
      <w:keepLines/>
      <w:spacing w:before="4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3"/>
    <w:unhideWhenUsed/>
    <w:qFormat/>
    <w:uiPriority w:val="9"/>
    <w:pPr>
      <w:keepNext/>
      <w:keepLines/>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4"/>
    <w:unhideWhenUsed/>
    <w:qFormat/>
    <w:uiPriority w:val="9"/>
    <w:pPr>
      <w:keepNext/>
      <w:keepLines/>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pPr>
    <w:rPr>
      <w:i/>
      <w:iCs/>
      <w:color w:val="1F497D" w:themeColor="text2"/>
      <w:sz w:val="18"/>
      <w:szCs w:val="18"/>
      <w14:textFill>
        <w14:solidFill>
          <w14:schemeClr w14:val="tx2"/>
        </w14:solidFill>
      </w14:textFill>
    </w:rPr>
  </w:style>
  <w:style w:type="paragraph" w:styleId="13">
    <w:name w:val="annotation text"/>
    <w:basedOn w:val="1"/>
    <w:link w:val="251"/>
    <w:semiHidden/>
    <w:unhideWhenUsed/>
    <w:qFormat/>
    <w:uiPriority w:val="99"/>
    <w:pPr>
      <w:jc w:val="left"/>
    </w:pPr>
  </w:style>
  <w:style w:type="paragraph" w:styleId="14">
    <w:name w:val="toc 5"/>
    <w:basedOn w:val="1"/>
    <w:next w:val="1"/>
    <w:unhideWhenUsed/>
    <w:qFormat/>
    <w:uiPriority w:val="39"/>
    <w:pPr>
      <w:spacing w:after="100"/>
      <w:ind w:left="880"/>
    </w:pPr>
  </w:style>
  <w:style w:type="paragraph" w:styleId="15">
    <w:name w:val="toc 3"/>
    <w:basedOn w:val="1"/>
    <w:next w:val="1"/>
    <w:unhideWhenUsed/>
    <w:qFormat/>
    <w:uiPriority w:val="39"/>
    <w:pPr>
      <w:spacing w:after="100"/>
      <w:ind w:left="440"/>
    </w:pPr>
  </w:style>
  <w:style w:type="paragraph" w:styleId="16">
    <w:name w:val="toc 8"/>
    <w:basedOn w:val="1"/>
    <w:next w:val="1"/>
    <w:unhideWhenUsed/>
    <w:qFormat/>
    <w:uiPriority w:val="39"/>
    <w:pPr>
      <w:spacing w:after="100"/>
      <w:ind w:left="1540"/>
    </w:pPr>
  </w:style>
  <w:style w:type="paragraph" w:styleId="17">
    <w:name w:val="endnote text"/>
    <w:basedOn w:val="1"/>
    <w:link w:val="191"/>
    <w:semiHidden/>
    <w:unhideWhenUsed/>
    <w:qFormat/>
    <w:uiPriority w:val="99"/>
    <w:rPr>
      <w:sz w:val="20"/>
      <w:szCs w:val="20"/>
    </w:rPr>
  </w:style>
  <w:style w:type="paragraph" w:styleId="18">
    <w:name w:val="Balloon Text"/>
    <w:basedOn w:val="1"/>
    <w:link w:val="250"/>
    <w:semiHidden/>
    <w:unhideWhenUsed/>
    <w:qFormat/>
    <w:uiPriority w:val="99"/>
    <w:rPr>
      <w:sz w:val="18"/>
      <w:szCs w:val="18"/>
    </w:rPr>
  </w:style>
  <w:style w:type="paragraph" w:styleId="19">
    <w:name w:val="footer"/>
    <w:basedOn w:val="1"/>
    <w:link w:val="189"/>
    <w:unhideWhenUsed/>
    <w:qFormat/>
    <w:uiPriority w:val="99"/>
    <w:pPr>
      <w:tabs>
        <w:tab w:val="center" w:pos="4844"/>
        <w:tab w:val="right" w:pos="9689"/>
      </w:tabs>
    </w:pPr>
  </w:style>
  <w:style w:type="paragraph" w:styleId="20">
    <w:name w:val="header"/>
    <w:basedOn w:val="1"/>
    <w:link w:val="188"/>
    <w:unhideWhenUsed/>
    <w:qFormat/>
    <w:uiPriority w:val="99"/>
    <w:pPr>
      <w:tabs>
        <w:tab w:val="center" w:pos="4844"/>
        <w:tab w:val="right" w:pos="9689"/>
      </w:tabs>
    </w:pPr>
  </w:style>
  <w:style w:type="paragraph" w:styleId="21">
    <w:name w:val="toc 1"/>
    <w:basedOn w:val="1"/>
    <w:next w:val="1"/>
    <w:unhideWhenUsed/>
    <w:qFormat/>
    <w:uiPriority w:val="39"/>
    <w:pPr>
      <w:spacing w:after="100"/>
    </w:pPr>
  </w:style>
  <w:style w:type="paragraph" w:styleId="22">
    <w:name w:val="toc 4"/>
    <w:basedOn w:val="1"/>
    <w:next w:val="1"/>
    <w:unhideWhenUsed/>
    <w:qFormat/>
    <w:uiPriority w:val="39"/>
    <w:pPr>
      <w:spacing w:after="100"/>
      <w:ind w:left="660"/>
    </w:pPr>
  </w:style>
  <w:style w:type="paragraph" w:styleId="23">
    <w:name w:val="Subtitle"/>
    <w:basedOn w:val="1"/>
    <w:next w:val="1"/>
    <w:link w:val="176"/>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4">
    <w:name w:val="footnote text"/>
    <w:basedOn w:val="1"/>
    <w:link w:val="190"/>
    <w:semiHidden/>
    <w:unhideWhenUsed/>
    <w:qFormat/>
    <w:uiPriority w:val="99"/>
    <w:rPr>
      <w:sz w:val="20"/>
      <w:szCs w:val="20"/>
    </w:rPr>
  </w:style>
  <w:style w:type="paragraph" w:styleId="25">
    <w:name w:val="toc 6"/>
    <w:basedOn w:val="1"/>
    <w:next w:val="1"/>
    <w:unhideWhenUsed/>
    <w:qFormat/>
    <w:uiPriority w:val="39"/>
    <w:pPr>
      <w:spacing w:after="100"/>
      <w:ind w:left="1100"/>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100"/>
      <w:ind w:left="220"/>
    </w:pPr>
  </w:style>
  <w:style w:type="paragraph" w:styleId="28">
    <w:name w:val="toc 9"/>
    <w:basedOn w:val="1"/>
    <w:next w:val="1"/>
    <w:unhideWhenUsed/>
    <w:qFormat/>
    <w:uiPriority w:val="39"/>
    <w:pPr>
      <w:spacing w:after="100"/>
      <w:ind w:left="1760"/>
    </w:pPr>
  </w:style>
  <w:style w:type="paragraph" w:styleId="29">
    <w:name w:val="Title"/>
    <w:basedOn w:val="1"/>
    <w:next w:val="1"/>
    <w:link w:val="175"/>
    <w:qFormat/>
    <w:uiPriority w:val="10"/>
    <w:pPr>
      <w:spacing w:after="80"/>
      <w:contextualSpacing/>
    </w:pPr>
    <w:rPr>
      <w:rFonts w:ascii="Arial" w:hAnsi="Arial" w:eastAsia="Arial" w:cs="Arial"/>
      <w:spacing w:val="-10"/>
      <w:sz w:val="56"/>
      <w:szCs w:val="56"/>
    </w:rPr>
  </w:style>
  <w:style w:type="paragraph" w:styleId="30">
    <w:name w:val="annotation subject"/>
    <w:basedOn w:val="13"/>
    <w:next w:val="13"/>
    <w:link w:val="252"/>
    <w:semiHidden/>
    <w:unhideWhenUsed/>
    <w:qFormat/>
    <w:uiPriority w:val="99"/>
    <w:rPr>
      <w:b/>
      <w:bCs/>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22"/>
    <w:rPr>
      <w:b/>
      <w:bCs/>
    </w:rPr>
  </w:style>
  <w:style w:type="character" w:styleId="35">
    <w:name w:val="endnote reference"/>
    <w:basedOn w:val="33"/>
    <w:semiHidden/>
    <w:unhideWhenUsed/>
    <w:qFormat/>
    <w:uiPriority w:val="99"/>
    <w:rPr>
      <w:vertAlign w:val="superscript"/>
    </w:rPr>
  </w:style>
  <w:style w:type="character" w:styleId="36">
    <w:name w:val="FollowedHyperlink"/>
    <w:basedOn w:val="33"/>
    <w:semiHidden/>
    <w:unhideWhenUsed/>
    <w:qFormat/>
    <w:uiPriority w:val="99"/>
    <w:rPr>
      <w:color w:val="800080" w:themeColor="followedHyperlink"/>
      <w:u w:val="single"/>
      <w14:textFill>
        <w14:solidFill>
          <w14:schemeClr w14:val="folHlink"/>
        </w14:solidFill>
      </w14:textFill>
    </w:rPr>
  </w:style>
  <w:style w:type="character" w:styleId="37">
    <w:name w:val="Emphasis"/>
    <w:basedOn w:val="33"/>
    <w:qFormat/>
    <w:uiPriority w:val="20"/>
    <w:rPr>
      <w:i/>
      <w:iCs/>
    </w:rPr>
  </w:style>
  <w:style w:type="character" w:styleId="38">
    <w:name w:val="Hyperlink"/>
    <w:basedOn w:val="33"/>
    <w:unhideWhenUsed/>
    <w:qFormat/>
    <w:uiPriority w:val="99"/>
    <w:rPr>
      <w:color w:val="0000FF" w:themeColor="hyperlink"/>
      <w:u w:val="single"/>
      <w14:textFill>
        <w14:solidFill>
          <w14:schemeClr w14:val="hlink"/>
        </w14:solidFill>
      </w14:textFill>
    </w:rPr>
  </w:style>
  <w:style w:type="character" w:styleId="39">
    <w:name w:val="annotation reference"/>
    <w:basedOn w:val="33"/>
    <w:semiHidden/>
    <w:unhideWhenUsed/>
    <w:qFormat/>
    <w:uiPriority w:val="99"/>
    <w:rPr>
      <w:sz w:val="21"/>
      <w:szCs w:val="21"/>
    </w:rPr>
  </w:style>
  <w:style w:type="character" w:styleId="40">
    <w:name w:val="footnote reference"/>
    <w:basedOn w:val="33"/>
    <w:semiHidden/>
    <w:unhideWhenUsed/>
    <w:qFormat/>
    <w:uiPriority w:val="99"/>
    <w:rPr>
      <w:vertAlign w:val="superscript"/>
    </w:rPr>
  </w:style>
  <w:style w:type="table" w:customStyle="1" w:styleId="41">
    <w:name w:val="Table Grid Light"/>
    <w:basedOn w:val="3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42">
    <w:name w:val="无格式表格 11"/>
    <w:basedOn w:val="3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43">
    <w:name w:val="无格式表格 21"/>
    <w:basedOn w:val="3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4">
    <w:name w:val="无格式表格 31"/>
    <w:basedOn w:val="31"/>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5">
    <w:name w:val="无格式表格 41"/>
    <w:basedOn w:val="31"/>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6">
    <w:name w:val="无格式表格 51"/>
    <w:basedOn w:val="31"/>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7">
    <w:name w:val="网格表 1 浅色1"/>
    <w:basedOn w:val="3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48">
    <w:name w:val="Grid Table 1 Light - Accent 1"/>
    <w:basedOn w:val="3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49">
    <w:name w:val="Grid Table 1 Light - Accent 2"/>
    <w:basedOn w:val="31"/>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50">
    <w:name w:val="Grid Table 1 Light - Accent 3"/>
    <w:basedOn w:val="31"/>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51">
    <w:name w:val="Grid Table 1 Light - Accent 4"/>
    <w:basedOn w:val="31"/>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52">
    <w:name w:val="Grid Table 1 Light - Accent 5"/>
    <w:basedOn w:val="31"/>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53">
    <w:name w:val="Grid Table 1 Light - Accent 6"/>
    <w:basedOn w:val="31"/>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54">
    <w:name w:val="网格表 21"/>
    <w:basedOn w:val="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5">
    <w:name w:val="Grid Table 2 - Accent 1"/>
    <w:basedOn w:val="3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56">
    <w:name w:val="Grid Table 2 - Accent 2"/>
    <w:basedOn w:val="31"/>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57">
    <w:name w:val="Grid Table 2 - Accent 3"/>
    <w:basedOn w:val="31"/>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58">
    <w:name w:val="Grid Table 2 - Accent 4"/>
    <w:basedOn w:val="31"/>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59">
    <w:name w:val="Grid Table 2 - Accent 5"/>
    <w:basedOn w:val="31"/>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60">
    <w:name w:val="Grid Table 2 - Accent 6"/>
    <w:basedOn w:val="31"/>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61">
    <w:name w:val="网格表 31"/>
    <w:basedOn w:val="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2">
    <w:name w:val="Grid Table 3 - Accent 1"/>
    <w:basedOn w:val="3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3">
    <w:name w:val="Grid Table 3 - Accent 2"/>
    <w:basedOn w:val="31"/>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4">
    <w:name w:val="Grid Table 3 - Accent 3"/>
    <w:basedOn w:val="31"/>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65">
    <w:name w:val="Grid Table 3 - Accent 4"/>
    <w:basedOn w:val="31"/>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66">
    <w:name w:val="Grid Table 3 - Accent 5"/>
    <w:basedOn w:val="31"/>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67">
    <w:name w:val="Grid Table 3 - Accent 6"/>
    <w:basedOn w:val="31"/>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68">
    <w:name w:val="网格表 41"/>
    <w:basedOn w:val="3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4 - Accent 1"/>
    <w:basedOn w:val="3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70">
    <w:name w:val="Grid Table 4 - Accent 2"/>
    <w:basedOn w:val="31"/>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1">
    <w:name w:val="Grid Table 4 - Accent 3"/>
    <w:basedOn w:val="31"/>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2">
    <w:name w:val="Grid Table 4 - Accent 4"/>
    <w:basedOn w:val="31"/>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3">
    <w:name w:val="Grid Table 4 - Accent 5"/>
    <w:basedOn w:val="31"/>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4">
    <w:name w:val="Grid Table 4 - Accent 6"/>
    <w:basedOn w:val="31"/>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5">
    <w:name w:val="网格表 5 深色1"/>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6">
    <w:name w:val="Grid Table 5 Dark- Accent 1"/>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77">
    <w:name w:val="Grid Table 5 Dark - Accent 2"/>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78">
    <w:name w:val="Grid Table 5 Dark - Accent 3"/>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79">
    <w:name w:val="Grid Table 5 Dark- Accent 4"/>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80">
    <w:name w:val="Grid Table 5 Dark - Accent 5"/>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81">
    <w:name w:val="Grid Table 5 Dark - Accent 6"/>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82">
    <w:name w:val="网格表 6 彩色1"/>
    <w:basedOn w:val="3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3">
    <w:name w:val="Grid Table 6 Colorful - Accent 1"/>
    <w:basedOn w:val="3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84">
    <w:name w:val="Grid Table 6 Colorful - Accent 2"/>
    <w:basedOn w:val="31"/>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85">
    <w:name w:val="Grid Table 6 Colorful - Accent 3"/>
    <w:basedOn w:val="31"/>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86">
    <w:name w:val="Grid Table 6 Colorful - Accent 4"/>
    <w:basedOn w:val="31"/>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87">
    <w:name w:val="Grid Table 6 Colorful - Accent 5"/>
    <w:basedOn w:val="31"/>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88">
    <w:name w:val="Grid Table 6 Colorful - Accent 6"/>
    <w:basedOn w:val="31"/>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89">
    <w:name w:val="网格表 7 彩色1"/>
    <w:basedOn w:val="3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0">
    <w:name w:val="Grid Table 7 Colorful - Accent 1"/>
    <w:basedOn w:val="3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1">
    <w:name w:val="Grid Table 7 Colorful - Accent 2"/>
    <w:basedOn w:val="31"/>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2">
    <w:name w:val="Grid Table 7 Colorful - Accent 3"/>
    <w:basedOn w:val="31"/>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93">
    <w:name w:val="Grid Table 7 Colorful - Accent 4"/>
    <w:basedOn w:val="31"/>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4">
    <w:name w:val="Grid Table 7 Colorful - Accent 5"/>
    <w:basedOn w:val="31"/>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95">
    <w:name w:val="Grid Table 7 Colorful - Accent 6"/>
    <w:basedOn w:val="31"/>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96">
    <w:name w:val="清单表 1 浅色1"/>
    <w:basedOn w:val="31"/>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97">
    <w:name w:val="List Table 1 Light - Accent 1"/>
    <w:basedOn w:val="31"/>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98">
    <w:name w:val="List Table 1 Light - Accent 2"/>
    <w:basedOn w:val="31"/>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99">
    <w:name w:val="List Table 1 Light - Accent 3"/>
    <w:basedOn w:val="31"/>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00">
    <w:name w:val="List Table 1 Light - Accent 4"/>
    <w:basedOn w:val="31"/>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01">
    <w:name w:val="List Table 1 Light - Accent 5"/>
    <w:basedOn w:val="31"/>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02">
    <w:name w:val="List Table 1 Light - Accent 6"/>
    <w:basedOn w:val="31"/>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03">
    <w:name w:val="清单表 21"/>
    <w:basedOn w:val="3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4">
    <w:name w:val="List Table 2 - Accent 1"/>
    <w:basedOn w:val="3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05">
    <w:name w:val="List Table 2 - Accent 2"/>
    <w:basedOn w:val="31"/>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06">
    <w:name w:val="List Table 2 - Accent 3"/>
    <w:basedOn w:val="31"/>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07">
    <w:name w:val="List Table 2 - Accent 4"/>
    <w:basedOn w:val="31"/>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08">
    <w:name w:val="List Table 2 - Accent 5"/>
    <w:basedOn w:val="31"/>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09">
    <w:name w:val="List Table 2 - Accent 6"/>
    <w:basedOn w:val="31"/>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10">
    <w:name w:val="清单表 31"/>
    <w:basedOn w:val="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11">
    <w:name w:val="List Table 3 - Accent 1"/>
    <w:basedOn w:val="3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12">
    <w:name w:val="List Table 3 - Accent 2"/>
    <w:basedOn w:val="31"/>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13">
    <w:name w:val="List Table 3 - Accent 3"/>
    <w:basedOn w:val="31"/>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14">
    <w:name w:val="List Table 3 - Accent 4"/>
    <w:basedOn w:val="31"/>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15">
    <w:name w:val="List Table 3 - Accent 5"/>
    <w:basedOn w:val="31"/>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16">
    <w:name w:val="List Table 3 - Accent 6"/>
    <w:basedOn w:val="31"/>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17">
    <w:name w:val="清单表 41"/>
    <w:basedOn w:val="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4 - Accent 1"/>
    <w:basedOn w:val="3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9">
    <w:name w:val="List Table 4 - Accent 2"/>
    <w:basedOn w:val="31"/>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0">
    <w:name w:val="List Table 4 - Accent 3"/>
    <w:basedOn w:val="31"/>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1">
    <w:name w:val="List Table 4 - Accent 4"/>
    <w:basedOn w:val="31"/>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2">
    <w:name w:val="List Table 4 - Accent 5"/>
    <w:basedOn w:val="31"/>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3">
    <w:name w:val="List Table 4 - Accent 6"/>
    <w:basedOn w:val="31"/>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4">
    <w:name w:val="清单表 5 深色1"/>
    <w:basedOn w:val="3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25">
    <w:name w:val="List Table 5 Dark - Accent 1"/>
    <w:basedOn w:val="3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26">
    <w:name w:val="List Table 5 Dark - Accent 2"/>
    <w:basedOn w:val="31"/>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27">
    <w:name w:val="List Table 5 Dark - Accent 3"/>
    <w:basedOn w:val="31"/>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28">
    <w:name w:val="List Table 5 Dark - Accent 4"/>
    <w:basedOn w:val="31"/>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29">
    <w:name w:val="List Table 5 Dark - Accent 5"/>
    <w:basedOn w:val="31"/>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30">
    <w:name w:val="List Table 5 Dark - Accent 6"/>
    <w:basedOn w:val="31"/>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31">
    <w:name w:val="清单表 6 彩色1"/>
    <w:basedOn w:val="31"/>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32">
    <w:name w:val="List Table 6 Colorful - Accent 1"/>
    <w:basedOn w:val="31"/>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33">
    <w:name w:val="List Table 6 Colorful - Accent 2"/>
    <w:basedOn w:val="31"/>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4">
    <w:name w:val="List Table 6 Colorful - Accent 3"/>
    <w:basedOn w:val="31"/>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35">
    <w:name w:val="List Table 6 Colorful - Accent 4"/>
    <w:basedOn w:val="31"/>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6">
    <w:name w:val="List Table 6 Colorful - Accent 5"/>
    <w:basedOn w:val="31"/>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37">
    <w:name w:val="List Table 6 Colorful - Accent 6"/>
    <w:basedOn w:val="31"/>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38">
    <w:name w:val="清单表 7 彩色1"/>
    <w:basedOn w:val="31"/>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9">
    <w:name w:val="List Table 7 Colorful - Accent 1"/>
    <w:basedOn w:val="31"/>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0">
    <w:name w:val="List Table 7 Colorful - Accent 2"/>
    <w:basedOn w:val="31"/>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1">
    <w:name w:val="List Table 7 Colorful - Accent 3"/>
    <w:basedOn w:val="31"/>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2">
    <w:name w:val="List Table 7 Colorful - Accent 4"/>
    <w:basedOn w:val="31"/>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3">
    <w:name w:val="List Table 7 Colorful - Accent 5"/>
    <w:basedOn w:val="31"/>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4">
    <w:name w:val="List Table 7 Colorful - Accent 6"/>
    <w:basedOn w:val="31"/>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5">
    <w:name w:val="Lined - Accent"/>
    <w:basedOn w:val="3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46">
    <w:name w:val="Lined - Accent 1"/>
    <w:basedOn w:val="3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47">
    <w:name w:val="Lined - Accent 2"/>
    <w:basedOn w:val="3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48">
    <w:name w:val="Lined - Accent 3"/>
    <w:basedOn w:val="3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49">
    <w:name w:val="Lined - Accent 4"/>
    <w:basedOn w:val="3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50">
    <w:name w:val="Lined - Accent 5"/>
    <w:basedOn w:val="3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51">
    <w:name w:val="Lined - Accent 6"/>
    <w:basedOn w:val="31"/>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52">
    <w:name w:val="Bordered &amp; Lined - Accent"/>
    <w:basedOn w:val="31"/>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3">
    <w:name w:val="Bordered &amp; Lined - Accent 1"/>
    <w:basedOn w:val="3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4">
    <w:name w:val="Bordered &amp; Lined - Accent 2"/>
    <w:basedOn w:val="31"/>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55">
    <w:name w:val="Bordered &amp; Lined - Accent 3"/>
    <w:basedOn w:val="31"/>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56">
    <w:name w:val="Bordered &amp; Lined - Accent 4"/>
    <w:basedOn w:val="31"/>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57">
    <w:name w:val="Bordered &amp; Lined - Accent 5"/>
    <w:basedOn w:val="31"/>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58">
    <w:name w:val="Bordered &amp; Lined - Accent 6"/>
    <w:basedOn w:val="31"/>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59">
    <w:name w:val="Bordered"/>
    <w:basedOn w:val="31"/>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60">
    <w:name w:val="Bordered - Accent 1"/>
    <w:basedOn w:val="3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61">
    <w:name w:val="Bordered - Accent 2"/>
    <w:basedOn w:val="31"/>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62">
    <w:name w:val="Bordered - Accent 3"/>
    <w:basedOn w:val="31"/>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63">
    <w:name w:val="Bordered - Accent 4"/>
    <w:basedOn w:val="31"/>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64">
    <w:name w:val="Bordered - Accent 5"/>
    <w:basedOn w:val="31"/>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65">
    <w:name w:val="Bordered - Accent 6"/>
    <w:basedOn w:val="31"/>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66">
    <w:name w:val="标题 1 Char1"/>
    <w:basedOn w:val="33"/>
    <w:link w:val="2"/>
    <w:qFormat/>
    <w:uiPriority w:val="9"/>
    <w:rPr>
      <w:rFonts w:ascii="Arial" w:hAnsi="Arial" w:eastAsia="Arial" w:cs="Arial"/>
      <w:color w:val="376092" w:themeColor="accent1" w:themeShade="BF"/>
      <w:sz w:val="40"/>
      <w:szCs w:val="40"/>
    </w:rPr>
  </w:style>
  <w:style w:type="character" w:customStyle="1" w:styleId="167">
    <w:name w:val="标题 2 Char1"/>
    <w:basedOn w:val="33"/>
    <w:link w:val="3"/>
    <w:qFormat/>
    <w:uiPriority w:val="9"/>
    <w:rPr>
      <w:rFonts w:ascii="Arial" w:hAnsi="Arial" w:eastAsia="Arial" w:cs="Arial"/>
      <w:color w:val="376092" w:themeColor="accent1" w:themeShade="BF"/>
      <w:sz w:val="32"/>
      <w:szCs w:val="32"/>
    </w:rPr>
  </w:style>
  <w:style w:type="character" w:customStyle="1" w:styleId="168">
    <w:name w:val="标题 3 Char"/>
    <w:basedOn w:val="33"/>
    <w:link w:val="4"/>
    <w:qFormat/>
    <w:uiPriority w:val="9"/>
    <w:rPr>
      <w:rFonts w:ascii="Arial" w:hAnsi="Arial" w:eastAsia="Arial" w:cs="Arial"/>
      <w:color w:val="376092" w:themeColor="accent1" w:themeShade="BF"/>
      <w:sz w:val="28"/>
      <w:szCs w:val="28"/>
    </w:rPr>
  </w:style>
  <w:style w:type="character" w:customStyle="1" w:styleId="169">
    <w:name w:val="标题 4 Char"/>
    <w:basedOn w:val="33"/>
    <w:link w:val="5"/>
    <w:qFormat/>
    <w:uiPriority w:val="9"/>
    <w:rPr>
      <w:rFonts w:ascii="Arial" w:hAnsi="Arial" w:eastAsia="Arial" w:cs="Arial"/>
      <w:i/>
      <w:iCs/>
      <w:color w:val="376092" w:themeColor="accent1" w:themeShade="BF"/>
    </w:rPr>
  </w:style>
  <w:style w:type="character" w:customStyle="1" w:styleId="170">
    <w:name w:val="标题 5 Char1"/>
    <w:basedOn w:val="33"/>
    <w:link w:val="6"/>
    <w:qFormat/>
    <w:uiPriority w:val="9"/>
    <w:rPr>
      <w:rFonts w:ascii="Arial" w:hAnsi="Arial" w:eastAsia="Arial" w:cs="Arial"/>
      <w:color w:val="376092" w:themeColor="accent1" w:themeShade="BF"/>
    </w:rPr>
  </w:style>
  <w:style w:type="character" w:customStyle="1" w:styleId="171">
    <w:name w:val="标题 6 Char"/>
    <w:basedOn w:val="33"/>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2">
    <w:name w:val="标题 7 Char"/>
    <w:basedOn w:val="33"/>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3">
    <w:name w:val="标题 8 Char"/>
    <w:basedOn w:val="33"/>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4">
    <w:name w:val="标题 9 Char"/>
    <w:basedOn w:val="33"/>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5">
    <w:name w:val="标题 Char"/>
    <w:basedOn w:val="33"/>
    <w:link w:val="29"/>
    <w:qFormat/>
    <w:uiPriority w:val="10"/>
    <w:rPr>
      <w:rFonts w:ascii="Arial" w:hAnsi="Arial" w:eastAsia="Arial" w:cs="Arial"/>
      <w:spacing w:val="-10"/>
      <w:sz w:val="56"/>
      <w:szCs w:val="56"/>
    </w:rPr>
  </w:style>
  <w:style w:type="character" w:customStyle="1" w:styleId="176">
    <w:name w:val="副标题 Char"/>
    <w:basedOn w:val="33"/>
    <w:link w:val="2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7">
    <w:name w:val="Quote"/>
    <w:basedOn w:val="1"/>
    <w:next w:val="1"/>
    <w:link w:val="17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8">
    <w:name w:val="引用 Char"/>
    <w:basedOn w:val="33"/>
    <w:link w:val="177"/>
    <w:qFormat/>
    <w:uiPriority w:val="29"/>
    <w:rPr>
      <w:i/>
      <w:iCs/>
      <w:color w:val="404040" w:themeColor="text1" w:themeTint="BF"/>
      <w14:textFill>
        <w14:solidFill>
          <w14:schemeClr w14:val="tx1">
            <w14:lumMod w14:val="75000"/>
            <w14:lumOff w14:val="25000"/>
          </w14:schemeClr>
        </w14:solidFill>
      </w14:textFill>
    </w:rPr>
  </w:style>
  <w:style w:type="paragraph" w:styleId="179">
    <w:name w:val="List Paragraph"/>
    <w:basedOn w:val="1"/>
    <w:qFormat/>
    <w:uiPriority w:val="34"/>
    <w:pPr>
      <w:ind w:left="720"/>
      <w:contextualSpacing/>
    </w:pPr>
  </w:style>
  <w:style w:type="character" w:customStyle="1" w:styleId="180">
    <w:name w:val="明显强调1"/>
    <w:basedOn w:val="33"/>
    <w:qFormat/>
    <w:uiPriority w:val="21"/>
    <w:rPr>
      <w:i/>
      <w:iCs/>
      <w:color w:val="376092" w:themeColor="accent1" w:themeShade="BF"/>
    </w:rPr>
  </w:style>
  <w:style w:type="paragraph" w:styleId="181">
    <w:name w:val="Intense Quote"/>
    <w:basedOn w:val="1"/>
    <w:next w:val="1"/>
    <w:link w:val="182"/>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2">
    <w:name w:val="明显引用 Char"/>
    <w:basedOn w:val="33"/>
    <w:link w:val="181"/>
    <w:qFormat/>
    <w:uiPriority w:val="30"/>
    <w:rPr>
      <w:i/>
      <w:iCs/>
      <w:color w:val="376092" w:themeColor="accent1" w:themeShade="BF"/>
    </w:rPr>
  </w:style>
  <w:style w:type="character" w:customStyle="1" w:styleId="183">
    <w:name w:val="明显参考1"/>
    <w:basedOn w:val="33"/>
    <w:qFormat/>
    <w:uiPriority w:val="32"/>
    <w:rPr>
      <w:b/>
      <w:bCs/>
      <w:smallCaps/>
      <w:color w:val="376092" w:themeColor="accent1" w:themeShade="BF"/>
      <w:spacing w:val="5"/>
    </w:rPr>
  </w:style>
  <w:style w:type="paragraph" w:styleId="184">
    <w:name w:val="No Spacing"/>
    <w:basedOn w:val="1"/>
    <w:qFormat/>
    <w:uiPriority w:val="1"/>
  </w:style>
  <w:style w:type="character" w:customStyle="1" w:styleId="185">
    <w:name w:val="不明显强调1"/>
    <w:basedOn w:val="33"/>
    <w:qFormat/>
    <w:uiPriority w:val="19"/>
    <w:rPr>
      <w:i/>
      <w:iCs/>
      <w:color w:val="404040" w:themeColor="text1" w:themeTint="BF"/>
      <w14:textFill>
        <w14:solidFill>
          <w14:schemeClr w14:val="tx1">
            <w14:lumMod w14:val="75000"/>
            <w14:lumOff w14:val="25000"/>
          </w14:schemeClr>
        </w14:solidFill>
      </w14:textFill>
    </w:rPr>
  </w:style>
  <w:style w:type="character" w:customStyle="1" w:styleId="186">
    <w:name w:val="不明显参考1"/>
    <w:basedOn w:val="33"/>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7">
    <w:name w:val="书籍标题1"/>
    <w:basedOn w:val="33"/>
    <w:qFormat/>
    <w:uiPriority w:val="33"/>
    <w:rPr>
      <w:b/>
      <w:bCs/>
      <w:i/>
      <w:iCs/>
      <w:spacing w:val="5"/>
    </w:rPr>
  </w:style>
  <w:style w:type="character" w:customStyle="1" w:styleId="188">
    <w:name w:val="页眉 Char1"/>
    <w:basedOn w:val="33"/>
    <w:link w:val="20"/>
    <w:qFormat/>
    <w:uiPriority w:val="99"/>
  </w:style>
  <w:style w:type="character" w:customStyle="1" w:styleId="189">
    <w:name w:val="页脚 Char2"/>
    <w:basedOn w:val="33"/>
    <w:link w:val="19"/>
    <w:qFormat/>
    <w:uiPriority w:val="99"/>
  </w:style>
  <w:style w:type="character" w:customStyle="1" w:styleId="190">
    <w:name w:val="脚注文本 Char"/>
    <w:basedOn w:val="33"/>
    <w:link w:val="24"/>
    <w:semiHidden/>
    <w:qFormat/>
    <w:uiPriority w:val="99"/>
    <w:rPr>
      <w:sz w:val="20"/>
      <w:szCs w:val="20"/>
    </w:rPr>
  </w:style>
  <w:style w:type="character" w:customStyle="1" w:styleId="191">
    <w:name w:val="尾注文本 Char"/>
    <w:basedOn w:val="33"/>
    <w:link w:val="17"/>
    <w:semiHidden/>
    <w:qFormat/>
    <w:uiPriority w:val="99"/>
    <w:rPr>
      <w:sz w:val="20"/>
      <w:szCs w:val="20"/>
    </w:rPr>
  </w:style>
  <w:style w:type="character" w:styleId="192">
    <w:name w:val="Placeholder Text"/>
    <w:basedOn w:val="33"/>
    <w:semiHidden/>
    <w:qFormat/>
    <w:uiPriority w:val="99"/>
    <w:rPr>
      <w:color w:val="666666"/>
    </w:rPr>
  </w:style>
  <w:style w:type="paragraph" w:customStyle="1" w:styleId="193">
    <w:name w:val="TOC 标题1"/>
    <w:unhideWhenUsed/>
    <w:qFormat/>
    <w:uiPriority w:val="39"/>
    <w:rPr>
      <w:rFonts w:ascii="Times New Roman" w:hAnsi="Times New Roman" w:eastAsia="宋体" w:cs="Times New Roman"/>
      <w:lang w:val="en-US" w:eastAsia="zh-CN" w:bidi="ar-SA"/>
    </w:rPr>
  </w:style>
  <w:style w:type="paragraph" w:customStyle="1" w:styleId="194">
    <w:name w:val="标题 11"/>
    <w:basedOn w:val="1"/>
    <w:next w:val="1"/>
    <w:link w:val="201"/>
    <w:qFormat/>
    <w:uiPriority w:val="0"/>
    <w:pPr>
      <w:keepNext/>
      <w:keepLines/>
      <w:spacing w:before="340" w:after="330" w:line="578" w:lineRule="auto"/>
      <w:outlineLvl w:val="0"/>
    </w:pPr>
    <w:rPr>
      <w:b/>
      <w:bCs/>
      <w:sz w:val="44"/>
      <w:szCs w:val="44"/>
    </w:rPr>
  </w:style>
  <w:style w:type="paragraph" w:customStyle="1" w:styleId="195">
    <w:name w:val="标题 21"/>
    <w:basedOn w:val="1"/>
    <w:next w:val="1"/>
    <w:link w:val="202"/>
    <w:qFormat/>
    <w:uiPriority w:val="9"/>
    <w:pPr>
      <w:keepNext/>
      <w:keepLines/>
      <w:spacing w:before="260" w:after="260" w:line="416" w:lineRule="auto"/>
      <w:outlineLvl w:val="1"/>
    </w:pPr>
    <w:rPr>
      <w:rFonts w:ascii="Cambria" w:hAnsi="Cambria"/>
      <w:b/>
      <w:bCs/>
      <w:sz w:val="32"/>
      <w:szCs w:val="32"/>
    </w:rPr>
  </w:style>
  <w:style w:type="paragraph" w:customStyle="1" w:styleId="196">
    <w:name w:val="标题 41"/>
    <w:basedOn w:val="1"/>
    <w:next w:val="1"/>
    <w:qFormat/>
    <w:uiPriority w:val="0"/>
    <w:pPr>
      <w:keepNext/>
      <w:keepLines/>
      <w:spacing w:before="280" w:after="290" w:line="376" w:lineRule="auto"/>
      <w:outlineLvl w:val="3"/>
    </w:pPr>
    <w:rPr>
      <w:rFonts w:ascii="Arial" w:hAnsi="Arial" w:eastAsia="黑体"/>
      <w:b/>
      <w:bCs/>
      <w:sz w:val="28"/>
      <w:szCs w:val="28"/>
    </w:rPr>
  </w:style>
  <w:style w:type="paragraph" w:customStyle="1" w:styleId="197">
    <w:name w:val="标题 51"/>
    <w:basedOn w:val="1"/>
    <w:next w:val="198"/>
    <w:link w:val="203"/>
    <w:qFormat/>
    <w:uiPriority w:val="9"/>
    <w:pPr>
      <w:keepNext/>
      <w:keepLines/>
      <w:spacing w:before="280" w:after="290" w:line="376" w:lineRule="auto"/>
      <w:outlineLvl w:val="4"/>
    </w:pPr>
    <w:rPr>
      <w:b/>
      <w:bCs/>
      <w:sz w:val="28"/>
      <w:szCs w:val="28"/>
    </w:rPr>
  </w:style>
  <w:style w:type="paragraph" w:customStyle="1" w:styleId="198">
    <w:name w:val="正文缩进1"/>
    <w:basedOn w:val="1"/>
    <w:qFormat/>
    <w:uiPriority w:val="0"/>
    <w:pPr>
      <w:ind w:firstLine="420"/>
    </w:pPr>
    <w:rPr>
      <w:szCs w:val="20"/>
    </w:rPr>
  </w:style>
  <w:style w:type="character" w:customStyle="1" w:styleId="199">
    <w:name w:val="默认段落字体1"/>
    <w:unhideWhenUsed/>
    <w:qFormat/>
    <w:uiPriority w:val="1"/>
  </w:style>
  <w:style w:type="table" w:customStyle="1" w:styleId="200">
    <w:name w:val="普通表格1"/>
    <w:unhideWhenUsed/>
    <w:qFormat/>
    <w:uiPriority w:val="99"/>
    <w:tblPr>
      <w:tblCellMar>
        <w:top w:w="0" w:type="dxa"/>
        <w:left w:w="108" w:type="dxa"/>
        <w:bottom w:w="0" w:type="dxa"/>
        <w:right w:w="108" w:type="dxa"/>
      </w:tblCellMar>
    </w:tblPr>
  </w:style>
  <w:style w:type="character" w:customStyle="1" w:styleId="201">
    <w:name w:val="标题 1 Char"/>
    <w:link w:val="194"/>
    <w:qFormat/>
    <w:uiPriority w:val="0"/>
    <w:rPr>
      <w:b/>
      <w:bCs/>
      <w:sz w:val="44"/>
      <w:szCs w:val="44"/>
    </w:rPr>
  </w:style>
  <w:style w:type="character" w:customStyle="1" w:styleId="202">
    <w:name w:val="标题 2 Char"/>
    <w:link w:val="195"/>
    <w:qFormat/>
    <w:uiPriority w:val="9"/>
    <w:rPr>
      <w:rFonts w:ascii="Cambria" w:hAnsi="Cambria" w:eastAsia="宋体" w:cs="Times New Roman"/>
      <w:b/>
      <w:bCs/>
      <w:sz w:val="32"/>
      <w:szCs w:val="32"/>
    </w:rPr>
  </w:style>
  <w:style w:type="character" w:customStyle="1" w:styleId="203">
    <w:name w:val="标题 5 Char"/>
    <w:link w:val="197"/>
    <w:semiHidden/>
    <w:qFormat/>
    <w:uiPriority w:val="9"/>
    <w:rPr>
      <w:rFonts w:ascii="Times New Roman" w:hAnsi="Times New Roman"/>
      <w:b/>
      <w:bCs/>
      <w:sz w:val="28"/>
      <w:szCs w:val="28"/>
    </w:rPr>
  </w:style>
  <w:style w:type="paragraph" w:customStyle="1" w:styleId="204">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05">
    <w:name w:val="批注文字1"/>
    <w:basedOn w:val="1"/>
    <w:link w:val="206"/>
    <w:qFormat/>
    <w:uiPriority w:val="0"/>
    <w:pPr>
      <w:jc w:val="left"/>
    </w:pPr>
  </w:style>
  <w:style w:type="character" w:customStyle="1" w:styleId="206">
    <w:name w:val="批注文字 Char"/>
    <w:link w:val="205"/>
    <w:qFormat/>
    <w:uiPriority w:val="0"/>
    <w:rPr>
      <w:rFonts w:ascii="Times New Roman" w:hAnsi="Times New Roman"/>
      <w:sz w:val="21"/>
      <w:szCs w:val="24"/>
    </w:rPr>
  </w:style>
  <w:style w:type="paragraph" w:customStyle="1" w:styleId="207">
    <w:name w:val="正文文本 31"/>
    <w:basedOn w:val="1"/>
    <w:link w:val="208"/>
    <w:unhideWhenUsed/>
    <w:qFormat/>
    <w:uiPriority w:val="99"/>
    <w:pPr>
      <w:spacing w:after="120"/>
    </w:pPr>
    <w:rPr>
      <w:sz w:val="16"/>
      <w:szCs w:val="16"/>
    </w:rPr>
  </w:style>
  <w:style w:type="character" w:customStyle="1" w:styleId="208">
    <w:name w:val="正文文本 3 Char"/>
    <w:link w:val="207"/>
    <w:semiHidden/>
    <w:qFormat/>
    <w:uiPriority w:val="99"/>
    <w:rPr>
      <w:rFonts w:ascii="Times New Roman" w:hAnsi="Times New Roman"/>
      <w:sz w:val="16"/>
      <w:szCs w:val="16"/>
    </w:rPr>
  </w:style>
  <w:style w:type="paragraph" w:customStyle="1" w:styleId="209">
    <w:name w:val="正文文本1"/>
    <w:basedOn w:val="1"/>
    <w:link w:val="210"/>
    <w:unhideWhenUsed/>
    <w:qFormat/>
    <w:uiPriority w:val="0"/>
    <w:pPr>
      <w:spacing w:after="120"/>
    </w:pPr>
  </w:style>
  <w:style w:type="character" w:customStyle="1" w:styleId="210">
    <w:name w:val="正文文本 Char"/>
    <w:link w:val="209"/>
    <w:qFormat/>
    <w:uiPriority w:val="0"/>
    <w:rPr>
      <w:rFonts w:ascii="Times New Roman" w:hAnsi="Times New Roman"/>
      <w:sz w:val="21"/>
      <w:szCs w:val="24"/>
    </w:rPr>
  </w:style>
  <w:style w:type="paragraph" w:customStyle="1" w:styleId="211">
    <w:name w:val="正文文本缩进1"/>
    <w:basedOn w:val="1"/>
    <w:link w:val="212"/>
    <w:qFormat/>
    <w:uiPriority w:val="0"/>
    <w:pPr>
      <w:ind w:firstLine="830"/>
    </w:pPr>
    <w:rPr>
      <w:rFonts w:ascii="仿宋_GB2312" w:eastAsia="仿宋_GB2312"/>
      <w:sz w:val="32"/>
      <w:szCs w:val="20"/>
    </w:rPr>
  </w:style>
  <w:style w:type="character" w:customStyle="1" w:styleId="212">
    <w:name w:val="正文文本缩进 Char"/>
    <w:link w:val="211"/>
    <w:qFormat/>
    <w:uiPriority w:val="0"/>
    <w:rPr>
      <w:rFonts w:ascii="仿宋_GB2312" w:hAnsi="Times New Roman" w:eastAsia="仿宋_GB2312" w:cs="Times New Roman"/>
      <w:sz w:val="32"/>
      <w:szCs w:val="20"/>
    </w:rPr>
  </w:style>
  <w:style w:type="paragraph" w:customStyle="1" w:styleId="213">
    <w:name w:val="列表 21"/>
    <w:basedOn w:val="1"/>
    <w:unhideWhenUsed/>
    <w:qFormat/>
    <w:uiPriority w:val="99"/>
    <w:pPr>
      <w:ind w:left="100" w:hanging="200"/>
      <w:contextualSpacing/>
    </w:pPr>
  </w:style>
  <w:style w:type="paragraph" w:customStyle="1" w:styleId="214">
    <w:name w:val="纯文本1"/>
    <w:basedOn w:val="1"/>
    <w:link w:val="215"/>
    <w:qFormat/>
    <w:uiPriority w:val="0"/>
    <w:rPr>
      <w:rFonts w:ascii="宋体" w:hAnsi="Courier New"/>
      <w:sz w:val="20"/>
      <w:szCs w:val="21"/>
    </w:rPr>
  </w:style>
  <w:style w:type="character" w:customStyle="1" w:styleId="215">
    <w:name w:val="纯文本 Char"/>
    <w:link w:val="214"/>
    <w:qFormat/>
    <w:uiPriority w:val="0"/>
    <w:rPr>
      <w:rFonts w:ascii="宋体" w:hAnsi="Courier New" w:eastAsia="宋体" w:cs="Courier New"/>
      <w:szCs w:val="21"/>
    </w:rPr>
  </w:style>
  <w:style w:type="paragraph" w:customStyle="1" w:styleId="216">
    <w:name w:val="日期1"/>
    <w:basedOn w:val="1"/>
    <w:next w:val="1"/>
    <w:link w:val="217"/>
    <w:unhideWhenUsed/>
    <w:qFormat/>
    <w:uiPriority w:val="99"/>
    <w:pPr>
      <w:ind w:left="100"/>
    </w:pPr>
  </w:style>
  <w:style w:type="character" w:customStyle="1" w:styleId="217">
    <w:name w:val="日期 Char"/>
    <w:link w:val="216"/>
    <w:semiHidden/>
    <w:qFormat/>
    <w:uiPriority w:val="99"/>
    <w:rPr>
      <w:rFonts w:ascii="Times New Roman" w:hAnsi="Times New Roman"/>
      <w:sz w:val="21"/>
      <w:szCs w:val="24"/>
    </w:rPr>
  </w:style>
  <w:style w:type="paragraph" w:customStyle="1" w:styleId="218">
    <w:name w:val="批注框文本1"/>
    <w:basedOn w:val="1"/>
    <w:semiHidden/>
    <w:qFormat/>
    <w:uiPriority w:val="0"/>
    <w:rPr>
      <w:sz w:val="18"/>
      <w:szCs w:val="18"/>
    </w:rPr>
  </w:style>
  <w:style w:type="paragraph" w:customStyle="1" w:styleId="219">
    <w:name w:val="页脚1"/>
    <w:basedOn w:val="1"/>
    <w:link w:val="220"/>
    <w:unhideWhenUsed/>
    <w:qFormat/>
    <w:uiPriority w:val="99"/>
    <w:pPr>
      <w:tabs>
        <w:tab w:val="center" w:pos="4153"/>
        <w:tab w:val="right" w:pos="8306"/>
      </w:tabs>
      <w:jc w:val="left"/>
    </w:pPr>
    <w:rPr>
      <w:sz w:val="18"/>
      <w:szCs w:val="18"/>
    </w:rPr>
  </w:style>
  <w:style w:type="character" w:customStyle="1" w:styleId="220">
    <w:name w:val="页脚 Char1"/>
    <w:link w:val="219"/>
    <w:qFormat/>
    <w:uiPriority w:val="99"/>
    <w:rPr>
      <w:sz w:val="18"/>
      <w:szCs w:val="18"/>
    </w:rPr>
  </w:style>
  <w:style w:type="paragraph" w:customStyle="1" w:styleId="221">
    <w:name w:val="页眉1"/>
    <w:basedOn w:val="1"/>
    <w:link w:val="222"/>
    <w:unhideWhenUsed/>
    <w:qFormat/>
    <w:uiPriority w:val="99"/>
    <w:pPr>
      <w:pBdr>
        <w:bottom w:val="single" w:color="000000" w:sz="6" w:space="1"/>
      </w:pBdr>
      <w:tabs>
        <w:tab w:val="center" w:pos="4153"/>
        <w:tab w:val="right" w:pos="8306"/>
      </w:tabs>
      <w:jc w:val="center"/>
    </w:pPr>
    <w:rPr>
      <w:sz w:val="18"/>
      <w:szCs w:val="18"/>
    </w:rPr>
  </w:style>
  <w:style w:type="character" w:customStyle="1" w:styleId="222">
    <w:name w:val="页眉 Char"/>
    <w:link w:val="221"/>
    <w:qFormat/>
    <w:uiPriority w:val="99"/>
    <w:rPr>
      <w:sz w:val="18"/>
      <w:szCs w:val="18"/>
    </w:rPr>
  </w:style>
  <w:style w:type="paragraph" w:customStyle="1" w:styleId="223">
    <w:name w:val="目录 11"/>
    <w:basedOn w:val="1"/>
    <w:next w:val="1"/>
    <w:unhideWhenUsed/>
    <w:qFormat/>
    <w:uiPriority w:val="39"/>
  </w:style>
  <w:style w:type="paragraph" w:customStyle="1" w:styleId="224">
    <w:name w:val="目录 21"/>
    <w:basedOn w:val="1"/>
    <w:next w:val="1"/>
    <w:unhideWhenUsed/>
    <w:qFormat/>
    <w:uiPriority w:val="39"/>
    <w:pPr>
      <w:tabs>
        <w:tab w:val="right" w:leader="dot" w:pos="8296"/>
      </w:tabs>
      <w:ind w:left="420"/>
    </w:pPr>
  </w:style>
  <w:style w:type="paragraph" w:customStyle="1" w:styleId="225">
    <w:name w:val="普通(网站)1"/>
    <w:basedOn w:val="1"/>
    <w:unhideWhenUsed/>
    <w:qFormat/>
    <w:uiPriority w:val="99"/>
    <w:rPr>
      <w:rFonts w:ascii="Calibri" w:hAnsi="Calibri"/>
      <w:sz w:val="24"/>
    </w:rPr>
  </w:style>
  <w:style w:type="paragraph" w:customStyle="1" w:styleId="226">
    <w:name w:val="批注主题1"/>
    <w:basedOn w:val="205"/>
    <w:next w:val="205"/>
    <w:link w:val="227"/>
    <w:qFormat/>
    <w:uiPriority w:val="99"/>
    <w:rPr>
      <w:b/>
      <w:bCs/>
    </w:rPr>
  </w:style>
  <w:style w:type="character" w:customStyle="1" w:styleId="227">
    <w:name w:val="批注主题 Char"/>
    <w:link w:val="226"/>
    <w:qFormat/>
    <w:uiPriority w:val="99"/>
    <w:rPr>
      <w:rFonts w:ascii="Times New Roman" w:hAnsi="Times New Roman"/>
      <w:b/>
      <w:bCs/>
      <w:sz w:val="21"/>
      <w:szCs w:val="24"/>
    </w:rPr>
  </w:style>
  <w:style w:type="table" w:customStyle="1" w:styleId="228">
    <w:name w:val="网格型1"/>
    <w:basedOn w:val="20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9">
    <w:name w:val="超链接1"/>
    <w:unhideWhenUsed/>
    <w:qFormat/>
    <w:uiPriority w:val="99"/>
    <w:rPr>
      <w:color w:val="0000FF"/>
      <w:u w:val="single"/>
    </w:rPr>
  </w:style>
  <w:style w:type="character" w:customStyle="1" w:styleId="230">
    <w:name w:val="批注引用1"/>
    <w:qFormat/>
    <w:uiPriority w:val="0"/>
    <w:rPr>
      <w:sz w:val="21"/>
      <w:szCs w:val="21"/>
    </w:rPr>
  </w:style>
  <w:style w:type="character" w:customStyle="1" w:styleId="231">
    <w:name w:val="正文文本缩进 字符1"/>
    <w:qFormat/>
    <w:uiPriority w:val="0"/>
    <w:rPr>
      <w:rFonts w:ascii="仿宋_GB2312" w:hAnsi="Times New Roman" w:eastAsia="仿宋_GB2312" w:cs="Times New Roman"/>
      <w:sz w:val="32"/>
      <w:szCs w:val="20"/>
    </w:rPr>
  </w:style>
  <w:style w:type="character" w:customStyle="1" w:styleId="232">
    <w:name w:val="纯文本 字符1"/>
    <w:qFormat/>
    <w:uiPriority w:val="0"/>
    <w:rPr>
      <w:rFonts w:ascii="宋体" w:hAnsi="Courier New"/>
    </w:rPr>
  </w:style>
  <w:style w:type="character" w:customStyle="1" w:styleId="233">
    <w:name w:val="页脚 Char"/>
    <w:qFormat/>
    <w:uiPriority w:val="99"/>
    <w:rPr>
      <w:lang w:eastAsia="zh-CN"/>
    </w:rPr>
  </w:style>
  <w:style w:type="character" w:customStyle="1" w:styleId="234">
    <w:name w:val="apple-style-span"/>
    <w:qFormat/>
    <w:uiPriority w:val="0"/>
  </w:style>
  <w:style w:type="character" w:customStyle="1" w:styleId="235">
    <w:name w:val="textcontents"/>
    <w:qFormat/>
    <w:uiPriority w:val="0"/>
  </w:style>
  <w:style w:type="character" w:customStyle="1" w:styleId="236">
    <w:name w:val="批注文字 字符1"/>
    <w:qFormat/>
    <w:uiPriority w:val="0"/>
    <w:rPr>
      <w:sz w:val="21"/>
      <w:szCs w:val="24"/>
    </w:rPr>
  </w:style>
  <w:style w:type="character" w:customStyle="1" w:styleId="237">
    <w:name w:val="标题 1 字符"/>
    <w:qFormat/>
    <w:uiPriority w:val="9"/>
    <w:rPr>
      <w:b/>
      <w:bCs/>
      <w:sz w:val="44"/>
      <w:szCs w:val="44"/>
    </w:rPr>
  </w:style>
  <w:style w:type="character" w:customStyle="1" w:styleId="238">
    <w:name w:val="纯文本 字符2"/>
    <w:qFormat/>
    <w:uiPriority w:val="0"/>
    <w:rPr>
      <w:rFonts w:ascii="宋体" w:hAnsi="Courier New" w:eastAsia="宋体" w:cs="Courier New"/>
      <w:szCs w:val="21"/>
    </w:rPr>
  </w:style>
  <w:style w:type="paragraph" w:customStyle="1" w:styleId="239">
    <w:name w:val="默认段落字体 Para Char Char Char Char Char Char Char Char Char1 Char Char Char Char"/>
    <w:basedOn w:val="1"/>
    <w:qFormat/>
    <w:uiPriority w:val="0"/>
    <w:rPr>
      <w:rFonts w:ascii="Tahoma" w:hAnsi="Tahoma"/>
      <w:sz w:val="24"/>
      <w:szCs w:val="20"/>
    </w:rPr>
  </w:style>
  <w:style w:type="paragraph" w:customStyle="1" w:styleId="240">
    <w:name w:val="Table Paragraph"/>
    <w:basedOn w:val="1"/>
    <w:qFormat/>
    <w:uiPriority w:val="1"/>
    <w:pPr>
      <w:jc w:val="left"/>
    </w:pPr>
    <w:rPr>
      <w:rFonts w:ascii="Calibri" w:hAnsi="Calibri"/>
      <w:sz w:val="22"/>
      <w:szCs w:val="22"/>
      <w:lang w:eastAsia="en-US"/>
    </w:rPr>
  </w:style>
  <w:style w:type="paragraph" w:customStyle="1" w:styleId="241">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42">
    <w:name w:val="列出段落1"/>
    <w:basedOn w:val="1"/>
    <w:qFormat/>
    <w:uiPriority w:val="34"/>
    <w:pPr>
      <w:ind w:firstLine="420"/>
    </w:pPr>
  </w:style>
  <w:style w:type="character" w:customStyle="1" w:styleId="243">
    <w:name w:val="批注文字 字符"/>
    <w:qFormat/>
    <w:uiPriority w:val="0"/>
    <w:rPr>
      <w:rFonts w:ascii="Times New Roman" w:hAnsi="Times New Roman"/>
      <w:sz w:val="21"/>
      <w:szCs w:val="24"/>
    </w:rPr>
  </w:style>
  <w:style w:type="character" w:customStyle="1" w:styleId="244">
    <w:name w:val="纯文本 字符"/>
    <w:qFormat/>
    <w:uiPriority w:val="0"/>
    <w:rPr>
      <w:rFonts w:ascii="宋体" w:hAnsi="Courier New" w:eastAsia="宋体" w:cs="Courier New"/>
      <w:szCs w:val="21"/>
    </w:rPr>
  </w:style>
  <w:style w:type="character" w:customStyle="1" w:styleId="245">
    <w:name w:val="标题 2 字符"/>
    <w:qFormat/>
    <w:uiPriority w:val="9"/>
    <w:rPr>
      <w:rFonts w:ascii="Cambria" w:hAnsi="Cambria" w:eastAsia="宋体" w:cs="Times New Roman"/>
      <w:b/>
      <w:bCs/>
      <w:sz w:val="32"/>
      <w:szCs w:val="32"/>
    </w:rPr>
  </w:style>
  <w:style w:type="character" w:customStyle="1" w:styleId="246">
    <w:name w:val="正文文本 (26) + 间距 0 pt"/>
    <w:qFormat/>
    <w:uiPriority w:val="0"/>
    <w:rPr>
      <w:rFonts w:hint="eastAsia" w:ascii="宋体" w:hAnsi="宋体" w:eastAsia="宋体" w:cs="宋体"/>
      <w:color w:val="000000"/>
      <w:spacing w:val="0"/>
      <w:position w:val="0"/>
      <w:sz w:val="22"/>
      <w:szCs w:val="22"/>
      <w:u w:val="none"/>
      <w:lang w:val="zh-CN" w:eastAsia="zh-CN" w:bidi="zh-CN"/>
    </w:rPr>
  </w:style>
  <w:style w:type="character" w:customStyle="1" w:styleId="247">
    <w:name w:val="纯文本 Char1"/>
    <w:qFormat/>
    <w:uiPriority w:val="0"/>
    <w:rPr>
      <w:rFonts w:ascii="宋体" w:hAnsi="Courier New" w:eastAsia="宋体" w:cs="Courier New"/>
      <w:szCs w:val="21"/>
    </w:rPr>
  </w:style>
  <w:style w:type="character" w:customStyle="1" w:styleId="248">
    <w:name w:val="批注文字 Char1"/>
    <w:semiHidden/>
    <w:qFormat/>
    <w:uiPriority w:val="0"/>
    <w:rPr>
      <w:sz w:val="21"/>
      <w:szCs w:val="24"/>
    </w:rPr>
  </w:style>
  <w:style w:type="character" w:customStyle="1" w:styleId="249">
    <w:name w:val="正文文本 Char1"/>
    <w:semiHidden/>
    <w:qFormat/>
    <w:uiPriority w:val="0"/>
    <w:rPr>
      <w:sz w:val="21"/>
      <w:szCs w:val="24"/>
    </w:rPr>
  </w:style>
  <w:style w:type="character" w:customStyle="1" w:styleId="250">
    <w:name w:val="批注框文本 Char"/>
    <w:basedOn w:val="33"/>
    <w:link w:val="18"/>
    <w:semiHidden/>
    <w:qFormat/>
    <w:uiPriority w:val="99"/>
    <w:rPr>
      <w:sz w:val="18"/>
      <w:szCs w:val="18"/>
    </w:rPr>
  </w:style>
  <w:style w:type="character" w:customStyle="1" w:styleId="251">
    <w:name w:val="批注文字 Char2"/>
    <w:basedOn w:val="33"/>
    <w:link w:val="13"/>
    <w:semiHidden/>
    <w:qFormat/>
    <w:uiPriority w:val="99"/>
    <w:rPr>
      <w:sz w:val="21"/>
      <w:szCs w:val="24"/>
    </w:rPr>
  </w:style>
  <w:style w:type="character" w:customStyle="1" w:styleId="252">
    <w:name w:val="批注主题 Char1"/>
    <w:basedOn w:val="251"/>
    <w:link w:val="30"/>
    <w:semiHidden/>
    <w:qFormat/>
    <w:uiPriority w:val="99"/>
    <w:rPr>
      <w:b/>
      <w:bCs/>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Company>
  <Pages>71</Pages>
  <Words>5296</Words>
  <Characters>5978</Characters>
  <Lines>366</Lines>
  <Paragraphs>103</Paragraphs>
  <TotalTime>10</TotalTime>
  <ScaleCrop>false</ScaleCrop>
  <LinksUpToDate>false</LinksUpToDate>
  <CharactersWithSpaces>6168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2020-10-16T09:42:00Z</dcterms:created>
  <dc:creator>唐</dc:creator>
  <cp:lastModifiedBy>树叶绿了。</cp:lastModifiedBy>
  <dcterms:modified xsi:type="dcterms:W3CDTF">2026-04-21T06:13:33Z</dcterms:modified>
  <dc:title>竞争性谈判</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C8B4C93B8046434EB91A4AE64780392C_13</vt:lpwstr>
  </property>
  <property fmtid="{D5CDD505-2E9C-101B-9397-08002B2CF9AE}" pid="4" name="KSOTemplateDocerSaveRecord">
    <vt:lpwstr>eyJoZGlkIjoiNmJhMzI2MjhkY2Y1OWM4MTE3MDMyODc5ZDA1MWQwNjQiLCJ1c2VySWQiOiI1MjA4NjIwNjUifQ==</vt:lpwstr>
  </property>
</Properties>
</file>