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C579">
      <w:pPr>
        <w:spacing w:line="360" w:lineRule="auto"/>
        <w:jc w:val="center"/>
        <w:rPr>
          <w:rFonts w:ascii="宋体" w:hAnsi="宋体" w:cs="方正小标宋简体"/>
          <w:b/>
          <w:color w:val="auto"/>
          <w:sz w:val="52"/>
          <w:szCs w:val="52"/>
          <w:highlight w:val="none"/>
        </w:rPr>
      </w:pPr>
      <w:r>
        <w:rPr>
          <w:rFonts w:hint="eastAsia" w:ascii="宋体" w:hAnsi="宋体"/>
          <w:b/>
          <w:color w:val="auto"/>
          <w:sz w:val="52"/>
          <w:szCs w:val="52"/>
          <w:highlight w:val="none"/>
        </w:rPr>
        <w:t>云之龙咨询集团有限公司</w:t>
      </w:r>
    </w:p>
    <w:p w14:paraId="27405FC1">
      <w:pPr>
        <w:spacing w:line="360" w:lineRule="auto"/>
        <w:jc w:val="center"/>
        <w:rPr>
          <w:rFonts w:ascii="宋体" w:hAnsi="宋体" w:cs="方正小标宋简体"/>
          <w:b/>
          <w:color w:val="auto"/>
          <w:sz w:val="44"/>
          <w:szCs w:val="44"/>
          <w:highlight w:val="none"/>
        </w:rPr>
      </w:pPr>
    </w:p>
    <w:p w14:paraId="4AA67732">
      <w:pPr>
        <w:pStyle w:val="18"/>
        <w:rPr>
          <w:color w:val="auto"/>
          <w:highlight w:val="none"/>
        </w:rPr>
      </w:pPr>
    </w:p>
    <w:p w14:paraId="209DA67A">
      <w:pPr>
        <w:pStyle w:val="18"/>
        <w:rPr>
          <w:color w:val="auto"/>
          <w:highlight w:val="none"/>
        </w:rPr>
      </w:pPr>
    </w:p>
    <w:p w14:paraId="5664004F">
      <w:pPr>
        <w:pStyle w:val="18"/>
        <w:rPr>
          <w:color w:val="auto"/>
          <w:highlight w:val="none"/>
        </w:rPr>
      </w:pPr>
    </w:p>
    <w:p w14:paraId="537C4326">
      <w:pPr>
        <w:spacing w:line="360" w:lineRule="auto"/>
        <w:jc w:val="center"/>
        <w:rPr>
          <w:rFonts w:ascii="宋体" w:hAnsi="宋体"/>
          <w:color w:val="auto"/>
          <w:sz w:val="120"/>
          <w:szCs w:val="120"/>
          <w:highlight w:val="none"/>
        </w:rPr>
      </w:pPr>
      <w:r>
        <w:rPr>
          <w:rFonts w:hint="eastAsia" w:ascii="宋体" w:hAnsi="宋体"/>
          <w:color w:val="auto"/>
          <w:sz w:val="120"/>
          <w:szCs w:val="120"/>
          <w:highlight w:val="none"/>
        </w:rPr>
        <w:t>竞争性磋商文件</w:t>
      </w:r>
    </w:p>
    <w:p w14:paraId="22FC7890">
      <w:pPr>
        <w:spacing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4849AA36">
      <w:pPr>
        <w:spacing w:line="360" w:lineRule="auto"/>
        <w:jc w:val="center"/>
        <w:rPr>
          <w:rFonts w:ascii="宋体" w:hAnsi="宋体"/>
          <w:b/>
          <w:color w:val="auto"/>
          <w:sz w:val="30"/>
          <w:szCs w:val="72"/>
          <w:highlight w:val="none"/>
        </w:rPr>
      </w:pPr>
    </w:p>
    <w:p w14:paraId="0A5F4D2D">
      <w:pPr>
        <w:spacing w:line="360" w:lineRule="auto"/>
        <w:rPr>
          <w:rFonts w:ascii="宋体" w:hAnsi="宋体"/>
          <w:color w:val="auto"/>
          <w:sz w:val="30"/>
          <w:szCs w:val="72"/>
          <w:highlight w:val="none"/>
        </w:rPr>
      </w:pPr>
    </w:p>
    <w:p w14:paraId="37508B33">
      <w:pPr>
        <w:spacing w:line="360" w:lineRule="auto"/>
        <w:ind w:left="2403" w:leftChars="284" w:hanging="1807" w:hangingChars="600"/>
        <w:rPr>
          <w:rFonts w:hint="eastAsia" w:hAnsi="宋体"/>
          <w:b/>
          <w:bCs/>
          <w:color w:val="auto"/>
          <w:sz w:val="30"/>
          <w:szCs w:val="30"/>
          <w:highlight w:val="none"/>
          <w:lang w:val="en-US" w:eastAsia="zh-CN"/>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：防城港市医疗保障基金监管购买服务</w:t>
      </w:r>
      <w:r>
        <w:rPr>
          <w:rFonts w:hint="eastAsia" w:hAnsi="宋体"/>
          <w:b/>
          <w:bCs/>
          <w:color w:val="auto"/>
          <w:sz w:val="30"/>
          <w:szCs w:val="30"/>
          <w:highlight w:val="none"/>
          <w:lang w:val="en-US" w:eastAsia="zh-CN"/>
        </w:rPr>
        <w:t>项目</w:t>
      </w:r>
    </w:p>
    <w:p w14:paraId="36979737">
      <w:pPr>
        <w:spacing w:line="360" w:lineRule="auto"/>
        <w:ind w:firstLine="599" w:firstLineChars="199"/>
        <w:rPr>
          <w:rFonts w:hint="eastAsia" w:ascii="宋体" w:hAnsi="宋体"/>
          <w:b/>
          <w:bCs/>
          <w:color w:val="auto"/>
          <w:kern w:val="0"/>
          <w:sz w:val="30"/>
          <w:szCs w:val="30"/>
          <w:highlight w:val="none"/>
        </w:rPr>
      </w:pPr>
    </w:p>
    <w:p w14:paraId="47DF62FD">
      <w:pPr>
        <w:spacing w:line="360" w:lineRule="auto"/>
        <w:ind w:firstLine="599" w:firstLineChars="199"/>
        <w:rPr>
          <w:rFonts w:ascii="宋体" w:hAnsi="宋体" w:eastAsia="宋体"/>
          <w:b/>
          <w:bCs/>
          <w:color w:val="auto"/>
          <w:kern w:val="0"/>
          <w:sz w:val="30"/>
          <w:szCs w:val="30"/>
          <w:highlight w:val="none"/>
          <w:lang w:val="en-US" w:eastAsia="zh-CN"/>
        </w:rPr>
      </w:pPr>
      <w:r>
        <w:rPr>
          <w:rFonts w:hint="eastAsia" w:ascii="宋体" w:hAnsi="宋体"/>
          <w:b/>
          <w:bCs/>
          <w:color w:val="auto"/>
          <w:kern w:val="0"/>
          <w:sz w:val="30"/>
          <w:szCs w:val="30"/>
          <w:highlight w:val="none"/>
        </w:rPr>
        <w:t>项目编号：FCZC2026-C3-990036-YZLZ</w:t>
      </w:r>
    </w:p>
    <w:p w14:paraId="13D3CDA7">
      <w:pPr>
        <w:spacing w:line="360" w:lineRule="auto"/>
        <w:ind w:firstLine="1205" w:firstLineChars="400"/>
        <w:jc w:val="center"/>
        <w:rPr>
          <w:rFonts w:ascii="宋体" w:hAnsi="宋体"/>
          <w:b/>
          <w:bCs/>
          <w:color w:val="auto"/>
          <w:kern w:val="0"/>
          <w:sz w:val="30"/>
          <w:szCs w:val="30"/>
          <w:highlight w:val="none"/>
        </w:rPr>
      </w:pPr>
    </w:p>
    <w:p w14:paraId="20328954">
      <w:pPr>
        <w:pStyle w:val="36"/>
        <w:spacing w:line="360" w:lineRule="auto"/>
        <w:ind w:firstLine="599" w:firstLineChars="199"/>
        <w:rPr>
          <w:rFonts w:hAnsi="宋体"/>
          <w:b/>
          <w:bCs/>
          <w:color w:val="auto"/>
          <w:sz w:val="30"/>
          <w:szCs w:val="30"/>
          <w:highlight w:val="none"/>
        </w:rPr>
      </w:pPr>
      <w:r>
        <w:rPr>
          <w:rFonts w:hint="eastAsia" w:hAnsi="宋体"/>
          <w:b/>
          <w:bCs/>
          <w:color w:val="auto"/>
          <w:sz w:val="30"/>
          <w:szCs w:val="30"/>
          <w:highlight w:val="none"/>
        </w:rPr>
        <w:t>采 购 人：防城港市医疗保障局 </w:t>
      </w:r>
    </w:p>
    <w:p w14:paraId="5C051822">
      <w:pPr>
        <w:pStyle w:val="36"/>
        <w:spacing w:line="360" w:lineRule="auto"/>
        <w:ind w:firstLine="904" w:firstLineChars="300"/>
        <w:jc w:val="center"/>
        <w:rPr>
          <w:rFonts w:hAnsi="宋体"/>
          <w:b/>
          <w:bCs/>
          <w:color w:val="auto"/>
          <w:sz w:val="30"/>
          <w:szCs w:val="30"/>
          <w:highlight w:val="none"/>
        </w:rPr>
      </w:pPr>
    </w:p>
    <w:p w14:paraId="0EBC94CC">
      <w:pPr>
        <w:pStyle w:val="36"/>
        <w:spacing w:line="360" w:lineRule="auto"/>
        <w:ind w:firstLine="599" w:firstLineChars="199"/>
        <w:rPr>
          <w:rFonts w:hAnsi="宋体"/>
          <w:b/>
          <w:bCs/>
          <w:color w:val="auto"/>
          <w:sz w:val="30"/>
          <w:szCs w:val="30"/>
          <w:highlight w:val="none"/>
        </w:rPr>
      </w:pPr>
      <w:r>
        <w:rPr>
          <w:rFonts w:hint="eastAsia" w:hAnsi="宋体"/>
          <w:b/>
          <w:bCs/>
          <w:color w:val="auto"/>
          <w:sz w:val="30"/>
          <w:szCs w:val="30"/>
          <w:highlight w:val="none"/>
        </w:rPr>
        <w:t>采购代理机构：云之龙咨询集团有限公司</w:t>
      </w:r>
    </w:p>
    <w:p w14:paraId="27CE4AD9">
      <w:pPr>
        <w:pStyle w:val="36"/>
        <w:spacing w:line="360" w:lineRule="auto"/>
        <w:ind w:firstLine="1125" w:firstLineChars="393"/>
        <w:rPr>
          <w:rFonts w:hAnsi="宋体"/>
          <w:b/>
          <w:bCs/>
          <w:color w:val="auto"/>
          <w:w w:val="95"/>
          <w:sz w:val="30"/>
          <w:szCs w:val="30"/>
          <w:highlight w:val="none"/>
        </w:rPr>
      </w:pPr>
    </w:p>
    <w:p w14:paraId="595DD331">
      <w:pPr>
        <w:pStyle w:val="36"/>
        <w:spacing w:line="360" w:lineRule="auto"/>
        <w:jc w:val="center"/>
        <w:rPr>
          <w:rFonts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u w:val="single"/>
          <w:lang w:val="en-US" w:eastAsia="zh-CN"/>
        </w:rPr>
        <w:t>4</w:t>
      </w:r>
      <w:r>
        <w:rPr>
          <w:rFonts w:hint="eastAsia" w:hAnsi="宋体"/>
          <w:b/>
          <w:bCs/>
          <w:color w:val="auto"/>
          <w:w w:val="95"/>
          <w:sz w:val="30"/>
          <w:szCs w:val="30"/>
          <w:highlight w:val="none"/>
        </w:rPr>
        <w:t>月</w:t>
      </w:r>
    </w:p>
    <w:p w14:paraId="74D5F4D1">
      <w:pPr>
        <w:spacing w:line="360" w:lineRule="auto"/>
        <w:jc w:val="center"/>
        <w:rPr>
          <w:rFonts w:ascii="宋体" w:hAnsi="宋体" w:cs="宋体"/>
          <w:b/>
          <w:bCs/>
          <w:color w:val="auto"/>
          <w:kern w:val="0"/>
          <w:sz w:val="32"/>
          <w:szCs w:val="32"/>
          <w:highlight w:val="none"/>
        </w:rPr>
      </w:pPr>
    </w:p>
    <w:p w14:paraId="1FAF778C">
      <w:pPr>
        <w:spacing w:line="360" w:lineRule="auto"/>
        <w:jc w:val="center"/>
        <w:rPr>
          <w:rFonts w:ascii="宋体" w:hAnsi="宋体"/>
          <w:b/>
          <w:color w:val="auto"/>
          <w:sz w:val="44"/>
          <w:szCs w:val="44"/>
          <w:highlight w:val="none"/>
        </w:rPr>
      </w:pPr>
      <w:r>
        <w:rPr>
          <w:rFonts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7D50D145">
      <w:pPr>
        <w:spacing w:line="400" w:lineRule="exact"/>
        <w:jc w:val="center"/>
        <w:rPr>
          <w:rFonts w:ascii="宋体" w:hAnsi="宋体"/>
          <w:b/>
          <w:color w:val="auto"/>
          <w:sz w:val="44"/>
          <w:szCs w:val="44"/>
          <w:highlight w:val="none"/>
        </w:rPr>
      </w:pPr>
    </w:p>
    <w:p w14:paraId="5CFCB3F2">
      <w:pPr>
        <w:pStyle w:val="45"/>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6112DB9E">
      <w:pPr>
        <w:pStyle w:val="45"/>
        <w:tabs>
          <w:tab w:val="right" w:leader="dot" w:pos="8869"/>
        </w:tabs>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0" w:name="_Hlt82161237"/>
      <w:r>
        <w:rPr>
          <w:rFonts w:hint="eastAsia" w:ascii="宋体" w:hAnsi="宋体"/>
          <w:b/>
          <w:color w:val="auto"/>
          <w:sz w:val="24"/>
          <w:highlight w:val="none"/>
        </w:rPr>
        <w:t>商</w:t>
      </w:r>
      <w:bookmarkEnd w:id="0"/>
      <w:r>
        <w:rPr>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578A7692">
      <w:pPr>
        <w:pStyle w:val="45"/>
        <w:tabs>
          <w:tab w:val="right" w:leader="dot" w:pos="8869"/>
        </w:tabs>
        <w:spacing w:line="500" w:lineRule="atLeast"/>
        <w:rPr>
          <w:rFonts w:hint="eastAsia" w:ascii="宋体" w:hAnsi="宋体" w:eastAsia="宋体"/>
          <w:b/>
          <w:color w:val="auto"/>
          <w:sz w:val="24"/>
          <w:highlight w:val="none"/>
          <w:lang w:val="en-US" w:eastAsia="zh-CN"/>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1" w:name="_Hlt82166940"/>
      <w:r>
        <w:rPr>
          <w:rFonts w:hint="eastAsia" w:ascii="宋体" w:hAnsi="宋体"/>
          <w:b/>
          <w:color w:val="auto"/>
          <w:sz w:val="24"/>
          <w:highlight w:val="none"/>
        </w:rPr>
        <w:t>求</w:t>
      </w:r>
      <w:bookmarkEnd w:id="1"/>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1</w:t>
      </w:r>
    </w:p>
    <w:p w14:paraId="32477085">
      <w:pPr>
        <w:pStyle w:val="45"/>
        <w:tabs>
          <w:tab w:val="right" w:leader="dot" w:pos="8869"/>
        </w:tabs>
        <w:spacing w:line="500" w:lineRule="atLeast"/>
        <w:rPr>
          <w:rFonts w:hint="eastAsia" w:ascii="宋体" w:hAnsi="宋体" w:eastAsia="宋体"/>
          <w:b/>
          <w:color w:val="auto"/>
          <w:sz w:val="24"/>
          <w:highlight w:val="none"/>
          <w:lang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2" w:name="_Hlt82166000"/>
      <w:r>
        <w:rPr>
          <w:rFonts w:hint="eastAsia" w:ascii="宋体" w:hAnsi="宋体"/>
          <w:b/>
          <w:color w:val="auto"/>
          <w:sz w:val="24"/>
          <w:highlight w:val="none"/>
        </w:rPr>
        <w:t>评</w:t>
      </w:r>
      <w:bookmarkEnd w:id="2"/>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rPr>
        <w:fldChar w:fldCharType="end"/>
      </w:r>
      <w:r>
        <w:rPr>
          <w:rFonts w:hint="eastAsia" w:ascii="宋体" w:hAnsi="宋体"/>
          <w:b/>
          <w:color w:val="auto"/>
          <w:sz w:val="24"/>
          <w:highlight w:val="none"/>
          <w:lang w:val="en-US" w:eastAsia="zh-CN"/>
        </w:rPr>
        <w:t>9</w:t>
      </w:r>
    </w:p>
    <w:p w14:paraId="6CD00689">
      <w:pPr>
        <w:pStyle w:val="45"/>
        <w:tabs>
          <w:tab w:val="right" w:leader="dot" w:pos="8869"/>
        </w:tabs>
        <w:spacing w:line="500" w:lineRule="atLeast"/>
        <w:rPr>
          <w:rFonts w:hint="default" w:ascii="宋体" w:hAnsi="宋体" w:eastAsia="宋体"/>
          <w:b/>
          <w:color w:val="auto"/>
          <w:sz w:val="24"/>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39</w:t>
      </w:r>
    </w:p>
    <w:p w14:paraId="1011257D">
      <w:pPr>
        <w:pStyle w:val="45"/>
        <w:tabs>
          <w:tab w:val="right" w:leader="dot" w:pos="8869"/>
        </w:tabs>
        <w:spacing w:line="500" w:lineRule="atLeast"/>
        <w:rPr>
          <w:rFonts w:hint="default" w:ascii="宋体" w:hAnsi="宋体" w:eastAsia="宋体"/>
          <w:color w:val="auto"/>
          <w:sz w:val="24"/>
          <w:highlight w:val="none"/>
          <w:lang w:val="en-US"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rPr>
        <w:fldChar w:fldCharType="end"/>
      </w:r>
      <w:r>
        <w:rPr>
          <w:rFonts w:hint="eastAsia" w:ascii="宋体" w:hAnsi="宋体"/>
          <w:b/>
          <w:color w:val="auto"/>
          <w:sz w:val="24"/>
          <w:highlight w:val="none"/>
          <w:lang w:val="en-US" w:eastAsia="zh-CN"/>
        </w:rPr>
        <w:t>66</w:t>
      </w:r>
    </w:p>
    <w:p w14:paraId="713B5935">
      <w:pPr>
        <w:pStyle w:val="46"/>
        <w:tabs>
          <w:tab w:val="right" w:leader="dot" w:pos="8931"/>
          <w:tab w:val="clear" w:pos="8296"/>
        </w:tabs>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2E6FA3F5">
      <w:pPr>
        <w:spacing w:line="400" w:lineRule="exact"/>
        <w:jc w:val="left"/>
        <w:rPr>
          <w:rFonts w:ascii="宋体" w:hAnsi="宋体"/>
          <w:b/>
          <w:color w:val="auto"/>
          <w:sz w:val="32"/>
          <w:szCs w:val="32"/>
          <w:highlight w:val="none"/>
        </w:rPr>
      </w:pPr>
    </w:p>
    <w:p w14:paraId="15D45AFE">
      <w:pPr>
        <w:spacing w:line="400" w:lineRule="exact"/>
        <w:jc w:val="center"/>
        <w:rPr>
          <w:rFonts w:ascii="宋体" w:hAnsi="宋体"/>
          <w:b/>
          <w:color w:val="auto"/>
          <w:sz w:val="32"/>
          <w:szCs w:val="32"/>
          <w:highlight w:val="none"/>
        </w:rPr>
      </w:pPr>
    </w:p>
    <w:p w14:paraId="2537FC84">
      <w:pPr>
        <w:spacing w:line="400" w:lineRule="exact"/>
        <w:jc w:val="center"/>
        <w:rPr>
          <w:rFonts w:ascii="宋体" w:hAnsi="宋体"/>
          <w:b/>
          <w:color w:val="auto"/>
          <w:sz w:val="32"/>
          <w:szCs w:val="32"/>
          <w:highlight w:val="none"/>
        </w:rPr>
      </w:pPr>
    </w:p>
    <w:p w14:paraId="41C86FCB">
      <w:pPr>
        <w:spacing w:line="400" w:lineRule="exact"/>
        <w:jc w:val="center"/>
        <w:rPr>
          <w:rFonts w:ascii="宋体" w:hAnsi="宋体"/>
          <w:b/>
          <w:color w:val="auto"/>
          <w:sz w:val="32"/>
          <w:szCs w:val="32"/>
          <w:highlight w:val="none"/>
        </w:rPr>
      </w:pPr>
    </w:p>
    <w:p w14:paraId="395BE7A1">
      <w:pPr>
        <w:spacing w:line="400" w:lineRule="exact"/>
        <w:jc w:val="center"/>
        <w:rPr>
          <w:rFonts w:ascii="宋体" w:hAnsi="宋体"/>
          <w:b/>
          <w:color w:val="auto"/>
          <w:sz w:val="32"/>
          <w:szCs w:val="32"/>
          <w:highlight w:val="none"/>
        </w:rPr>
      </w:pPr>
    </w:p>
    <w:p w14:paraId="487A604D">
      <w:pPr>
        <w:spacing w:line="400" w:lineRule="exact"/>
        <w:rPr>
          <w:rFonts w:ascii="宋体" w:hAnsi="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6FBE8E5E">
      <w:pPr>
        <w:pStyle w:val="14"/>
        <w:spacing w:line="360" w:lineRule="auto"/>
        <w:jc w:val="center"/>
        <w:rPr>
          <w:color w:val="auto"/>
          <w:highlight w:val="none"/>
        </w:rPr>
      </w:pPr>
      <w:bookmarkStart w:id="3" w:name="_Toc74323456"/>
      <w:r>
        <w:rPr>
          <w:rFonts w:hint="eastAsia"/>
          <w:color w:val="auto"/>
          <w:highlight w:val="none"/>
        </w:rPr>
        <w:t>第一章 竞争性磋商公告</w:t>
      </w:r>
      <w:bookmarkEnd w:id="3"/>
    </w:p>
    <w:p w14:paraId="4582D349">
      <w:pPr>
        <w:jc w:val="cente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rPr>
        <w:t>防城港市医疗保障基金监管购买服务</w:t>
      </w:r>
      <w:r>
        <w:rPr>
          <w:rFonts w:hint="eastAsia" w:ascii="宋体" w:hAnsi="宋体"/>
          <w:b/>
          <w:bCs/>
          <w:color w:val="auto"/>
          <w:sz w:val="32"/>
          <w:szCs w:val="32"/>
          <w:highlight w:val="none"/>
          <w:lang w:val="en-US" w:eastAsia="zh-CN"/>
        </w:rPr>
        <w:t>项目</w:t>
      </w:r>
    </w:p>
    <w:p w14:paraId="05C52C09">
      <w:pPr>
        <w:jc w:val="center"/>
        <w:rPr>
          <w:rFonts w:hint="eastAsia" w:ascii="宋体" w:hAnsi="宋体" w:eastAsia="宋体"/>
          <w:b/>
          <w:bCs/>
          <w:color w:val="auto"/>
          <w:sz w:val="32"/>
          <w:szCs w:val="32"/>
          <w:highlight w:val="none"/>
          <w:lang w:eastAsia="zh-CN"/>
        </w:rPr>
      </w:pPr>
      <w:r>
        <w:rPr>
          <w:rFonts w:hint="eastAsia" w:ascii="宋体" w:hAnsi="宋体"/>
          <w:b/>
          <w:bCs/>
          <w:color w:val="auto"/>
          <w:sz w:val="32"/>
          <w:szCs w:val="32"/>
          <w:highlight w:val="none"/>
        </w:rPr>
        <w:t>竞争性磋商公告</w:t>
      </w:r>
      <w:r>
        <w:rPr>
          <w:rFonts w:hint="eastAsia" w:ascii="宋体" w:hAnsi="宋体"/>
          <w:b/>
          <w:bCs/>
          <w:color w:val="auto"/>
          <w:sz w:val="32"/>
          <w:szCs w:val="32"/>
          <w:highlight w:val="none"/>
          <w:lang w:eastAsia="zh-CN"/>
        </w:rPr>
        <w:t>（远程异地评标）</w:t>
      </w:r>
    </w:p>
    <w:p w14:paraId="21942E1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0545063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防城港市医疗保障基金监管购买服务</w:t>
      </w:r>
      <w:r>
        <w:rPr>
          <w:rFonts w:hint="eastAsia" w:ascii="宋体" w:hAnsi="宋体"/>
          <w:color w:val="auto"/>
          <w:szCs w:val="21"/>
          <w:highlight w:val="none"/>
          <w:lang w:val="en-US" w:eastAsia="zh-CN"/>
        </w:rPr>
        <w:t>项目</w:t>
      </w:r>
      <w:r>
        <w:rPr>
          <w:rFonts w:hint="eastAsia" w:ascii="宋体" w:hAnsi="宋体"/>
          <w:color w:val="auto"/>
          <w:szCs w:val="21"/>
          <w:highlight w:val="none"/>
        </w:rPr>
        <w:t>的潜在供应商应在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6C9E7080">
      <w:pPr>
        <w:ind w:firstLine="354" w:firstLineChars="147"/>
        <w:rPr>
          <w:rFonts w:ascii="黑体" w:hAnsi="黑体" w:eastAsia="黑体"/>
          <w:b/>
          <w:color w:val="auto"/>
          <w:sz w:val="24"/>
          <w:highlight w:val="none"/>
        </w:rPr>
      </w:pPr>
      <w:bookmarkStart w:id="5" w:name="_Toc44229878"/>
      <w:bookmarkStart w:id="6" w:name="_Toc28359012"/>
      <w:bookmarkStart w:id="7" w:name="_Toc28359089"/>
      <w:bookmarkStart w:id="8" w:name="_Toc35393798"/>
      <w:bookmarkStart w:id="9" w:name="_Toc71365905"/>
      <w:bookmarkStart w:id="10" w:name="_Toc35393629"/>
      <w:r>
        <w:rPr>
          <w:rFonts w:hint="eastAsia" w:ascii="黑体" w:hAnsi="黑体" w:eastAsia="黑体"/>
          <w:b/>
          <w:color w:val="auto"/>
          <w:sz w:val="24"/>
          <w:highlight w:val="none"/>
        </w:rPr>
        <w:t>一、项目基本情况</w:t>
      </w:r>
      <w:bookmarkEnd w:id="4"/>
      <w:bookmarkEnd w:id="5"/>
      <w:bookmarkEnd w:id="6"/>
      <w:bookmarkEnd w:id="7"/>
      <w:bookmarkEnd w:id="8"/>
      <w:bookmarkEnd w:id="9"/>
    </w:p>
    <w:p w14:paraId="06CF56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项目编号：FCZC2026-C3-990036-YZLZ</w:t>
      </w:r>
    </w:p>
    <w:p w14:paraId="430FA1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项目名称：防城港市医疗保障基金监管购买服务</w:t>
      </w:r>
      <w:r>
        <w:rPr>
          <w:rFonts w:hint="eastAsia" w:ascii="宋体" w:hAnsi="宋体"/>
          <w:color w:val="auto"/>
          <w:szCs w:val="21"/>
          <w:highlight w:val="none"/>
          <w:lang w:val="en-US" w:eastAsia="zh-CN"/>
        </w:rPr>
        <w:t>项目</w:t>
      </w:r>
    </w:p>
    <w:p w14:paraId="52A5AA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2FC75C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预算金额：人民币</w:t>
      </w:r>
      <w:r>
        <w:rPr>
          <w:rFonts w:hint="eastAsia" w:ascii="宋体" w:hAnsi="宋体"/>
          <w:color w:val="auto"/>
          <w:szCs w:val="21"/>
          <w:highlight w:val="none"/>
          <w:lang w:val="en-US" w:eastAsia="zh-CN"/>
        </w:rPr>
        <w:t>陆拾万元整</w:t>
      </w:r>
      <w:r>
        <w:rPr>
          <w:rFonts w:hint="eastAsia" w:ascii="宋体" w:hAnsi="宋体"/>
          <w:color w:val="auto"/>
          <w:szCs w:val="21"/>
          <w:highlight w:val="none"/>
        </w:rPr>
        <w:t>（¥</w:t>
      </w:r>
      <w:r>
        <w:rPr>
          <w:rFonts w:hint="eastAsia" w:ascii="宋体" w:hAnsi="宋体"/>
          <w:color w:val="auto"/>
          <w:szCs w:val="21"/>
          <w:highlight w:val="none"/>
          <w:lang w:val="en-US" w:eastAsia="zh-CN"/>
        </w:rPr>
        <w:t>600,000.00</w:t>
      </w:r>
      <w:r>
        <w:rPr>
          <w:rFonts w:hint="eastAsia" w:ascii="宋体" w:hAnsi="宋体"/>
          <w:color w:val="auto"/>
          <w:szCs w:val="21"/>
          <w:highlight w:val="none"/>
        </w:rPr>
        <w:t>）</w:t>
      </w:r>
    </w:p>
    <w:p w14:paraId="71A1BF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最高限价：同预算</w:t>
      </w:r>
    </w:p>
    <w:p w14:paraId="6720F051">
      <w:pPr>
        <w:pStyle w:val="18"/>
        <w:spacing w:line="360" w:lineRule="auto"/>
        <w:rPr>
          <w:rFonts w:hint="eastAsia" w:ascii="宋体" w:hAnsi="宋体"/>
          <w:color w:val="auto"/>
          <w:szCs w:val="21"/>
          <w:highlight w:val="none"/>
        </w:rPr>
      </w:pPr>
      <w:r>
        <w:rPr>
          <w:rFonts w:hint="eastAsia" w:ascii="宋体" w:hAnsi="宋体"/>
          <w:color w:val="auto"/>
          <w:szCs w:val="21"/>
          <w:highlight w:val="none"/>
        </w:rPr>
        <w:t>采购需求：防城港市医疗保障基金监管购买服务1项，详见</w:t>
      </w:r>
      <w:r>
        <w:rPr>
          <w:rFonts w:hint="eastAsia" w:ascii="宋体" w:hAnsi="宋体"/>
          <w:color w:val="auto"/>
          <w:szCs w:val="21"/>
          <w:highlight w:val="none"/>
          <w:lang w:eastAsia="zh-CN"/>
        </w:rPr>
        <w:t>附件</w:t>
      </w:r>
      <w:r>
        <w:rPr>
          <w:rFonts w:hint="eastAsia" w:ascii="宋体" w:hAnsi="宋体"/>
          <w:color w:val="auto"/>
          <w:szCs w:val="21"/>
          <w:highlight w:val="none"/>
        </w:rPr>
        <w:t>采购需求。</w:t>
      </w:r>
    </w:p>
    <w:p w14:paraId="44EA06EE">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自合同签订之日起6个月内完成项目，特殊情况需延迟的必须经采购人的同意。</w:t>
      </w:r>
    </w:p>
    <w:p w14:paraId="4229B5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2A6E765F">
      <w:pPr>
        <w:ind w:firstLine="354" w:firstLineChars="147"/>
        <w:rPr>
          <w:rFonts w:ascii="黑体" w:hAnsi="黑体" w:eastAsia="黑体"/>
          <w:b/>
          <w:color w:val="auto"/>
          <w:sz w:val="24"/>
          <w:highlight w:val="none"/>
        </w:rPr>
      </w:pPr>
      <w:bookmarkStart w:id="11" w:name="_Toc28359013"/>
      <w:bookmarkStart w:id="12" w:name="_Toc28359090"/>
      <w:bookmarkStart w:id="13" w:name="_Toc35393630"/>
      <w:bookmarkStart w:id="14" w:name="_Toc35393799"/>
      <w:bookmarkStart w:id="15" w:name="_Toc71365906"/>
      <w:bookmarkStart w:id="16" w:name="_Toc44229879"/>
      <w:r>
        <w:rPr>
          <w:rFonts w:hint="eastAsia" w:ascii="黑体" w:hAnsi="黑体" w:eastAsia="黑体"/>
          <w:b/>
          <w:color w:val="auto"/>
          <w:sz w:val="24"/>
          <w:highlight w:val="none"/>
        </w:rPr>
        <w:t>二、申请人的资格条件：</w:t>
      </w:r>
      <w:bookmarkEnd w:id="10"/>
      <w:bookmarkEnd w:id="11"/>
      <w:bookmarkEnd w:id="12"/>
      <w:bookmarkEnd w:id="13"/>
      <w:bookmarkEnd w:id="14"/>
      <w:bookmarkEnd w:id="15"/>
    </w:p>
    <w:p w14:paraId="6AC0A092">
      <w:pPr>
        <w:spacing w:line="360" w:lineRule="auto"/>
        <w:ind w:firstLine="420" w:firstLineChars="200"/>
        <w:rPr>
          <w:rFonts w:ascii="宋体" w:hAnsi="宋体"/>
          <w:color w:val="auto"/>
          <w:szCs w:val="21"/>
          <w:highlight w:val="none"/>
        </w:rPr>
      </w:pPr>
      <w:bookmarkStart w:id="17" w:name="_Toc35393631"/>
      <w:bookmarkStart w:id="18" w:name="_Toc28359014"/>
      <w:bookmarkStart w:id="19" w:name="_Toc44229880"/>
      <w:bookmarkStart w:id="20" w:name="_Toc28359091"/>
      <w:bookmarkStart w:id="21" w:name="_Toc35393800"/>
      <w:r>
        <w:rPr>
          <w:rFonts w:hint="eastAsia" w:ascii="宋体" w:hAnsi="宋体"/>
          <w:color w:val="auto"/>
          <w:szCs w:val="21"/>
          <w:highlight w:val="none"/>
        </w:rPr>
        <w:t>1.满足《中华人民共和国政府采购法》第二十二条规定；</w:t>
      </w:r>
    </w:p>
    <w:p w14:paraId="71F6C071">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52EBC7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无</w:t>
      </w:r>
      <w:r>
        <w:rPr>
          <w:rFonts w:hint="eastAsia" w:ascii="宋体" w:hAnsi="宋体"/>
          <w:color w:val="auto"/>
          <w:szCs w:val="21"/>
          <w:highlight w:val="none"/>
        </w:rPr>
        <w:t>。</w:t>
      </w:r>
    </w:p>
    <w:p w14:paraId="3DFD0F86">
      <w:pPr>
        <w:ind w:firstLine="354" w:firstLineChars="147"/>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6"/>
      <w:bookmarkEnd w:id="17"/>
      <w:bookmarkEnd w:id="18"/>
      <w:bookmarkEnd w:id="19"/>
      <w:bookmarkEnd w:id="20"/>
      <w:bookmarkEnd w:id="21"/>
    </w:p>
    <w:p w14:paraId="53F19700">
      <w:pPr>
        <w:spacing w:line="360" w:lineRule="auto"/>
        <w:ind w:firstLine="420" w:firstLineChars="200"/>
        <w:rPr>
          <w:rFonts w:ascii="宋体" w:hAnsi="宋体" w:cs="宋体"/>
          <w:bCs/>
          <w:color w:val="auto"/>
          <w:kern w:val="0"/>
          <w:szCs w:val="21"/>
          <w:highlight w:val="none"/>
        </w:rPr>
      </w:pPr>
      <w:bookmarkStart w:id="23" w:name="_Toc35393801"/>
      <w:bookmarkStart w:id="24" w:name="_Toc35393632"/>
      <w:bookmarkStart w:id="25" w:name="_Toc28359092"/>
      <w:bookmarkStart w:id="26" w:name="_Toc44229881"/>
      <w:bookmarkStart w:id="27" w:name="_Toc28359015"/>
      <w:r>
        <w:rPr>
          <w:rFonts w:hint="eastAsia" w:ascii="宋体" w:hAnsi="宋体" w:cs="宋体"/>
          <w:bCs/>
          <w:color w:val="auto"/>
          <w:kern w:val="0"/>
          <w:szCs w:val="21"/>
          <w:highlight w:val="none"/>
        </w:rPr>
        <w:t>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lang w:val="en-US" w:eastAsia="zh-CN"/>
        </w:rPr>
        <w:t>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65814E0C">
      <w:pPr>
        <w:spacing w:line="360" w:lineRule="auto"/>
        <w:ind w:firstLine="420" w:firstLineChars="20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B239F43">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2D9FC4E7">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32C3A9B5">
      <w:pPr>
        <w:ind w:firstLine="354" w:firstLineChars="147"/>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2"/>
      <w:bookmarkEnd w:id="23"/>
      <w:bookmarkEnd w:id="24"/>
      <w:bookmarkEnd w:id="25"/>
      <w:bookmarkEnd w:id="26"/>
      <w:bookmarkEnd w:id="27"/>
    </w:p>
    <w:p w14:paraId="4685CDB2">
      <w:pPr>
        <w:spacing w:line="360" w:lineRule="auto"/>
        <w:ind w:firstLine="420" w:firstLineChars="200"/>
        <w:rPr>
          <w:rFonts w:ascii="宋体" w:hAnsi="宋体" w:cs="宋体"/>
          <w:color w:val="auto"/>
          <w:szCs w:val="21"/>
          <w:highlight w:val="none"/>
        </w:rPr>
      </w:pPr>
      <w:bookmarkStart w:id="29" w:name="_Toc35393633"/>
      <w:bookmarkStart w:id="30" w:name="_Toc35393802"/>
      <w:bookmarkStart w:id="31" w:name="_Toc28359016"/>
      <w:bookmarkStart w:id="32" w:name="_Toc28359093"/>
      <w:bookmarkStart w:id="33" w:name="_Toc44229882"/>
      <w:r>
        <w:rPr>
          <w:rFonts w:hint="eastAsia" w:ascii="宋体" w:hAnsi="宋体"/>
          <w:color w:val="auto"/>
          <w:szCs w:val="21"/>
          <w:highlight w:val="none"/>
        </w:rPr>
        <w:t>截止时间：</w:t>
      </w:r>
      <w:r>
        <w:rPr>
          <w:rFonts w:hint="eastAsia"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w:t>
      </w:r>
    </w:p>
    <w:p w14:paraId="2085FB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67E1B3F0">
      <w:pPr>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8"/>
      <w:bookmarkEnd w:id="29"/>
      <w:bookmarkEnd w:id="30"/>
      <w:bookmarkEnd w:id="31"/>
      <w:bookmarkEnd w:id="32"/>
      <w:bookmarkEnd w:id="33"/>
    </w:p>
    <w:p w14:paraId="18062A39">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24</w:t>
      </w:r>
      <w:r>
        <w:rPr>
          <w:rFonts w:hint="eastAsia" w:ascii="宋体" w:hAnsi="宋体"/>
          <w:bCs/>
          <w:color w:val="auto"/>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时30分（北京时间）后</w:t>
      </w:r>
    </w:p>
    <w:p w14:paraId="58D5D4E5">
      <w:pPr>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广西政府采购云平台政府采购开评标室</w:t>
      </w:r>
      <w:r>
        <w:rPr>
          <w:rFonts w:hint="eastAsia"/>
          <w:color w:val="auto"/>
          <w:szCs w:val="21"/>
          <w:highlight w:val="none"/>
          <w:u w:val="single"/>
          <w:shd w:val="clear" w:color="auto" w:fill="FFFFFF"/>
          <w:lang w:val="en-US" w:eastAsia="zh-CN"/>
        </w:rPr>
        <w:t>3</w:t>
      </w:r>
    </w:p>
    <w:p w14:paraId="2C29901C">
      <w:pPr>
        <w:ind w:firstLine="354" w:firstLineChars="147"/>
        <w:rPr>
          <w:rFonts w:ascii="黑体" w:hAnsi="黑体" w:eastAsia="黑体"/>
          <w:b/>
          <w:color w:val="auto"/>
          <w:sz w:val="24"/>
          <w:highlight w:val="none"/>
        </w:rPr>
      </w:pPr>
      <w:bookmarkStart w:id="35" w:name="_Toc28359017"/>
      <w:bookmarkStart w:id="36" w:name="_Toc35393803"/>
      <w:bookmarkStart w:id="37" w:name="_Toc28359094"/>
      <w:bookmarkStart w:id="38" w:name="_Toc44229883"/>
      <w:bookmarkStart w:id="39" w:name="_Toc35393634"/>
      <w:bookmarkStart w:id="40" w:name="_Toc71365910"/>
      <w:r>
        <w:rPr>
          <w:rFonts w:hint="eastAsia" w:ascii="黑体" w:hAnsi="黑体" w:eastAsia="黑体"/>
          <w:b/>
          <w:color w:val="auto"/>
          <w:sz w:val="24"/>
          <w:highlight w:val="none"/>
        </w:rPr>
        <w:t>六、公告期限</w:t>
      </w:r>
      <w:bookmarkEnd w:id="34"/>
      <w:bookmarkEnd w:id="35"/>
      <w:bookmarkEnd w:id="36"/>
      <w:bookmarkEnd w:id="37"/>
      <w:bookmarkEnd w:id="38"/>
      <w:bookmarkEnd w:id="39"/>
    </w:p>
    <w:p w14:paraId="457D0F3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E522B28">
      <w:pPr>
        <w:ind w:firstLine="354" w:firstLineChars="147"/>
        <w:rPr>
          <w:rFonts w:ascii="黑体" w:hAnsi="黑体" w:eastAsia="黑体"/>
          <w:b/>
          <w:color w:val="auto"/>
          <w:sz w:val="24"/>
          <w:highlight w:val="none"/>
        </w:rPr>
      </w:pPr>
      <w:bookmarkStart w:id="41" w:name="_Toc71365911"/>
      <w:bookmarkStart w:id="42" w:name="_Toc35393635"/>
      <w:bookmarkStart w:id="43" w:name="_Toc44229884"/>
      <w:bookmarkStart w:id="44" w:name="_Toc35393804"/>
      <w:r>
        <w:rPr>
          <w:rFonts w:hint="eastAsia" w:ascii="黑体" w:hAnsi="黑体" w:eastAsia="黑体"/>
          <w:b/>
          <w:color w:val="auto"/>
          <w:sz w:val="24"/>
          <w:highlight w:val="none"/>
        </w:rPr>
        <w:t>七、其他补充事宜</w:t>
      </w:r>
      <w:bookmarkEnd w:id="40"/>
      <w:bookmarkEnd w:id="41"/>
      <w:bookmarkEnd w:id="42"/>
      <w:bookmarkEnd w:id="43"/>
    </w:p>
    <w:p w14:paraId="6602BA8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网上查询地址：中国政府采购网（http://www.ccgp.gov.cn/）、广西壮族自治区政府采购网（http://www.ccgp-guangxi.gov.cn/）</w:t>
      </w:r>
      <w:r>
        <w:rPr>
          <w:rFonts w:hint="eastAsia" w:ascii="宋体" w:hAnsi="宋体" w:cs="宋体"/>
          <w:color w:val="auto"/>
          <w:kern w:val="0"/>
          <w:szCs w:val="21"/>
          <w:highlight w:val="none"/>
          <w:lang w:eastAsia="zh-CN"/>
        </w:rPr>
        <w:t>、全国公共资源交易平台(广西·防城港)（http://ggzy.jgswj.gxzf.gov.cn/fcgggzy/）</w:t>
      </w:r>
      <w:r>
        <w:rPr>
          <w:rFonts w:hint="eastAsia" w:ascii="宋体" w:hAnsi="宋体" w:cs="宋体"/>
          <w:color w:val="auto"/>
          <w:kern w:val="0"/>
          <w:szCs w:val="21"/>
          <w:highlight w:val="none"/>
        </w:rPr>
        <w:t>。</w:t>
      </w:r>
    </w:p>
    <w:p w14:paraId="41AFD157">
      <w:pPr>
        <w:spacing w:line="360" w:lineRule="auto"/>
        <w:ind w:firstLine="424" w:firstLineChars="202"/>
        <w:rPr>
          <w:rFonts w:ascii="宋体" w:hAnsi="宋体" w:cs="宋体"/>
          <w:color w:val="auto"/>
          <w:kern w:val="0"/>
          <w:szCs w:val="21"/>
          <w:highlight w:val="none"/>
        </w:rPr>
      </w:pPr>
      <w:bookmarkStart w:id="45" w:name="_Toc35393805"/>
      <w:bookmarkStart w:id="46" w:name="_Toc44229885"/>
      <w:bookmarkStart w:id="47" w:name="_Toc28359018"/>
      <w:bookmarkStart w:id="48" w:name="_Toc28359095"/>
      <w:bookmarkStart w:id="49" w:name="_Toc35393636"/>
      <w:bookmarkStart w:id="50"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4"/>
    <w:p w14:paraId="68A622B0">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4C73398F">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5A66743E">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2100556A">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7D0CBA90">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62A0ECB5">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333967A4">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w:t>
      </w:r>
      <w:r>
        <w:rPr>
          <w:rFonts w:hint="eastAsia" w:ascii="宋体" w:hAnsi="宋体"/>
          <w:color w:val="auto"/>
          <w:szCs w:val="21"/>
          <w:highlight w:val="none"/>
        </w:rPr>
        <w:t>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19064D30">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00D53227">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848ADAF">
      <w:pPr>
        <w:widowControl/>
        <w:spacing w:line="360" w:lineRule="auto"/>
        <w:ind w:firstLine="525" w:firstLineChars="25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261C1C1">
      <w:pPr>
        <w:widowControl/>
        <w:spacing w:line="360" w:lineRule="auto"/>
        <w:ind w:firstLine="525" w:firstLineChars="250"/>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4.评标说明：本项目为远程异地全流程电子评标。</w:t>
      </w:r>
    </w:p>
    <w:p w14:paraId="6F3CC2C9">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.磋商保证金：无。</w:t>
      </w:r>
    </w:p>
    <w:p w14:paraId="529548D9">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6</w:t>
      </w:r>
      <w:r>
        <w:rPr>
          <w:rFonts w:ascii="宋体" w:hAnsi="宋体"/>
          <w:bCs/>
          <w:color w:val="auto"/>
          <w:szCs w:val="21"/>
          <w:highlight w:val="none"/>
        </w:rPr>
        <w:t>.</w:t>
      </w:r>
      <w:r>
        <w:rPr>
          <w:rFonts w:hint="eastAsia" w:ascii="宋体" w:hAnsi="宋体"/>
          <w:bCs/>
          <w:color w:val="auto"/>
          <w:szCs w:val="21"/>
          <w:highlight w:val="none"/>
        </w:rPr>
        <w:t>监督部门</w:t>
      </w:r>
    </w:p>
    <w:p w14:paraId="204FAA91">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名称：防城港市财政局</w:t>
      </w:r>
    </w:p>
    <w:p w14:paraId="23654CD9">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电话：0770-6102323</w:t>
      </w:r>
    </w:p>
    <w:p w14:paraId="72765743">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5"/>
      <w:bookmarkEnd w:id="46"/>
      <w:bookmarkEnd w:id="47"/>
      <w:bookmarkEnd w:id="48"/>
      <w:bookmarkEnd w:id="49"/>
    </w:p>
    <w:p w14:paraId="1AD276D9">
      <w:pPr>
        <w:spacing w:line="360" w:lineRule="auto"/>
        <w:ind w:firstLine="420" w:firstLineChars="200"/>
        <w:rPr>
          <w:rFonts w:ascii="宋体" w:hAnsi="宋体" w:cs="宋体"/>
          <w:color w:val="auto"/>
          <w:kern w:val="0"/>
          <w:szCs w:val="21"/>
          <w:highlight w:val="none"/>
        </w:rPr>
      </w:pPr>
      <w:bookmarkStart w:id="51" w:name="_Toc35393637"/>
      <w:bookmarkStart w:id="52" w:name="_Toc35393806"/>
      <w:bookmarkStart w:id="53" w:name="_Toc28359019"/>
      <w:bookmarkStart w:id="54" w:name="_Toc28359096"/>
      <w:r>
        <w:rPr>
          <w:rFonts w:hint="eastAsia" w:ascii="宋体" w:hAnsi="宋体" w:cs="宋体"/>
          <w:color w:val="auto"/>
          <w:kern w:val="0"/>
          <w:szCs w:val="21"/>
          <w:highlight w:val="none"/>
        </w:rPr>
        <w:t>1.采购人信息</w:t>
      </w:r>
      <w:bookmarkEnd w:id="50"/>
      <w:bookmarkEnd w:id="51"/>
      <w:bookmarkEnd w:id="52"/>
      <w:bookmarkEnd w:id="53"/>
    </w:p>
    <w:bookmarkEnd w:id="54"/>
    <w:p w14:paraId="115D970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名称：防城港市医疗保障局</w:t>
      </w:r>
    </w:p>
    <w:p w14:paraId="0A7C17E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地址：防城港市防城区金花茶大道(防城港市中级人民法院旁)</w:t>
      </w:r>
    </w:p>
    <w:p w14:paraId="5F131DC5">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黄紫红，</w:t>
      </w:r>
      <w:r>
        <w:rPr>
          <w:rFonts w:hint="eastAsia" w:ascii="宋体" w:hAnsi="宋体"/>
          <w:color w:val="auto"/>
          <w:szCs w:val="21"/>
          <w:highlight w:val="none"/>
          <w:lang w:val="en-US" w:eastAsia="zh-CN"/>
        </w:rPr>
        <w:t>0770-2835756</w:t>
      </w:r>
    </w:p>
    <w:p w14:paraId="57CCBF46">
      <w:pPr>
        <w:spacing w:line="360" w:lineRule="auto"/>
        <w:ind w:firstLine="420" w:firstLineChars="200"/>
        <w:rPr>
          <w:rFonts w:ascii="宋体" w:hAnsi="宋体" w:cs="宋体"/>
          <w:color w:val="auto"/>
          <w:kern w:val="0"/>
          <w:szCs w:val="21"/>
          <w:highlight w:val="none"/>
        </w:rPr>
      </w:pPr>
      <w:bookmarkStart w:id="55" w:name="_Toc35393638"/>
      <w:bookmarkStart w:id="56" w:name="_Toc28359020"/>
      <w:bookmarkStart w:id="57" w:name="_Toc28359097"/>
      <w:bookmarkStart w:id="58" w:name="_Toc35393807"/>
      <w:r>
        <w:rPr>
          <w:rFonts w:hint="eastAsia" w:ascii="宋体" w:hAnsi="宋体" w:cs="宋体"/>
          <w:color w:val="auto"/>
          <w:kern w:val="0"/>
          <w:szCs w:val="21"/>
          <w:highlight w:val="none"/>
        </w:rPr>
        <w:t>2.采购代理机构信息</w:t>
      </w:r>
      <w:bookmarkEnd w:id="55"/>
      <w:bookmarkEnd w:id="56"/>
      <w:bookmarkEnd w:id="57"/>
      <w:bookmarkEnd w:id="58"/>
    </w:p>
    <w:p w14:paraId="17CD6A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61DF46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地址：防城港市港口区桃花湾广场海悦华府一单元12楼1203室</w:t>
      </w:r>
    </w:p>
    <w:p w14:paraId="22CD3C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联系方式：0770-2882899</w:t>
      </w:r>
    </w:p>
    <w:p w14:paraId="040BA7E6">
      <w:pPr>
        <w:spacing w:line="360" w:lineRule="auto"/>
        <w:ind w:firstLine="420" w:firstLineChars="200"/>
        <w:rPr>
          <w:rFonts w:ascii="宋体" w:hAnsi="宋体" w:cs="宋体"/>
          <w:color w:val="auto"/>
          <w:kern w:val="0"/>
          <w:szCs w:val="21"/>
          <w:highlight w:val="none"/>
        </w:rPr>
      </w:pPr>
      <w:bookmarkStart w:id="59" w:name="_Toc28359021"/>
      <w:bookmarkStart w:id="60" w:name="_Toc35393808"/>
      <w:bookmarkStart w:id="61" w:name="_Toc28359098"/>
      <w:bookmarkStart w:id="62" w:name="_Toc35393639"/>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5FFE923C">
      <w:pPr>
        <w:pStyle w:val="36"/>
        <w:spacing w:line="360" w:lineRule="auto"/>
        <w:ind w:firstLine="420" w:firstLineChars="200"/>
        <w:rPr>
          <w:rFonts w:hAnsi="宋体"/>
          <w:color w:val="auto"/>
          <w:sz w:val="21"/>
          <w:highlight w:val="none"/>
          <w:lang w:eastAsia="zh-CN"/>
        </w:rPr>
      </w:pPr>
      <w:r>
        <w:rPr>
          <w:rFonts w:hint="eastAsia" w:hAnsi="宋体"/>
          <w:color w:val="auto"/>
          <w:sz w:val="21"/>
          <w:highlight w:val="none"/>
        </w:rPr>
        <w:t>项目联系人：吴小梅</w:t>
      </w:r>
      <w:r>
        <w:rPr>
          <w:rFonts w:hint="eastAsia" w:hAnsi="宋体"/>
          <w:color w:val="auto"/>
          <w:sz w:val="21"/>
          <w:highlight w:val="none"/>
          <w:lang w:eastAsia="zh-CN"/>
        </w:rPr>
        <w:t>、</w:t>
      </w:r>
      <w:r>
        <w:rPr>
          <w:rFonts w:hint="eastAsia" w:hAnsi="宋体"/>
          <w:color w:val="auto"/>
          <w:sz w:val="21"/>
          <w:highlight w:val="none"/>
        </w:rPr>
        <w:t>包文杰</w:t>
      </w:r>
      <w:r>
        <w:rPr>
          <w:rFonts w:hint="eastAsia" w:hAnsi="宋体"/>
          <w:color w:val="auto"/>
          <w:sz w:val="21"/>
          <w:highlight w:val="none"/>
          <w:lang w:eastAsia="zh-CN"/>
        </w:rPr>
        <w:t>、陈义廷</w:t>
      </w:r>
    </w:p>
    <w:p w14:paraId="091A34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电话：0770-2882899</w:t>
      </w:r>
    </w:p>
    <w:p w14:paraId="73A4801A">
      <w:pPr>
        <w:spacing w:line="360" w:lineRule="auto"/>
        <w:ind w:firstLine="420" w:firstLineChars="200"/>
        <w:rPr>
          <w:rFonts w:ascii="宋体" w:hAnsi="宋体"/>
          <w:color w:val="auto"/>
          <w:szCs w:val="21"/>
          <w:highlight w:val="none"/>
        </w:rPr>
      </w:pPr>
    </w:p>
    <w:p w14:paraId="5512E8BE">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附件：采购需求</w:t>
      </w:r>
    </w:p>
    <w:p w14:paraId="03BE6BE7">
      <w:pPr>
        <w:spacing w:line="360" w:lineRule="auto"/>
        <w:ind w:firstLine="420" w:firstLineChars="200"/>
        <w:jc w:val="right"/>
        <w:rPr>
          <w:rFonts w:ascii="宋体" w:hAnsi="宋体" w:cs="宋体"/>
          <w:color w:val="auto"/>
          <w:kern w:val="0"/>
          <w:szCs w:val="21"/>
          <w:highlight w:val="none"/>
        </w:rPr>
      </w:pPr>
    </w:p>
    <w:p w14:paraId="46508904">
      <w:pPr>
        <w:spacing w:line="360" w:lineRule="auto"/>
        <w:ind w:firstLine="420" w:firstLineChars="200"/>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采购人：防城港市医疗保障局</w:t>
      </w:r>
    </w:p>
    <w:p w14:paraId="60E5472E">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采购代理机构：云之龙咨询集团有限公司</w:t>
      </w:r>
    </w:p>
    <w:p w14:paraId="7AE4ABE7">
      <w:pPr>
        <w:wordWrap w:val="0"/>
        <w:spacing w:line="360" w:lineRule="auto"/>
        <w:ind w:firstLine="420" w:firstLineChars="200"/>
        <w:jc w:val="right"/>
        <w:rPr>
          <w:rFonts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日</w:t>
      </w:r>
    </w:p>
    <w:p w14:paraId="6DBA5926">
      <w:pPr>
        <w:spacing w:line="400" w:lineRule="exact"/>
        <w:jc w:val="center"/>
        <w:rPr>
          <w:rFonts w:ascii="宋体" w:hAnsi="宋体"/>
          <w:b/>
          <w:color w:val="auto"/>
          <w:sz w:val="32"/>
          <w:szCs w:val="32"/>
          <w:highlight w:val="none"/>
        </w:rPr>
      </w:pPr>
      <w:r>
        <w:rPr>
          <w:rFonts w:ascii="宋体" w:hAnsi="宋体"/>
          <w:color w:val="auto"/>
          <w:sz w:val="32"/>
          <w:szCs w:val="32"/>
          <w:highlight w:val="none"/>
        </w:rPr>
        <w:br w:type="page"/>
      </w:r>
      <w:bookmarkStart w:id="63" w:name="_Toc74323457"/>
      <w:r>
        <w:rPr>
          <w:rFonts w:hint="eastAsia" w:ascii="宋体" w:hAnsi="宋体"/>
          <w:b/>
          <w:color w:val="auto"/>
          <w:sz w:val="32"/>
          <w:szCs w:val="32"/>
          <w:highlight w:val="none"/>
        </w:rPr>
        <w:t>第二章 供应商须知</w:t>
      </w:r>
      <w:bookmarkEnd w:id="63"/>
    </w:p>
    <w:p w14:paraId="57044D86">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674C481C">
      <w:pPr>
        <w:spacing w:line="400" w:lineRule="exact"/>
        <w:jc w:val="center"/>
        <w:rPr>
          <w:rFonts w:ascii="宋体" w:hAnsi="宋体"/>
          <w:b/>
          <w:color w:val="auto"/>
          <w:sz w:val="32"/>
          <w:szCs w:val="32"/>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2F71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top"/>
          </w:tcPr>
          <w:p w14:paraId="7A14DAE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noWrap/>
            <w:vAlign w:val="top"/>
          </w:tcPr>
          <w:p w14:paraId="5DF403F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354A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62BCFA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ign w:val="center"/>
          </w:tcPr>
          <w:p w14:paraId="7B3EB60B">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41671441">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49089C9C">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7FF6C2B">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6F7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2D5A4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auto" w:sz="4" w:space="0"/>
              <w:left w:val="single" w:color="auto" w:sz="4" w:space="0"/>
              <w:bottom w:val="single" w:color="auto" w:sz="4" w:space="0"/>
              <w:right w:val="single" w:color="auto" w:sz="4" w:space="0"/>
            </w:tcBorders>
            <w:noWrap/>
            <w:vAlign w:val="center"/>
          </w:tcPr>
          <w:p w14:paraId="33832F93">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30A9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66466A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auto" w:sz="4" w:space="0"/>
              <w:left w:val="single" w:color="auto" w:sz="4" w:space="0"/>
              <w:bottom w:val="single" w:color="auto" w:sz="4" w:space="0"/>
              <w:right w:val="single" w:color="auto" w:sz="4" w:space="0"/>
            </w:tcBorders>
            <w:noWrap/>
            <w:vAlign w:val="center"/>
          </w:tcPr>
          <w:p w14:paraId="32C55685">
            <w:pPr>
              <w:pStyle w:val="27"/>
              <w:spacing w:line="360" w:lineRule="auto"/>
              <w:rPr>
                <w:rFonts w:ascii="宋体" w:hAnsi="宋体"/>
                <w:color w:val="auto"/>
                <w:szCs w:val="21"/>
                <w:highlight w:val="none"/>
              </w:rPr>
            </w:pPr>
            <w:r>
              <w:rPr>
                <w:rFonts w:hint="eastAsia" w:ascii="宋体" w:hAnsi="宋体"/>
                <w:color w:val="auto"/>
                <w:szCs w:val="21"/>
                <w:highlight w:val="none"/>
              </w:rPr>
              <w:t>不允许分包</w:t>
            </w:r>
          </w:p>
        </w:tc>
      </w:tr>
      <w:tr w14:paraId="457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80BF8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auto" w:sz="4" w:space="0"/>
              <w:left w:val="single" w:color="auto" w:sz="4" w:space="0"/>
              <w:bottom w:val="single" w:color="auto" w:sz="4" w:space="0"/>
              <w:right w:val="single" w:color="auto" w:sz="4" w:space="0"/>
            </w:tcBorders>
            <w:noWrap/>
            <w:vAlign w:val="center"/>
          </w:tcPr>
          <w:p w14:paraId="00CF7D69">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03003BE1">
            <w:pPr>
              <w:pStyle w:val="27"/>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ADF5113">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817488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03410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C7B721F">
            <w:pPr>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.除磋商文件规定必须提供以外，供应商认为需要提供的其他证明材料；</w:t>
            </w:r>
          </w:p>
          <w:p w14:paraId="3BA673F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58C6727F">
            <w:pPr>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 的材料 ，必须加盖供应商电子签章；必须提供的材料在第五章“响应文件格式”中 有要求法定代表人或委托代理人签字的，必须由法定代表人或委托代理人签字，否则响应文件按无效响应处理。 其中 ，竞标声明必须由法定代表人或委托代理人在规定签章处签字（或盖章）并加盖供应商电子签章， 否则响应文件按无效响应处理。</w:t>
            </w:r>
          </w:p>
          <w:p w14:paraId="1517BE28">
            <w:pPr>
              <w:pStyle w:val="18"/>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2.分公司参加竞标的，应当取得总公司授权，无授权的则作无效竞标处理。</w:t>
            </w:r>
          </w:p>
        </w:tc>
      </w:tr>
      <w:tr w14:paraId="09F2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2DDF13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auto" w:sz="4" w:space="0"/>
              <w:left w:val="single" w:color="auto" w:sz="4" w:space="0"/>
              <w:bottom w:val="single" w:color="auto" w:sz="4" w:space="0"/>
              <w:right w:val="single" w:color="auto" w:sz="4" w:space="0"/>
            </w:tcBorders>
            <w:noWrap/>
            <w:vAlign w:val="center"/>
          </w:tcPr>
          <w:p w14:paraId="146FE6D2">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1CB00281">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2E9A5B">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w:t>
            </w:r>
            <w:bookmarkStart w:id="64" w:name="OLE_LINK6"/>
            <w:bookmarkStart w:id="65" w:name="OLE_LINK7"/>
            <w:r>
              <w:rPr>
                <w:rFonts w:ascii="宋体" w:hAnsi="宋体" w:cs="宋体"/>
                <w:color w:val="auto"/>
                <w:szCs w:val="21"/>
                <w:highlight w:val="none"/>
              </w:rPr>
              <w:t>供应商享受</w:t>
            </w:r>
            <w:r>
              <w:rPr>
                <w:rFonts w:hint="eastAsia" w:hAnsi="宋体" w:cs="Courier New"/>
                <w:bCs/>
                <w:color w:val="auto"/>
                <w:highlight w:val="none"/>
              </w:rPr>
              <w:t>中小企业</w:t>
            </w:r>
            <w:bookmarkStart w:id="66" w:name="OLE_LINK4"/>
            <w:bookmarkStart w:id="67" w:name="OLE_LINK5"/>
            <w:r>
              <w:rPr>
                <w:rFonts w:hint="eastAsia" w:hAnsi="宋体" w:cs="Courier New"/>
                <w:bCs/>
                <w:color w:val="auto"/>
                <w:highlight w:val="none"/>
              </w:rPr>
              <w:t>扶持政策</w:t>
            </w:r>
            <w:bookmarkEnd w:id="66"/>
            <w:bookmarkEnd w:id="67"/>
            <w:r>
              <w:rPr>
                <w:rFonts w:hint="eastAsia" w:hAnsi="宋体" w:cs="Courier New"/>
                <w:bCs/>
                <w:color w:val="auto"/>
                <w:highlight w:val="none"/>
              </w:rPr>
              <w:t>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r>
              <w:rPr>
                <w:rFonts w:hint="eastAsia"/>
                <w:color w:val="auto"/>
                <w:highlight w:val="none"/>
              </w:rPr>
              <w:t>（</w:t>
            </w:r>
            <w:r>
              <w:rPr>
                <w:rFonts w:hint="eastAsia"/>
                <w:b/>
                <w:color w:val="auto"/>
                <w:highlight w:val="none"/>
              </w:rPr>
              <w:t>如有请提供，如未提供则不对供应商的磋商报价进行政策性扣减</w:t>
            </w:r>
            <w:r>
              <w:rPr>
                <w:rFonts w:hint="eastAsia"/>
                <w:color w:val="auto"/>
                <w:highlight w:val="none"/>
              </w:rPr>
              <w:t>）</w:t>
            </w:r>
          </w:p>
          <w:p w14:paraId="572F6888">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70FE5E63">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4B73163E">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bookmarkEnd w:id="64"/>
          <w:p w14:paraId="1439CBA8">
            <w:pPr>
              <w:spacing w:line="360" w:lineRule="auto"/>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bookmarkEnd w:id="65"/>
          </w:p>
          <w:p w14:paraId="04A960A7">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.供应商认为需要提供的其他有关资料。</w:t>
            </w:r>
          </w:p>
        </w:tc>
      </w:tr>
      <w:tr w14:paraId="45C4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61BD14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ign w:val="center"/>
          </w:tcPr>
          <w:p w14:paraId="0FC42D68">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2929F90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3F95A2">
            <w:pPr>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bCs/>
                <w:color w:val="auto"/>
                <w:szCs w:val="21"/>
                <w:highlight w:val="none"/>
              </w:rPr>
              <w:t>（除自然人竞标外必须提供，否则响应文件按无效响应处理）</w:t>
            </w:r>
          </w:p>
          <w:p w14:paraId="24C39914">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9F8DD0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AB7EB4">
            <w:pPr>
              <w:jc w:val="left"/>
              <w:rPr>
                <w:rFonts w:ascii="宋体" w:hAnsi="宋体" w:cs="宋体"/>
                <w:color w:val="auto"/>
                <w:szCs w:val="21"/>
                <w:highlight w:val="none"/>
              </w:rPr>
            </w:pPr>
            <w:r>
              <w:rPr>
                <w:rFonts w:hint="eastAsia" w:ascii="宋体" w:hAnsi="宋体"/>
                <w:color w:val="auto"/>
                <w:szCs w:val="21"/>
                <w:highlight w:val="none"/>
              </w:rPr>
              <w:t>5.代理服务费承诺书（格式后附）；</w:t>
            </w:r>
            <w:r>
              <w:rPr>
                <w:rFonts w:hint="eastAsia" w:ascii="宋体" w:hAnsi="宋体" w:cs="宋体"/>
                <w:color w:val="auto"/>
                <w:szCs w:val="21"/>
                <w:highlight w:val="none"/>
              </w:rPr>
              <w:t xml:space="preserve"> </w:t>
            </w:r>
          </w:p>
          <w:p w14:paraId="6CD924C8">
            <w:pPr>
              <w:jc w:val="left"/>
              <w:rPr>
                <w:b/>
                <w:color w:val="auto"/>
                <w:highlight w:val="none"/>
              </w:rPr>
            </w:pPr>
            <w:r>
              <w:rPr>
                <w:rFonts w:hint="eastAsia" w:ascii="宋体" w:hAnsi="宋体" w:cs="宋体"/>
                <w:color w:val="auto"/>
                <w:szCs w:val="21"/>
                <w:highlight w:val="none"/>
              </w:rPr>
              <w:t>6.</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1CE93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监管服务方案、项目实施计划方案、后续服务保障措施、系统支撑及数据分析方案、安全及保密控制方案</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11DEC6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8.对应采购需求的技术要求、商务要求提供的其他文件资料（格式自拟）；</w:t>
            </w:r>
          </w:p>
          <w:p w14:paraId="5B3F47D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489C0D1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 的材料 ，必须加盖供应商电子签章；必须提供的材料在第五章“响应文件格式”中 有要求法定代表人或委托代理人签字的，必须由法定代表人或委托代理人签字，否则响应文件按无效响应处理。</w:t>
            </w:r>
          </w:p>
        </w:tc>
      </w:tr>
      <w:tr w14:paraId="5588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993EE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auto" w:sz="4" w:space="0"/>
              <w:left w:val="single" w:color="auto" w:sz="4" w:space="0"/>
              <w:bottom w:val="single" w:color="auto" w:sz="4" w:space="0"/>
              <w:right w:val="single" w:color="auto" w:sz="4" w:space="0"/>
            </w:tcBorders>
            <w:noWrap/>
            <w:vAlign w:val="center"/>
          </w:tcPr>
          <w:p w14:paraId="7A342268">
            <w:pPr>
              <w:spacing w:line="360" w:lineRule="auto"/>
              <w:contextualSpacing/>
              <w:jc w:val="left"/>
              <w:rPr>
                <w:rFonts w:hint="eastAsia" w:ascii="宋体" w:hAnsi="宋体" w:eastAsia="宋体" w:cs="Times New Roman"/>
                <w:bCs/>
                <w:iCs/>
                <w:color w:val="auto"/>
                <w:kern w:val="2"/>
                <w:sz w:val="21"/>
                <w:szCs w:val="21"/>
                <w:highlight w:val="none"/>
                <w:lang w:val="en-US" w:eastAsia="zh-CN" w:bidi="ar-SA"/>
              </w:rPr>
            </w:pPr>
            <w:r>
              <w:rPr>
                <w:rFonts w:hint="eastAsia" w:ascii="宋体" w:hAnsi="宋体" w:eastAsia="宋体" w:cs="Times New Roman"/>
                <w:bCs/>
                <w:iCs/>
                <w:color w:val="auto"/>
                <w:kern w:val="2"/>
                <w:sz w:val="21"/>
                <w:szCs w:val="21"/>
                <w:highlight w:val="none"/>
                <w:lang w:val="en-US" w:eastAsia="zh-CN" w:bidi="ar-SA"/>
              </w:rPr>
              <w:t>报价必须含以下部分，包括：</w:t>
            </w:r>
            <w:r>
              <w:rPr>
                <w:rFonts w:hint="eastAsia" w:ascii="宋体" w:hAnsi="宋体" w:eastAsia="宋体" w:cs="Times New Roman"/>
                <w:bCs/>
                <w:iCs/>
                <w:color w:val="auto"/>
                <w:kern w:val="2"/>
                <w:sz w:val="21"/>
                <w:szCs w:val="21"/>
                <w:highlight w:val="none"/>
                <w:lang w:val="en-US" w:eastAsia="zh-CN" w:bidi="ar-SA"/>
              </w:rPr>
              <w:tab/>
            </w:r>
          </w:p>
          <w:p w14:paraId="18F3836A">
            <w:pPr>
              <w:spacing w:line="360" w:lineRule="auto"/>
              <w:contextualSpacing/>
              <w:jc w:val="left"/>
              <w:rPr>
                <w:rFonts w:hint="eastAsia" w:ascii="宋体" w:hAnsi="宋体" w:eastAsia="宋体" w:cs="Times New Roman"/>
                <w:bCs/>
                <w:iCs/>
                <w:color w:val="auto"/>
                <w:kern w:val="2"/>
                <w:sz w:val="21"/>
                <w:szCs w:val="21"/>
                <w:highlight w:val="none"/>
                <w:lang w:val="en-US" w:eastAsia="zh-CN" w:bidi="ar-SA"/>
              </w:rPr>
            </w:pPr>
            <w:r>
              <w:rPr>
                <w:rFonts w:hint="eastAsia" w:ascii="宋体" w:hAnsi="宋体" w:eastAsia="宋体" w:cs="Times New Roman"/>
                <w:bCs/>
                <w:iCs/>
                <w:color w:val="auto"/>
                <w:kern w:val="2"/>
                <w:sz w:val="21"/>
                <w:szCs w:val="21"/>
                <w:highlight w:val="none"/>
                <w:lang w:val="en-US" w:eastAsia="zh-CN" w:bidi="ar-SA"/>
              </w:rPr>
              <w:t>1.服务的价格；</w:t>
            </w:r>
          </w:p>
          <w:p w14:paraId="3F73892C">
            <w:pPr>
              <w:spacing w:line="360" w:lineRule="auto"/>
              <w:contextualSpacing/>
              <w:jc w:val="left"/>
              <w:rPr>
                <w:rFonts w:hint="eastAsia" w:ascii="宋体" w:hAnsi="宋体" w:eastAsia="宋体" w:cs="Times New Roman"/>
                <w:bCs/>
                <w:iCs/>
                <w:color w:val="auto"/>
                <w:kern w:val="2"/>
                <w:sz w:val="21"/>
                <w:szCs w:val="21"/>
                <w:highlight w:val="none"/>
                <w:lang w:val="en-US" w:eastAsia="zh-CN" w:bidi="ar-SA"/>
              </w:rPr>
            </w:pPr>
            <w:r>
              <w:rPr>
                <w:rFonts w:hint="eastAsia" w:ascii="宋体" w:hAnsi="宋体" w:eastAsia="宋体" w:cs="Times New Roman"/>
                <w:bCs/>
                <w:iCs/>
                <w:color w:val="auto"/>
                <w:kern w:val="2"/>
                <w:sz w:val="21"/>
                <w:szCs w:val="21"/>
                <w:highlight w:val="none"/>
                <w:lang w:val="en-US" w:eastAsia="zh-CN" w:bidi="ar-SA"/>
              </w:rPr>
              <w:t>2.必要的保险费用和各项税金；</w:t>
            </w:r>
          </w:p>
          <w:p w14:paraId="3371008F">
            <w:pPr>
              <w:spacing w:line="360" w:lineRule="auto"/>
              <w:contextualSpacing/>
              <w:jc w:val="left"/>
              <w:rPr>
                <w:rFonts w:hint="eastAsia" w:ascii="宋体" w:hAnsi="宋体" w:eastAsia="宋体" w:cs="Times New Roman"/>
                <w:bCs/>
                <w:iCs/>
                <w:color w:val="auto"/>
                <w:kern w:val="2"/>
                <w:sz w:val="21"/>
                <w:szCs w:val="21"/>
                <w:highlight w:val="none"/>
                <w:lang w:val="en-US" w:eastAsia="zh-CN" w:bidi="ar-SA"/>
              </w:rPr>
            </w:pPr>
            <w:r>
              <w:rPr>
                <w:rFonts w:hint="eastAsia" w:ascii="宋体" w:hAnsi="宋体" w:eastAsia="宋体" w:cs="Times New Roman"/>
                <w:bCs/>
                <w:iCs/>
                <w:color w:val="auto"/>
                <w:kern w:val="2"/>
                <w:sz w:val="21"/>
                <w:szCs w:val="21"/>
                <w:highlight w:val="none"/>
                <w:lang w:val="en-US" w:eastAsia="zh-CN" w:bidi="ar-SA"/>
              </w:rPr>
              <w:t>3.其他（如技术支持、售后服务等费用）。</w:t>
            </w:r>
          </w:p>
          <w:p w14:paraId="0B7210AC">
            <w:pPr>
              <w:spacing w:line="360" w:lineRule="auto"/>
              <w:contextualSpacing/>
              <w:jc w:val="left"/>
              <w:rPr>
                <w:rFonts w:hint="eastAsia" w:ascii="宋体" w:hAnsi="宋体" w:eastAsia="宋体" w:cs="Times New Roman"/>
                <w:bCs/>
                <w:iCs/>
                <w:color w:val="auto"/>
                <w:kern w:val="2"/>
                <w:sz w:val="21"/>
                <w:szCs w:val="21"/>
                <w:highlight w:val="none"/>
                <w:lang w:val="en-US" w:eastAsia="zh-CN" w:bidi="ar-SA"/>
              </w:rPr>
            </w:pPr>
            <w:r>
              <w:rPr>
                <w:rFonts w:hint="eastAsia" w:ascii="宋体" w:hAnsi="宋体" w:eastAsia="宋体" w:cs="Times New Roman"/>
                <w:bCs/>
                <w:iCs/>
                <w:color w:val="auto"/>
                <w:kern w:val="2"/>
                <w:sz w:val="21"/>
                <w:szCs w:val="21"/>
                <w:highlight w:val="none"/>
                <w:lang w:val="en-US" w:eastAsia="zh-CN" w:bidi="ar-SA"/>
              </w:rPr>
              <w:t>注：</w:t>
            </w:r>
            <w:r>
              <w:rPr>
                <w:rFonts w:hint="eastAsia" w:ascii="宋体" w:hAnsi="宋体" w:cs="Times New Roman"/>
                <w:bCs/>
                <w:iCs/>
                <w:color w:val="auto"/>
                <w:kern w:val="2"/>
                <w:sz w:val="21"/>
                <w:szCs w:val="21"/>
                <w:highlight w:val="none"/>
                <w:lang w:val="en-US" w:eastAsia="zh-CN" w:bidi="ar-SA"/>
              </w:rPr>
              <w:t>成交供应商</w:t>
            </w:r>
            <w:r>
              <w:rPr>
                <w:rFonts w:hint="eastAsia" w:ascii="宋体" w:hAnsi="宋体" w:eastAsia="宋体" w:cs="Times New Roman"/>
                <w:bCs/>
                <w:iCs/>
                <w:color w:val="auto"/>
                <w:kern w:val="2"/>
                <w:sz w:val="21"/>
                <w:szCs w:val="21"/>
                <w:highlight w:val="none"/>
                <w:lang w:val="en-US" w:eastAsia="zh-CN" w:bidi="ar-SA"/>
              </w:rPr>
              <w:t>在实施项目过程中的交通费、差旅费、住宿费、伙食费自理，所有费用均应包含在报价中，不再另做结算。</w:t>
            </w:r>
          </w:p>
        </w:tc>
      </w:tr>
      <w:tr w14:paraId="708E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B5DD5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auto" w:sz="4" w:space="0"/>
              <w:left w:val="single" w:color="auto" w:sz="4" w:space="0"/>
              <w:bottom w:val="single" w:color="auto" w:sz="4" w:space="0"/>
              <w:right w:val="single" w:color="auto" w:sz="4" w:space="0"/>
            </w:tcBorders>
            <w:noWrap/>
            <w:vAlign w:val="center"/>
          </w:tcPr>
          <w:p w14:paraId="790C2597">
            <w:pPr>
              <w:pStyle w:val="26"/>
              <w:widowControl w:val="0"/>
              <w:tabs>
                <w:tab w:val="clear" w:pos="454"/>
              </w:tabs>
              <w:spacing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5323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71A1AB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auto" w:sz="4" w:space="0"/>
              <w:left w:val="single" w:color="auto" w:sz="4" w:space="0"/>
              <w:bottom w:val="single" w:color="auto" w:sz="4" w:space="0"/>
              <w:right w:val="single" w:color="auto" w:sz="4" w:space="0"/>
            </w:tcBorders>
            <w:noWrap/>
            <w:vAlign w:val="center"/>
          </w:tcPr>
          <w:p w14:paraId="39A2A584">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本项目不收取磋商保证金。</w:t>
            </w:r>
          </w:p>
        </w:tc>
      </w:tr>
      <w:tr w14:paraId="60E4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7D9046CF">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auto" w:sz="4" w:space="0"/>
              <w:left w:val="single" w:color="auto" w:sz="4" w:space="0"/>
              <w:bottom w:val="single" w:color="auto" w:sz="4" w:space="0"/>
              <w:right w:val="single" w:color="auto" w:sz="4" w:space="0"/>
            </w:tcBorders>
            <w:noWrap/>
            <w:vAlign w:val="center"/>
          </w:tcPr>
          <w:p w14:paraId="2CD4183A">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5FE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0A3EE7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auto" w:sz="4" w:space="0"/>
              <w:left w:val="single" w:color="auto" w:sz="4" w:space="0"/>
              <w:bottom w:val="single" w:color="auto" w:sz="4" w:space="0"/>
              <w:right w:val="single" w:color="auto" w:sz="4" w:space="0"/>
            </w:tcBorders>
            <w:noWrap/>
            <w:vAlign w:val="center"/>
          </w:tcPr>
          <w:p w14:paraId="226ED648">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45F66FBA">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5336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D3E9F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auto" w:sz="4" w:space="0"/>
              <w:left w:val="single" w:color="auto" w:sz="4" w:space="0"/>
              <w:bottom w:val="single" w:color="auto" w:sz="4" w:space="0"/>
              <w:right w:val="single" w:color="auto" w:sz="4" w:space="0"/>
            </w:tcBorders>
            <w:noWrap/>
            <w:vAlign w:val="center"/>
          </w:tcPr>
          <w:p w14:paraId="35024924">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59E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209ECF8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auto" w:sz="4" w:space="0"/>
              <w:left w:val="single" w:color="auto" w:sz="4" w:space="0"/>
              <w:bottom w:val="single" w:color="auto" w:sz="4" w:space="0"/>
              <w:right w:val="single" w:color="auto" w:sz="4" w:space="0"/>
            </w:tcBorders>
            <w:noWrap/>
            <w:vAlign w:val="center"/>
          </w:tcPr>
          <w:p w14:paraId="1E795DF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031EF3E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5868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BB8D76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tcBorders>
              <w:top w:val="single" w:color="auto" w:sz="4" w:space="0"/>
              <w:left w:val="single" w:color="auto" w:sz="4" w:space="0"/>
              <w:bottom w:val="single" w:color="auto" w:sz="4" w:space="0"/>
              <w:right w:val="single" w:color="auto" w:sz="4" w:space="0"/>
            </w:tcBorders>
            <w:noWrap/>
            <w:vAlign w:val="center"/>
          </w:tcPr>
          <w:p w14:paraId="094327E5">
            <w:pPr>
              <w:spacing w:line="360" w:lineRule="auto"/>
              <w:rPr>
                <w:rFonts w:ascii="宋体" w:hAnsi="宋体" w:cs="宋体"/>
                <w:color w:val="auto"/>
                <w:szCs w:val="21"/>
                <w:highlight w:val="none"/>
              </w:rPr>
            </w:pPr>
            <w:r>
              <w:rPr>
                <w:rFonts w:hint="eastAsia" w:ascii="宋体" w:hAnsi="宋体" w:cs="宋体"/>
                <w:color w:val="auto"/>
                <w:szCs w:val="21"/>
                <w:highlight w:val="none"/>
              </w:rPr>
              <w:t>商务/技术要求评审中允许负偏离的条款数为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60B0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34171D74">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auto" w:sz="4" w:space="0"/>
              <w:left w:val="single" w:color="auto" w:sz="4" w:space="0"/>
              <w:bottom w:val="single" w:color="auto" w:sz="4" w:space="0"/>
              <w:right w:val="single" w:color="auto" w:sz="4" w:space="0"/>
            </w:tcBorders>
            <w:noWrap/>
            <w:vAlign w:val="center"/>
          </w:tcPr>
          <w:p w14:paraId="4BA389D1">
            <w:pPr>
              <w:numPr>
                <w:ilvl w:val="0"/>
                <w:numId w:val="0"/>
              </w:num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收取履约保证金</w:t>
            </w:r>
            <w:r>
              <w:rPr>
                <w:rFonts w:hint="eastAsia" w:ascii="宋体" w:hAnsi="宋体"/>
                <w:color w:val="auto"/>
                <w:szCs w:val="21"/>
                <w:highlight w:val="none"/>
                <w:lang w:eastAsia="zh-CN"/>
              </w:rPr>
              <w:t>。</w:t>
            </w:r>
          </w:p>
        </w:tc>
      </w:tr>
      <w:tr w14:paraId="1FEE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122E40AA">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auto" w:sz="4" w:space="0"/>
              <w:left w:val="single" w:color="auto" w:sz="4" w:space="0"/>
              <w:bottom w:val="single" w:color="auto" w:sz="4" w:space="0"/>
              <w:right w:val="single" w:color="auto" w:sz="4" w:space="0"/>
            </w:tcBorders>
            <w:noWrap/>
            <w:vAlign w:val="center"/>
          </w:tcPr>
          <w:p w14:paraId="25641D52">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583611AF">
            <w:pPr>
              <w:autoSpaceDE w:val="0"/>
              <w:autoSpaceDN w:val="0"/>
              <w:spacing w:line="360" w:lineRule="auto"/>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A02A28F">
            <w:pPr>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EB5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27BFF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auto" w:sz="4" w:space="0"/>
              <w:left w:val="single" w:color="auto" w:sz="4" w:space="0"/>
              <w:bottom w:val="single" w:color="auto" w:sz="4" w:space="0"/>
              <w:right w:val="single" w:color="auto" w:sz="4" w:space="0"/>
            </w:tcBorders>
            <w:noWrap/>
            <w:vAlign w:val="center"/>
          </w:tcPr>
          <w:p w14:paraId="552729B0">
            <w:pPr>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798803ED">
            <w:pPr>
              <w:pStyle w:val="36"/>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云之龙咨询集团有限公司防城港市分公司</w:t>
            </w:r>
            <w:r>
              <w:rPr>
                <w:rFonts w:hint="eastAsia" w:hAnsi="宋体" w:cs="宋体"/>
                <w:color w:val="auto"/>
                <w:kern w:val="2"/>
                <w:sz w:val="21"/>
                <w:highlight w:val="none"/>
              </w:rPr>
              <w:t>，联系电话：0770-2882899，通讯地址：防城港市港口区桃花湾广场海悦华府一单元12楼1203室）</w:t>
            </w:r>
          </w:p>
          <w:p w14:paraId="4AA4622C">
            <w:pPr>
              <w:autoSpaceDE w:val="0"/>
              <w:autoSpaceDN w:val="0"/>
              <w:spacing w:line="360" w:lineRule="auto"/>
              <w:rPr>
                <w:rFonts w:ascii="宋体" w:hAnsi="宋体"/>
                <w:color w:val="auto"/>
                <w:szCs w:val="21"/>
                <w:highlight w:val="none"/>
              </w:rPr>
            </w:pPr>
            <w:r>
              <w:rPr>
                <w:rFonts w:hint="eastAsia" w:hAnsi="宋体" w:cs="宋体"/>
                <w:color w:val="auto"/>
                <w:highlight w:val="none"/>
              </w:rPr>
              <w:t>业务时间：工作日每天8时00分到12时00分，15时00分到18时00分</w:t>
            </w:r>
            <w:r>
              <w:rPr>
                <w:rFonts w:hint="eastAsia" w:hAnsi="宋体"/>
                <w:color w:val="auto"/>
                <w:highlight w:val="none"/>
              </w:rPr>
              <w:t>。</w:t>
            </w:r>
          </w:p>
        </w:tc>
      </w:tr>
      <w:tr w14:paraId="5226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36E506F">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auto" w:sz="4" w:space="0"/>
              <w:left w:val="single" w:color="auto" w:sz="4" w:space="0"/>
              <w:bottom w:val="single" w:color="auto" w:sz="4" w:space="0"/>
              <w:right w:val="single" w:color="auto" w:sz="4" w:space="0"/>
            </w:tcBorders>
            <w:noWrap/>
            <w:vAlign w:val="center"/>
          </w:tcPr>
          <w:p w14:paraId="380E7C2E">
            <w:pPr>
              <w:pStyle w:val="36"/>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06D6FFFF">
            <w:pPr>
              <w:pStyle w:val="36"/>
              <w:spacing w:line="360" w:lineRule="auto"/>
              <w:rPr>
                <w:rFonts w:hAnsi="宋体" w:cs="宋体"/>
                <w:color w:val="auto"/>
                <w:sz w:val="21"/>
                <w:highlight w:val="none"/>
              </w:rPr>
            </w:pPr>
            <w:r>
              <w:rPr>
                <w:rFonts w:hint="eastAsia" w:hAnsi="宋体" w:cs="宋体"/>
                <w:color w:val="auto"/>
                <w:sz w:val="21"/>
                <w:highlight w:val="none"/>
              </w:rPr>
              <w:t>本项目代理服务费由成交供应商一次性向采购代理机构支付。</w:t>
            </w:r>
          </w:p>
          <w:p w14:paraId="31680EEC">
            <w:pPr>
              <w:pStyle w:val="8"/>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2.</w:t>
            </w:r>
            <w:r>
              <w:rPr>
                <w:rFonts w:hint="eastAsia" w:hAnsi="宋体" w:cs="宋体"/>
                <w:color w:val="auto"/>
                <w:sz w:val="21"/>
                <w:highlight w:val="none"/>
              </w:rPr>
              <w:t>采购代理费收取标准：以</w:t>
            </w:r>
            <w:r>
              <w:rPr>
                <w:rFonts w:hint="eastAsia" w:hAnsi="宋体" w:cs="宋体"/>
                <w:color w:val="auto"/>
                <w:sz w:val="21"/>
                <w:highlight w:val="none"/>
                <w:lang w:eastAsia="zh-CN"/>
              </w:rPr>
              <w:t>成交</w:t>
            </w:r>
            <w:r>
              <w:rPr>
                <w:rFonts w:hint="eastAsia" w:hAnsi="宋体" w:cs="宋体"/>
                <w:color w:val="auto"/>
                <w:sz w:val="21"/>
                <w:highlight w:val="none"/>
              </w:rPr>
              <w:t>金额为计费额，按本须知正文第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条规定的服务类收费计算标准采用差额定率累进法计算收取。（不足伍仟元的按伍仟元收取）</w:t>
            </w:r>
          </w:p>
          <w:p w14:paraId="6402E815">
            <w:pPr>
              <w:pStyle w:val="36"/>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2AF89C53">
            <w:pPr>
              <w:pStyle w:val="36"/>
              <w:spacing w:line="360" w:lineRule="auto"/>
              <w:rPr>
                <w:rFonts w:hAnsi="宋体" w:cs="宋体"/>
                <w:color w:val="auto"/>
                <w:sz w:val="21"/>
                <w:highlight w:val="none"/>
              </w:rPr>
            </w:pPr>
            <w:r>
              <w:rPr>
                <w:rFonts w:hint="eastAsia" w:hAnsi="宋体" w:cs="宋体"/>
                <w:color w:val="auto"/>
                <w:sz w:val="21"/>
                <w:highlight w:val="none"/>
              </w:rPr>
              <w:t>账户名称：云之龙咨询集团有限公司防城港分公司</w:t>
            </w:r>
          </w:p>
          <w:p w14:paraId="0552165F">
            <w:pPr>
              <w:pStyle w:val="36"/>
              <w:spacing w:line="360" w:lineRule="auto"/>
              <w:rPr>
                <w:rFonts w:hAnsi="宋体" w:cs="宋体"/>
                <w:color w:val="auto"/>
                <w:sz w:val="21"/>
                <w:highlight w:val="none"/>
              </w:rPr>
            </w:pPr>
            <w:r>
              <w:rPr>
                <w:rFonts w:hint="eastAsia" w:hAnsi="宋体" w:cs="宋体"/>
                <w:color w:val="auto"/>
                <w:sz w:val="21"/>
                <w:highlight w:val="none"/>
              </w:rPr>
              <w:t>开户银行：中信银行南宁东葛支行</w:t>
            </w:r>
          </w:p>
          <w:p w14:paraId="792E8F31">
            <w:pPr>
              <w:pStyle w:val="36"/>
              <w:spacing w:line="360" w:lineRule="auto"/>
              <w:rPr>
                <w:rFonts w:hAnsi="宋体" w:cs="宋体"/>
                <w:color w:val="auto"/>
                <w:sz w:val="21"/>
                <w:highlight w:val="none"/>
              </w:rPr>
            </w:pPr>
            <w:r>
              <w:rPr>
                <w:rFonts w:hint="eastAsia" w:hAnsi="宋体" w:cs="宋体"/>
                <w:color w:val="auto"/>
                <w:sz w:val="21"/>
                <w:highlight w:val="none"/>
              </w:rPr>
              <w:t xml:space="preserve">银行账号：8113001014000157977  </w:t>
            </w:r>
          </w:p>
        </w:tc>
      </w:tr>
      <w:tr w14:paraId="1915F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48EB01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auto" w:sz="4" w:space="0"/>
              <w:left w:val="single" w:color="auto" w:sz="4" w:space="0"/>
              <w:bottom w:val="single" w:color="auto" w:sz="4" w:space="0"/>
              <w:right w:val="single" w:color="auto" w:sz="4" w:space="0"/>
            </w:tcBorders>
            <w:noWrap/>
            <w:vAlign w:val="center"/>
          </w:tcPr>
          <w:p w14:paraId="16AA5BF3">
            <w:pPr>
              <w:pStyle w:val="36"/>
              <w:spacing w:line="360" w:lineRule="auto"/>
              <w:rPr>
                <w:rFonts w:hAnsi="宋体" w:cs="宋体"/>
                <w:color w:val="auto"/>
                <w:kern w:val="2"/>
                <w:sz w:val="21"/>
                <w:highlight w:val="none"/>
              </w:rPr>
            </w:pPr>
            <w:r>
              <w:rPr>
                <w:rFonts w:hint="eastAsia" w:hAnsi="宋体"/>
                <w:color w:val="auto"/>
                <w:highlight w:val="none"/>
              </w:rPr>
              <w:t>解释：</w:t>
            </w:r>
            <w:r>
              <w:rPr>
                <w:rFonts w:hAnsi="宋体"/>
                <w:color w:val="auto"/>
                <w:highlight w:val="none"/>
              </w:rPr>
              <w:t>构成本</w:t>
            </w:r>
            <w:r>
              <w:rPr>
                <w:rFonts w:hint="eastAsia" w:hAnsi="宋体"/>
                <w:color w:val="auto"/>
                <w:highlight w:val="none"/>
              </w:rPr>
              <w:t>磋商文件</w:t>
            </w:r>
            <w:r>
              <w:rPr>
                <w:rFonts w:hAnsi="宋体"/>
                <w:color w:val="auto"/>
                <w:highlight w:val="none"/>
              </w:rPr>
              <w:t>的各个组成文件应互为解释，互为说明；除</w:t>
            </w:r>
            <w:r>
              <w:rPr>
                <w:rFonts w:hint="eastAsia" w:hAnsi="宋体"/>
                <w:color w:val="auto"/>
                <w:highlight w:val="none"/>
              </w:rPr>
              <w:t>磋商文件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竞争性磋商</w:t>
            </w:r>
            <w:r>
              <w:rPr>
                <w:rFonts w:hAnsi="宋体"/>
                <w:color w:val="auto"/>
                <w:highlight w:val="none"/>
              </w:rPr>
              <w:t>公告、</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评审程序、评审方法和评审标准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磋商文件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p>
        </w:tc>
      </w:tr>
      <w:tr w14:paraId="2314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ign w:val="center"/>
          </w:tcPr>
          <w:p w14:paraId="5FEB0FA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auto" w:sz="4" w:space="0"/>
              <w:left w:val="single" w:color="auto" w:sz="4" w:space="0"/>
              <w:bottom w:val="single" w:color="auto" w:sz="4" w:space="0"/>
              <w:right w:val="single" w:color="auto" w:sz="4" w:space="0"/>
            </w:tcBorders>
            <w:noWrap/>
            <w:vAlign w:val="center"/>
          </w:tcPr>
          <w:p w14:paraId="03058C7E">
            <w:pPr>
              <w:pStyle w:val="36"/>
              <w:spacing w:line="340" w:lineRule="exact"/>
              <w:rPr>
                <w:rFonts w:hAnsi="宋体"/>
                <w:color w:val="auto"/>
                <w:highlight w:val="none"/>
              </w:rPr>
            </w:pPr>
            <w:r>
              <w:rPr>
                <w:rFonts w:hint="eastAsia" w:hAnsi="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40EA54D">
            <w:pPr>
              <w:pStyle w:val="36"/>
              <w:spacing w:line="340" w:lineRule="exact"/>
              <w:rPr>
                <w:rFonts w:hAnsi="宋体"/>
                <w:color w:val="auto"/>
                <w:highlight w:val="none"/>
              </w:rPr>
            </w:pPr>
            <w:r>
              <w:rPr>
                <w:rFonts w:hint="eastAsia" w:hAnsi="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88BBBD9">
            <w:pPr>
              <w:pStyle w:val="36"/>
              <w:spacing w:line="340" w:lineRule="exact"/>
              <w:rPr>
                <w:rFonts w:hAnsi="宋体"/>
                <w:color w:val="auto"/>
                <w:highlight w:val="none"/>
              </w:rPr>
            </w:pPr>
            <w:r>
              <w:rPr>
                <w:rFonts w:hAnsi="宋体"/>
                <w:color w:val="auto"/>
                <w:highlight w:val="none"/>
              </w:rPr>
              <w:t>3</w:t>
            </w:r>
            <w:r>
              <w:rPr>
                <w:rFonts w:hint="eastAsia" w:hAnsi="宋体"/>
                <w:color w:val="auto"/>
                <w:highlight w:val="none"/>
              </w:rPr>
              <w:t>.</w:t>
            </w:r>
            <w:r>
              <w:rPr>
                <w:rFonts w:hint="eastAsia" w:hAnsi="宋体"/>
                <w:color w:val="auto"/>
                <w:highlight w:val="none"/>
                <w:lang w:val="en-US" w:eastAsia="zh-CN"/>
              </w:rPr>
              <w:t>供应商为其他组织或者自然人时，本磋商文件规定的法定代表人指负责人或者自然人。本磋商文件所称负责人是指参加竞标的其他组织营业执照或者执业许可证等证照上的负责人，本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2078F4D2">
            <w:pPr>
              <w:pStyle w:val="36"/>
              <w:spacing w:line="340" w:lineRule="exact"/>
              <w:rPr>
                <w:rFonts w:hAnsi="宋体"/>
                <w:color w:val="auto"/>
                <w:highlight w:val="none"/>
              </w:rPr>
            </w:pPr>
            <w:r>
              <w:rPr>
                <w:rFonts w:hAnsi="宋体"/>
                <w:color w:val="auto"/>
                <w:highlight w:val="none"/>
              </w:rPr>
              <w:t>4.</w:t>
            </w:r>
            <w:r>
              <w:rPr>
                <w:rFonts w:hint="eastAsia" w:hAnsi="宋体"/>
                <w:color w:val="auto"/>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073EAD02">
            <w:pPr>
              <w:pStyle w:val="36"/>
              <w:spacing w:line="340" w:lineRule="exact"/>
              <w:rPr>
                <w:rFonts w:hAnsi="宋体" w:cs="宋体"/>
                <w:color w:val="auto"/>
                <w:sz w:val="21"/>
                <w:highlight w:val="none"/>
              </w:rPr>
            </w:pPr>
            <w:r>
              <w:rPr>
                <w:rFonts w:hint="eastAsia" w:hAnsi="宋体"/>
                <w:color w:val="auto"/>
                <w:highlight w:val="none"/>
              </w:rPr>
              <w:t>5</w:t>
            </w:r>
            <w:r>
              <w:rPr>
                <w:rFonts w:hAnsi="宋体"/>
                <w:color w:val="auto"/>
                <w:highlight w:val="none"/>
              </w:rPr>
              <w:t>.</w:t>
            </w:r>
            <w:r>
              <w:rPr>
                <w:rFonts w:hint="eastAsia" w:hAnsi="宋体"/>
                <w:color w:val="auto"/>
                <w:highlight w:val="none"/>
              </w:rPr>
              <w:t>本磋商文件所称的“以上”“以下”“以内”“届满”，包括本数；所称的“不满”“超过”“以外”，不包括本数。</w:t>
            </w:r>
          </w:p>
        </w:tc>
      </w:tr>
    </w:tbl>
    <w:p w14:paraId="2464661F">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BA8475C">
      <w:pPr>
        <w:spacing w:line="400" w:lineRule="exact"/>
        <w:jc w:val="center"/>
        <w:rPr>
          <w:rFonts w:ascii="宋体" w:hAnsi="宋体"/>
          <w:b/>
          <w:color w:val="auto"/>
          <w:sz w:val="32"/>
          <w:szCs w:val="32"/>
          <w:highlight w:val="none"/>
        </w:rPr>
      </w:pPr>
    </w:p>
    <w:p w14:paraId="4189FF6F">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0E8DAE16">
      <w:pPr>
        <w:spacing w:line="400" w:lineRule="exact"/>
        <w:rPr>
          <w:rFonts w:ascii="宋体" w:hAnsi="宋体"/>
          <w:color w:val="auto"/>
          <w:szCs w:val="21"/>
          <w:highlight w:val="none"/>
        </w:rPr>
      </w:pPr>
    </w:p>
    <w:p w14:paraId="18DC80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047101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及本项目本级和上级财政部门与政府采购有关规定的约束和保护。</w:t>
      </w:r>
    </w:p>
    <w:p w14:paraId="559EAB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DC346C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11D021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BFA32E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323EA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4771D7B">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058A89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331CF72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78ABE6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43B4A1D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436FCA2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139A3FC7">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1EFB43B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07C0F2B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F77A7B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72CC45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E70952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17E76D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E2E027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19233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0CC8E6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401346B">
      <w:pPr>
        <w:pStyle w:val="17"/>
        <w:keepNext w:val="0"/>
        <w:keepLines w:val="0"/>
        <w:spacing w:before="0" w:after="0" w:line="360" w:lineRule="auto"/>
        <w:ind w:left="420" w:leftChars="200"/>
        <w:rPr>
          <w:rFonts w:ascii="宋体" w:hAnsi="宋体"/>
          <w:b w:val="0"/>
          <w:color w:val="auto"/>
          <w:sz w:val="21"/>
          <w:szCs w:val="21"/>
          <w:highlight w:val="none"/>
        </w:rPr>
      </w:pPr>
      <w:bookmarkStart w:id="68" w:name="_Toc254970532"/>
      <w:bookmarkStart w:id="69" w:name="_Toc254970673"/>
      <w:r>
        <w:rPr>
          <w:rFonts w:hint="eastAsia" w:ascii="宋体" w:hAnsi="宋体"/>
          <w:b w:val="0"/>
          <w:color w:val="auto"/>
          <w:sz w:val="21"/>
          <w:szCs w:val="21"/>
          <w:highlight w:val="none"/>
        </w:rPr>
        <w:t>6.1本项目不允许转包。</w:t>
      </w:r>
    </w:p>
    <w:p w14:paraId="69E53CC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8"/>
      <w:bookmarkEnd w:id="69"/>
    </w:p>
    <w:p w14:paraId="03036DCE">
      <w:pPr>
        <w:spacing w:line="360" w:lineRule="auto"/>
        <w:ind w:firstLine="420" w:firstLineChars="200"/>
        <w:rPr>
          <w:rFonts w:ascii="宋体" w:hAnsi="宋体" w:cs="宋体"/>
          <w:color w:val="auto"/>
          <w:szCs w:val="21"/>
          <w:highlight w:val="none"/>
        </w:rPr>
      </w:pPr>
      <w:bookmarkStart w:id="70" w:name="_8.1提供相同品牌产品且通过资格审查、符合性审查的不同投标人参加同一合"/>
      <w:bookmarkEnd w:id="70"/>
      <w:r>
        <w:rPr>
          <w:rFonts w:hint="eastAsia" w:ascii="宋体" w:hAnsi="宋体" w:cs="宋体"/>
          <w:color w:val="auto"/>
          <w:szCs w:val="21"/>
          <w:highlight w:val="none"/>
        </w:rPr>
        <w:t>7.</w:t>
      </w:r>
      <w:r>
        <w:rPr>
          <w:rFonts w:ascii="宋体" w:hAnsi="宋体" w:cs="宋体"/>
          <w:color w:val="auto"/>
          <w:szCs w:val="21"/>
          <w:highlight w:val="none"/>
        </w:rPr>
        <w:t>1</w:t>
      </w:r>
      <w:bookmarkStart w:id="7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71"/>
    <w:p w14:paraId="5FB6AE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4D473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B5E3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15A44E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41BC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FE057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27BA5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F4D1F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6CF5D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192934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391007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7D348A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150DD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C3CBF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3BDC52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D6160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27A9D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88B1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997CA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D4AB2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9C324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246F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FFFB1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9A7A185">
      <w:pPr>
        <w:pStyle w:val="4"/>
        <w:spacing w:line="360" w:lineRule="auto"/>
        <w:rPr>
          <w:rFonts w:ascii="宋体" w:hAnsi="宋体"/>
          <w:color w:val="auto"/>
          <w:highlight w:val="none"/>
        </w:rPr>
      </w:pPr>
      <w:r>
        <w:rPr>
          <w:rFonts w:ascii="宋体" w:hAnsi="宋体"/>
          <w:color w:val="auto"/>
          <w:highlight w:val="none"/>
        </w:rPr>
        <w:t>7.7</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1ED01F">
      <w:pPr>
        <w:pStyle w:val="4"/>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2FF0F8BC">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197E0169">
      <w:pPr>
        <w:pStyle w:val="4"/>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60BF51D">
      <w:pPr>
        <w:pStyle w:val="4"/>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2DAD137D">
      <w:pPr>
        <w:pStyle w:val="4"/>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DE35F9F">
      <w:pPr>
        <w:spacing w:line="360" w:lineRule="auto"/>
        <w:jc w:val="center"/>
        <w:rPr>
          <w:rFonts w:ascii="宋体" w:hAnsi="宋体"/>
          <w:b/>
          <w:bCs/>
          <w:color w:val="auto"/>
          <w:sz w:val="32"/>
          <w:szCs w:val="32"/>
          <w:highlight w:val="none"/>
        </w:rPr>
      </w:pPr>
      <w:bookmarkStart w:id="72" w:name="_Toc254970675"/>
      <w:bookmarkStart w:id="73" w:name="_Toc254970534"/>
      <w:r>
        <w:rPr>
          <w:rFonts w:hint="eastAsia" w:ascii="宋体" w:hAnsi="宋体"/>
          <w:b/>
          <w:bCs/>
          <w:color w:val="auto"/>
          <w:sz w:val="32"/>
          <w:szCs w:val="32"/>
          <w:highlight w:val="none"/>
        </w:rPr>
        <w:t>二、磋商文件</w:t>
      </w:r>
      <w:bookmarkEnd w:id="72"/>
      <w:bookmarkEnd w:id="73"/>
    </w:p>
    <w:p w14:paraId="1BA93B9F">
      <w:pPr>
        <w:spacing w:line="360" w:lineRule="auto"/>
        <w:rPr>
          <w:rFonts w:ascii="宋体" w:hAnsi="宋体"/>
          <w:color w:val="auto"/>
          <w:szCs w:val="21"/>
          <w:highlight w:val="none"/>
        </w:rPr>
      </w:pPr>
    </w:p>
    <w:p w14:paraId="41D6158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F86F52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6546AE7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719BBF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7D0C9F3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67198BF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25D7F3F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0744104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A8691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EE850F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139C9C91">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65A24D56">
      <w:pPr>
        <w:spacing w:line="360" w:lineRule="auto"/>
        <w:rPr>
          <w:rFonts w:ascii="宋体" w:hAnsi="宋体"/>
          <w:color w:val="auto"/>
          <w:szCs w:val="21"/>
          <w:highlight w:val="none"/>
        </w:rPr>
      </w:pPr>
    </w:p>
    <w:p w14:paraId="465FC35E">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4D736E4D">
      <w:pPr>
        <w:spacing w:line="360" w:lineRule="auto"/>
        <w:rPr>
          <w:rFonts w:ascii="宋体" w:hAnsi="宋体"/>
          <w:color w:val="auto"/>
          <w:szCs w:val="21"/>
          <w:highlight w:val="none"/>
        </w:rPr>
      </w:pPr>
    </w:p>
    <w:p w14:paraId="176F1C1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FC0A8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260B41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61612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72907BB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4E82020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7D25434F">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33D96B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54F28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B55FB2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BA375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85A50E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6F4F9D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C63F3D5">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11373974">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78774BB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126C718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78845112">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19A464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F811DB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竞标报价（包含首次报价、最后报价）超过所竞标项目规定的采购预算金额或最高限价的，其响应文件将按无效处理。</w:t>
      </w:r>
    </w:p>
    <w:p w14:paraId="33984D4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BF889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98F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63A1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A12975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5FB78D6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578BC4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4443BC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401FE27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760D2CB8">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1E6AC8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3DF7AD7">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74821E4">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27E7743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9A35006">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5A386D3E">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68F633B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163B8F8">
      <w:pPr>
        <w:spacing w:line="360" w:lineRule="auto"/>
        <w:ind w:firstLine="420"/>
        <w:jc w:val="left"/>
        <w:rPr>
          <w:rFonts w:ascii="宋体" w:hAnsi="宋体"/>
          <w:color w:val="auto"/>
          <w:szCs w:val="21"/>
          <w:highlight w:val="none"/>
        </w:rPr>
      </w:pPr>
      <w:bookmarkStart w:id="74" w:name="_Toc254970543"/>
      <w:bookmarkStart w:id="75"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文件制作与投送教程”）</w:t>
      </w:r>
    </w:p>
    <w:bookmarkEnd w:id="74"/>
    <w:bookmarkEnd w:id="75"/>
    <w:p w14:paraId="0D5BBB61">
      <w:pPr>
        <w:pStyle w:val="60"/>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4E3E6F70">
      <w:pPr>
        <w:spacing w:line="360" w:lineRule="auto"/>
        <w:ind w:firstLine="482" w:firstLineChars="200"/>
        <w:rPr>
          <w:rFonts w:ascii="黑体" w:hAnsi="黑体" w:eastAsia="黑体" w:cs="宋体"/>
          <w:b/>
          <w:bCs/>
          <w:color w:val="auto"/>
          <w:sz w:val="24"/>
          <w:highlight w:val="none"/>
        </w:rPr>
      </w:pPr>
      <w:bookmarkStart w:id="76" w:name="_Hlk45702405"/>
      <w:r>
        <w:rPr>
          <w:rFonts w:hint="eastAsia" w:ascii="黑体" w:hAnsi="黑体" w:eastAsia="黑体" w:cs="宋体"/>
          <w:b/>
          <w:bCs/>
          <w:color w:val="auto"/>
          <w:sz w:val="24"/>
          <w:highlight w:val="none"/>
        </w:rPr>
        <w:t>22.响应文件的退回</w:t>
      </w:r>
    </w:p>
    <w:p w14:paraId="03442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F2B438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407D26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6"/>
    <w:p w14:paraId="5045E06C">
      <w:pPr>
        <w:spacing w:line="360" w:lineRule="auto"/>
        <w:rPr>
          <w:rFonts w:ascii="宋体" w:hAnsi="宋体"/>
          <w:color w:val="auto"/>
          <w:szCs w:val="21"/>
          <w:highlight w:val="none"/>
        </w:rPr>
      </w:pPr>
    </w:p>
    <w:p w14:paraId="2EEB0E56">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298F6C80">
      <w:pPr>
        <w:spacing w:line="360" w:lineRule="auto"/>
        <w:ind w:left="420" w:firstLine="420"/>
        <w:rPr>
          <w:rFonts w:ascii="宋体" w:hAnsi="宋体"/>
          <w:color w:val="auto"/>
          <w:szCs w:val="21"/>
          <w:highlight w:val="none"/>
        </w:rPr>
      </w:pPr>
    </w:p>
    <w:p w14:paraId="51B98F7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80413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4A9B8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5C5FC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4EA3A9F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1C0BD56">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058035E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4F9287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952A8C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0CDD42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353A9A5C">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286EE5F">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497E208">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67248391">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51D74D6B">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19AB7C03">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3A117307">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17A92FE9">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0546C2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050751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94BDA52">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7"/>
    </w:p>
    <w:p w14:paraId="598A0A8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618832C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16FCC32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29FCCA11">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33094BA3">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72BAC44">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r>
        <w:rPr>
          <w:rFonts w:hint="eastAsia" w:ascii="黑体" w:hAnsi="黑体" w:eastAsia="黑体" w:cs="宋体"/>
          <w:b/>
          <w:bCs/>
          <w:color w:val="auto"/>
          <w:sz w:val="24"/>
          <w:highlight w:val="none"/>
          <w:lang w:eastAsia="zh-CN"/>
        </w:rPr>
        <w:t>：本项目不收取履约保证金。</w:t>
      </w:r>
    </w:p>
    <w:p w14:paraId="501006A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8CAC2A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6938944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965429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280165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07CA2F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B3CF14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418CD1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3F3A7B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B36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BA900B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C250828">
      <w:pPr>
        <w:pStyle w:val="18"/>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6B2DBE0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49BDD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D8754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18C4303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78813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A0600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2DAD2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B04CB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DA0B7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597C0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39764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7ED84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41995A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5970E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251EF6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DECB92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2EB56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336608A">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581D8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52CC2F6B">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color w:val="auto"/>
          <w:highlight w:val="none"/>
          <w:lang w:eastAsia="zh-CN"/>
        </w:rPr>
        <w:t>费</w:t>
      </w:r>
      <w:r>
        <w:rPr>
          <w:rFonts w:hint="eastAsia" w:ascii="宋体" w:hAnsi="宋体" w:cs="宋体"/>
          <w:color w:val="auto"/>
          <w:szCs w:val="21"/>
          <w:highlight w:val="none"/>
        </w:rPr>
        <w:t>收取标准及缴费账户详见“供应商须知前附表”。</w:t>
      </w:r>
    </w:p>
    <w:p w14:paraId="77C83301">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B40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580AD2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4AAA36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41B322B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34F12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5CD2A89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57FB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4C43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3DA9445C">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139C413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4BC6CF7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33F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A4C85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8ACFAD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4763B0A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7684C94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203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7175E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53329974">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0F5A363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707026F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302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6BC3F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14F69A7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42A74F2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73F6932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3E2F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74961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12C6E44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288F674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5F5182B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DB4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B8F89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6758857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4973F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5F4FD2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2346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614B8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4275E5A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307883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E86A7E6">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555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9621E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383D365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6EDDC8D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22F53FB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F7C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799A8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3AA7021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4AF389B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0C969ED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7418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A5265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20F60E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7AE848B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36DAAD89">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615D9D67">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368FA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77DBFF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550E5755">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5D427335">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14:paraId="10FF4072">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14:paraId="2B3E1D51">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14:paraId="76A4F03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AA1908B">
      <w:pPr>
        <w:pStyle w:val="36"/>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29DE7F13">
      <w:pPr>
        <w:pStyle w:val="36"/>
        <w:spacing w:line="360" w:lineRule="auto"/>
        <w:ind w:firstLine="420" w:firstLineChars="200"/>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4D090AC9">
      <w:pPr>
        <w:pStyle w:val="36"/>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1D57476">
      <w:pPr>
        <w:pStyle w:val="36"/>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3961B91">
      <w:pPr>
        <w:pStyle w:val="36"/>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2321B85">
      <w:pPr>
        <w:pStyle w:val="36"/>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8077E70">
      <w:pPr>
        <w:pStyle w:val="36"/>
        <w:spacing w:line="360" w:lineRule="auto"/>
        <w:ind w:firstLine="420" w:firstLineChars="200"/>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0F22968">
      <w:pPr>
        <w:pStyle w:val="36"/>
        <w:spacing w:line="360" w:lineRule="auto"/>
        <w:ind w:firstLine="420" w:firstLineChars="200"/>
        <w:rPr>
          <w:b/>
          <w:bCs/>
          <w:color w:val="auto"/>
          <w:sz w:val="18"/>
          <w:szCs w:val="18"/>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587EB64E">
      <w:pPr>
        <w:snapToGrid w:val="0"/>
        <w:spacing w:line="340" w:lineRule="exact"/>
        <w:rPr>
          <w:rFonts w:ascii="宋体" w:hAnsi="宋体"/>
          <w:color w:val="auto"/>
          <w:kern w:val="0"/>
          <w:sz w:val="20"/>
          <w:szCs w:val="21"/>
          <w:highlight w:val="none"/>
        </w:rPr>
      </w:pPr>
      <w:bookmarkStart w:id="78" w:name="_Toc74323458"/>
      <w:r>
        <w:rPr>
          <w:rFonts w:hint="eastAsia" w:ascii="黑体" w:hAnsi="黑体" w:eastAsia="黑体" w:cs="黑体"/>
          <w:bCs/>
          <w:color w:val="auto"/>
          <w:kern w:val="0"/>
          <w:sz w:val="32"/>
          <w:szCs w:val="32"/>
          <w:highlight w:val="none"/>
        </w:rPr>
        <w:t>附件1：</w:t>
      </w:r>
    </w:p>
    <w:p w14:paraId="2CC376F5">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政府采购项目合同验收书（格式）</w:t>
      </w:r>
    </w:p>
    <w:p w14:paraId="44FE115F">
      <w:pPr>
        <w:widowControl/>
        <w:shd w:val="clear" w:color="auto" w:fill="FFFFFF"/>
        <w:spacing w:line="480" w:lineRule="atLeast"/>
        <w:jc w:val="center"/>
        <w:rPr>
          <w:rFonts w:ascii="仿宋" w:hAnsi="仿宋" w:eastAsia="仿宋" w:cs="宋体"/>
          <w:color w:val="auto"/>
          <w:kern w:val="0"/>
          <w:sz w:val="32"/>
          <w:szCs w:val="32"/>
          <w:highlight w:val="none"/>
        </w:rPr>
      </w:pPr>
    </w:p>
    <w:p w14:paraId="112F566A">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1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31784791">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6B187E25">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7DCBAD7B">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4A043EE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3DA871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3F0505E2">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37FA7417">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7F714793">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8F8A8F1">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1A5C33E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696728C8">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974FD2C">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290E21D">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5BE94A0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F24D182">
            <w:pPr>
              <w:widowControl/>
              <w:spacing w:before="100" w:beforeAutospacing="1" w:after="100" w:afterAutospacing="1" w:line="240" w:lineRule="atLeast"/>
              <w:jc w:val="center"/>
              <w:rPr>
                <w:rFonts w:ascii="Verdana" w:hAnsi="Verdana" w:cs="宋体"/>
                <w:color w:val="auto"/>
                <w:kern w:val="0"/>
                <w:szCs w:val="21"/>
                <w:highlight w:val="none"/>
              </w:rPr>
            </w:pPr>
          </w:p>
        </w:tc>
      </w:tr>
      <w:tr w14:paraId="2BE7A02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E1EC969">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24165830">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B6AE8CE">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5AA13E0C">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52D33A7">
            <w:pPr>
              <w:widowControl/>
              <w:spacing w:before="100" w:beforeAutospacing="1" w:after="100" w:afterAutospacing="1" w:line="240" w:lineRule="atLeast"/>
              <w:jc w:val="center"/>
              <w:rPr>
                <w:rFonts w:ascii="Verdana" w:hAnsi="Verdana" w:cs="宋体"/>
                <w:color w:val="auto"/>
                <w:kern w:val="0"/>
                <w:szCs w:val="21"/>
                <w:highlight w:val="none"/>
              </w:rPr>
            </w:pPr>
          </w:p>
        </w:tc>
      </w:tr>
      <w:tr w14:paraId="243351D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C5C34AC">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8D6487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F766178">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5A880021">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53826E3">
            <w:pPr>
              <w:widowControl/>
              <w:spacing w:before="100" w:beforeAutospacing="1" w:after="100" w:afterAutospacing="1" w:line="240" w:lineRule="atLeast"/>
              <w:jc w:val="center"/>
              <w:rPr>
                <w:rFonts w:ascii="Verdana" w:hAnsi="Verdana" w:cs="宋体"/>
                <w:color w:val="auto"/>
                <w:kern w:val="0"/>
                <w:szCs w:val="21"/>
                <w:highlight w:val="none"/>
              </w:rPr>
            </w:pPr>
          </w:p>
        </w:tc>
      </w:tr>
      <w:tr w14:paraId="5577A7A2">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7EEE1271">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63578F9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93F3130">
            <w:pPr>
              <w:widowControl/>
              <w:spacing w:before="100" w:beforeAutospacing="1" w:after="100" w:afterAutospacing="1" w:line="240" w:lineRule="atLeast"/>
              <w:jc w:val="center"/>
              <w:rPr>
                <w:rFonts w:ascii="Verdana" w:hAnsi="Verdana" w:cs="宋体"/>
                <w:color w:val="auto"/>
                <w:kern w:val="0"/>
                <w:szCs w:val="21"/>
                <w:highlight w:val="none"/>
              </w:rPr>
            </w:pPr>
          </w:p>
        </w:tc>
      </w:tr>
      <w:tr w14:paraId="57E2DA57">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5FCE7867">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4A03EA1C">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0DF83B8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4207EF0D">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F045AED">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2972B7E9">
            <w:pPr>
              <w:widowControl/>
              <w:spacing w:before="100" w:beforeAutospacing="1" w:after="100" w:afterAutospacing="1" w:line="240" w:lineRule="atLeast"/>
              <w:jc w:val="center"/>
              <w:rPr>
                <w:rFonts w:ascii="Verdana" w:hAnsi="Verdana" w:cs="宋体"/>
                <w:color w:val="auto"/>
                <w:kern w:val="0"/>
                <w:szCs w:val="21"/>
                <w:highlight w:val="none"/>
              </w:rPr>
            </w:pPr>
          </w:p>
        </w:tc>
      </w:tr>
      <w:tr w14:paraId="33980ABD">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9EEC4FA">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C1EF58D">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108EDF2F">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32B0435E">
            <w:pPr>
              <w:widowControl/>
              <w:spacing w:before="100" w:beforeAutospacing="1" w:after="100" w:afterAutospacing="1" w:line="240" w:lineRule="atLeast"/>
              <w:jc w:val="center"/>
              <w:rPr>
                <w:rFonts w:ascii="Verdana" w:hAnsi="Verdana" w:cs="宋体"/>
                <w:color w:val="auto"/>
                <w:kern w:val="0"/>
                <w:szCs w:val="21"/>
                <w:highlight w:val="none"/>
              </w:rPr>
            </w:pPr>
          </w:p>
        </w:tc>
      </w:tr>
      <w:tr w14:paraId="4BDE29AA">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B340DD">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9B8B7A3">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w:t>
            </w:r>
            <w:r>
              <w:rPr>
                <w:rFonts w:hint="eastAsia" w:ascii="Verdana" w:hAnsi="Verdana" w:cs="宋体"/>
                <w:color w:val="auto"/>
                <w:kern w:val="0"/>
                <w:szCs w:val="21"/>
                <w:highlight w:val="none"/>
                <w:lang w:eastAsia="zh-CN"/>
              </w:rPr>
              <w:t>磋商</w:t>
            </w:r>
            <w:r>
              <w:rPr>
                <w:rFonts w:ascii="Verdana" w:hAnsi="Verdana" w:cs="宋体"/>
                <w:color w:val="auto"/>
                <w:kern w:val="0"/>
                <w:szCs w:val="21"/>
                <w:highlight w:val="none"/>
              </w:rPr>
              <w:t>文件、竞标响应文件及验收方案等进行验收；并核对成交供应商在安装调试等方面是否违反合同约定或者服务规范要求、提供的质量保证证明材料是否齐全、应有的配件及附件是否达到合同约定等。</w:t>
            </w:r>
            <w:r>
              <w:rPr>
                <w:rFonts w:hint="eastAsia" w:ascii="Verdana" w:hAnsi="Verdana" w:cs="宋体"/>
                <w:color w:val="auto"/>
                <w:kern w:val="0"/>
                <w:szCs w:val="21"/>
                <w:highlight w:val="none"/>
                <w:lang w:eastAsia="zh-CN"/>
              </w:rPr>
              <w:t>见</w:t>
            </w:r>
            <w:r>
              <w:rPr>
                <w:rFonts w:ascii="Verdana" w:hAnsi="Verdana" w:cs="宋体"/>
                <w:color w:val="auto"/>
                <w:kern w:val="0"/>
                <w:szCs w:val="21"/>
                <w:highlight w:val="none"/>
              </w:rPr>
              <w:t>附件)</w:t>
            </w:r>
          </w:p>
        </w:tc>
      </w:tr>
      <w:tr w14:paraId="0A24E331">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230CFF">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0A5B69C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035D317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0943BD39">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7C3F79AF">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78CCC57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020442C3">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4610A1">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496583D9">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C5123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2832C3A5">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0B99F4FB">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1FE8307">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026F22AF">
            <w:pPr>
              <w:widowControl/>
              <w:spacing w:before="100" w:beforeAutospacing="1" w:after="100" w:afterAutospacing="1" w:line="320" w:lineRule="atLeast"/>
              <w:jc w:val="left"/>
              <w:rPr>
                <w:rFonts w:ascii="Verdana" w:hAnsi="Verdana" w:cs="宋体"/>
                <w:color w:val="auto"/>
                <w:kern w:val="0"/>
                <w:szCs w:val="21"/>
                <w:highlight w:val="none"/>
              </w:rPr>
            </w:pPr>
          </w:p>
          <w:p w14:paraId="289405B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0CDC270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48579786">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0AB5A4D">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238E1828">
      <w:pPr>
        <w:snapToGrid w:val="0"/>
        <w:rPr>
          <w:rFonts w:ascii="宋体"/>
          <w:b/>
          <w:bCs/>
          <w:color w:val="auto"/>
          <w:sz w:val="18"/>
          <w:szCs w:val="18"/>
          <w:highlight w:val="none"/>
        </w:rPr>
      </w:pPr>
    </w:p>
    <w:p w14:paraId="5A77F14B">
      <w:pPr>
        <w:snapToGrid w:val="0"/>
        <w:rPr>
          <w:rFonts w:hint="eastAsia" w:ascii="黑体" w:hAnsi="黑体" w:eastAsia="黑体" w:cs="黑体"/>
          <w:color w:val="auto"/>
          <w:kern w:val="0"/>
          <w:sz w:val="32"/>
          <w:szCs w:val="32"/>
          <w:highlight w:val="none"/>
        </w:rPr>
      </w:pPr>
    </w:p>
    <w:p w14:paraId="1A740461">
      <w:pPr>
        <w:pStyle w:val="14"/>
        <w:jc w:val="center"/>
        <w:rPr>
          <w:color w:val="auto"/>
          <w:highlight w:val="none"/>
        </w:rPr>
      </w:pPr>
      <w:r>
        <w:rPr>
          <w:rFonts w:hint="eastAsia"/>
          <w:color w:val="auto"/>
          <w:highlight w:val="none"/>
        </w:rPr>
        <w:t>第三章 采购需求</w:t>
      </w:r>
      <w:bookmarkEnd w:id="78"/>
    </w:p>
    <w:p w14:paraId="478ABCD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17B69F50">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7497DAF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32EA07D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56A1011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75D6C7F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0D31BA">
      <w:pPr>
        <w:spacing w:line="360" w:lineRule="auto"/>
        <w:ind w:firstLine="426" w:firstLineChars="202"/>
        <w:jc w:val="left"/>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2.“实质性要求”是指采购需求中带“▲”的条款或者不能负偏离的条款或者已经指明不满足按响应文件无效处理的条款。</w:t>
      </w:r>
    </w:p>
    <w:p w14:paraId="39CC5586">
      <w:pPr>
        <w:spacing w:line="360" w:lineRule="auto"/>
        <w:ind w:firstLine="424" w:firstLineChars="202"/>
        <w:jc w:val="left"/>
        <w:rPr>
          <w:b/>
          <w:bCs/>
          <w:color w:val="auto"/>
          <w:highlight w:val="none"/>
        </w:rPr>
      </w:pPr>
      <w:r>
        <w:rPr>
          <w:rFonts w:hint="eastAsia" w:ascii="宋体" w:hAnsi="宋体" w:cs="宋体"/>
          <w:color w:val="auto"/>
          <w:szCs w:val="21"/>
          <w:highlight w:val="none"/>
        </w:rPr>
        <w:t>3.供应商应根据自身实际情况如实响应磋商文件</w:t>
      </w:r>
      <w:r>
        <w:rPr>
          <w:rFonts w:hint="eastAsia" w:ascii="宋体" w:hAnsi="宋体"/>
          <w:color w:val="auto"/>
          <w:szCs w:val="21"/>
          <w:highlight w:val="none"/>
        </w:rPr>
        <w:t>，对磋商文件提出的要求和条件作出明确响应</w:t>
      </w:r>
      <w:r>
        <w:rPr>
          <w:rFonts w:hint="eastAsia" w:ascii="宋体" w:hAnsi="宋体"/>
          <w:b/>
          <w:bCs/>
          <w:color w:val="auto"/>
          <w:szCs w:val="21"/>
          <w:highlight w:val="none"/>
        </w:rPr>
        <w:t>，否则将作无效响应处理。</w:t>
      </w:r>
    </w:p>
    <w:p w14:paraId="2B17C12F">
      <w:pPr>
        <w:spacing w:line="360" w:lineRule="auto"/>
        <w:ind w:firstLine="424" w:firstLineChars="202"/>
        <w:jc w:val="left"/>
        <w:rPr>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tbl>
      <w:tblPr>
        <w:tblStyle w:val="10"/>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09A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tcBorders>
              <w:top w:val="single" w:color="auto" w:sz="4" w:space="0"/>
              <w:left w:val="single" w:color="auto" w:sz="4" w:space="0"/>
              <w:bottom w:val="single" w:color="auto" w:sz="4" w:space="0"/>
              <w:right w:val="single" w:color="auto" w:sz="4" w:space="0"/>
            </w:tcBorders>
            <w:vAlign w:val="center"/>
          </w:tcPr>
          <w:p w14:paraId="2243A532">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一、技术</w:t>
            </w:r>
            <w:r>
              <w:rPr>
                <w:rFonts w:hint="eastAsia" w:ascii="宋体" w:hAnsi="宋体" w:cs="宋体"/>
                <w:b/>
                <w:color w:val="auto"/>
                <w:szCs w:val="21"/>
                <w:highlight w:val="none"/>
                <w:lang w:eastAsia="zh-CN"/>
              </w:rPr>
              <w:t>服务</w:t>
            </w:r>
            <w:r>
              <w:rPr>
                <w:rFonts w:hint="eastAsia" w:ascii="宋体" w:hAnsi="宋体" w:eastAsia="宋体" w:cs="宋体"/>
                <w:b/>
                <w:color w:val="auto"/>
                <w:szCs w:val="21"/>
                <w:highlight w:val="none"/>
              </w:rPr>
              <w:t>要求</w:t>
            </w:r>
          </w:p>
        </w:tc>
      </w:tr>
      <w:tr w14:paraId="59A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DE058E9">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4" w:type="dxa"/>
            <w:tcBorders>
              <w:top w:val="single" w:color="auto" w:sz="4" w:space="0"/>
              <w:left w:val="single" w:color="auto" w:sz="4" w:space="0"/>
              <w:bottom w:val="single" w:color="auto" w:sz="4" w:space="0"/>
              <w:right w:val="single" w:color="auto" w:sz="4" w:space="0"/>
            </w:tcBorders>
            <w:vAlign w:val="center"/>
          </w:tcPr>
          <w:p w14:paraId="6F5BA71E">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666" w:type="dxa"/>
            <w:tcBorders>
              <w:top w:val="single" w:color="auto" w:sz="4" w:space="0"/>
              <w:left w:val="single" w:color="auto" w:sz="4" w:space="0"/>
              <w:bottom w:val="single" w:color="auto" w:sz="4" w:space="0"/>
              <w:right w:val="single" w:color="auto" w:sz="4" w:space="0"/>
            </w:tcBorders>
            <w:vAlign w:val="center"/>
          </w:tcPr>
          <w:p w14:paraId="414F3DA5">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87" w:type="dxa"/>
            <w:tcBorders>
              <w:top w:val="single" w:color="auto" w:sz="4" w:space="0"/>
              <w:left w:val="single" w:color="auto" w:sz="4" w:space="0"/>
              <w:bottom w:val="single" w:color="auto" w:sz="4" w:space="0"/>
              <w:right w:val="single" w:color="auto" w:sz="4" w:space="0"/>
            </w:tcBorders>
            <w:vAlign w:val="center"/>
          </w:tcPr>
          <w:p w14:paraId="2B5B5C74">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6A37222A">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6369" w:type="dxa"/>
            <w:tcBorders>
              <w:top w:val="single" w:color="auto" w:sz="4" w:space="0"/>
              <w:left w:val="single" w:color="auto" w:sz="4" w:space="0"/>
              <w:bottom w:val="single" w:color="auto" w:sz="4" w:space="0"/>
              <w:right w:val="single" w:color="auto" w:sz="4" w:space="0"/>
            </w:tcBorders>
            <w:vAlign w:val="center"/>
          </w:tcPr>
          <w:p w14:paraId="5188B42A">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服务要求</w:t>
            </w:r>
          </w:p>
        </w:tc>
      </w:tr>
      <w:tr w14:paraId="7B6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2BD78D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4" w:type="dxa"/>
            <w:tcBorders>
              <w:top w:val="single" w:color="auto" w:sz="4" w:space="0"/>
              <w:left w:val="single" w:color="auto" w:sz="4" w:space="0"/>
              <w:bottom w:val="single" w:color="auto" w:sz="4" w:space="0"/>
              <w:right w:val="single" w:color="auto" w:sz="4" w:space="0"/>
            </w:tcBorders>
            <w:vAlign w:val="center"/>
          </w:tcPr>
          <w:p w14:paraId="5310DFF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防城港市医疗保障基金监管购买服务</w:t>
            </w:r>
          </w:p>
        </w:tc>
        <w:tc>
          <w:tcPr>
            <w:tcW w:w="666" w:type="dxa"/>
            <w:tcBorders>
              <w:top w:val="single" w:color="auto" w:sz="4" w:space="0"/>
              <w:left w:val="single" w:color="auto" w:sz="4" w:space="0"/>
              <w:bottom w:val="single" w:color="auto" w:sz="4" w:space="0"/>
              <w:right w:val="single" w:color="auto" w:sz="4" w:space="0"/>
            </w:tcBorders>
            <w:vAlign w:val="center"/>
          </w:tcPr>
          <w:p w14:paraId="3714309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w:t>
            </w:r>
          </w:p>
        </w:tc>
        <w:tc>
          <w:tcPr>
            <w:tcW w:w="687" w:type="dxa"/>
            <w:tcBorders>
              <w:top w:val="single" w:color="auto" w:sz="4" w:space="0"/>
              <w:left w:val="single" w:color="auto" w:sz="4" w:space="0"/>
              <w:bottom w:val="single" w:color="auto" w:sz="4" w:space="0"/>
              <w:right w:val="single" w:color="auto" w:sz="4" w:space="0"/>
            </w:tcBorders>
            <w:vAlign w:val="center"/>
          </w:tcPr>
          <w:p w14:paraId="44D8FB95">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租赁和商务服务业</w:t>
            </w:r>
          </w:p>
        </w:tc>
        <w:tc>
          <w:tcPr>
            <w:tcW w:w="6369" w:type="dxa"/>
            <w:tcBorders>
              <w:top w:val="single" w:color="auto" w:sz="4" w:space="0"/>
              <w:left w:val="single" w:color="auto" w:sz="4" w:space="0"/>
              <w:bottom w:val="single" w:color="auto" w:sz="4" w:space="0"/>
              <w:right w:val="single" w:color="auto" w:sz="4" w:space="0"/>
            </w:tcBorders>
            <w:vAlign w:val="center"/>
          </w:tcPr>
          <w:p w14:paraId="0C8404D0">
            <w:pPr>
              <w:spacing w:line="360" w:lineRule="auto"/>
              <w:rPr>
                <w:rFonts w:hint="eastAsia" w:ascii="宋体" w:hAnsi="宋体" w:eastAsia="宋体" w:cs="宋体"/>
                <w:b/>
                <w:bCs w:val="0"/>
                <w:color w:val="auto"/>
                <w:szCs w:val="20"/>
                <w:highlight w:val="none"/>
                <w:lang w:val="en-US" w:eastAsia="zh-CN"/>
              </w:rPr>
            </w:pPr>
            <w:bookmarkStart w:id="79" w:name="_Toc15747"/>
            <w:r>
              <w:rPr>
                <w:rFonts w:hint="eastAsia" w:ascii="宋体" w:hAnsi="宋体" w:eastAsia="宋体" w:cs="宋体"/>
                <w:b/>
                <w:bCs w:val="0"/>
                <w:color w:val="auto"/>
                <w:szCs w:val="20"/>
                <w:highlight w:val="none"/>
                <w:lang w:val="en-US" w:eastAsia="zh-CN"/>
              </w:rPr>
              <w:t>一、项目背景</w:t>
            </w:r>
            <w:bookmarkEnd w:id="79"/>
          </w:p>
          <w:p w14:paraId="5841F5EA">
            <w:pPr>
              <w:spacing w:line="360" w:lineRule="auto"/>
              <w:ind w:firstLine="420" w:firstLineChars="200"/>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rPr>
              <w:t xml:space="preserve">为贯彻落实《医疗保障基金使用监督管理条例》（中华人民共和国国务院令 </w:t>
            </w:r>
            <w:r>
              <w:rPr>
                <w:rFonts w:hint="eastAsia" w:ascii="宋体" w:hAnsi="宋体" w:eastAsia="宋体" w:cs="宋体"/>
                <w:bCs/>
                <w:color w:val="auto"/>
                <w:szCs w:val="20"/>
                <w:highlight w:val="none"/>
                <w:lang w:eastAsia="zh-CN"/>
              </w:rPr>
              <w:t>第</w:t>
            </w:r>
            <w:r>
              <w:rPr>
                <w:rFonts w:hint="eastAsia" w:ascii="宋体" w:hAnsi="宋体" w:eastAsia="宋体" w:cs="宋体"/>
                <w:bCs/>
                <w:color w:val="auto"/>
                <w:szCs w:val="20"/>
                <w:highlight w:val="none"/>
                <w:lang w:val="en-US" w:eastAsia="zh-CN"/>
              </w:rPr>
              <w:t>735号</w:t>
            </w:r>
            <w:r>
              <w:rPr>
                <w:rFonts w:hint="eastAsia" w:ascii="宋体" w:hAnsi="宋体" w:eastAsia="宋体" w:cs="宋体"/>
                <w:bCs/>
                <w:color w:val="auto"/>
                <w:szCs w:val="20"/>
                <w:highlight w:val="none"/>
              </w:rPr>
              <w:t>）、《国家医疗保障局关于做好2026年医疗保障基金监管工作的通知</w:t>
            </w:r>
            <w:r>
              <w:rPr>
                <w:rFonts w:hint="eastAsia" w:ascii="宋体" w:hAnsi="宋体" w:eastAsia="宋体" w:cs="宋体"/>
                <w:bCs/>
                <w:color w:val="auto"/>
                <w:szCs w:val="20"/>
                <w:highlight w:val="none"/>
                <w:lang w:eastAsia="zh-CN"/>
              </w:rPr>
              <w:t>》</w:t>
            </w:r>
            <w:r>
              <w:rPr>
                <w:rFonts w:hint="eastAsia" w:ascii="宋体" w:hAnsi="宋体" w:eastAsia="宋体" w:cs="宋体"/>
                <w:bCs/>
                <w:color w:val="auto"/>
                <w:szCs w:val="20"/>
                <w:highlight w:val="none"/>
              </w:rPr>
              <w:t>等文件精神，进一步加强对医疗保障定点医药机构、纳入医保支付资格管理的相关人员、参保人员的监督管理，规范服务行为，杜绝医保基金不合理支出，重点打击欺诈骗保行为，确保医疗保障基金安全</w:t>
            </w:r>
            <w:r>
              <w:rPr>
                <w:rFonts w:hint="eastAsia" w:ascii="宋体" w:hAnsi="宋体" w:eastAsia="宋体" w:cs="宋体"/>
                <w:bCs/>
                <w:color w:val="auto"/>
                <w:szCs w:val="20"/>
                <w:highlight w:val="none"/>
                <w:lang w:eastAsia="zh-CN"/>
              </w:rPr>
              <w:t>，</w:t>
            </w:r>
            <w:r>
              <w:rPr>
                <w:rFonts w:hint="eastAsia" w:ascii="宋体" w:hAnsi="宋体" w:eastAsia="宋体" w:cs="宋体"/>
                <w:bCs/>
                <w:color w:val="auto"/>
                <w:szCs w:val="20"/>
                <w:highlight w:val="none"/>
              </w:rPr>
              <w:t>引入第三方力量参与基金监管工作。</w:t>
            </w:r>
          </w:p>
          <w:p w14:paraId="1602137F">
            <w:pPr>
              <w:spacing w:line="360" w:lineRule="auto"/>
              <w:rPr>
                <w:rFonts w:hint="eastAsia" w:ascii="宋体" w:hAnsi="宋体" w:eastAsia="宋体" w:cs="宋体"/>
                <w:b/>
                <w:bCs w:val="0"/>
                <w:color w:val="auto"/>
                <w:szCs w:val="20"/>
                <w:highlight w:val="none"/>
                <w:lang w:val="en-US" w:eastAsia="zh-CN"/>
              </w:rPr>
            </w:pPr>
            <w:bookmarkStart w:id="80" w:name="_Toc17661"/>
            <w:r>
              <w:rPr>
                <w:rFonts w:hint="eastAsia" w:ascii="宋体" w:hAnsi="宋体" w:eastAsia="宋体" w:cs="宋体"/>
                <w:b/>
                <w:bCs w:val="0"/>
                <w:color w:val="auto"/>
                <w:szCs w:val="20"/>
                <w:highlight w:val="none"/>
                <w:lang w:val="en-US" w:eastAsia="zh-CN"/>
              </w:rPr>
              <w:t>二、服务内容</w:t>
            </w:r>
            <w:bookmarkEnd w:id="80"/>
          </w:p>
          <w:p w14:paraId="0CBC44B8">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rPr>
              <w:t>聚焦医疗保障领域违法违规和欺诈骗保行为，</w:t>
            </w:r>
            <w:r>
              <w:rPr>
                <w:rFonts w:hint="eastAsia" w:ascii="宋体" w:hAnsi="宋体" w:eastAsia="宋体" w:cs="宋体"/>
                <w:bCs/>
                <w:color w:val="auto"/>
                <w:szCs w:val="20"/>
                <w:highlight w:val="none"/>
                <w:lang w:eastAsia="zh-CN"/>
              </w:rPr>
              <w:t>成交</w:t>
            </w:r>
            <w:r>
              <w:rPr>
                <w:rFonts w:hint="eastAsia" w:ascii="宋体" w:hAnsi="宋体" w:eastAsia="宋体" w:cs="宋体"/>
                <w:bCs/>
                <w:color w:val="auto"/>
                <w:szCs w:val="20"/>
                <w:highlight w:val="none"/>
              </w:rPr>
              <w:t>供应商</w:t>
            </w:r>
            <w:r>
              <w:rPr>
                <w:rFonts w:hint="eastAsia" w:ascii="宋体" w:hAnsi="宋体" w:eastAsia="宋体" w:cs="宋体"/>
                <w:bCs/>
                <w:color w:val="auto"/>
                <w:szCs w:val="20"/>
                <w:highlight w:val="none"/>
                <w:lang w:eastAsia="zh-CN"/>
              </w:rPr>
              <w:t>须</w:t>
            </w:r>
            <w:r>
              <w:rPr>
                <w:rFonts w:hint="eastAsia" w:ascii="宋体" w:hAnsi="宋体" w:eastAsia="宋体" w:cs="宋体"/>
                <w:bCs/>
                <w:color w:val="auto"/>
                <w:szCs w:val="20"/>
                <w:highlight w:val="none"/>
              </w:rPr>
              <w:t>配合采购</w:t>
            </w:r>
            <w:r>
              <w:rPr>
                <w:rFonts w:hint="eastAsia" w:ascii="宋体" w:hAnsi="宋体" w:eastAsia="宋体" w:cs="宋体"/>
                <w:bCs/>
                <w:color w:val="auto"/>
                <w:szCs w:val="20"/>
                <w:highlight w:val="none"/>
                <w:lang w:eastAsia="zh-CN"/>
              </w:rPr>
              <w:t>人</w:t>
            </w:r>
            <w:r>
              <w:rPr>
                <w:rFonts w:hint="eastAsia" w:ascii="宋体" w:hAnsi="宋体" w:eastAsia="宋体" w:cs="宋体"/>
                <w:bCs/>
                <w:color w:val="auto"/>
                <w:szCs w:val="20"/>
                <w:highlight w:val="none"/>
              </w:rPr>
              <w:t>对纳入医疗保障基金支付范围的医疗服务行为和医疗费进行数据分析、疑点数据筛查</w:t>
            </w:r>
            <w:r>
              <w:rPr>
                <w:rFonts w:hint="eastAsia" w:ascii="宋体" w:hAnsi="宋体" w:eastAsia="宋体" w:cs="宋体"/>
                <w:bCs/>
                <w:color w:val="auto"/>
                <w:szCs w:val="20"/>
                <w:highlight w:val="none"/>
                <w:lang w:eastAsia="zh-CN"/>
              </w:rPr>
              <w:t>。</w:t>
            </w:r>
            <w:r>
              <w:rPr>
                <w:rFonts w:hint="eastAsia" w:ascii="宋体" w:hAnsi="宋体" w:eastAsia="宋体" w:cs="宋体"/>
                <w:bCs/>
                <w:color w:val="auto"/>
                <w:szCs w:val="20"/>
                <w:highlight w:val="none"/>
                <w:lang w:val="en-US" w:eastAsia="zh-CN"/>
              </w:rPr>
              <w:t>采用“数据先行”模式，利用大数据技术挖掘疑点信息，提升医保基金监管能效。构建“数智赋能”的新型医保全链路、全方位监管模式，保持打击欺诈骗保的高压态势。</w:t>
            </w:r>
          </w:p>
          <w:p w14:paraId="65FDE99F">
            <w:pPr>
              <w:spacing w:line="360" w:lineRule="auto"/>
              <w:ind w:firstLine="420" w:firstLineChars="200"/>
              <w:rPr>
                <w:rFonts w:hint="eastAsia" w:ascii="宋体" w:hAnsi="宋体" w:eastAsia="宋体" w:cs="宋体"/>
                <w:bCs/>
                <w:color w:val="auto"/>
                <w:szCs w:val="20"/>
                <w:highlight w:val="none"/>
              </w:rPr>
            </w:pPr>
            <w:r>
              <w:rPr>
                <w:rFonts w:hint="eastAsia" w:ascii="宋体" w:hAnsi="宋体" w:eastAsia="宋体" w:cs="宋体"/>
                <w:bCs/>
                <w:color w:val="auto"/>
                <w:szCs w:val="20"/>
                <w:highlight w:val="none"/>
                <w:lang w:val="en-US" w:eastAsia="zh-CN"/>
              </w:rPr>
              <w:t>针对监管对象广泛、信息分散、行为隐蔽等特点，通过信息技术手段的应用，创新监管方式方法。在建立健全监管监督检查制度基础上，充分发挥大数据</w:t>
            </w:r>
            <w:r>
              <w:rPr>
                <w:rFonts w:hint="eastAsia" w:ascii="宋体" w:hAnsi="宋体" w:cs="宋体"/>
                <w:bCs/>
                <w:color w:val="auto"/>
                <w:szCs w:val="20"/>
                <w:highlight w:val="none"/>
                <w:lang w:val="en-US" w:eastAsia="zh-CN"/>
              </w:rPr>
              <w:t>、</w:t>
            </w:r>
            <w:r>
              <w:rPr>
                <w:rFonts w:hint="eastAsia" w:ascii="宋体" w:hAnsi="宋体" w:eastAsia="宋体" w:cs="宋体"/>
                <w:bCs/>
                <w:color w:val="auto"/>
                <w:szCs w:val="20"/>
                <w:highlight w:val="none"/>
                <w:lang w:val="en-US" w:eastAsia="zh-CN"/>
              </w:rPr>
              <w:t>新技术等信息化手段高效</w:t>
            </w:r>
            <w:r>
              <w:rPr>
                <w:rFonts w:hint="eastAsia" w:ascii="宋体" w:hAnsi="宋体" w:cs="宋体"/>
                <w:bCs/>
                <w:color w:val="auto"/>
                <w:szCs w:val="20"/>
                <w:highlight w:val="none"/>
                <w:lang w:val="en-US" w:eastAsia="zh-CN"/>
              </w:rPr>
              <w:t>、</w:t>
            </w:r>
            <w:r>
              <w:rPr>
                <w:rFonts w:hint="eastAsia" w:ascii="宋体" w:hAnsi="宋体" w:eastAsia="宋体" w:cs="宋体"/>
                <w:bCs/>
                <w:color w:val="auto"/>
                <w:szCs w:val="20"/>
                <w:highlight w:val="none"/>
                <w:lang w:val="en-US" w:eastAsia="zh-CN"/>
              </w:rPr>
              <w:t>精准的管理特点，提升医保欺诈风险行为的识别能力与医保基金监管能力。</w:t>
            </w:r>
          </w:p>
          <w:p w14:paraId="59275699">
            <w:pPr>
              <w:spacing w:line="360" w:lineRule="auto"/>
              <w:ind w:firstLine="420" w:firstLineChars="200"/>
              <w:rPr>
                <w:rFonts w:hint="eastAsia" w:ascii="宋体" w:hAnsi="宋体" w:eastAsia="宋体" w:cs="宋体"/>
                <w:bCs/>
                <w:color w:val="auto"/>
                <w:szCs w:val="20"/>
                <w:highlight w:val="none"/>
                <w:lang w:val="en-US" w:eastAsia="zh-CN"/>
              </w:rPr>
            </w:pPr>
            <w:bookmarkStart w:id="81" w:name="_Toc9726"/>
            <w:r>
              <w:rPr>
                <w:rFonts w:hint="eastAsia" w:ascii="宋体" w:hAnsi="宋体" w:eastAsia="宋体" w:cs="宋体"/>
                <w:bCs/>
                <w:color w:val="auto"/>
                <w:szCs w:val="20"/>
                <w:highlight w:val="none"/>
                <w:lang w:val="en-US" w:eastAsia="zh-CN"/>
              </w:rPr>
              <w:t>（一）项目范围</w:t>
            </w:r>
            <w:bookmarkEnd w:id="81"/>
          </w:p>
          <w:p w14:paraId="2FAB1E39">
            <w:pPr>
              <w:spacing w:line="360" w:lineRule="auto"/>
              <w:ind w:firstLine="420" w:firstLineChars="200"/>
              <w:rPr>
                <w:rFonts w:hint="eastAsia" w:ascii="宋体" w:hAnsi="宋体" w:eastAsia="宋体" w:cs="宋体"/>
                <w:bCs/>
                <w:color w:val="auto"/>
                <w:szCs w:val="20"/>
                <w:highlight w:val="none"/>
                <w:lang w:val="en-US" w:eastAsia="zh-CN"/>
              </w:rPr>
            </w:pPr>
            <w:r>
              <w:rPr>
                <w:rFonts w:hint="eastAsia"/>
                <w:color w:val="auto"/>
                <w:highlight w:val="none"/>
                <w:lang w:eastAsia="zh-CN"/>
              </w:rPr>
              <w:t>成交</w:t>
            </w:r>
            <w:r>
              <w:rPr>
                <w:rFonts w:hint="eastAsia" w:ascii="宋体" w:hAnsi="宋体" w:eastAsia="宋体" w:cs="宋体"/>
                <w:bCs/>
                <w:color w:val="auto"/>
                <w:szCs w:val="20"/>
                <w:highlight w:val="none"/>
                <w:lang w:val="en-US" w:eastAsia="zh-CN"/>
              </w:rPr>
              <w:t>供应商须负责对防城港59家(三级3家，二级9家，一级29家，未定级18家)定点医疗机构2025年度纳入医疗保障基金支付范围的医疗服务行为进行检查。</w:t>
            </w:r>
          </w:p>
          <w:p w14:paraId="7F7FBF8E">
            <w:pPr>
              <w:spacing w:line="360" w:lineRule="auto"/>
              <w:ind w:firstLine="420" w:firstLineChars="200"/>
              <w:rPr>
                <w:rFonts w:hint="eastAsia" w:ascii="宋体" w:hAnsi="宋体" w:eastAsia="宋体" w:cs="宋体"/>
                <w:bCs/>
                <w:color w:val="auto"/>
                <w:szCs w:val="20"/>
                <w:highlight w:val="none"/>
                <w:lang w:val="en-US" w:eastAsia="zh-CN"/>
              </w:rPr>
            </w:pPr>
            <w:bookmarkStart w:id="82" w:name="_Toc19679"/>
            <w:r>
              <w:rPr>
                <w:rFonts w:hint="eastAsia" w:ascii="宋体" w:hAnsi="宋体" w:eastAsia="宋体" w:cs="宋体"/>
                <w:bCs/>
                <w:color w:val="auto"/>
                <w:szCs w:val="20"/>
                <w:highlight w:val="none"/>
                <w:lang w:val="en-US" w:eastAsia="zh-CN"/>
              </w:rPr>
              <w:t>（二）服务内容</w:t>
            </w:r>
            <w:bookmarkEnd w:id="82"/>
          </w:p>
          <w:p w14:paraId="5495C2DD">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1.</w:t>
            </w:r>
            <w:r>
              <w:rPr>
                <w:rFonts w:hint="eastAsia"/>
                <w:color w:val="auto"/>
                <w:highlight w:val="none"/>
                <w:lang w:eastAsia="zh-CN"/>
              </w:rPr>
              <w:t>成交</w:t>
            </w:r>
            <w:r>
              <w:rPr>
                <w:rFonts w:hint="eastAsia" w:ascii="宋体" w:hAnsi="宋体" w:eastAsia="宋体" w:cs="宋体"/>
                <w:bCs/>
                <w:color w:val="auto"/>
                <w:szCs w:val="20"/>
                <w:highlight w:val="none"/>
                <w:lang w:val="en-US" w:eastAsia="zh-CN"/>
              </w:rPr>
              <w:t>供应商负责对范围内的定点医疗机构执行防城港市医疗保障政策、《医疗保障基金使用监督管理条例》和医疗保障服务协议情况进行核查，查找不合理、不合规的医疗、医药行为，实现对定点医疗机构违法、违规、不合理医疗等行为全方位、无死角的监控。完成医疗保障基金监管服务目标，确保医保基金监管管控规范、防控有力，保障医保基金安全运行。重点查证定点医疗机构骨科、肿瘤、检查检验、眼科、口腔、普通外科、神经内科、精神科、康复理疗等领域纳入医疗保障基金支付范围的医疗服务行为和医疗费用以及重点药品、耗材的基金使用情况，并对冒用参保人信息</w:t>
            </w:r>
            <w:r>
              <w:rPr>
                <w:rFonts w:hint="eastAsia" w:ascii="宋体" w:hAnsi="宋体" w:cs="宋体"/>
                <w:bCs/>
                <w:color w:val="auto"/>
                <w:szCs w:val="20"/>
                <w:highlight w:val="none"/>
                <w:lang w:val="en-US" w:eastAsia="zh-CN"/>
              </w:rPr>
              <w:t>、</w:t>
            </w:r>
            <w:r>
              <w:rPr>
                <w:rFonts w:hint="eastAsia" w:ascii="宋体" w:hAnsi="宋体" w:eastAsia="宋体" w:cs="宋体"/>
                <w:bCs/>
                <w:color w:val="auto"/>
                <w:szCs w:val="20"/>
                <w:highlight w:val="none"/>
                <w:lang w:val="en-US" w:eastAsia="zh-CN"/>
              </w:rPr>
              <w:t>挂床住院</w:t>
            </w:r>
            <w:r>
              <w:rPr>
                <w:rFonts w:hint="eastAsia" w:ascii="宋体" w:hAnsi="宋体" w:cs="宋体"/>
                <w:bCs/>
                <w:color w:val="auto"/>
                <w:szCs w:val="20"/>
                <w:highlight w:val="none"/>
                <w:lang w:val="en-US" w:eastAsia="zh-CN"/>
              </w:rPr>
              <w:t>、</w:t>
            </w:r>
            <w:r>
              <w:rPr>
                <w:rFonts w:hint="eastAsia" w:ascii="宋体" w:hAnsi="宋体" w:eastAsia="宋体" w:cs="宋体"/>
                <w:bCs/>
                <w:color w:val="auto"/>
                <w:szCs w:val="20"/>
                <w:highlight w:val="none"/>
                <w:lang w:val="en-US" w:eastAsia="zh-CN"/>
              </w:rPr>
              <w:t>伪造住院病历</w:t>
            </w:r>
            <w:r>
              <w:rPr>
                <w:rFonts w:hint="eastAsia" w:ascii="宋体" w:hAnsi="宋体" w:cs="宋体"/>
                <w:bCs/>
                <w:color w:val="auto"/>
                <w:szCs w:val="20"/>
                <w:highlight w:val="none"/>
                <w:lang w:val="en-US" w:eastAsia="zh-CN"/>
              </w:rPr>
              <w:t>、</w:t>
            </w:r>
            <w:r>
              <w:rPr>
                <w:rFonts w:hint="eastAsia" w:ascii="宋体" w:hAnsi="宋体" w:eastAsia="宋体" w:cs="宋体"/>
                <w:bCs/>
                <w:color w:val="auto"/>
                <w:szCs w:val="20"/>
                <w:highlight w:val="none"/>
                <w:lang w:val="en-US" w:eastAsia="zh-CN"/>
              </w:rPr>
              <w:t>虚构医药服务项目</w:t>
            </w:r>
            <w:r>
              <w:rPr>
                <w:rFonts w:hint="eastAsia" w:ascii="宋体" w:hAnsi="宋体" w:cs="宋体"/>
                <w:bCs/>
                <w:color w:val="auto"/>
                <w:szCs w:val="20"/>
                <w:highlight w:val="none"/>
                <w:lang w:val="en-US" w:eastAsia="zh-CN"/>
              </w:rPr>
              <w:t>、</w:t>
            </w:r>
            <w:r>
              <w:rPr>
                <w:rFonts w:hint="eastAsia" w:ascii="宋体" w:hAnsi="宋体" w:eastAsia="宋体" w:cs="宋体"/>
                <w:bCs/>
                <w:color w:val="auto"/>
                <w:szCs w:val="20"/>
                <w:highlight w:val="none"/>
                <w:lang w:val="en-US" w:eastAsia="zh-CN"/>
              </w:rPr>
              <w:t>虚构药品耗材进销存数据等骗取医保基金行为进行重点核查，对定点医疗机构影像结算数据进行核查比对，对自治区医保局下发的典型问题清单进行筛查检查，并与定点医疗机构的自查自纠情况进行比对，具体包括但不限于以下内容：</w:t>
            </w:r>
          </w:p>
          <w:p w14:paraId="72FE5794">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（1）不合理用药及虚构医疗、过度医疗、过度检查等行为；</w:t>
            </w:r>
          </w:p>
          <w:p w14:paraId="60D3FE22">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（2）虚增费用、空床挂床住院、串换项目、超限超量用药、违反物价规定收费等行为；</w:t>
            </w:r>
          </w:p>
          <w:p w14:paraId="2E509F59">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（3）虚构医疗服务、伪造医疗文书或票据行为；</w:t>
            </w:r>
          </w:p>
          <w:p w14:paraId="17583584">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（4）串换药品、器械、诊疗项目等行为；</w:t>
            </w:r>
          </w:p>
          <w:p w14:paraId="20D6C540">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（5）分解收费、超标准收费、重复收费、套用项目收费等违规收费行为；</w:t>
            </w:r>
          </w:p>
          <w:p w14:paraId="4CAE31D8">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（6）药品、耗材是否存在虚假购药、重复入库、药品超卖的情况（重点对比财务入库数据与HIS系统数据、医保上传数据）；</w:t>
            </w:r>
          </w:p>
          <w:p w14:paraId="64B46DA3">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（7）其他违法违规和违反医保协议使用医保基金的行为。</w:t>
            </w:r>
          </w:p>
          <w:p w14:paraId="1FB95335">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2.</w:t>
            </w:r>
            <w:r>
              <w:rPr>
                <w:rFonts w:hint="eastAsia"/>
                <w:color w:val="auto"/>
                <w:highlight w:val="none"/>
                <w:lang w:eastAsia="zh-CN"/>
              </w:rPr>
              <w:t>成交</w:t>
            </w:r>
            <w:r>
              <w:rPr>
                <w:rFonts w:hint="eastAsia" w:ascii="宋体" w:hAnsi="宋体" w:eastAsia="宋体" w:cs="宋体"/>
                <w:bCs/>
                <w:color w:val="auto"/>
                <w:szCs w:val="20"/>
                <w:highlight w:val="none"/>
                <w:lang w:val="en-US" w:eastAsia="zh-CN"/>
              </w:rPr>
              <w:t>供应商负责对本次范围内的定点医疗机构开展DRGs支付改革环境下医疗机构的DRG病组相关数据筛查、分析，发现定点医疗机构可能存在的DRG付费方式下新型违规行为：如入组高编、虚编、诊疗不足、过度医疗、分解住院（DRG打包付费重点监管单体医院的分解）、编码套高套低、病程编撰、分解收费、串换项目、低标准入院等问题。</w:t>
            </w:r>
          </w:p>
          <w:p w14:paraId="6D2C4339">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3.</w:t>
            </w:r>
            <w:r>
              <w:rPr>
                <w:rFonts w:hint="eastAsia"/>
                <w:color w:val="auto"/>
                <w:highlight w:val="none"/>
                <w:lang w:eastAsia="zh-CN"/>
              </w:rPr>
              <w:t>成交</w:t>
            </w:r>
            <w:r>
              <w:rPr>
                <w:rFonts w:hint="eastAsia" w:ascii="宋体" w:hAnsi="宋体" w:eastAsia="宋体" w:cs="宋体"/>
                <w:bCs/>
                <w:color w:val="auto"/>
                <w:szCs w:val="20"/>
                <w:highlight w:val="none"/>
                <w:lang w:val="en-US" w:eastAsia="zh-CN"/>
              </w:rPr>
              <w:t>供应商负责对数据分析报告中的疑点以及相关重点科室进行检查，协助防城港市医疗保障局制作询问笔录、留存相关证据，如病历、收费清单、检查报告等;协助对现场检查的问题编写检查反馈报告并反馈给被检查定点机构检查情况；协助被检查定点机构后期的申诉答疑工作。</w:t>
            </w:r>
          </w:p>
          <w:p w14:paraId="4148AF88">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4.对防城港市医疗保障局基金监管日常工作提供数据分析及专家咨询服务。</w:t>
            </w:r>
          </w:p>
          <w:p w14:paraId="41792D4D">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5.合同期内对防城港市医疗保障局基金监管及稽核工作人</w:t>
            </w:r>
            <w:r>
              <w:rPr>
                <w:rFonts w:hint="eastAsia"/>
                <w:color w:val="auto"/>
                <w:highlight w:val="none"/>
                <w:lang w:eastAsia="zh-CN"/>
              </w:rPr>
              <w:t>员</w:t>
            </w:r>
            <w:r>
              <w:rPr>
                <w:rFonts w:hint="eastAsia" w:ascii="宋体" w:hAnsi="宋体" w:eastAsia="宋体" w:cs="宋体"/>
                <w:bCs/>
                <w:color w:val="auto"/>
                <w:szCs w:val="20"/>
                <w:highlight w:val="none"/>
                <w:lang w:val="en-US" w:eastAsia="zh-CN"/>
              </w:rPr>
              <w:t>开展不少于2次基金监管培训、研讨会。</w:t>
            </w:r>
          </w:p>
          <w:p w14:paraId="767AC9B8">
            <w:pPr>
              <w:spacing w:line="360" w:lineRule="auto"/>
              <w:ind w:firstLine="422" w:firstLineChars="200"/>
              <w:rPr>
                <w:rFonts w:hint="eastAsia" w:ascii="宋体" w:hAnsi="宋体" w:eastAsia="宋体" w:cs="宋体"/>
                <w:b/>
                <w:bCs w:val="0"/>
                <w:color w:val="auto"/>
                <w:szCs w:val="20"/>
                <w:highlight w:val="none"/>
                <w:lang w:val="en-US" w:eastAsia="zh-CN"/>
              </w:rPr>
            </w:pPr>
            <w:bookmarkStart w:id="83" w:name="_Toc10751"/>
            <w:r>
              <w:rPr>
                <w:rFonts w:hint="eastAsia" w:ascii="宋体" w:hAnsi="宋体" w:eastAsia="宋体" w:cs="宋体"/>
                <w:b/>
                <w:bCs w:val="0"/>
                <w:color w:val="auto"/>
                <w:szCs w:val="20"/>
                <w:highlight w:val="none"/>
                <w:lang w:val="en-US" w:eastAsia="zh-CN"/>
              </w:rPr>
              <w:t>三、拟投入服务团队</w:t>
            </w:r>
            <w:bookmarkEnd w:id="83"/>
            <w:r>
              <w:rPr>
                <w:rFonts w:hint="eastAsia" w:ascii="宋体" w:hAnsi="宋体" w:eastAsia="宋体" w:cs="宋体"/>
                <w:b/>
                <w:bCs w:val="0"/>
                <w:color w:val="auto"/>
                <w:szCs w:val="20"/>
                <w:highlight w:val="none"/>
                <w:lang w:val="en-US" w:eastAsia="zh-CN"/>
              </w:rPr>
              <w:t>要求</w:t>
            </w:r>
          </w:p>
          <w:p w14:paraId="29A7C56D">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成交供应商投入的服务团队人员须包含医学、信息化、财务、综合等专业人员。</w:t>
            </w:r>
          </w:p>
          <w:p w14:paraId="57673761">
            <w:pPr>
              <w:spacing w:line="360" w:lineRule="auto"/>
              <w:ind w:firstLine="420" w:firstLineChars="200"/>
              <w:rPr>
                <w:rFonts w:hint="eastAsia" w:ascii="宋体" w:hAnsi="宋体" w:eastAsia="宋体" w:cs="宋体"/>
                <w:bCs/>
                <w:color w:val="auto"/>
                <w:szCs w:val="20"/>
                <w:highlight w:val="none"/>
                <w:lang w:val="en-US" w:eastAsia="zh-CN"/>
              </w:rPr>
            </w:pPr>
            <w:bookmarkStart w:id="84" w:name="_Toc20237"/>
            <w:r>
              <w:rPr>
                <w:rFonts w:hint="eastAsia" w:ascii="宋体" w:hAnsi="宋体" w:eastAsia="宋体" w:cs="宋体"/>
                <w:bCs/>
                <w:color w:val="auto"/>
                <w:szCs w:val="20"/>
                <w:highlight w:val="none"/>
                <w:lang w:val="en-US" w:eastAsia="zh-CN"/>
              </w:rPr>
              <w:t>（一）服务团队具备的条件</w:t>
            </w:r>
            <w:bookmarkEnd w:id="84"/>
          </w:p>
          <w:p w14:paraId="542DD50C">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服务团队人员应具备相关专业工作的知识和能力，具有医疗保障稽核检查等相关工作经验。</w:t>
            </w:r>
          </w:p>
          <w:p w14:paraId="22A481C7">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1.医学人员：具备医学或护理学或药学或医保（社保）管理等专业背景，具有医学专业知识和能力，熟悉医保政策，具有从事临床及相关医保审核工作经验，具有对医疗机构和医务人员违规、违法诊疗等检查、调查工作经验。</w:t>
            </w:r>
          </w:p>
          <w:p w14:paraId="195AC0E4">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2.信息化人员：具备计算机网络信息技术知识和大数据分析统计能力，具备医保智能监管等相关工作经验。</w:t>
            </w:r>
          </w:p>
          <w:p w14:paraId="7D0A0DDB">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3.财务人员：具备从事审计或会计专业工作的知识和能力，具有从事审计或会计专业工作经验。</w:t>
            </w:r>
          </w:p>
          <w:p w14:paraId="50F98E3E">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4.成交供应商投入服务团队应为具有履行合同所必需的基础管理和对应的设施设备。成交供应商服务团队在采购人指定地点办公（采购人负责提供场地）</w:t>
            </w:r>
            <w:r>
              <w:rPr>
                <w:rFonts w:hint="eastAsia" w:ascii="宋体" w:hAnsi="宋体" w:cs="宋体"/>
                <w:bCs/>
                <w:color w:val="auto"/>
                <w:szCs w:val="20"/>
                <w:highlight w:val="none"/>
                <w:lang w:val="en-US" w:eastAsia="zh-CN"/>
              </w:rPr>
              <w:t>，并</w:t>
            </w:r>
            <w:r>
              <w:rPr>
                <w:rFonts w:hint="eastAsia" w:ascii="宋体" w:hAnsi="宋体" w:eastAsia="宋体" w:cs="宋体"/>
                <w:bCs/>
                <w:color w:val="auto"/>
                <w:szCs w:val="20"/>
                <w:highlight w:val="none"/>
                <w:lang w:val="en-US" w:eastAsia="zh-CN"/>
              </w:rPr>
              <w:t>开展现场检查工作。</w:t>
            </w:r>
          </w:p>
          <w:p w14:paraId="344A3482">
            <w:pPr>
              <w:spacing w:line="360" w:lineRule="auto"/>
              <w:ind w:firstLine="420" w:firstLineChars="200"/>
              <w:rPr>
                <w:rFonts w:hint="eastAsia" w:ascii="宋体" w:hAnsi="宋体" w:eastAsia="宋体" w:cs="宋体"/>
                <w:bCs/>
                <w:color w:val="auto"/>
                <w:szCs w:val="20"/>
                <w:highlight w:val="none"/>
                <w:lang w:val="en-US" w:eastAsia="zh-CN"/>
              </w:rPr>
            </w:pPr>
            <w:bookmarkStart w:id="85" w:name="_Toc21896"/>
            <w:r>
              <w:rPr>
                <w:rFonts w:hint="eastAsia" w:ascii="宋体" w:hAnsi="宋体" w:eastAsia="宋体" w:cs="宋体"/>
                <w:bCs/>
                <w:color w:val="auto"/>
                <w:szCs w:val="20"/>
                <w:highlight w:val="none"/>
                <w:lang w:val="en-US" w:eastAsia="zh-CN"/>
              </w:rPr>
              <w:t>（二）服务人员的工作职责</w:t>
            </w:r>
            <w:bookmarkEnd w:id="85"/>
          </w:p>
          <w:p w14:paraId="3DA09F4B">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1.医学人员：负责了解医院情况、走访科室，约谈医护人员；抽查疑点病历、核对医嘱与费用清单、核实化验检查原始记录；协助信息筛查数据，找出疑点病历和项目。</w:t>
            </w:r>
          </w:p>
          <w:p w14:paraId="478B1393">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2.信息化人员：负责查看医保结算传输数据，对医院数据信息进行全面分析；依据举报线索和医院的不同特点，利用数据分析规则、大数据技术进行筛查，找出疑点病历和项目。</w:t>
            </w:r>
          </w:p>
          <w:p w14:paraId="68DF8367">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3.财务人员：负责查对财务账目流水，核查重点药品耗材进销存，出入货账单，凭证，发票等。</w:t>
            </w:r>
          </w:p>
          <w:p w14:paraId="21A9AF3C">
            <w:pPr>
              <w:spacing w:line="360" w:lineRule="auto"/>
              <w:ind w:firstLine="422" w:firstLineChars="200"/>
              <w:rPr>
                <w:rFonts w:hint="eastAsia" w:ascii="宋体" w:hAnsi="宋体" w:eastAsia="宋体" w:cs="宋体"/>
                <w:b/>
                <w:bCs w:val="0"/>
                <w:color w:val="auto"/>
                <w:szCs w:val="20"/>
                <w:highlight w:val="none"/>
                <w:lang w:val="en-US" w:eastAsia="zh-CN"/>
              </w:rPr>
            </w:pPr>
            <w:bookmarkStart w:id="86" w:name="_Toc8276"/>
            <w:r>
              <w:rPr>
                <w:rFonts w:hint="eastAsia" w:ascii="宋体" w:hAnsi="宋体" w:eastAsia="宋体" w:cs="宋体"/>
                <w:b/>
                <w:bCs w:val="0"/>
                <w:color w:val="auto"/>
                <w:szCs w:val="20"/>
                <w:highlight w:val="none"/>
                <w:lang w:val="en-US" w:eastAsia="zh-CN"/>
              </w:rPr>
              <w:t>四、</w:t>
            </w:r>
            <w:bookmarkStart w:id="87" w:name="OLE_LINK23"/>
            <w:r>
              <w:rPr>
                <w:rFonts w:hint="eastAsia" w:ascii="宋体" w:hAnsi="宋体" w:eastAsia="宋体" w:cs="宋体"/>
                <w:b/>
                <w:bCs w:val="0"/>
                <w:color w:val="auto"/>
                <w:szCs w:val="20"/>
                <w:highlight w:val="none"/>
                <w:lang w:val="en-US" w:eastAsia="zh-CN"/>
              </w:rPr>
              <w:t>检查结果沟通反馈</w:t>
            </w:r>
            <w:bookmarkEnd w:id="86"/>
            <w:bookmarkEnd w:id="87"/>
          </w:p>
          <w:p w14:paraId="77832EC3">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cs="宋体"/>
                <w:bCs/>
                <w:color w:val="auto"/>
                <w:szCs w:val="20"/>
                <w:highlight w:val="none"/>
                <w:lang w:val="en-US" w:eastAsia="zh-CN"/>
              </w:rPr>
              <w:t>（一）</w:t>
            </w:r>
            <w:r>
              <w:rPr>
                <w:rFonts w:hint="eastAsia" w:ascii="宋体" w:hAnsi="宋体" w:eastAsia="宋体" w:cs="宋体"/>
                <w:bCs/>
                <w:color w:val="auto"/>
                <w:szCs w:val="20"/>
                <w:highlight w:val="none"/>
                <w:lang w:val="en-US" w:eastAsia="zh-CN"/>
              </w:rPr>
              <w:t>成交供应商通过书面反馈，将每个</w:t>
            </w:r>
            <w:bookmarkStart w:id="88" w:name="OLE_LINK22"/>
            <w:bookmarkStart w:id="89" w:name="OLE_LINK24"/>
            <w:r>
              <w:rPr>
                <w:rFonts w:hint="eastAsia" w:ascii="宋体" w:hAnsi="宋体" w:eastAsia="宋体" w:cs="宋体"/>
                <w:bCs/>
                <w:color w:val="auto"/>
                <w:szCs w:val="20"/>
                <w:highlight w:val="none"/>
                <w:lang w:val="en-US" w:eastAsia="zh-CN"/>
              </w:rPr>
              <w:t>被检单位</w:t>
            </w:r>
            <w:bookmarkEnd w:id="88"/>
            <w:r>
              <w:rPr>
                <w:rFonts w:hint="eastAsia" w:ascii="宋体" w:hAnsi="宋体" w:eastAsia="宋体" w:cs="宋体"/>
                <w:bCs/>
                <w:color w:val="auto"/>
                <w:szCs w:val="20"/>
                <w:highlight w:val="none"/>
                <w:lang w:val="en-US" w:eastAsia="zh-CN"/>
              </w:rPr>
              <w:t>的</w:t>
            </w:r>
            <w:bookmarkEnd w:id="89"/>
            <w:r>
              <w:rPr>
                <w:rFonts w:hint="eastAsia" w:ascii="宋体" w:hAnsi="宋体" w:eastAsia="宋体" w:cs="宋体"/>
                <w:bCs/>
                <w:color w:val="auto"/>
                <w:szCs w:val="20"/>
                <w:highlight w:val="none"/>
                <w:lang w:val="en-US" w:eastAsia="zh-CN"/>
              </w:rPr>
              <w:t>检查报告、检查数据、问题交接等内容在每个被检单位检查结束</w:t>
            </w:r>
            <w:r>
              <w:rPr>
                <w:rFonts w:hint="eastAsia"/>
                <w:color w:val="auto"/>
                <w:highlight w:val="none"/>
                <w:lang w:eastAsia="zh-CN"/>
              </w:rPr>
              <w:t>后</w:t>
            </w:r>
            <w:r>
              <w:rPr>
                <w:rFonts w:hint="eastAsia" w:ascii="宋体" w:hAnsi="宋体" w:eastAsia="宋体" w:cs="宋体"/>
                <w:bCs/>
                <w:color w:val="auto"/>
                <w:szCs w:val="20"/>
                <w:highlight w:val="none"/>
                <w:lang w:val="en-US" w:eastAsia="zh-CN"/>
              </w:rPr>
              <w:t>15个工作日内报送采购人。</w:t>
            </w:r>
          </w:p>
          <w:p w14:paraId="3E4FE412">
            <w:pPr>
              <w:spacing w:line="360" w:lineRule="auto"/>
              <w:ind w:firstLine="420" w:firstLineChars="200"/>
              <w:rPr>
                <w:rFonts w:hint="eastAsia" w:ascii="宋体" w:hAnsi="宋体" w:eastAsia="宋体" w:cs="宋体"/>
                <w:bCs/>
                <w:color w:val="auto"/>
                <w:szCs w:val="20"/>
                <w:highlight w:val="none"/>
                <w:lang w:val="en-US" w:eastAsia="zh-CN"/>
              </w:rPr>
            </w:pPr>
            <w:r>
              <w:rPr>
                <w:rFonts w:hint="eastAsia" w:ascii="宋体" w:hAnsi="宋体" w:cs="宋体"/>
                <w:bCs/>
                <w:color w:val="auto"/>
                <w:szCs w:val="20"/>
                <w:highlight w:val="none"/>
                <w:lang w:val="en-US" w:eastAsia="zh-CN"/>
              </w:rPr>
              <w:t>（二）</w:t>
            </w:r>
            <w:r>
              <w:rPr>
                <w:rFonts w:hint="eastAsia" w:ascii="宋体" w:hAnsi="宋体" w:eastAsia="宋体" w:cs="宋体"/>
                <w:bCs/>
                <w:color w:val="auto"/>
                <w:szCs w:val="20"/>
                <w:highlight w:val="none"/>
                <w:lang w:val="en-US" w:eastAsia="zh-CN"/>
              </w:rPr>
              <w:t>本次工作完成后，用数据反映检查工作取得的成效、存在的问题，提出意见和建议，并将检查工作总结报防城港市医疗保障局，整理相关材料并归档统一报送至防城港市医疗保障局。</w:t>
            </w:r>
          </w:p>
          <w:p w14:paraId="6B9C59F3">
            <w:pPr>
              <w:pStyle w:val="6"/>
              <w:rPr>
                <w:rFonts w:hint="eastAsia" w:ascii="宋体" w:hAnsi="宋体" w:eastAsia="宋体" w:cs="宋体"/>
                <w:bCs/>
                <w:color w:val="auto"/>
                <w:szCs w:val="20"/>
                <w:highlight w:val="none"/>
                <w:lang w:val="en-US" w:eastAsia="zh-CN"/>
              </w:rPr>
            </w:pPr>
            <w:r>
              <w:rPr>
                <w:rFonts w:hint="eastAsia" w:ascii="宋体" w:hAnsi="宋体" w:eastAsia="宋体" w:cs="宋体"/>
                <w:bCs/>
                <w:color w:val="auto"/>
                <w:szCs w:val="20"/>
                <w:highlight w:val="none"/>
                <w:lang w:val="en-US" w:eastAsia="zh-CN"/>
              </w:rPr>
              <w:t>五、其他要求</w:t>
            </w:r>
          </w:p>
          <w:p w14:paraId="257BA88F">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成交供应商所聘用的员工必须符合国家法律、政策的有关规定，对员工的疾病和人身安全负责。发生的劳资纠纷由成交供应商负责。</w:t>
            </w:r>
          </w:p>
          <w:p w14:paraId="7A07776F">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（四）</w:t>
            </w:r>
            <w:r>
              <w:rPr>
                <w:rFonts w:hint="eastAsia" w:ascii="宋体" w:hAnsi="宋体" w:eastAsia="宋体" w:cs="宋体"/>
                <w:color w:val="auto"/>
                <w:highlight w:val="none"/>
                <w:lang w:val="en-US" w:eastAsia="zh-CN"/>
              </w:rPr>
              <w:t>投入人员具有相关工作经验，供应商具有履行合同所需的设备和专业技术能力。</w:t>
            </w:r>
          </w:p>
          <w:p w14:paraId="6E363EEA">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（五）</w:t>
            </w:r>
            <w:r>
              <w:rPr>
                <w:rFonts w:hint="eastAsia" w:ascii="宋体" w:hAnsi="宋体" w:eastAsia="宋体" w:cs="宋体"/>
                <w:color w:val="auto"/>
                <w:highlight w:val="none"/>
                <w:lang w:val="en-US" w:eastAsia="zh-CN"/>
              </w:rPr>
              <w:t>成交供应商未按期限提交服务内容的（特殊情况经采购人同意延期除外），成交供应商每天应向采购人支付合同总金额2‰的违约金，逾期交付超过15天的，视为成交供应商严重违约，采购人有权依法解除合同并要求成交供应商支付合同总金额10%的违约金</w:t>
            </w:r>
            <w:r>
              <w:rPr>
                <w:rFonts w:hint="eastAsia" w:ascii="宋体" w:hAnsi="宋体" w:cs="宋体"/>
                <w:color w:val="auto"/>
                <w:highlight w:val="none"/>
                <w:lang w:val="en-US" w:eastAsia="zh-CN"/>
              </w:rPr>
              <w:t>，同时</w:t>
            </w:r>
            <w:r>
              <w:rPr>
                <w:rFonts w:hint="eastAsia" w:ascii="宋体" w:hAnsi="宋体" w:eastAsia="宋体" w:cs="宋体"/>
                <w:color w:val="auto"/>
                <w:highlight w:val="none"/>
                <w:lang w:val="en-US" w:eastAsia="zh-CN"/>
              </w:rPr>
              <w:t>赔偿给采购人造成的经济损失。</w:t>
            </w:r>
          </w:p>
          <w:p w14:paraId="74565B42">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Cs/>
                <w:color w:val="auto"/>
                <w:szCs w:val="20"/>
                <w:highlight w:val="none"/>
                <w:lang w:val="en-US" w:eastAsia="zh-CN"/>
              </w:rPr>
            </w:pPr>
            <w:r>
              <w:rPr>
                <w:rFonts w:hint="eastAsia" w:ascii="宋体" w:hAnsi="宋体" w:cs="宋体"/>
                <w:color w:val="auto"/>
                <w:highlight w:val="none"/>
                <w:lang w:val="en-US" w:eastAsia="zh-CN"/>
              </w:rPr>
              <w:t>（六）</w:t>
            </w:r>
            <w:r>
              <w:rPr>
                <w:rFonts w:hint="eastAsia" w:ascii="宋体" w:hAnsi="宋体" w:eastAsia="宋体" w:cs="宋体"/>
                <w:color w:val="auto"/>
                <w:highlight w:val="none"/>
                <w:lang w:val="en-US" w:eastAsia="zh-CN"/>
              </w:rPr>
              <w:t>保密要求：成交供应商在项目实施过程中，必须对本项目所有项目信息以及接触到的材料予以保密，未经采购人书面许可，成交供应商不得以任何形式向第三方透露本项目的任何内容。</w:t>
            </w:r>
          </w:p>
        </w:tc>
      </w:tr>
      <w:tr w14:paraId="37CD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tcBorders>
              <w:top w:val="single" w:color="auto" w:sz="4" w:space="0"/>
              <w:left w:val="single" w:color="auto" w:sz="4" w:space="0"/>
              <w:bottom w:val="single" w:color="auto" w:sz="4" w:space="0"/>
              <w:right w:val="single" w:color="auto" w:sz="4" w:space="0"/>
            </w:tcBorders>
            <w:vAlign w:val="center"/>
          </w:tcPr>
          <w:p w14:paraId="7C2EC57E">
            <w:pPr>
              <w:spacing w:line="360" w:lineRule="auto"/>
              <w:jc w:val="left"/>
              <w:rPr>
                <w:rFonts w:hint="eastAsia" w:ascii="宋体" w:hAnsi="宋体" w:eastAsia="宋体" w:cs="宋体"/>
                <w:b/>
                <w:bCs/>
                <w:iCs/>
                <w:color w:val="auto"/>
                <w:szCs w:val="21"/>
                <w:highlight w:val="none"/>
              </w:rPr>
            </w:pPr>
            <w:r>
              <w:rPr>
                <w:rFonts w:hint="eastAsia" w:ascii="宋体" w:hAnsi="宋体" w:eastAsia="宋体" w:cs="宋体"/>
                <w:b/>
                <w:bCs/>
                <w:iCs/>
                <w:color w:val="auto"/>
                <w:szCs w:val="21"/>
                <w:highlight w:val="none"/>
              </w:rPr>
              <w:t>▲二、商务要求</w:t>
            </w:r>
          </w:p>
        </w:tc>
      </w:tr>
      <w:tr w14:paraId="353E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599CCB53">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w:t>
            </w:r>
          </w:p>
        </w:tc>
        <w:tc>
          <w:tcPr>
            <w:tcW w:w="6369" w:type="dxa"/>
            <w:tcBorders>
              <w:top w:val="single" w:color="auto" w:sz="4" w:space="0"/>
              <w:left w:val="single" w:color="auto" w:sz="4" w:space="0"/>
              <w:bottom w:val="single" w:color="auto" w:sz="4" w:space="0"/>
              <w:right w:val="single" w:color="auto" w:sz="4" w:space="0"/>
            </w:tcBorders>
            <w:vAlign w:val="center"/>
          </w:tcPr>
          <w:p w14:paraId="7E7A801E">
            <w:pPr>
              <w:spacing w:line="360" w:lineRule="auto"/>
              <w:jc w:val="left"/>
              <w:rPr>
                <w:rFonts w:hint="eastAsia" w:ascii="宋体" w:hAnsi="宋体" w:eastAsia="宋体" w:cs="宋体"/>
                <w:color w:val="auto"/>
                <w:highlight w:val="none"/>
              </w:rPr>
            </w:pPr>
            <w:r>
              <w:rPr>
                <w:rFonts w:hint="eastAsia" w:ascii="宋体" w:hAnsi="宋体" w:eastAsia="宋体" w:cs="宋体"/>
                <w:bCs/>
                <w:iCs/>
                <w:color w:val="auto"/>
                <w:szCs w:val="21"/>
                <w:highlight w:val="none"/>
              </w:rPr>
              <w:t>自成交通知书发出之日起25日内。</w:t>
            </w:r>
          </w:p>
        </w:tc>
      </w:tr>
      <w:tr w14:paraId="3AC4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3901ADB7">
            <w:pPr>
              <w:tabs>
                <w:tab w:val="left" w:pos="180"/>
                <w:tab w:val="left" w:pos="1620"/>
              </w:tabs>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服务期限、服务地点及提交服务成果地点</w:t>
            </w:r>
          </w:p>
        </w:tc>
        <w:tc>
          <w:tcPr>
            <w:tcW w:w="6369" w:type="dxa"/>
            <w:tcBorders>
              <w:top w:val="single" w:color="auto" w:sz="4" w:space="0"/>
              <w:left w:val="single" w:color="auto" w:sz="4" w:space="0"/>
              <w:bottom w:val="single" w:color="auto" w:sz="4" w:space="0"/>
              <w:right w:val="single" w:color="auto" w:sz="4" w:space="0"/>
            </w:tcBorders>
            <w:vAlign w:val="center"/>
          </w:tcPr>
          <w:p w14:paraId="757952B6">
            <w:pPr>
              <w:spacing w:line="360" w:lineRule="auto"/>
              <w:jc w:val="left"/>
              <w:rPr>
                <w:rFonts w:hint="eastAsia" w:ascii="宋体" w:hAnsi="宋体" w:eastAsia="宋体" w:cs="宋体"/>
                <w:b w:val="0"/>
                <w:bCs w:val="0"/>
                <w:iCs/>
                <w:color w:val="auto"/>
                <w:szCs w:val="21"/>
                <w:highlight w:val="none"/>
                <w:lang w:val="en-US" w:eastAsia="zh-CN"/>
              </w:rPr>
            </w:pPr>
            <w:r>
              <w:rPr>
                <w:rFonts w:hint="eastAsia" w:ascii="宋体" w:hAnsi="宋体" w:eastAsia="宋体" w:cs="宋体"/>
                <w:b w:val="0"/>
                <w:bCs w:val="0"/>
                <w:iCs/>
                <w:color w:val="auto"/>
                <w:szCs w:val="21"/>
                <w:highlight w:val="none"/>
                <w:lang w:val="en-US" w:eastAsia="zh-CN"/>
              </w:rPr>
              <w:t>1.服务期限：自合同签订之日起</w:t>
            </w:r>
            <w:r>
              <w:rPr>
                <w:rFonts w:hint="eastAsia" w:ascii="宋体" w:hAnsi="宋体" w:cs="宋体"/>
                <w:b w:val="0"/>
                <w:bCs w:val="0"/>
                <w:iCs/>
                <w:color w:val="auto"/>
                <w:szCs w:val="21"/>
                <w:highlight w:val="none"/>
                <w:lang w:val="en-US" w:eastAsia="zh-CN"/>
              </w:rPr>
              <w:t>6</w:t>
            </w:r>
            <w:r>
              <w:rPr>
                <w:rFonts w:hint="eastAsia" w:ascii="宋体" w:hAnsi="宋体" w:eastAsia="宋体" w:cs="宋体"/>
                <w:b w:val="0"/>
                <w:bCs w:val="0"/>
                <w:iCs/>
                <w:color w:val="auto"/>
                <w:szCs w:val="21"/>
                <w:highlight w:val="none"/>
                <w:lang w:val="en-US" w:eastAsia="zh-CN"/>
              </w:rPr>
              <w:t>个月内完成项目，特殊情况需延迟的必须经采购人的同意。</w:t>
            </w:r>
          </w:p>
          <w:p w14:paraId="298FEAC4">
            <w:pPr>
              <w:spacing w:line="360" w:lineRule="auto"/>
              <w:jc w:val="left"/>
              <w:rPr>
                <w:rFonts w:hint="eastAsia" w:ascii="宋体" w:hAnsi="宋体" w:eastAsia="宋体" w:cs="宋体"/>
                <w:b w:val="0"/>
                <w:bCs w:val="0"/>
                <w:iCs/>
                <w:color w:val="auto"/>
                <w:szCs w:val="21"/>
                <w:highlight w:val="none"/>
                <w:lang w:val="en-US" w:eastAsia="zh-CN"/>
              </w:rPr>
            </w:pPr>
            <w:r>
              <w:rPr>
                <w:rFonts w:hint="eastAsia" w:ascii="宋体" w:hAnsi="宋体" w:eastAsia="宋体" w:cs="宋体"/>
                <w:b w:val="0"/>
                <w:bCs w:val="0"/>
                <w:iCs/>
                <w:color w:val="auto"/>
                <w:szCs w:val="21"/>
                <w:highlight w:val="none"/>
                <w:lang w:val="en-US" w:eastAsia="zh-CN"/>
              </w:rPr>
              <w:t>2.服务地点：广西区内采购人指定地点（防城港市）。</w:t>
            </w:r>
          </w:p>
          <w:p w14:paraId="473D3483">
            <w:pPr>
              <w:spacing w:line="36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lang w:val="en-US" w:eastAsia="zh-CN"/>
              </w:rPr>
              <w:t>3.提交服务成果地点：防城港市医疗保障局内指定地点。</w:t>
            </w:r>
          </w:p>
        </w:tc>
      </w:tr>
      <w:tr w14:paraId="3427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0466108C">
            <w:pPr>
              <w:tabs>
                <w:tab w:val="left" w:pos="180"/>
                <w:tab w:val="left" w:pos="1620"/>
              </w:tabs>
              <w:spacing w:line="360" w:lineRule="auto"/>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付款条件</w:t>
            </w:r>
          </w:p>
        </w:tc>
        <w:tc>
          <w:tcPr>
            <w:tcW w:w="6369" w:type="dxa"/>
            <w:tcBorders>
              <w:top w:val="single" w:color="auto" w:sz="4" w:space="0"/>
              <w:left w:val="single" w:color="auto" w:sz="4" w:space="0"/>
              <w:bottom w:val="single" w:color="auto" w:sz="4" w:space="0"/>
              <w:right w:val="single" w:color="auto" w:sz="4" w:space="0"/>
            </w:tcBorders>
            <w:vAlign w:val="center"/>
          </w:tcPr>
          <w:p w14:paraId="3E21C4A6">
            <w:pPr>
              <w:spacing w:line="360" w:lineRule="auto"/>
              <w:jc w:val="left"/>
              <w:rPr>
                <w:rFonts w:hint="eastAsia" w:ascii="宋体" w:hAnsi="宋体" w:eastAsia="宋体" w:cs="宋体"/>
                <w:b w:val="0"/>
                <w:bCs w:val="0"/>
                <w:iCs/>
                <w:color w:val="auto"/>
                <w:szCs w:val="21"/>
                <w:highlight w:val="none"/>
                <w:lang w:val="en-US" w:eastAsia="zh-CN"/>
              </w:rPr>
            </w:pPr>
            <w:r>
              <w:rPr>
                <w:rFonts w:hint="eastAsia" w:ascii="宋体" w:hAnsi="宋体" w:eastAsia="宋体" w:cs="宋体"/>
                <w:b w:val="0"/>
                <w:bCs w:val="0"/>
                <w:iCs/>
                <w:color w:val="auto"/>
                <w:szCs w:val="21"/>
                <w:highlight w:val="none"/>
                <w:lang w:val="en-US" w:eastAsia="zh-CN"/>
              </w:rPr>
              <w:t>采购人自合同生效之日起10个工作日内向成交供应商拨付</w:t>
            </w:r>
            <w:r>
              <w:rPr>
                <w:rFonts w:hint="eastAsia" w:ascii="宋体" w:hAnsi="宋体" w:cs="宋体"/>
                <w:b w:val="0"/>
                <w:bCs w:val="0"/>
                <w:iCs/>
                <w:color w:val="auto"/>
                <w:szCs w:val="21"/>
                <w:highlight w:val="none"/>
                <w:lang w:val="en-US" w:eastAsia="zh-CN"/>
              </w:rPr>
              <w:t>30%的</w:t>
            </w:r>
            <w:r>
              <w:rPr>
                <w:rFonts w:hint="eastAsia" w:ascii="宋体" w:hAnsi="宋体" w:eastAsia="宋体" w:cs="宋体"/>
                <w:b w:val="0"/>
                <w:bCs w:val="0"/>
                <w:iCs/>
                <w:color w:val="auto"/>
                <w:szCs w:val="21"/>
                <w:highlight w:val="none"/>
                <w:lang w:val="en-US" w:eastAsia="zh-CN"/>
              </w:rPr>
              <w:t>合同款，</w:t>
            </w:r>
            <w:r>
              <w:rPr>
                <w:rFonts w:hint="eastAsia" w:ascii="宋体" w:hAnsi="宋体" w:cs="宋体"/>
                <w:b w:val="0"/>
                <w:bCs w:val="0"/>
                <w:iCs/>
                <w:color w:val="auto"/>
                <w:szCs w:val="21"/>
                <w:highlight w:val="none"/>
                <w:lang w:val="en-US" w:eastAsia="zh-CN"/>
              </w:rPr>
              <w:t>成交供应商完成所有检查家数并出具检查报告后采购人支付60%的合同款，采购人验收合格后10个工作日内支付10%的合同款。</w:t>
            </w:r>
          </w:p>
        </w:tc>
      </w:tr>
      <w:tr w14:paraId="163B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15C4F22D">
            <w:pPr>
              <w:tabs>
                <w:tab w:val="left" w:pos="180"/>
                <w:tab w:val="left" w:pos="1620"/>
              </w:tabs>
              <w:spacing w:line="360" w:lineRule="auto"/>
              <w:jc w:val="center"/>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磋商报价</w:t>
            </w:r>
          </w:p>
        </w:tc>
        <w:tc>
          <w:tcPr>
            <w:tcW w:w="6369" w:type="dxa"/>
            <w:tcBorders>
              <w:top w:val="single" w:color="auto" w:sz="4" w:space="0"/>
              <w:left w:val="single" w:color="auto" w:sz="4" w:space="0"/>
              <w:bottom w:val="single" w:color="auto" w:sz="4" w:space="0"/>
              <w:right w:val="single" w:color="auto" w:sz="4" w:space="0"/>
            </w:tcBorders>
            <w:vAlign w:val="center"/>
          </w:tcPr>
          <w:p w14:paraId="3BA91060">
            <w:pPr>
              <w:pStyle w:val="18"/>
              <w:spacing w:line="360" w:lineRule="auto"/>
              <w:ind w:firstLine="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报价必须含以下部分，包括：</w:t>
            </w:r>
            <w:r>
              <w:rPr>
                <w:rFonts w:hint="eastAsia" w:ascii="宋体" w:hAnsi="宋体" w:eastAsia="宋体" w:cs="宋体"/>
                <w:bCs/>
                <w:color w:val="auto"/>
                <w:szCs w:val="21"/>
                <w:highlight w:val="none"/>
                <w:lang w:val="en-US" w:eastAsia="zh-CN"/>
              </w:rPr>
              <w:tab/>
            </w:r>
          </w:p>
          <w:p w14:paraId="14E6F255">
            <w:pPr>
              <w:pStyle w:val="18"/>
              <w:spacing w:line="360" w:lineRule="auto"/>
              <w:ind w:firstLine="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1.服务的价格；</w:t>
            </w:r>
          </w:p>
          <w:p w14:paraId="11877A90">
            <w:pPr>
              <w:pStyle w:val="18"/>
              <w:spacing w:line="360" w:lineRule="auto"/>
              <w:ind w:firstLine="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2.必要的保险费用和各项税金；</w:t>
            </w:r>
          </w:p>
          <w:p w14:paraId="5B9158FE">
            <w:pPr>
              <w:pStyle w:val="18"/>
              <w:spacing w:line="360" w:lineRule="auto"/>
              <w:ind w:firstLine="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3.其他（如技术支持、售后服务等费用）。</w:t>
            </w:r>
          </w:p>
          <w:p w14:paraId="141B0226">
            <w:pPr>
              <w:pStyle w:val="18"/>
              <w:spacing w:line="360" w:lineRule="auto"/>
              <w:ind w:firstLine="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注：中成交供应商在实施项目过程中的交通费、差旅费、住宿费、伙食费自理，所有费用均应包含在报价中，不再另做结算。</w:t>
            </w:r>
          </w:p>
        </w:tc>
      </w:tr>
      <w:tr w14:paraId="425A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41854A92">
            <w:pPr>
              <w:tabs>
                <w:tab w:val="left" w:pos="180"/>
                <w:tab w:val="left" w:pos="1620"/>
              </w:tabs>
              <w:spacing w:line="360" w:lineRule="auto"/>
              <w:jc w:val="center"/>
              <w:rPr>
                <w:rFonts w:hint="eastAsia" w:ascii="宋体" w:hAnsi="宋体" w:eastAsia="宋体" w:cs="宋体"/>
                <w:bCs/>
                <w:iCs/>
                <w:color w:val="auto"/>
                <w:szCs w:val="21"/>
                <w:highlight w:val="none"/>
                <w:lang w:eastAsia="zh-CN"/>
              </w:rPr>
            </w:pPr>
            <w:r>
              <w:rPr>
                <w:rFonts w:hint="eastAsia" w:ascii="宋体" w:hAnsi="宋体" w:cs="宋体"/>
                <w:bCs/>
                <w:iCs/>
                <w:color w:val="auto"/>
                <w:szCs w:val="21"/>
                <w:highlight w:val="none"/>
                <w:lang w:eastAsia="zh-CN"/>
              </w:rPr>
              <w:t>方案要求</w:t>
            </w:r>
          </w:p>
        </w:tc>
        <w:tc>
          <w:tcPr>
            <w:tcW w:w="6369" w:type="dxa"/>
            <w:tcBorders>
              <w:top w:val="single" w:color="auto" w:sz="4" w:space="0"/>
              <w:left w:val="single" w:color="auto" w:sz="4" w:space="0"/>
              <w:bottom w:val="single" w:color="auto" w:sz="4" w:space="0"/>
              <w:right w:val="single" w:color="auto" w:sz="4" w:space="0"/>
            </w:tcBorders>
            <w:vAlign w:val="center"/>
          </w:tcPr>
          <w:p w14:paraId="62263539">
            <w:pPr>
              <w:pStyle w:val="18"/>
              <w:spacing w:line="360" w:lineRule="auto"/>
              <w:ind w:firstLine="0"/>
              <w:rPr>
                <w:rFonts w:hint="eastAsia" w:ascii="宋体" w:hAnsi="宋体" w:eastAsia="宋体" w:cs="宋体"/>
                <w:bCs/>
                <w:color w:val="auto"/>
                <w:szCs w:val="21"/>
                <w:highlight w:val="none"/>
                <w:lang w:val="en-US" w:eastAsia="zh-CN"/>
              </w:rPr>
            </w:pPr>
            <w:r>
              <w:rPr>
                <w:rFonts w:hint="eastAsia" w:ascii="宋体" w:hAnsi="宋体" w:eastAsia="宋体" w:cs="宋体"/>
                <w:b/>
                <w:bCs/>
                <w:iCs/>
                <w:color w:val="auto"/>
                <w:szCs w:val="21"/>
                <w:highlight w:val="none"/>
                <w:lang w:val="en-US" w:eastAsia="zh-CN"/>
              </w:rPr>
              <w:t>供应商须提供监管服务方案、项目实施计划方案、后续服务</w:t>
            </w:r>
            <w:r>
              <w:rPr>
                <w:rFonts w:hint="eastAsia" w:ascii="宋体" w:hAnsi="宋体" w:cs="宋体"/>
                <w:b/>
                <w:bCs/>
                <w:iCs/>
                <w:color w:val="auto"/>
                <w:szCs w:val="21"/>
                <w:highlight w:val="none"/>
                <w:lang w:val="en-US" w:eastAsia="zh-CN"/>
              </w:rPr>
              <w:t>保障</w:t>
            </w:r>
            <w:r>
              <w:rPr>
                <w:rFonts w:hint="eastAsia" w:ascii="宋体" w:hAnsi="宋体" w:eastAsia="宋体" w:cs="宋体"/>
                <w:b/>
                <w:bCs/>
                <w:iCs/>
                <w:color w:val="auto"/>
                <w:szCs w:val="21"/>
                <w:highlight w:val="none"/>
                <w:lang w:val="en-US" w:eastAsia="zh-CN"/>
              </w:rPr>
              <w:t>措施、系统支撑及数据分析方案、安全及保密控制方案以供评审，具体要求详见评审标准。</w:t>
            </w:r>
          </w:p>
        </w:tc>
      </w:tr>
      <w:tr w14:paraId="2E18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7D08A90C">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6369" w:type="dxa"/>
            <w:tcBorders>
              <w:top w:val="single" w:color="auto" w:sz="4" w:space="0"/>
              <w:left w:val="single" w:color="auto" w:sz="4" w:space="0"/>
              <w:bottom w:val="single" w:color="auto" w:sz="4" w:space="0"/>
              <w:right w:val="single" w:color="auto" w:sz="4" w:space="0"/>
            </w:tcBorders>
            <w:vAlign w:val="center"/>
          </w:tcPr>
          <w:p w14:paraId="490BCCFF">
            <w:pPr>
              <w:spacing w:line="3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1.采购人对成交供应商提交的服务依据采购合同和国家有关质量标准进行验收。</w:t>
            </w:r>
          </w:p>
          <w:p w14:paraId="42F209EF">
            <w:pPr>
              <w:spacing w:line="3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供应商交付服务前应对服务作出全面检查和对验收文件进行整理，并列出清单，作为采购人验收和使用的技术条件依据，检验的结果应随服务交采购人。成交供应商不能完整交付服务及本款规定的单证和材料的，必须负责补齐，否则视为未按合同约定交付服务。</w:t>
            </w:r>
          </w:p>
          <w:p w14:paraId="0EC71A6E">
            <w:pPr>
              <w:spacing w:line="3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3.采购人组织验收，成交供应商必须到场配合。验收合格后采购人、成交供应商签署验收合格凭证。</w:t>
            </w:r>
          </w:p>
          <w:p w14:paraId="46D36BB1">
            <w:pPr>
              <w:spacing w:line="3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其他未尽事宜应严格按照《关于印发广西壮族自治区政府采购项目履约验收管理办法的通知》（桂财采〔2015〕22号）以及《财政部关于进一步加强政府采购需求和履约验收管理的指导意见》（财库〔2016〕205号）规定执行。</w:t>
            </w:r>
          </w:p>
          <w:p w14:paraId="7232E0D4">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5.验收产生的费用由成交供应商负责。</w:t>
            </w:r>
          </w:p>
        </w:tc>
      </w:tr>
      <w:tr w14:paraId="2336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tcBorders>
              <w:top w:val="single" w:color="auto" w:sz="4" w:space="0"/>
              <w:left w:val="single" w:color="auto" w:sz="4" w:space="0"/>
              <w:bottom w:val="single" w:color="auto" w:sz="4" w:space="0"/>
              <w:right w:val="single" w:color="auto" w:sz="4" w:space="0"/>
            </w:tcBorders>
            <w:vAlign w:val="center"/>
          </w:tcPr>
          <w:p w14:paraId="42C508A9">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三、其他要求</w:t>
            </w:r>
          </w:p>
        </w:tc>
        <w:tc>
          <w:tcPr>
            <w:tcW w:w="6369" w:type="dxa"/>
            <w:tcBorders>
              <w:top w:val="single" w:color="auto" w:sz="4" w:space="0"/>
              <w:left w:val="single" w:color="auto" w:sz="4" w:space="0"/>
              <w:bottom w:val="single" w:color="auto" w:sz="4" w:space="0"/>
              <w:right w:val="single" w:color="auto" w:sz="4" w:space="0"/>
            </w:tcBorders>
            <w:vAlign w:val="center"/>
          </w:tcPr>
          <w:p w14:paraId="13955611">
            <w:pPr>
              <w:spacing w:line="360" w:lineRule="auto"/>
              <w:jc w:val="left"/>
              <w:rPr>
                <w:rFonts w:hint="eastAsia" w:ascii="宋体" w:hAnsi="宋体" w:eastAsia="宋体" w:cs="宋体"/>
                <w:bCs/>
                <w:iCs/>
                <w:color w:val="auto"/>
                <w:szCs w:val="21"/>
                <w:highlight w:val="none"/>
              </w:rPr>
            </w:pPr>
            <w:r>
              <w:rPr>
                <w:rFonts w:hint="eastAsia" w:ascii="宋体" w:hAnsi="宋体" w:eastAsia="宋体" w:cs="宋体"/>
                <w:b/>
                <w:bCs w:val="0"/>
                <w:iCs/>
                <w:color w:val="auto"/>
                <w:szCs w:val="21"/>
                <w:highlight w:val="none"/>
              </w:rPr>
              <w:t>1.以上</w:t>
            </w:r>
            <w:r>
              <w:rPr>
                <w:rFonts w:hint="eastAsia" w:ascii="宋体" w:hAnsi="宋体" w:eastAsia="宋体" w:cs="宋体"/>
                <w:b/>
                <w:bCs w:val="0"/>
                <w:iCs/>
                <w:color w:val="auto"/>
                <w:szCs w:val="21"/>
                <w:highlight w:val="none"/>
                <w:lang w:eastAsia="zh-CN"/>
              </w:rPr>
              <w:t>技术</w:t>
            </w:r>
            <w:r>
              <w:rPr>
                <w:rFonts w:hint="eastAsia" w:ascii="宋体" w:hAnsi="宋体" w:eastAsia="宋体" w:cs="宋体"/>
                <w:b/>
                <w:bCs w:val="0"/>
                <w:iCs/>
                <w:color w:val="auto"/>
                <w:szCs w:val="21"/>
                <w:highlight w:val="none"/>
              </w:rPr>
              <w:t>服务要求及商务</w:t>
            </w:r>
            <w:r>
              <w:rPr>
                <w:rFonts w:hint="eastAsia"/>
                <w:b/>
                <w:bCs/>
                <w:color w:val="auto"/>
                <w:highlight w:val="none"/>
                <w:lang w:eastAsia="zh-CN"/>
              </w:rPr>
              <w:t>要求</w:t>
            </w:r>
            <w:r>
              <w:rPr>
                <w:rFonts w:hint="eastAsia" w:ascii="宋体" w:hAnsi="宋体" w:eastAsia="宋体" w:cs="宋体"/>
                <w:b/>
                <w:bCs w:val="0"/>
                <w:iCs/>
                <w:color w:val="auto"/>
                <w:szCs w:val="21"/>
                <w:highlight w:val="none"/>
              </w:rPr>
              <w:t>均不允许负偏离，如有一项则按无效响应处理</w:t>
            </w:r>
            <w:r>
              <w:rPr>
                <w:rFonts w:hint="eastAsia" w:ascii="宋体" w:hAnsi="宋体" w:eastAsia="宋体" w:cs="宋体"/>
                <w:bCs/>
                <w:iCs/>
                <w:color w:val="auto"/>
                <w:szCs w:val="21"/>
                <w:highlight w:val="none"/>
              </w:rPr>
              <w:t>。</w:t>
            </w:r>
          </w:p>
          <w:p w14:paraId="0641E14B">
            <w:pPr>
              <w:spacing w:line="360" w:lineRule="auto"/>
              <w:rPr>
                <w:rFonts w:hint="eastAsia" w:ascii="宋体" w:hAnsi="宋体" w:eastAsia="宋体" w:cs="宋体"/>
                <w:bCs/>
                <w:color w:val="auto"/>
                <w:kern w:val="0"/>
                <w:szCs w:val="21"/>
                <w:highlight w:val="none"/>
                <w:lang w:val="en-US" w:eastAsia="zh-CN"/>
              </w:rPr>
            </w:pPr>
            <w:r>
              <w:rPr>
                <w:rFonts w:hint="eastAsia" w:ascii="宋体" w:hAnsi="宋体" w:eastAsia="宋体" w:cs="宋体"/>
                <w:color w:val="auto"/>
                <w:highlight w:val="none"/>
              </w:rPr>
              <w:t>2.</w:t>
            </w:r>
            <w:r>
              <w:rPr>
                <w:rFonts w:hint="eastAsia" w:ascii="宋体" w:hAnsi="宋体" w:eastAsia="宋体" w:cs="宋体"/>
                <w:bCs/>
                <w:color w:val="auto"/>
                <w:kern w:val="0"/>
                <w:szCs w:val="21"/>
                <w:highlight w:val="none"/>
                <w:lang w:val="en-US" w:eastAsia="zh-CN"/>
              </w:rPr>
              <w:t>供应商可在响应文件中提供拟投入项目服务团队及专家支持团队进行评分，具体要求详见评审标准。</w:t>
            </w:r>
          </w:p>
          <w:p w14:paraId="19FAD044">
            <w:pPr>
              <w:spacing w:line="360" w:lineRule="auto"/>
              <w:rPr>
                <w:rFonts w:hint="eastAsia" w:ascii="宋体" w:hAnsi="宋体" w:eastAsia="宋体" w:cs="宋体"/>
                <w:color w:val="auto"/>
                <w:highlight w:val="none"/>
              </w:rPr>
            </w:pP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val="en-US" w:eastAsia="zh-CN"/>
              </w:rPr>
              <w:t>.供应商可在响应文件中提供与项目相关的履约能力及业绩进行评分</w:t>
            </w:r>
            <w:r>
              <w:rPr>
                <w:rFonts w:hint="eastAsia" w:ascii="宋体" w:hAnsi="宋体" w:eastAsia="宋体" w:cs="宋体"/>
                <w:bCs/>
                <w:color w:val="auto"/>
                <w:kern w:val="0"/>
                <w:szCs w:val="21"/>
                <w:highlight w:val="none"/>
              </w:rPr>
              <w:t>，具体要求详见评审标准。</w:t>
            </w:r>
          </w:p>
        </w:tc>
      </w:tr>
    </w:tbl>
    <w:p w14:paraId="4CC0AF54">
      <w:pPr>
        <w:spacing w:line="360" w:lineRule="auto"/>
        <w:jc w:val="left"/>
        <w:rPr>
          <w:rFonts w:ascii="宋体" w:hAnsi="宋体" w:cs="Arial"/>
          <w:bCs/>
          <w:iCs/>
          <w:color w:val="auto"/>
          <w:szCs w:val="21"/>
          <w:highlight w:val="none"/>
        </w:rPr>
      </w:pPr>
    </w:p>
    <w:p w14:paraId="11E22745">
      <w:pPr>
        <w:pStyle w:val="6"/>
        <w:rPr>
          <w:rFonts w:ascii="宋体" w:hAnsi="宋体" w:cs="Arial"/>
          <w:bCs/>
          <w:iCs/>
          <w:color w:val="auto"/>
          <w:szCs w:val="21"/>
          <w:highlight w:val="none"/>
        </w:rPr>
      </w:pPr>
    </w:p>
    <w:p w14:paraId="036E6891">
      <w:pPr>
        <w:pStyle w:val="6"/>
        <w:rPr>
          <w:rFonts w:ascii="宋体" w:hAnsi="宋体" w:cs="Arial"/>
          <w:bCs/>
          <w:iCs/>
          <w:color w:val="auto"/>
          <w:szCs w:val="21"/>
          <w:highlight w:val="none"/>
        </w:rPr>
      </w:pPr>
    </w:p>
    <w:p w14:paraId="4A231612">
      <w:pPr>
        <w:pStyle w:val="6"/>
        <w:rPr>
          <w:rFonts w:ascii="宋体" w:hAnsi="宋体" w:cs="Arial"/>
          <w:bCs/>
          <w:iCs/>
          <w:color w:val="auto"/>
          <w:szCs w:val="21"/>
          <w:highlight w:val="none"/>
        </w:rPr>
      </w:pPr>
    </w:p>
    <w:p w14:paraId="6759D95B">
      <w:pPr>
        <w:pStyle w:val="6"/>
        <w:rPr>
          <w:rFonts w:ascii="宋体" w:hAnsi="宋体" w:cs="Arial"/>
          <w:bCs/>
          <w:iCs/>
          <w:color w:val="auto"/>
          <w:szCs w:val="21"/>
          <w:highlight w:val="none"/>
        </w:rPr>
      </w:pPr>
    </w:p>
    <w:p w14:paraId="29106356">
      <w:pPr>
        <w:pStyle w:val="6"/>
        <w:rPr>
          <w:rFonts w:ascii="宋体" w:hAnsi="宋体" w:cs="Arial"/>
          <w:bCs/>
          <w:iCs/>
          <w:color w:val="auto"/>
          <w:szCs w:val="21"/>
          <w:highlight w:val="none"/>
        </w:rPr>
      </w:pPr>
    </w:p>
    <w:p w14:paraId="5CC58270">
      <w:pPr>
        <w:pStyle w:val="6"/>
        <w:rPr>
          <w:rFonts w:ascii="宋体" w:hAnsi="宋体" w:cs="Arial"/>
          <w:bCs/>
          <w:iCs/>
          <w:color w:val="auto"/>
          <w:szCs w:val="21"/>
          <w:highlight w:val="none"/>
        </w:rPr>
      </w:pPr>
    </w:p>
    <w:p w14:paraId="04212DAB">
      <w:pPr>
        <w:pStyle w:val="6"/>
        <w:rPr>
          <w:rFonts w:ascii="宋体" w:hAnsi="宋体" w:cs="Arial"/>
          <w:bCs/>
          <w:iCs/>
          <w:color w:val="auto"/>
          <w:szCs w:val="21"/>
          <w:highlight w:val="none"/>
        </w:rPr>
      </w:pPr>
    </w:p>
    <w:p w14:paraId="0A6FCF27">
      <w:pPr>
        <w:pStyle w:val="6"/>
        <w:rPr>
          <w:rFonts w:ascii="宋体" w:hAnsi="宋体" w:cs="Arial"/>
          <w:bCs/>
          <w:iCs/>
          <w:color w:val="auto"/>
          <w:szCs w:val="21"/>
          <w:highlight w:val="none"/>
        </w:rPr>
      </w:pPr>
    </w:p>
    <w:p w14:paraId="2EE4F171">
      <w:pPr>
        <w:pStyle w:val="6"/>
        <w:rPr>
          <w:rFonts w:ascii="宋体" w:hAnsi="宋体" w:cs="Arial"/>
          <w:bCs/>
          <w:iCs/>
          <w:color w:val="auto"/>
          <w:szCs w:val="21"/>
          <w:highlight w:val="none"/>
        </w:rPr>
      </w:pPr>
    </w:p>
    <w:p w14:paraId="3DF9C8CD">
      <w:pPr>
        <w:pStyle w:val="6"/>
        <w:rPr>
          <w:rFonts w:ascii="宋体" w:hAnsi="宋体" w:cs="Arial"/>
          <w:bCs/>
          <w:iCs/>
          <w:color w:val="auto"/>
          <w:szCs w:val="21"/>
          <w:highlight w:val="none"/>
        </w:rPr>
      </w:pPr>
    </w:p>
    <w:p w14:paraId="0247A956">
      <w:pPr>
        <w:pStyle w:val="6"/>
        <w:rPr>
          <w:rFonts w:ascii="宋体" w:hAnsi="宋体" w:cs="Arial"/>
          <w:bCs/>
          <w:iCs/>
          <w:color w:val="auto"/>
          <w:szCs w:val="21"/>
          <w:highlight w:val="none"/>
        </w:rPr>
      </w:pPr>
    </w:p>
    <w:p w14:paraId="7E2594BF">
      <w:pPr>
        <w:pStyle w:val="6"/>
        <w:rPr>
          <w:rFonts w:ascii="宋体" w:hAnsi="宋体" w:cs="Arial"/>
          <w:bCs/>
          <w:iCs/>
          <w:color w:val="auto"/>
          <w:szCs w:val="21"/>
          <w:highlight w:val="none"/>
        </w:rPr>
      </w:pPr>
    </w:p>
    <w:p w14:paraId="121CFB9C">
      <w:pPr>
        <w:pStyle w:val="6"/>
        <w:rPr>
          <w:rFonts w:ascii="宋体" w:hAnsi="宋体" w:cs="Arial"/>
          <w:bCs/>
          <w:iCs/>
          <w:color w:val="auto"/>
          <w:szCs w:val="21"/>
          <w:highlight w:val="none"/>
        </w:rPr>
      </w:pPr>
    </w:p>
    <w:p w14:paraId="4C0526DC">
      <w:pPr>
        <w:pStyle w:val="6"/>
        <w:rPr>
          <w:rFonts w:ascii="宋体" w:hAnsi="宋体" w:cs="Arial"/>
          <w:bCs/>
          <w:iCs/>
          <w:color w:val="auto"/>
          <w:szCs w:val="21"/>
          <w:highlight w:val="none"/>
        </w:rPr>
      </w:pPr>
    </w:p>
    <w:p w14:paraId="7F5A98EA">
      <w:pPr>
        <w:pStyle w:val="6"/>
        <w:rPr>
          <w:rFonts w:ascii="宋体" w:hAnsi="宋体" w:cs="Arial"/>
          <w:bCs/>
          <w:iCs/>
          <w:color w:val="auto"/>
          <w:szCs w:val="21"/>
          <w:highlight w:val="none"/>
        </w:rPr>
      </w:pPr>
    </w:p>
    <w:p w14:paraId="4469BC47">
      <w:pPr>
        <w:pStyle w:val="6"/>
        <w:rPr>
          <w:rFonts w:ascii="宋体" w:hAnsi="宋体" w:cs="Arial"/>
          <w:bCs/>
          <w:iCs/>
          <w:color w:val="auto"/>
          <w:szCs w:val="21"/>
          <w:highlight w:val="none"/>
        </w:rPr>
      </w:pPr>
    </w:p>
    <w:p w14:paraId="66D19691">
      <w:pPr>
        <w:pStyle w:val="6"/>
        <w:rPr>
          <w:rFonts w:ascii="宋体" w:hAnsi="宋体" w:cs="Arial"/>
          <w:bCs/>
          <w:iCs/>
          <w:color w:val="auto"/>
          <w:szCs w:val="21"/>
          <w:highlight w:val="none"/>
        </w:rPr>
      </w:pPr>
    </w:p>
    <w:p w14:paraId="5881377A">
      <w:pPr>
        <w:pStyle w:val="6"/>
        <w:rPr>
          <w:rFonts w:ascii="宋体" w:hAnsi="宋体" w:cs="Arial"/>
          <w:bCs/>
          <w:iCs/>
          <w:color w:val="auto"/>
          <w:szCs w:val="21"/>
          <w:highlight w:val="none"/>
        </w:rPr>
      </w:pPr>
    </w:p>
    <w:p w14:paraId="15735BA8">
      <w:pPr>
        <w:pStyle w:val="6"/>
        <w:rPr>
          <w:rFonts w:ascii="宋体" w:hAnsi="宋体" w:cs="Arial"/>
          <w:bCs/>
          <w:iCs/>
          <w:color w:val="auto"/>
          <w:szCs w:val="21"/>
          <w:highlight w:val="none"/>
        </w:rPr>
      </w:pPr>
    </w:p>
    <w:p w14:paraId="553D9BFF">
      <w:pPr>
        <w:pStyle w:val="6"/>
        <w:rPr>
          <w:rFonts w:ascii="宋体" w:hAnsi="宋体" w:cs="Arial"/>
          <w:bCs/>
          <w:iCs/>
          <w:color w:val="auto"/>
          <w:szCs w:val="21"/>
          <w:highlight w:val="none"/>
        </w:rPr>
      </w:pPr>
    </w:p>
    <w:p w14:paraId="09C80857">
      <w:pPr>
        <w:pStyle w:val="6"/>
        <w:rPr>
          <w:rFonts w:ascii="宋体" w:hAnsi="宋体" w:cs="Arial"/>
          <w:bCs/>
          <w:iCs/>
          <w:color w:val="auto"/>
          <w:szCs w:val="21"/>
          <w:highlight w:val="none"/>
        </w:rPr>
      </w:pPr>
    </w:p>
    <w:p w14:paraId="0656F70A">
      <w:pPr>
        <w:pStyle w:val="6"/>
        <w:rPr>
          <w:rFonts w:ascii="宋体" w:hAnsi="宋体" w:cs="Arial"/>
          <w:bCs/>
          <w:iCs/>
          <w:color w:val="auto"/>
          <w:szCs w:val="21"/>
          <w:highlight w:val="none"/>
        </w:rPr>
      </w:pPr>
    </w:p>
    <w:p w14:paraId="3B429CDC">
      <w:pPr>
        <w:pStyle w:val="6"/>
        <w:rPr>
          <w:rFonts w:ascii="宋体" w:hAnsi="宋体" w:cs="Arial"/>
          <w:bCs/>
          <w:iCs/>
          <w:color w:val="auto"/>
          <w:szCs w:val="21"/>
          <w:highlight w:val="none"/>
        </w:rPr>
      </w:pPr>
    </w:p>
    <w:p w14:paraId="4B5F3CC7">
      <w:pPr>
        <w:pStyle w:val="6"/>
        <w:rPr>
          <w:rFonts w:ascii="宋体" w:hAnsi="宋体" w:cs="Arial"/>
          <w:bCs/>
          <w:iCs/>
          <w:color w:val="auto"/>
          <w:szCs w:val="21"/>
          <w:highlight w:val="none"/>
        </w:rPr>
      </w:pPr>
    </w:p>
    <w:p w14:paraId="01A7F94D">
      <w:pPr>
        <w:pStyle w:val="6"/>
        <w:rPr>
          <w:rFonts w:ascii="宋体" w:hAnsi="宋体" w:cs="Arial"/>
          <w:bCs/>
          <w:iCs/>
          <w:color w:val="auto"/>
          <w:szCs w:val="21"/>
          <w:highlight w:val="none"/>
        </w:rPr>
      </w:pPr>
    </w:p>
    <w:p w14:paraId="2402733F">
      <w:pPr>
        <w:pStyle w:val="6"/>
        <w:rPr>
          <w:rFonts w:ascii="宋体" w:hAnsi="宋体" w:cs="Arial"/>
          <w:bCs/>
          <w:iCs/>
          <w:color w:val="auto"/>
          <w:szCs w:val="21"/>
          <w:highlight w:val="none"/>
        </w:rPr>
      </w:pPr>
    </w:p>
    <w:p w14:paraId="123E24C7">
      <w:pPr>
        <w:pStyle w:val="6"/>
        <w:rPr>
          <w:rFonts w:ascii="宋体" w:hAnsi="宋体" w:cs="Arial"/>
          <w:bCs/>
          <w:iCs/>
          <w:color w:val="auto"/>
          <w:szCs w:val="21"/>
          <w:highlight w:val="none"/>
        </w:rPr>
      </w:pPr>
    </w:p>
    <w:p w14:paraId="1AAD3BCD">
      <w:pPr>
        <w:pStyle w:val="6"/>
        <w:rPr>
          <w:rFonts w:ascii="宋体" w:hAnsi="宋体" w:cs="Arial"/>
          <w:bCs/>
          <w:iCs/>
          <w:color w:val="auto"/>
          <w:szCs w:val="21"/>
          <w:highlight w:val="none"/>
        </w:rPr>
      </w:pPr>
    </w:p>
    <w:p w14:paraId="3B802AD5">
      <w:pPr>
        <w:pStyle w:val="6"/>
        <w:rPr>
          <w:rFonts w:ascii="宋体" w:hAnsi="宋体" w:cs="Arial"/>
          <w:bCs/>
          <w:iCs/>
          <w:color w:val="auto"/>
          <w:szCs w:val="21"/>
          <w:highlight w:val="none"/>
        </w:rPr>
      </w:pPr>
    </w:p>
    <w:p w14:paraId="25B3BD6E">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472B9287">
      <w:pPr>
        <w:pStyle w:val="6"/>
        <w:jc w:val="center"/>
        <w:rPr>
          <w:rFonts w:hint="eastAsia"/>
          <w:b/>
          <w:color w:val="auto"/>
          <w:sz w:val="28"/>
          <w:szCs w:val="28"/>
          <w:highlight w:val="none"/>
        </w:rPr>
      </w:pPr>
      <w:r>
        <w:rPr>
          <w:rFonts w:hint="eastAsia"/>
          <w:b/>
          <w:color w:val="auto"/>
          <w:sz w:val="28"/>
          <w:szCs w:val="28"/>
          <w:highlight w:val="none"/>
        </w:rPr>
        <w:t>中小企业划型标准规定</w:t>
      </w:r>
    </w:p>
    <w:p w14:paraId="08F23EC9">
      <w:pPr>
        <w:pStyle w:val="6"/>
        <w:jc w:val="center"/>
        <w:rPr>
          <w:rFonts w:ascii="宋体" w:hAnsi="宋体"/>
          <w:color w:val="auto"/>
          <w:szCs w:val="21"/>
          <w:highlight w:val="none"/>
        </w:rPr>
      </w:pPr>
      <w:r>
        <w:rPr>
          <w:rFonts w:hint="eastAsia" w:ascii="宋体" w:hAnsi="宋体"/>
          <w:color w:val="auto"/>
          <w:szCs w:val="21"/>
          <w:highlight w:val="none"/>
        </w:rPr>
        <w:t>工信部联企业</w:t>
      </w:r>
      <w:r>
        <w:rPr>
          <w:rFonts w:hint="eastAsia" w:ascii="宋体" w:hAnsi="宋体"/>
          <w:color w:val="auto"/>
          <w:szCs w:val="21"/>
          <w:highlight w:val="none"/>
          <w:lang w:eastAsia="zh-CN"/>
        </w:rPr>
        <w:t>〔2011〕300号</w:t>
      </w:r>
    </w:p>
    <w:p w14:paraId="486AC8A3">
      <w:pPr>
        <w:pStyle w:val="6"/>
        <w:rPr>
          <w:rFonts w:hint="eastAsia"/>
          <w:color w:val="auto"/>
          <w:sz w:val="24"/>
          <w:szCs w:val="21"/>
          <w:highlight w:val="none"/>
        </w:rPr>
      </w:pPr>
    </w:p>
    <w:p w14:paraId="71D985A9">
      <w:pPr>
        <w:pStyle w:val="6"/>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ascii="宋体" w:hAnsi="宋体"/>
          <w:color w:val="auto"/>
          <w:szCs w:val="21"/>
          <w:highlight w:val="none"/>
          <w:lang w:eastAsia="zh-CN"/>
        </w:rPr>
        <w:t>〔20</w:t>
      </w:r>
      <w:r>
        <w:rPr>
          <w:rFonts w:hint="eastAsia" w:ascii="宋体" w:hAnsi="宋体"/>
          <w:color w:val="auto"/>
          <w:szCs w:val="21"/>
          <w:highlight w:val="none"/>
        </w:rPr>
        <w:t>09</w:t>
      </w:r>
      <w:r>
        <w:rPr>
          <w:rFonts w:hint="eastAsia" w:ascii="宋体" w:hAnsi="宋体"/>
          <w:color w:val="auto"/>
          <w:szCs w:val="21"/>
          <w:highlight w:val="none"/>
          <w:lang w:eastAsia="zh-CN"/>
        </w:rPr>
        <w:t>〕</w:t>
      </w:r>
      <w:r>
        <w:rPr>
          <w:rFonts w:hint="eastAsia" w:ascii="宋体" w:hAnsi="宋体"/>
          <w:color w:val="auto"/>
          <w:szCs w:val="21"/>
          <w:highlight w:val="none"/>
        </w:rPr>
        <w:t>36</w:t>
      </w:r>
      <w:r>
        <w:rPr>
          <w:rFonts w:hint="eastAsia" w:ascii="宋体" w:hAnsi="宋体"/>
          <w:color w:val="auto"/>
          <w:szCs w:val="21"/>
          <w:highlight w:val="none"/>
          <w:lang w:eastAsia="zh-CN"/>
        </w:rPr>
        <w:t>号</w:t>
      </w:r>
      <w:r>
        <w:rPr>
          <w:color w:val="auto"/>
          <w:szCs w:val="21"/>
          <w:highlight w:val="none"/>
        </w:rPr>
        <w:t>)</w:t>
      </w:r>
      <w:r>
        <w:rPr>
          <w:rFonts w:hint="eastAsia"/>
          <w:color w:val="auto"/>
          <w:szCs w:val="21"/>
          <w:highlight w:val="none"/>
        </w:rPr>
        <w:t>，制定本规定。</w:t>
      </w:r>
    </w:p>
    <w:p w14:paraId="4015F491">
      <w:pPr>
        <w:pStyle w:val="6"/>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214DDF2A">
      <w:pPr>
        <w:pStyle w:val="6"/>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680422">
      <w:pPr>
        <w:pStyle w:val="6"/>
        <w:rPr>
          <w:color w:val="auto"/>
          <w:szCs w:val="21"/>
          <w:highlight w:val="none"/>
        </w:rPr>
      </w:pPr>
      <w:r>
        <w:rPr>
          <w:rFonts w:hint="eastAsia"/>
          <w:color w:val="auto"/>
          <w:szCs w:val="21"/>
          <w:highlight w:val="none"/>
        </w:rPr>
        <w:t>　　四、各行业划型标准为：</w:t>
      </w:r>
    </w:p>
    <w:p w14:paraId="641FA5D1">
      <w:pPr>
        <w:pStyle w:val="6"/>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1A44980">
      <w:pPr>
        <w:pStyle w:val="6"/>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30A7F39B">
      <w:pPr>
        <w:pStyle w:val="6"/>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0AD7DB9C">
      <w:pPr>
        <w:pStyle w:val="6"/>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22095447">
      <w:pPr>
        <w:pStyle w:val="6"/>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D9C67DC">
      <w:pPr>
        <w:pStyle w:val="6"/>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3CE84922">
      <w:pPr>
        <w:pStyle w:val="6"/>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B1DB996">
      <w:pPr>
        <w:pStyle w:val="6"/>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20EC45D">
      <w:pPr>
        <w:pStyle w:val="6"/>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5C0E67D">
      <w:pPr>
        <w:pStyle w:val="6"/>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9E7173A">
      <w:pPr>
        <w:pStyle w:val="6"/>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FC32A10">
      <w:pPr>
        <w:pStyle w:val="6"/>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319EA70D">
      <w:pPr>
        <w:pStyle w:val="6"/>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08E8F129">
      <w:pPr>
        <w:pStyle w:val="6"/>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4651A079">
      <w:pPr>
        <w:pStyle w:val="6"/>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7C4D1DF4">
      <w:pPr>
        <w:pStyle w:val="6"/>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103F802B">
      <w:pPr>
        <w:pStyle w:val="6"/>
        <w:rPr>
          <w:color w:val="auto"/>
          <w:szCs w:val="21"/>
          <w:highlight w:val="none"/>
        </w:rPr>
      </w:pPr>
      <w:r>
        <w:rPr>
          <w:rFonts w:hint="eastAsia"/>
          <w:color w:val="auto"/>
          <w:szCs w:val="21"/>
          <w:highlight w:val="none"/>
        </w:rPr>
        <w:t>　　五、企业类型的划分以统计部门的统计数据为依据。</w:t>
      </w:r>
    </w:p>
    <w:p w14:paraId="2F50F4A6">
      <w:pPr>
        <w:pStyle w:val="6"/>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7C6810DE">
      <w:pPr>
        <w:pStyle w:val="6"/>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D777FEC">
      <w:pPr>
        <w:pStyle w:val="6"/>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3ACB670A">
      <w:pPr>
        <w:pStyle w:val="6"/>
        <w:rPr>
          <w:color w:val="auto"/>
          <w:szCs w:val="21"/>
          <w:highlight w:val="none"/>
        </w:rPr>
      </w:pPr>
      <w:r>
        <w:rPr>
          <w:rFonts w:hint="eastAsia"/>
          <w:color w:val="auto"/>
          <w:szCs w:val="21"/>
          <w:highlight w:val="none"/>
        </w:rPr>
        <w:t>　　九、本规定由工业和信息化部、国家统计局会同有关部门负责解释。</w:t>
      </w:r>
    </w:p>
    <w:p w14:paraId="1C42CEBB">
      <w:pPr>
        <w:pStyle w:val="6"/>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2453B29F">
      <w:pPr>
        <w:spacing w:line="360" w:lineRule="auto"/>
        <w:jc w:val="left"/>
        <w:rPr>
          <w:rFonts w:ascii="宋体" w:hAnsi="宋体" w:cs="Arial"/>
          <w:bCs/>
          <w:iCs/>
          <w:color w:val="auto"/>
          <w:szCs w:val="21"/>
          <w:highlight w:val="none"/>
        </w:rPr>
      </w:pPr>
    </w:p>
    <w:p w14:paraId="7FA13102">
      <w:pPr>
        <w:pStyle w:val="14"/>
        <w:jc w:val="center"/>
        <w:rPr>
          <w:color w:val="auto"/>
          <w:highlight w:val="none"/>
        </w:rPr>
      </w:pPr>
      <w:bookmarkStart w:id="90" w:name="_Toc74323459"/>
      <w:r>
        <w:rPr>
          <w:rFonts w:hint="eastAsia"/>
          <w:color w:val="auto"/>
          <w:highlight w:val="none"/>
        </w:rPr>
        <w:t>第四章  评审程序、评审方法和评审标准</w:t>
      </w:r>
      <w:bookmarkEnd w:id="90"/>
    </w:p>
    <w:p w14:paraId="4491C32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3475388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350A55F">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4BBF0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A7F6F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77B3A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A983F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8EA9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111E1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30813270">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77FFBE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7DBD9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03931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3A4C2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33646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9A6CCB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20D8DD8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1821412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144FD40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01E20EB">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5DE0A095">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11A388B">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316E54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B98DF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A96CB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635CB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4BDEB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F7721A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8A9B99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7AD06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003E9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37E603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0060BC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EF7F3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50D853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741A1D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91944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6065A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3F1C2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F8F81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38B8AB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037640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12）磋商文件未载明允许提供备选（替代）竞标方案或明确不允许提供备选（替代）竞标方案时，供应商提供了备选（替代）竞标方案的；</w:t>
      </w:r>
    </w:p>
    <w:p w14:paraId="6D6632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24EA3E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4DF16E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3479AB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35DBF4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06A830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2B1CC2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CD6AF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477CE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10443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7EAECC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5DF9E35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w:t>
      </w:r>
      <w:r>
        <w:rPr>
          <w:rFonts w:hint="eastAsia" w:ascii="宋体" w:hAnsi="宋体" w:cs="宋体"/>
          <w:b/>
          <w:bCs/>
          <w:color w:val="auto"/>
          <w:szCs w:val="21"/>
          <w:highlight w:val="none"/>
        </w:rPr>
        <w:t>未实质性响应磋商文件的响应文件按无效处理，</w:t>
      </w:r>
      <w:r>
        <w:rPr>
          <w:rFonts w:hint="eastAsia" w:ascii="宋体" w:hAnsi="宋体" w:cs="宋体"/>
          <w:color w:val="auto"/>
          <w:szCs w:val="21"/>
          <w:highlight w:val="none"/>
        </w:rPr>
        <w:t>磋商小组应当将资格和符合性不通过的情况告知有关供应商。磋商小组从符合磋商文件规定的相应资格条件的供应商名单中确定不少于3家的供应商参加磋商。</w:t>
      </w:r>
    </w:p>
    <w:p w14:paraId="7973D37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3A66BA5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1FDCCDF">
      <w:pPr>
        <w:spacing w:line="360" w:lineRule="auto"/>
        <w:ind w:firstLine="420" w:firstLineChars="200"/>
        <w:rPr>
          <w:rFonts w:ascii="宋体" w:hAnsi="宋体" w:cs="宋体"/>
          <w:b/>
          <w:bCs/>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w:t>
      </w:r>
      <w:r>
        <w:rPr>
          <w:rFonts w:hint="eastAsia" w:ascii="宋体" w:hAnsi="宋体" w:cs="宋体"/>
          <w:b/>
          <w:bCs/>
          <w:color w:val="auto"/>
          <w:szCs w:val="21"/>
          <w:highlight w:val="none"/>
        </w:rPr>
        <w:t>未在规定时间内参加磋商的视同放弃参加磋商权利，其响应文件按无效响应处理。</w:t>
      </w:r>
    </w:p>
    <w:p w14:paraId="735D4B8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A604A3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251F5C4B">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3.4</w:t>
      </w:r>
      <w:r>
        <w:rPr>
          <w:rFonts w:hint="eastAsia" w:ascii="宋体" w:hAnsi="宋体" w:cs="宋体"/>
          <w:b/>
          <w:bCs/>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E44DA5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129E0A05">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54149E58">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2A8C38B">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6E9576E7">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E7E65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1B6899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33F2D94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5432BB2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675C59DE">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4.5</w:t>
      </w:r>
      <w:r>
        <w:rPr>
          <w:rFonts w:hint="eastAsia" w:ascii="宋体" w:hAnsi="宋体" w:cs="宋体"/>
          <w:b/>
          <w:bCs/>
          <w:color w:val="auto"/>
          <w:szCs w:val="21"/>
          <w:highlight w:val="none"/>
        </w:rPr>
        <w:t>供应商未在规定时间内提交最后报价的，视同退出磋商，其响应文件按无效处理。</w:t>
      </w:r>
    </w:p>
    <w:p w14:paraId="3CC9272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D8BB5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00234046">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50CAA9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CADC1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148BC7F1">
      <w:pPr>
        <w:spacing w:line="360" w:lineRule="auto"/>
        <w:ind w:firstLine="420" w:firstLineChars="200"/>
        <w:rPr>
          <w:color w:val="auto"/>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24F58F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5E3B1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最后报价结束后，磋商小组不得再与供应商进行任何形式的商谈。</w:t>
      </w:r>
    </w:p>
    <w:p w14:paraId="0D09E2C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2D1B366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54DF73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2BE4E3E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3C9AE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F5D23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F5F1DC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54FCE8FE">
      <w:pPr>
        <w:snapToGrid w:val="0"/>
        <w:spacing w:line="360" w:lineRule="auto"/>
        <w:ind w:firstLine="426" w:firstLineChars="202"/>
        <w:jc w:val="left"/>
        <w:rPr>
          <w:rFonts w:hint="eastAsia" w:ascii="宋体" w:hAnsi="宋体"/>
          <w:b/>
          <w:bCs/>
          <w:color w:val="auto"/>
          <w:spacing w:val="-6"/>
          <w:szCs w:val="21"/>
          <w:highlight w:val="none"/>
        </w:rPr>
      </w:pPr>
      <w:r>
        <w:rPr>
          <w:rFonts w:ascii="宋体" w:hAnsi="宋体" w:cs="宋体"/>
          <w:b/>
          <w:bCs/>
          <w:color w:val="auto"/>
          <w:szCs w:val="21"/>
          <w:highlight w:val="none"/>
        </w:rPr>
        <w:t>5.5</w:t>
      </w:r>
      <w:r>
        <w:rPr>
          <w:rFonts w:hint="eastAsia" w:ascii="宋体" w:hAnsi="宋体"/>
          <w:b/>
          <w:bCs/>
          <w:color w:val="auto"/>
          <w:szCs w:val="21"/>
          <w:highlight w:val="none"/>
        </w:rPr>
        <w:t>异常低价响应审查</w:t>
      </w:r>
    </w:p>
    <w:p w14:paraId="245E7544">
      <w:pPr>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（1）磋商小组在评审中发现下列情形之一的，应当启动异常低价响应审查程序：</w:t>
      </w:r>
    </w:p>
    <w:p w14:paraId="1C14658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p>
    <w:p w14:paraId="770F812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p>
    <w:p w14:paraId="7914222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bookmarkStart w:id="92" w:name="_GoBack"/>
      <w:bookmarkEnd w:id="92"/>
    </w:p>
    <w:p w14:paraId="2679DA9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3BA167C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47A669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4395CAD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8A0BC15">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3A74A67F">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0FC8267E">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5FAE7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56D1E9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10"/>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3A54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EE57F4E">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45A5399D">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288" w:type="dxa"/>
            <w:tcBorders>
              <w:top w:val="single" w:color="auto" w:sz="4" w:space="0"/>
              <w:left w:val="single" w:color="auto" w:sz="4" w:space="0"/>
              <w:bottom w:val="single" w:color="auto" w:sz="4" w:space="0"/>
              <w:right w:val="single" w:color="auto" w:sz="4" w:space="0"/>
            </w:tcBorders>
            <w:vAlign w:val="center"/>
          </w:tcPr>
          <w:p w14:paraId="79701161">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tcBorders>
              <w:top w:val="single" w:color="auto" w:sz="4" w:space="0"/>
              <w:left w:val="single" w:color="auto" w:sz="4" w:space="0"/>
              <w:bottom w:val="single" w:color="auto" w:sz="4" w:space="0"/>
              <w:right w:val="single" w:color="auto" w:sz="4" w:space="0"/>
            </w:tcBorders>
            <w:vAlign w:val="center"/>
          </w:tcPr>
          <w:p w14:paraId="528E7D6D">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63B2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AC340E7">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6485DA72">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288" w:type="dxa"/>
            <w:tcBorders>
              <w:top w:val="single" w:color="auto" w:sz="4" w:space="0"/>
              <w:left w:val="single" w:color="auto" w:sz="4" w:space="0"/>
              <w:bottom w:val="single" w:color="auto" w:sz="4" w:space="0"/>
              <w:right w:val="single" w:color="auto" w:sz="4" w:space="0"/>
            </w:tcBorders>
            <w:vAlign w:val="top"/>
          </w:tcPr>
          <w:p w14:paraId="4044493D">
            <w:pPr>
              <w:pStyle w:val="8"/>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1</w:t>
            </w:r>
            <w:r>
              <w:rPr>
                <w:rFonts w:hint="eastAsia" w:hAnsi="宋体" w:cs="宋体"/>
                <w:bCs/>
                <w:color w:val="auto"/>
                <w:sz w:val="21"/>
                <w:highlight w:val="none"/>
                <w:lang w:eastAsia="zh-CN"/>
              </w:rPr>
              <w:t>）</w:t>
            </w:r>
            <w:r>
              <w:rPr>
                <w:rFonts w:hint="eastAsia" w:hAnsi="宋体" w:cs="宋体"/>
                <w:bCs/>
                <w:color w:val="auto"/>
                <w:sz w:val="21"/>
                <w:highlight w:val="none"/>
              </w:rPr>
              <w:t>评审价为供应商的最后报价进行政策性扣除后的价格，评审价只是作为评审时使用。最终成交供应商的成交金额等于最后报价（如有修正，以确认修正后的最后报价为准）。</w:t>
            </w:r>
          </w:p>
          <w:p w14:paraId="3E292A8C">
            <w:pPr>
              <w:pStyle w:val="8"/>
              <w:spacing w:line="360" w:lineRule="auto"/>
              <w:ind w:firstLine="420" w:firstLineChars="200"/>
              <w:rPr>
                <w:rFonts w:hint="eastAsia" w:hAnsi="宋体"/>
                <w:color w:val="auto"/>
                <w:sz w:val="21"/>
                <w:highlight w:val="none"/>
                <w:lang w:val="en-US" w:eastAsia="zh-CN"/>
              </w:rPr>
            </w:pPr>
            <w:r>
              <w:rPr>
                <w:rFonts w:hint="eastAsia" w:hAnsi="宋体" w:cs="Courier New"/>
                <w:bCs/>
                <w:color w:val="auto"/>
                <w:kern w:val="2"/>
                <w:sz w:val="21"/>
                <w:highlight w:val="none"/>
                <w:lang w:val="en-US" w:eastAsia="zh-CN"/>
              </w:rPr>
              <w:t>（2）中小企业政策性扣除计算方法</w:t>
            </w:r>
          </w:p>
          <w:p w14:paraId="31B8090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10%</w:t>
            </w:r>
            <w:r>
              <w:rPr>
                <w:rFonts w:hint="eastAsia" w:ascii="宋体" w:hAnsi="宋体"/>
                <w:bCs/>
                <w:color w:val="auto"/>
                <w:szCs w:val="21"/>
                <w:highlight w:val="none"/>
                <w:u w:val="single"/>
              </w:rPr>
              <w:t xml:space="preserve"> </w:t>
            </w:r>
            <w:r>
              <w:rPr>
                <w:rFonts w:hint="eastAsia" w:ascii="宋体" w:hAnsi="宋体"/>
                <w:bCs/>
                <w:color w:val="auto"/>
                <w:szCs w:val="21"/>
                <w:highlight w:val="none"/>
              </w:rPr>
              <w:t>的扣除，</w:t>
            </w:r>
            <w:r>
              <w:rPr>
                <w:rFonts w:hint="eastAsia" w:hAnsi="宋体" w:cs="Courier New"/>
                <w:bCs/>
                <w:color w:val="auto"/>
                <w:highlight w:val="none"/>
              </w:rPr>
              <w:t>即中小企业</w:t>
            </w:r>
            <w:r>
              <w:rPr>
                <w:rFonts w:hint="eastAsia" w:hAnsi="宋体" w:cs="Courier New"/>
                <w:bCs/>
                <w:color w:val="auto"/>
                <w:highlight w:val="none"/>
                <w:lang w:val="en-US" w:eastAsia="zh-CN"/>
              </w:rPr>
              <w:t>政策性</w:t>
            </w:r>
            <w:r>
              <w:rPr>
                <w:rFonts w:hint="eastAsia" w:hAnsi="宋体" w:cs="Courier New"/>
                <w:bCs/>
                <w:color w:val="auto"/>
                <w:highlight w:val="none"/>
              </w:rPr>
              <w:t>折扣=竞标报价×</w:t>
            </w:r>
            <w:r>
              <w:rPr>
                <w:rFonts w:hAnsi="宋体" w:cs="Courier New"/>
                <w:bCs/>
                <w:color w:val="auto"/>
                <w:highlight w:val="none"/>
                <w:u w:val="single"/>
              </w:rPr>
              <w:t xml:space="preserve"> </w:t>
            </w:r>
            <w:r>
              <w:rPr>
                <w:rFonts w:hint="eastAsia" w:ascii="宋体" w:hAnsi="宋体" w:eastAsia="宋体" w:cs="宋体"/>
                <w:bCs/>
                <w:color w:val="auto"/>
                <w:highlight w:val="none"/>
                <w:u w:val="single"/>
                <w:lang w:val="en-US" w:eastAsia="zh-CN"/>
              </w:rPr>
              <w:t>10</w:t>
            </w:r>
            <w:r>
              <w:rPr>
                <w:rFonts w:hint="eastAsia" w:ascii="宋体" w:hAnsi="宋体"/>
                <w:bCs/>
                <w:color w:val="auto"/>
                <w:szCs w:val="21"/>
                <w:highlight w:val="none"/>
                <w:u w:val="single"/>
                <w:lang w:val="en-US" w:eastAsia="zh-CN"/>
              </w:rPr>
              <w:t>%</w:t>
            </w:r>
            <w:r>
              <w:rPr>
                <w:rFonts w:hint="eastAsia" w:ascii="宋体" w:hAnsi="宋体" w:eastAsia="宋体" w:cs="宋体"/>
                <w:bCs/>
                <w:color w:val="auto"/>
                <w:highlight w:val="none"/>
                <w:u w:val="single"/>
                <w:lang w:val="en-US" w:eastAsia="zh-CN"/>
              </w:rPr>
              <w:t xml:space="preserve"> </w:t>
            </w:r>
            <w:r>
              <w:rPr>
                <w:rFonts w:hint="eastAsia" w:ascii="宋体" w:hAnsi="宋体"/>
                <w:bCs/>
                <w:color w:val="auto"/>
                <w:szCs w:val="21"/>
                <w:highlight w:val="none"/>
              </w:rPr>
              <w:t>。</w:t>
            </w:r>
          </w:p>
          <w:p w14:paraId="0E263B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olor w:val="auto"/>
                <w:szCs w:val="21"/>
                <w:highlight w:val="none"/>
              </w:rPr>
              <w:t>不重复享受政策。</w:t>
            </w:r>
          </w:p>
          <w:p w14:paraId="650F229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617CE37">
            <w:pPr>
              <w:spacing w:line="360" w:lineRule="auto"/>
              <w:ind w:firstLine="420" w:firstLineChars="200"/>
              <w:rPr>
                <w:rFonts w:hint="eastAsia" w:ascii="宋体" w:hAnsi="宋体"/>
                <w:color w:val="auto"/>
                <w:szCs w:val="21"/>
                <w:highlight w:val="none"/>
              </w:rPr>
            </w:pPr>
            <w:r>
              <w:rPr>
                <w:rFonts w:hint="eastAsia" w:hAnsi="宋体" w:cs="Courier New"/>
                <w:bCs/>
                <w:color w:val="auto"/>
                <w:highlight w:val="none"/>
              </w:rPr>
              <w:t>（</w:t>
            </w:r>
            <w:r>
              <w:rPr>
                <w:rFonts w:hAnsi="宋体" w:cs="Courier New"/>
                <w:bCs/>
                <w:color w:val="auto"/>
                <w:highlight w:val="none"/>
              </w:rPr>
              <w:t>5</w:t>
            </w:r>
            <w:r>
              <w:rPr>
                <w:rFonts w:hint="eastAsia" w:hAnsi="宋体" w:cs="Courier New"/>
                <w:bCs/>
                <w:color w:val="auto"/>
                <w:highlight w:val="none"/>
              </w:rPr>
              <w:t>）本项目不涉及本国产品的</w:t>
            </w:r>
            <w:r>
              <w:rPr>
                <w:rFonts w:hint="eastAsia" w:hAnsi="宋体" w:cs="Courier New"/>
                <w:bCs/>
                <w:color w:val="auto"/>
                <w:highlight w:val="none"/>
                <w:lang w:eastAsia="zh-CN"/>
              </w:rPr>
              <w:t>竞标</w:t>
            </w:r>
            <w:r>
              <w:rPr>
                <w:rFonts w:hint="eastAsia" w:hAnsi="宋体" w:cs="Courier New"/>
                <w:bCs/>
                <w:color w:val="auto"/>
                <w:highlight w:val="none"/>
              </w:rPr>
              <w:t>，根据《国务院办公厅关于在政府采购中实施本国产品标准及相关政策的通知》（国办发〔2025〕34号）的规定，不再对供应商的最后报价进行本国产品价格扣除</w:t>
            </w:r>
            <w:r>
              <w:rPr>
                <w:rFonts w:hint="eastAsia" w:hAnsi="宋体"/>
                <w:color w:val="auto"/>
                <w:highlight w:val="none"/>
              </w:rPr>
              <w:t>。</w:t>
            </w:r>
          </w:p>
          <w:p w14:paraId="7B7CDE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本项目</w:t>
            </w:r>
            <w:r>
              <w:rPr>
                <w:rFonts w:hint="eastAsia" w:ascii="宋体" w:hAnsi="宋体"/>
                <w:color w:val="auto"/>
                <w:szCs w:val="21"/>
                <w:highlight w:val="none"/>
              </w:rPr>
              <w:t>评审价=竞标报价-中小企业</w:t>
            </w:r>
            <w:r>
              <w:rPr>
                <w:rFonts w:hint="eastAsia" w:ascii="宋体" w:hAnsi="宋体"/>
                <w:color w:val="auto"/>
                <w:szCs w:val="21"/>
                <w:highlight w:val="none"/>
                <w:lang w:val="en-US" w:eastAsia="zh-CN"/>
              </w:rPr>
              <w:t>政策性</w:t>
            </w:r>
            <w:r>
              <w:rPr>
                <w:rFonts w:hint="eastAsia" w:ascii="宋体" w:hAnsi="宋体"/>
                <w:color w:val="auto"/>
                <w:szCs w:val="21"/>
                <w:highlight w:val="none"/>
              </w:rPr>
              <w:t>折扣，除上述情况外，评审价=竞标报价。</w:t>
            </w:r>
          </w:p>
          <w:p w14:paraId="5312EBB4">
            <w:pPr>
              <w:pStyle w:val="8"/>
              <w:spacing w:line="360" w:lineRule="auto"/>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（7）以进入比较与评价环节的最低的评审价为基准价，基准价得分为</w:t>
            </w:r>
            <w:r>
              <w:rPr>
                <w:rFonts w:hint="eastAsia" w:hAnsi="宋体" w:cs="Courier New"/>
                <w:bCs/>
                <w:color w:val="auto"/>
                <w:kern w:val="2"/>
                <w:sz w:val="21"/>
                <w:highlight w:val="none"/>
                <w:u w:val="single"/>
                <w:lang w:val="en-US" w:eastAsia="zh-CN"/>
              </w:rPr>
              <w:t xml:space="preserve"> 10分</w:t>
            </w:r>
            <w:r>
              <w:rPr>
                <w:rFonts w:hint="eastAsia" w:hAnsi="宋体" w:cs="Courier New"/>
                <w:bCs/>
                <w:color w:val="auto"/>
                <w:kern w:val="2"/>
                <w:sz w:val="21"/>
                <w:highlight w:val="none"/>
                <w:lang w:val="en-US" w:eastAsia="zh-CN"/>
              </w:rPr>
              <w:t>。</w:t>
            </w:r>
          </w:p>
          <w:p w14:paraId="4A326432">
            <w:pPr>
              <w:pStyle w:val="8"/>
              <w:spacing w:line="360" w:lineRule="auto"/>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（8）价格分计算公式：</w:t>
            </w:r>
          </w:p>
          <w:p w14:paraId="098B69F2">
            <w:pPr>
              <w:pStyle w:val="5"/>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报价得分=（基准价/最后报价）×</w:t>
            </w:r>
            <w:r>
              <w:rPr>
                <w:rFonts w:hint="eastAsia" w:hAnsi="宋体" w:cs="Courier New"/>
                <w:bCs/>
                <w:color w:val="auto"/>
                <w:kern w:val="2"/>
                <w:sz w:val="21"/>
                <w:highlight w:val="none"/>
                <w:u w:val="single"/>
                <w:lang w:val="en-US" w:eastAsia="zh-CN"/>
              </w:rPr>
              <w:t xml:space="preserve"> 10 分</w:t>
            </w:r>
          </w:p>
        </w:tc>
        <w:tc>
          <w:tcPr>
            <w:tcW w:w="851" w:type="dxa"/>
            <w:tcBorders>
              <w:top w:val="single" w:color="auto" w:sz="4" w:space="0"/>
              <w:left w:val="single" w:color="auto" w:sz="4" w:space="0"/>
              <w:bottom w:val="single" w:color="auto" w:sz="4" w:space="0"/>
              <w:right w:val="single" w:color="auto" w:sz="4" w:space="0"/>
            </w:tcBorders>
            <w:vAlign w:val="center"/>
          </w:tcPr>
          <w:p w14:paraId="7FA632BD">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3F11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C875E35">
            <w:pPr>
              <w:widowControl/>
              <w:spacing w:line="360"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3274C9B7">
            <w:pPr>
              <w:widowControl/>
              <w:spacing w:line="360" w:lineRule="auto"/>
              <w:jc w:val="center"/>
              <w:rPr>
                <w:rFonts w:hint="eastAsia" w:ascii="宋体" w:hAnsi="宋体" w:cs="Tahoma"/>
                <w:color w:val="auto"/>
                <w:kern w:val="0"/>
                <w:szCs w:val="21"/>
                <w:highlight w:val="none"/>
              </w:rPr>
            </w:pPr>
            <w:r>
              <w:rPr>
                <w:rFonts w:hint="eastAsia" w:ascii="宋体" w:hAnsi="宋体"/>
                <w:bCs/>
                <w:color w:val="auto"/>
                <w:kern w:val="0"/>
                <w:szCs w:val="21"/>
                <w:highlight w:val="none"/>
              </w:rPr>
              <w:t>技术分</w:t>
            </w:r>
          </w:p>
        </w:tc>
        <w:tc>
          <w:tcPr>
            <w:tcW w:w="7139" w:type="dxa"/>
            <w:gridSpan w:val="2"/>
            <w:tcBorders>
              <w:top w:val="single" w:color="auto" w:sz="4" w:space="0"/>
              <w:left w:val="single" w:color="auto" w:sz="4" w:space="0"/>
              <w:bottom w:val="single" w:color="auto" w:sz="4" w:space="0"/>
              <w:right w:val="single" w:color="auto" w:sz="4" w:space="0"/>
            </w:tcBorders>
            <w:vAlign w:val="top"/>
          </w:tcPr>
          <w:p w14:paraId="31E50E30">
            <w:pPr>
              <w:widowControl/>
              <w:spacing w:line="360" w:lineRule="auto"/>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1DC4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56F7372">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2.1</w:t>
            </w:r>
          </w:p>
        </w:tc>
        <w:tc>
          <w:tcPr>
            <w:tcW w:w="1418" w:type="dxa"/>
            <w:tcBorders>
              <w:top w:val="single" w:color="auto" w:sz="4" w:space="0"/>
              <w:left w:val="single" w:color="auto" w:sz="4" w:space="0"/>
              <w:bottom w:val="single" w:color="auto" w:sz="4" w:space="0"/>
              <w:right w:val="single" w:color="auto" w:sz="4" w:space="0"/>
            </w:tcBorders>
            <w:vAlign w:val="center"/>
          </w:tcPr>
          <w:p w14:paraId="507F6C4E">
            <w:pPr>
              <w:spacing w:line="360" w:lineRule="auto"/>
              <w:jc w:val="center"/>
              <w:rPr>
                <w:rFonts w:ascii="宋体" w:hAnsi="宋体"/>
                <w:bCs/>
                <w:color w:val="auto"/>
                <w:kern w:val="0"/>
                <w:szCs w:val="21"/>
                <w:highlight w:val="none"/>
              </w:rPr>
            </w:pPr>
            <w:r>
              <w:rPr>
                <w:rFonts w:hint="eastAsia" w:ascii="宋体" w:hAnsi="宋体"/>
                <w:bCs/>
                <w:color w:val="auto"/>
                <w:kern w:val="0"/>
                <w:szCs w:val="21"/>
                <w:highlight w:val="none"/>
                <w:lang w:val="en-US" w:eastAsia="zh-CN"/>
              </w:rPr>
              <w:t>监管服务方案</w:t>
            </w:r>
            <w:r>
              <w:rPr>
                <w:rFonts w:hint="eastAsia" w:ascii="宋体" w:hAnsi="宋体"/>
                <w:bCs/>
                <w:color w:val="auto"/>
                <w:kern w:val="0"/>
                <w:szCs w:val="21"/>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14:paraId="33F236E7">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由磋商小组成员根据下列标准进行独立评审，并独立打分。不入档不得分。</w:t>
            </w:r>
          </w:p>
          <w:p w14:paraId="221C9E2F">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由磋商小组根据供应商的监管服务方案进行独立评分，包含以下评审因素：①项目背景分析；②服务目标分析；③服务团队组织架构及岗位职责；④现场检查工作方案；⑤统计分析工作方案；⑥内部控制制度；⑦信息安全制度。</w:t>
            </w:r>
          </w:p>
          <w:p w14:paraId="4C3E3BCC">
            <w:pPr>
              <w:pStyle w:val="36"/>
              <w:spacing w:line="360" w:lineRule="auto"/>
              <w:rPr>
                <w:rFonts w:hint="eastAsia" w:hAnsi="宋体" w:cs="Courier New"/>
                <w:b/>
                <w:bCs w:val="0"/>
                <w:color w:val="auto"/>
                <w:kern w:val="2"/>
                <w:sz w:val="21"/>
                <w:highlight w:val="none"/>
                <w:lang w:val="en-US" w:eastAsia="zh-CN"/>
              </w:rPr>
            </w:pPr>
            <w:r>
              <w:rPr>
                <w:rFonts w:hint="eastAsia" w:hAnsi="宋体" w:cs="Courier New"/>
                <w:b/>
                <w:bCs w:val="0"/>
                <w:color w:val="auto"/>
                <w:kern w:val="2"/>
                <w:sz w:val="21"/>
                <w:highlight w:val="none"/>
                <w:lang w:val="en-US" w:eastAsia="zh-CN"/>
              </w:rPr>
              <w:t>不能达到一档要求的得0分。</w:t>
            </w:r>
          </w:p>
          <w:p w14:paraId="165CC72B">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一档（4分）：供应商提供有监管服务方案，但方案内容不齐全，仅包含其中1-2项内容，内容表述清晰且满足项目要求。</w:t>
            </w:r>
          </w:p>
          <w:p w14:paraId="7F624047">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二档（8分）：供应商提供有监管服务方案，但方案内容不齐全，仅包含其中3-4项内容，内容表述清晰且满足项目要求。</w:t>
            </w:r>
          </w:p>
          <w:p w14:paraId="6C5383C2">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三档（12分）：供应商提供有监管服务方案，但方案内容不齐全，仅包含其中5-6项内容，内容表述清晰且满足项目要求。</w:t>
            </w:r>
          </w:p>
          <w:p w14:paraId="685145EF">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四档（15分）：供应商提供的监管服务方案内容齐全完整，内容表述清晰、有条理，具有可操作性、执行性且满足项目要求。</w:t>
            </w:r>
          </w:p>
        </w:tc>
        <w:tc>
          <w:tcPr>
            <w:tcW w:w="851" w:type="dxa"/>
            <w:tcBorders>
              <w:top w:val="single" w:color="auto" w:sz="4" w:space="0"/>
              <w:left w:val="single" w:color="auto" w:sz="4" w:space="0"/>
              <w:bottom w:val="single" w:color="auto" w:sz="4" w:space="0"/>
              <w:right w:val="single" w:color="auto" w:sz="4" w:space="0"/>
            </w:tcBorders>
            <w:vAlign w:val="center"/>
          </w:tcPr>
          <w:p w14:paraId="36A254F8">
            <w:pPr>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lang w:val="en-US" w:eastAsia="zh-CN"/>
              </w:rPr>
              <w:t>15</w:t>
            </w:r>
            <w:r>
              <w:rPr>
                <w:rFonts w:hint="eastAsia" w:ascii="宋体" w:hAnsi="宋体" w:cs="Courier New"/>
                <w:bCs/>
                <w:color w:val="auto"/>
                <w:szCs w:val="21"/>
                <w:highlight w:val="none"/>
              </w:rPr>
              <w:t>分</w:t>
            </w:r>
          </w:p>
        </w:tc>
      </w:tr>
      <w:tr w14:paraId="4F86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565A652">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2.2</w:t>
            </w:r>
          </w:p>
        </w:tc>
        <w:tc>
          <w:tcPr>
            <w:tcW w:w="1418" w:type="dxa"/>
            <w:tcBorders>
              <w:top w:val="single" w:color="auto" w:sz="4" w:space="0"/>
              <w:left w:val="single" w:color="auto" w:sz="4" w:space="0"/>
              <w:bottom w:val="single" w:color="auto" w:sz="4" w:space="0"/>
              <w:right w:val="single" w:color="auto" w:sz="4" w:space="0"/>
            </w:tcBorders>
            <w:vAlign w:val="center"/>
          </w:tcPr>
          <w:p w14:paraId="22F4A7C9">
            <w:pPr>
              <w:spacing w:line="360" w:lineRule="auto"/>
              <w:jc w:val="center"/>
              <w:rPr>
                <w:rFonts w:hint="eastAsia" w:ascii="宋体" w:hAnsi="宋体"/>
                <w:b/>
                <w:bCs/>
                <w:color w:val="auto"/>
                <w:kern w:val="0"/>
                <w:szCs w:val="21"/>
                <w:highlight w:val="none"/>
              </w:rPr>
            </w:pPr>
            <w:r>
              <w:rPr>
                <w:rFonts w:hint="eastAsia" w:ascii="宋体" w:hAnsi="宋体" w:cs="Courier New"/>
                <w:bCs/>
                <w:color w:val="auto"/>
                <w:kern w:val="0"/>
                <w:szCs w:val="21"/>
                <w:highlight w:val="none"/>
                <w:lang w:val="en-US" w:eastAsia="zh-CN"/>
              </w:rPr>
              <w:t>项目实施计划方案</w:t>
            </w:r>
            <w:r>
              <w:rPr>
                <w:rFonts w:hint="eastAsia" w:ascii="宋体" w:hAnsi="宋体" w:cs="Courier New"/>
                <w:bCs/>
                <w:color w:val="auto"/>
                <w:kern w:val="0"/>
                <w:szCs w:val="21"/>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14:paraId="25E07482">
            <w:pPr>
              <w:pStyle w:val="36"/>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由磋商小组根据供应商的项目计划独立评分，包含以下评审因素：①实施进度计划；②资源计划；③风险管理方案；④质量管理方案；⑤历年问题分析方案；⑥技术实施规则计划。</w:t>
            </w:r>
          </w:p>
          <w:p w14:paraId="6500C1C4">
            <w:pPr>
              <w:pStyle w:val="36"/>
              <w:spacing w:line="360" w:lineRule="auto"/>
              <w:rPr>
                <w:rFonts w:hint="eastAsia" w:hAnsi="宋体"/>
                <w:b/>
                <w:bCs w:val="0"/>
                <w:color w:val="auto"/>
                <w:sz w:val="21"/>
                <w:highlight w:val="none"/>
                <w:lang w:val="en-US" w:eastAsia="zh-CN"/>
              </w:rPr>
            </w:pPr>
            <w:r>
              <w:rPr>
                <w:rFonts w:hint="eastAsia" w:hAnsi="宋体"/>
                <w:b/>
                <w:bCs w:val="0"/>
                <w:color w:val="auto"/>
                <w:sz w:val="21"/>
                <w:highlight w:val="none"/>
                <w:lang w:val="en-US" w:eastAsia="zh-CN"/>
              </w:rPr>
              <w:t>不能达到一档要求的得0分。</w:t>
            </w:r>
          </w:p>
          <w:p w14:paraId="5448C874">
            <w:pPr>
              <w:pStyle w:val="36"/>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一档（5分）：供应商提供有项目实施计划方案，但方案内容不齐全，仅包含其中1项内容，内容表述清晰且满足项目要求。</w:t>
            </w:r>
          </w:p>
          <w:p w14:paraId="08D01F4A">
            <w:pPr>
              <w:pStyle w:val="36"/>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二档（10分）：供应商提供有项目实施计划方案，但方案内容不齐全，仅包含其中2-3项内容，内容表述清晰且满足项目要求。</w:t>
            </w:r>
          </w:p>
          <w:p w14:paraId="22F54696">
            <w:pPr>
              <w:pStyle w:val="36"/>
              <w:spacing w:line="360" w:lineRule="auto"/>
              <w:rPr>
                <w:rFonts w:hint="eastAsia" w:hAnsi="宋体"/>
                <w:bCs/>
                <w:color w:val="auto"/>
                <w:sz w:val="21"/>
                <w:highlight w:val="none"/>
                <w:lang w:val="en-US" w:eastAsia="zh-CN"/>
              </w:rPr>
            </w:pPr>
            <w:r>
              <w:rPr>
                <w:rFonts w:hint="eastAsia" w:hAnsi="宋体"/>
                <w:bCs/>
                <w:color w:val="auto"/>
                <w:sz w:val="21"/>
                <w:highlight w:val="none"/>
                <w:lang w:val="en-US" w:eastAsia="zh-CN"/>
              </w:rPr>
              <w:t>三档（15分）：供应商提供有项目实施计划方案，但方案不齐全，仅包含其中4-5项内容，内容表述清晰且满足项目要求。</w:t>
            </w:r>
          </w:p>
          <w:p w14:paraId="7DFD6041">
            <w:pPr>
              <w:pStyle w:val="36"/>
              <w:spacing w:line="360" w:lineRule="auto"/>
              <w:rPr>
                <w:rFonts w:hint="eastAsia" w:hAnsi="宋体"/>
                <w:bCs/>
                <w:color w:val="auto"/>
                <w:highlight w:val="none"/>
              </w:rPr>
            </w:pPr>
            <w:r>
              <w:rPr>
                <w:rFonts w:hint="eastAsia" w:hAnsi="宋体"/>
                <w:bCs/>
                <w:color w:val="auto"/>
                <w:sz w:val="21"/>
                <w:highlight w:val="none"/>
                <w:lang w:val="en-US" w:eastAsia="zh-CN"/>
              </w:rPr>
              <w:t>四档（20分）：</w:t>
            </w:r>
            <w:r>
              <w:rPr>
                <w:rFonts w:hint="eastAsia" w:hAnsi="宋体" w:cs="Courier New"/>
                <w:bCs/>
                <w:color w:val="auto"/>
                <w:kern w:val="2"/>
                <w:sz w:val="21"/>
                <w:highlight w:val="none"/>
                <w:lang w:val="en-US" w:eastAsia="zh-CN"/>
              </w:rPr>
              <w:t>供应商提供的项目实施计划方案内容齐全完整，</w:t>
            </w:r>
            <w:r>
              <w:rPr>
                <w:rFonts w:hint="eastAsia" w:hAnsi="宋体"/>
                <w:bCs/>
                <w:color w:val="auto"/>
                <w:sz w:val="21"/>
                <w:highlight w:val="none"/>
                <w:lang w:val="en-US" w:eastAsia="zh-CN"/>
              </w:rPr>
              <w:t>内容表述清晰</w:t>
            </w:r>
            <w:r>
              <w:rPr>
                <w:rFonts w:hint="eastAsia" w:hAnsi="宋体" w:cs="Courier New"/>
                <w:bCs/>
                <w:color w:val="auto"/>
                <w:kern w:val="2"/>
                <w:sz w:val="21"/>
                <w:highlight w:val="none"/>
                <w:lang w:val="en-US" w:eastAsia="zh-CN"/>
              </w:rPr>
              <w:t>、有条理，具有可操作性、可行性</w:t>
            </w:r>
            <w:r>
              <w:rPr>
                <w:rFonts w:hint="eastAsia" w:hAnsi="宋体"/>
                <w:bCs/>
                <w:color w:val="auto"/>
                <w:sz w:val="21"/>
                <w:highlight w:val="none"/>
                <w:lang w:val="en-US" w:eastAsia="zh-CN"/>
              </w:rPr>
              <w:t>且满足项目要求。</w:t>
            </w:r>
          </w:p>
        </w:tc>
        <w:tc>
          <w:tcPr>
            <w:tcW w:w="851" w:type="dxa"/>
            <w:tcBorders>
              <w:top w:val="single" w:color="auto" w:sz="4" w:space="0"/>
              <w:left w:val="single" w:color="auto" w:sz="4" w:space="0"/>
              <w:bottom w:val="single" w:color="auto" w:sz="4" w:space="0"/>
              <w:right w:val="single" w:color="auto" w:sz="4" w:space="0"/>
            </w:tcBorders>
            <w:vAlign w:val="center"/>
          </w:tcPr>
          <w:p w14:paraId="2F718FC8">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20</w:t>
            </w:r>
            <w:r>
              <w:rPr>
                <w:rFonts w:hint="eastAsia" w:ascii="宋体" w:hAnsi="宋体" w:cs="Courier New"/>
                <w:bCs/>
                <w:color w:val="auto"/>
                <w:szCs w:val="21"/>
                <w:highlight w:val="none"/>
              </w:rPr>
              <w:t>分</w:t>
            </w:r>
          </w:p>
        </w:tc>
      </w:tr>
      <w:tr w14:paraId="06AC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1DF6E9F7">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2.3</w:t>
            </w:r>
          </w:p>
        </w:tc>
        <w:tc>
          <w:tcPr>
            <w:tcW w:w="1418" w:type="dxa"/>
            <w:tcBorders>
              <w:top w:val="single" w:color="auto" w:sz="4" w:space="0"/>
              <w:left w:val="single" w:color="auto" w:sz="4" w:space="0"/>
              <w:bottom w:val="single" w:color="auto" w:sz="4" w:space="0"/>
              <w:right w:val="single" w:color="auto" w:sz="4" w:space="0"/>
            </w:tcBorders>
            <w:vAlign w:val="center"/>
          </w:tcPr>
          <w:p w14:paraId="47356BFB">
            <w:pPr>
              <w:spacing w:line="360" w:lineRule="auto"/>
              <w:jc w:val="center"/>
              <w:rPr>
                <w:rFonts w:hint="eastAsia" w:ascii="宋体" w:hAnsi="宋体"/>
                <w:bCs/>
                <w:color w:val="auto"/>
                <w:kern w:val="0"/>
                <w:szCs w:val="21"/>
                <w:highlight w:val="none"/>
              </w:rPr>
            </w:pPr>
            <w:r>
              <w:rPr>
                <w:rFonts w:hint="eastAsia" w:ascii="宋体" w:hAnsi="宋体"/>
                <w:bCs/>
                <w:color w:val="auto"/>
                <w:kern w:val="0"/>
                <w:szCs w:val="21"/>
                <w:highlight w:val="none"/>
                <w:lang w:val="en-US" w:eastAsia="zh-CN"/>
              </w:rPr>
              <w:t>后续服务保障措施</w:t>
            </w:r>
            <w:r>
              <w:rPr>
                <w:rFonts w:hint="eastAsia" w:ascii="宋体" w:hAnsi="宋体"/>
                <w:bCs/>
                <w:color w:val="auto"/>
                <w:kern w:val="0"/>
                <w:szCs w:val="21"/>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14:paraId="1BC26211">
            <w:pPr>
              <w:spacing w:line="360" w:lineRule="auto"/>
              <w:rPr>
                <w:rFonts w:hint="eastAsia" w:ascii="Calibri" w:hAnsi="宋体" w:cs="Courier New"/>
                <w:bCs/>
                <w:color w:val="auto"/>
                <w:szCs w:val="20"/>
                <w:highlight w:val="none"/>
              </w:rPr>
            </w:pPr>
            <w:r>
              <w:rPr>
                <w:rFonts w:hint="eastAsia" w:ascii="Calibri" w:hAnsi="宋体" w:cs="Courier New"/>
                <w:bCs/>
                <w:color w:val="auto"/>
                <w:szCs w:val="20"/>
                <w:highlight w:val="none"/>
              </w:rPr>
              <w:t>由</w:t>
            </w:r>
            <w:r>
              <w:rPr>
                <w:rFonts w:hint="eastAsia" w:ascii="Calibri" w:hAnsi="宋体" w:cs="Courier New"/>
                <w:bCs/>
                <w:color w:val="auto"/>
                <w:szCs w:val="20"/>
                <w:highlight w:val="none"/>
                <w:lang w:eastAsia="zh-CN"/>
              </w:rPr>
              <w:t>磋商小组</w:t>
            </w:r>
            <w:r>
              <w:rPr>
                <w:rFonts w:hint="eastAsia" w:ascii="Calibri" w:hAnsi="宋体" w:cs="Courier New"/>
                <w:bCs/>
                <w:color w:val="auto"/>
                <w:szCs w:val="20"/>
                <w:highlight w:val="none"/>
              </w:rPr>
              <w:t>根据</w:t>
            </w:r>
            <w:r>
              <w:rPr>
                <w:rFonts w:hint="eastAsia" w:ascii="Calibri" w:hAnsi="宋体" w:cs="Courier New"/>
                <w:bCs/>
                <w:color w:val="auto"/>
                <w:szCs w:val="20"/>
                <w:highlight w:val="none"/>
                <w:lang w:val="en-US" w:eastAsia="zh-CN"/>
              </w:rPr>
              <w:t>供应商</w:t>
            </w:r>
            <w:r>
              <w:rPr>
                <w:rFonts w:hint="eastAsia" w:ascii="Calibri" w:hAnsi="宋体" w:cs="Courier New"/>
                <w:bCs/>
                <w:color w:val="auto"/>
                <w:szCs w:val="20"/>
                <w:highlight w:val="none"/>
              </w:rPr>
              <w:t>的</w:t>
            </w:r>
            <w:r>
              <w:rPr>
                <w:rFonts w:hint="eastAsia" w:ascii="Calibri" w:hAnsi="宋体" w:cs="Courier New"/>
                <w:bCs/>
                <w:color w:val="auto"/>
                <w:szCs w:val="20"/>
                <w:highlight w:val="none"/>
                <w:lang w:val="en-US" w:eastAsia="zh-CN"/>
              </w:rPr>
              <w:t>后续服务保障措施</w:t>
            </w:r>
            <w:r>
              <w:rPr>
                <w:rFonts w:hint="eastAsia" w:ascii="Calibri" w:hAnsi="宋体" w:cs="Courier New"/>
                <w:bCs/>
                <w:color w:val="auto"/>
                <w:szCs w:val="20"/>
                <w:highlight w:val="none"/>
              </w:rPr>
              <w:t>独立评分，包含以下评审因素：①</w:t>
            </w:r>
            <w:r>
              <w:rPr>
                <w:rFonts w:hint="eastAsia" w:ascii="Calibri" w:hAnsi="宋体" w:cs="Courier New"/>
                <w:bCs/>
                <w:color w:val="auto"/>
                <w:szCs w:val="20"/>
                <w:highlight w:val="none"/>
                <w:lang w:val="en-US" w:eastAsia="zh-CN"/>
              </w:rPr>
              <w:t>突发事件应急预案</w:t>
            </w:r>
            <w:r>
              <w:rPr>
                <w:rFonts w:hint="eastAsia" w:ascii="Calibri" w:hAnsi="宋体" w:cs="Courier New"/>
                <w:bCs/>
                <w:color w:val="auto"/>
                <w:szCs w:val="20"/>
                <w:highlight w:val="none"/>
              </w:rPr>
              <w:t>；②</w:t>
            </w:r>
            <w:r>
              <w:rPr>
                <w:rFonts w:hint="eastAsia" w:ascii="Calibri" w:hAnsi="宋体" w:cs="Courier New"/>
                <w:bCs/>
                <w:color w:val="auto"/>
                <w:szCs w:val="20"/>
                <w:highlight w:val="none"/>
                <w:lang w:val="en-US" w:eastAsia="zh-CN"/>
              </w:rPr>
              <w:t>应急响应流程</w:t>
            </w:r>
            <w:r>
              <w:rPr>
                <w:rFonts w:hint="eastAsia" w:ascii="Calibri" w:hAnsi="宋体" w:cs="Courier New"/>
                <w:bCs/>
                <w:color w:val="auto"/>
                <w:szCs w:val="20"/>
                <w:highlight w:val="none"/>
              </w:rPr>
              <w:t>；③</w:t>
            </w:r>
            <w:r>
              <w:rPr>
                <w:rFonts w:hint="eastAsia" w:ascii="Calibri" w:hAnsi="宋体" w:cs="Courier New"/>
                <w:bCs/>
                <w:color w:val="auto"/>
                <w:szCs w:val="20"/>
                <w:highlight w:val="none"/>
                <w:lang w:val="en-US" w:eastAsia="zh-CN"/>
              </w:rPr>
              <w:t>应急响应组织机构与原则</w:t>
            </w:r>
            <w:r>
              <w:rPr>
                <w:rFonts w:hint="eastAsia" w:ascii="Calibri" w:hAnsi="宋体" w:cs="Courier New"/>
                <w:bCs/>
                <w:color w:val="auto"/>
                <w:szCs w:val="20"/>
                <w:highlight w:val="none"/>
              </w:rPr>
              <w:t>；④</w:t>
            </w:r>
            <w:r>
              <w:rPr>
                <w:rFonts w:hint="eastAsia" w:ascii="Calibri" w:hAnsi="宋体" w:cs="Courier New"/>
                <w:bCs/>
                <w:color w:val="auto"/>
                <w:szCs w:val="20"/>
                <w:highlight w:val="none"/>
                <w:lang w:val="en-US" w:eastAsia="zh-CN"/>
              </w:rPr>
              <w:t>突发事件分类</w:t>
            </w:r>
            <w:r>
              <w:rPr>
                <w:rFonts w:hint="eastAsia" w:ascii="Calibri" w:hAnsi="宋体" w:cs="Courier New"/>
                <w:bCs/>
                <w:color w:val="auto"/>
                <w:szCs w:val="20"/>
                <w:highlight w:val="none"/>
              </w:rPr>
              <w:t>；⑤</w:t>
            </w:r>
            <w:r>
              <w:rPr>
                <w:rFonts w:hint="eastAsia" w:ascii="Calibri" w:hAnsi="宋体" w:cs="Courier New"/>
                <w:bCs/>
                <w:color w:val="auto"/>
                <w:szCs w:val="20"/>
                <w:highlight w:val="none"/>
                <w:lang w:val="en-US" w:eastAsia="zh-CN"/>
              </w:rPr>
              <w:t>突发事件分级</w:t>
            </w:r>
            <w:r>
              <w:rPr>
                <w:rFonts w:hint="eastAsia" w:ascii="Calibri" w:hAnsi="宋体" w:cs="Courier New"/>
                <w:bCs/>
                <w:color w:val="auto"/>
                <w:szCs w:val="20"/>
                <w:highlight w:val="none"/>
              </w:rPr>
              <w:t>；⑥</w:t>
            </w:r>
            <w:r>
              <w:rPr>
                <w:rFonts w:hint="eastAsia" w:ascii="Calibri" w:hAnsi="宋体" w:cs="Courier New"/>
                <w:bCs/>
                <w:color w:val="auto"/>
                <w:szCs w:val="20"/>
                <w:highlight w:val="none"/>
                <w:lang w:val="en-US" w:eastAsia="zh-CN"/>
              </w:rPr>
              <w:t>人员设备预案</w:t>
            </w:r>
            <w:r>
              <w:rPr>
                <w:rFonts w:hint="eastAsia" w:ascii="Calibri" w:hAnsi="宋体" w:cs="Courier New"/>
                <w:bCs/>
                <w:color w:val="auto"/>
                <w:szCs w:val="20"/>
                <w:highlight w:val="none"/>
              </w:rPr>
              <w:t>；⑦</w:t>
            </w:r>
            <w:r>
              <w:rPr>
                <w:rFonts w:hint="eastAsia" w:ascii="Calibri" w:hAnsi="宋体" w:cs="Courier New"/>
                <w:bCs/>
                <w:color w:val="auto"/>
                <w:szCs w:val="20"/>
                <w:highlight w:val="none"/>
                <w:lang w:val="en-US" w:eastAsia="zh-CN"/>
              </w:rPr>
              <w:t>具体保障措施</w:t>
            </w:r>
            <w:r>
              <w:rPr>
                <w:rFonts w:hint="eastAsia" w:ascii="Calibri" w:hAnsi="宋体" w:cs="Courier New"/>
                <w:bCs/>
                <w:color w:val="auto"/>
                <w:szCs w:val="20"/>
                <w:highlight w:val="none"/>
              </w:rPr>
              <w:t>。</w:t>
            </w:r>
          </w:p>
          <w:p w14:paraId="28EE948A">
            <w:pPr>
              <w:spacing w:line="360" w:lineRule="auto"/>
              <w:rPr>
                <w:rFonts w:hint="eastAsia" w:ascii="Calibri" w:hAnsi="宋体" w:cs="Courier New"/>
                <w:b/>
                <w:bCs w:val="0"/>
                <w:color w:val="auto"/>
                <w:szCs w:val="20"/>
                <w:highlight w:val="none"/>
              </w:rPr>
            </w:pPr>
            <w:r>
              <w:rPr>
                <w:rFonts w:hint="eastAsia" w:ascii="Calibri" w:hAnsi="宋体" w:cs="Courier New"/>
                <w:b/>
                <w:bCs w:val="0"/>
                <w:color w:val="auto"/>
                <w:szCs w:val="20"/>
                <w:highlight w:val="none"/>
              </w:rPr>
              <w:t>不能达到一档要求的得0分。</w:t>
            </w:r>
          </w:p>
          <w:p w14:paraId="20A406D1">
            <w:pPr>
              <w:spacing w:line="360" w:lineRule="auto"/>
              <w:rPr>
                <w:rFonts w:hint="eastAsia" w:ascii="Calibri" w:hAnsi="宋体" w:cs="Courier New"/>
                <w:bCs/>
                <w:color w:val="auto"/>
                <w:szCs w:val="20"/>
                <w:highlight w:val="none"/>
              </w:rPr>
            </w:pPr>
            <w:r>
              <w:rPr>
                <w:rFonts w:hint="eastAsia" w:ascii="Calibri" w:hAnsi="宋体" w:cs="Courier New"/>
                <w:bCs/>
                <w:color w:val="auto"/>
                <w:szCs w:val="20"/>
                <w:highlight w:val="none"/>
              </w:rPr>
              <w:t>一档（</w:t>
            </w:r>
            <w:r>
              <w:rPr>
                <w:rFonts w:hint="eastAsia" w:ascii="Calibri" w:hAnsi="宋体" w:cs="Courier New"/>
                <w:bCs/>
                <w:color w:val="auto"/>
                <w:szCs w:val="20"/>
                <w:highlight w:val="none"/>
                <w:lang w:val="en-US" w:eastAsia="zh-CN"/>
              </w:rPr>
              <w:t>4</w:t>
            </w:r>
            <w:r>
              <w:rPr>
                <w:rFonts w:hint="eastAsia" w:ascii="Calibri" w:hAnsi="宋体" w:cs="Courier New"/>
                <w:bCs/>
                <w:color w:val="auto"/>
                <w:szCs w:val="20"/>
                <w:highlight w:val="none"/>
              </w:rPr>
              <w:t>分）：</w:t>
            </w:r>
            <w:r>
              <w:rPr>
                <w:rFonts w:hint="eastAsia" w:ascii="Calibri" w:hAnsi="宋体" w:cs="Courier New"/>
                <w:bCs/>
                <w:color w:val="auto"/>
                <w:szCs w:val="20"/>
                <w:highlight w:val="none"/>
                <w:lang w:eastAsia="zh-CN"/>
              </w:rPr>
              <w:t>供应商提供有后续服务保障措施，但措施</w:t>
            </w:r>
            <w:r>
              <w:rPr>
                <w:rFonts w:hint="eastAsia" w:ascii="Calibri" w:hAnsi="宋体" w:cs="Courier New"/>
                <w:bCs/>
                <w:color w:val="auto"/>
                <w:szCs w:val="20"/>
                <w:highlight w:val="none"/>
              </w:rPr>
              <w:t>内容不齐全，仅包含其中1-</w:t>
            </w:r>
            <w:r>
              <w:rPr>
                <w:rFonts w:hint="eastAsia" w:ascii="Calibri" w:hAnsi="宋体" w:cs="Courier New"/>
                <w:bCs/>
                <w:color w:val="auto"/>
                <w:szCs w:val="20"/>
                <w:highlight w:val="none"/>
                <w:lang w:val="en-US" w:eastAsia="zh-CN"/>
              </w:rPr>
              <w:t>2</w:t>
            </w:r>
            <w:r>
              <w:rPr>
                <w:rFonts w:hint="eastAsia" w:ascii="Calibri" w:hAnsi="宋体" w:cs="Courier New"/>
                <w:bCs/>
                <w:color w:val="auto"/>
                <w:szCs w:val="20"/>
                <w:highlight w:val="none"/>
              </w:rPr>
              <w:t>项内容，内容表述清晰且满足项目要求。</w:t>
            </w:r>
          </w:p>
          <w:p w14:paraId="5ABD82AE">
            <w:pPr>
              <w:spacing w:line="360" w:lineRule="auto"/>
              <w:rPr>
                <w:rFonts w:hint="eastAsia" w:ascii="Calibri" w:hAnsi="宋体" w:cs="Courier New"/>
                <w:bCs/>
                <w:color w:val="auto"/>
                <w:szCs w:val="20"/>
                <w:highlight w:val="none"/>
              </w:rPr>
            </w:pPr>
            <w:r>
              <w:rPr>
                <w:rFonts w:hint="eastAsia" w:ascii="Calibri" w:hAnsi="宋体" w:cs="Courier New"/>
                <w:bCs/>
                <w:color w:val="auto"/>
                <w:szCs w:val="20"/>
                <w:highlight w:val="none"/>
              </w:rPr>
              <w:t>二档（</w:t>
            </w:r>
            <w:r>
              <w:rPr>
                <w:rFonts w:hint="eastAsia" w:ascii="Calibri" w:hAnsi="宋体" w:cs="Courier New"/>
                <w:bCs/>
                <w:color w:val="auto"/>
                <w:szCs w:val="20"/>
                <w:highlight w:val="none"/>
                <w:lang w:val="en-US" w:eastAsia="zh-CN"/>
              </w:rPr>
              <w:t>8</w:t>
            </w:r>
            <w:r>
              <w:rPr>
                <w:rFonts w:hint="eastAsia" w:ascii="Calibri" w:hAnsi="宋体" w:cs="Courier New"/>
                <w:bCs/>
                <w:color w:val="auto"/>
                <w:szCs w:val="20"/>
                <w:highlight w:val="none"/>
              </w:rPr>
              <w:t>分）：</w:t>
            </w:r>
            <w:r>
              <w:rPr>
                <w:rFonts w:hint="eastAsia" w:ascii="Calibri" w:hAnsi="宋体" w:cs="Courier New"/>
                <w:bCs/>
                <w:color w:val="auto"/>
                <w:szCs w:val="20"/>
                <w:highlight w:val="none"/>
                <w:lang w:eastAsia="zh-CN"/>
              </w:rPr>
              <w:t>供应商提供有后续服务保障措施，但措施</w:t>
            </w:r>
            <w:r>
              <w:rPr>
                <w:rFonts w:hint="eastAsia" w:ascii="Calibri" w:hAnsi="宋体" w:cs="Courier New"/>
                <w:bCs/>
                <w:color w:val="auto"/>
                <w:szCs w:val="20"/>
                <w:highlight w:val="none"/>
              </w:rPr>
              <w:t>内容不齐全，仅包含其中</w:t>
            </w:r>
            <w:r>
              <w:rPr>
                <w:rFonts w:hint="eastAsia" w:ascii="Calibri" w:hAnsi="宋体" w:cs="Courier New"/>
                <w:bCs/>
                <w:color w:val="auto"/>
                <w:szCs w:val="20"/>
                <w:highlight w:val="none"/>
                <w:lang w:val="en-US" w:eastAsia="zh-CN"/>
              </w:rPr>
              <w:t>3</w:t>
            </w:r>
            <w:r>
              <w:rPr>
                <w:rFonts w:hint="eastAsia" w:ascii="Calibri" w:hAnsi="宋体" w:cs="Courier New"/>
                <w:bCs/>
                <w:color w:val="auto"/>
                <w:szCs w:val="20"/>
                <w:highlight w:val="none"/>
              </w:rPr>
              <w:t>-</w:t>
            </w:r>
            <w:r>
              <w:rPr>
                <w:rFonts w:hint="eastAsia" w:ascii="Calibri" w:hAnsi="宋体" w:cs="Courier New"/>
                <w:bCs/>
                <w:color w:val="auto"/>
                <w:szCs w:val="20"/>
                <w:highlight w:val="none"/>
                <w:lang w:val="en-US" w:eastAsia="zh-CN"/>
              </w:rPr>
              <w:t>4</w:t>
            </w:r>
            <w:r>
              <w:rPr>
                <w:rFonts w:hint="eastAsia" w:ascii="Calibri" w:hAnsi="宋体" w:cs="Courier New"/>
                <w:bCs/>
                <w:color w:val="auto"/>
                <w:szCs w:val="20"/>
                <w:highlight w:val="none"/>
              </w:rPr>
              <w:t>项内容，内容表述清晰且满足项目要求。</w:t>
            </w:r>
          </w:p>
          <w:p w14:paraId="5AC291C3">
            <w:pPr>
              <w:spacing w:line="360" w:lineRule="auto"/>
              <w:rPr>
                <w:rFonts w:hint="eastAsia" w:ascii="Calibri" w:hAnsi="宋体" w:cs="Courier New"/>
                <w:bCs/>
                <w:color w:val="auto"/>
                <w:szCs w:val="20"/>
                <w:highlight w:val="none"/>
              </w:rPr>
            </w:pPr>
            <w:r>
              <w:rPr>
                <w:rFonts w:hint="eastAsia" w:ascii="Calibri" w:hAnsi="宋体" w:cs="Courier New"/>
                <w:bCs/>
                <w:color w:val="auto"/>
                <w:szCs w:val="20"/>
                <w:highlight w:val="none"/>
                <w:lang w:val="en-US" w:eastAsia="zh-CN"/>
              </w:rPr>
              <w:t>三</w:t>
            </w:r>
            <w:r>
              <w:rPr>
                <w:rFonts w:hint="eastAsia" w:ascii="Calibri" w:hAnsi="宋体" w:cs="Courier New"/>
                <w:bCs/>
                <w:color w:val="auto"/>
                <w:szCs w:val="20"/>
                <w:highlight w:val="none"/>
              </w:rPr>
              <w:t>档（</w:t>
            </w:r>
            <w:r>
              <w:rPr>
                <w:rFonts w:hint="eastAsia" w:ascii="Calibri" w:hAnsi="宋体" w:cs="Courier New"/>
                <w:bCs/>
                <w:color w:val="auto"/>
                <w:szCs w:val="20"/>
                <w:highlight w:val="none"/>
                <w:lang w:val="en-US" w:eastAsia="zh-CN"/>
              </w:rPr>
              <w:t>12</w:t>
            </w:r>
            <w:r>
              <w:rPr>
                <w:rFonts w:hint="eastAsia" w:ascii="Calibri" w:hAnsi="宋体" w:cs="Courier New"/>
                <w:bCs/>
                <w:color w:val="auto"/>
                <w:szCs w:val="20"/>
                <w:highlight w:val="none"/>
              </w:rPr>
              <w:t>分）：</w:t>
            </w:r>
            <w:r>
              <w:rPr>
                <w:rFonts w:hint="eastAsia" w:ascii="Calibri" w:hAnsi="宋体" w:cs="Courier New"/>
                <w:bCs/>
                <w:color w:val="auto"/>
                <w:szCs w:val="20"/>
                <w:highlight w:val="none"/>
                <w:lang w:eastAsia="zh-CN"/>
              </w:rPr>
              <w:t>供应商提供有后续服务保障措施，但措施</w:t>
            </w:r>
            <w:r>
              <w:rPr>
                <w:rFonts w:hint="eastAsia" w:ascii="Calibri" w:hAnsi="宋体" w:cs="Courier New"/>
                <w:bCs/>
                <w:color w:val="auto"/>
                <w:szCs w:val="20"/>
                <w:highlight w:val="none"/>
              </w:rPr>
              <w:t>内容不齐全，仅包含其中</w:t>
            </w:r>
            <w:r>
              <w:rPr>
                <w:rFonts w:hint="eastAsia" w:ascii="Calibri" w:hAnsi="宋体" w:cs="Courier New"/>
                <w:bCs/>
                <w:color w:val="auto"/>
                <w:szCs w:val="20"/>
                <w:highlight w:val="none"/>
                <w:lang w:val="en-US" w:eastAsia="zh-CN"/>
              </w:rPr>
              <w:t>5</w:t>
            </w:r>
            <w:r>
              <w:rPr>
                <w:rFonts w:hint="eastAsia" w:ascii="Calibri" w:hAnsi="宋体" w:cs="Courier New"/>
                <w:bCs/>
                <w:color w:val="auto"/>
                <w:szCs w:val="20"/>
                <w:highlight w:val="none"/>
              </w:rPr>
              <w:t>-</w:t>
            </w:r>
            <w:r>
              <w:rPr>
                <w:rFonts w:hint="eastAsia" w:ascii="Calibri" w:hAnsi="宋体" w:cs="Courier New"/>
                <w:bCs/>
                <w:color w:val="auto"/>
                <w:szCs w:val="20"/>
                <w:highlight w:val="none"/>
                <w:lang w:val="en-US" w:eastAsia="zh-CN"/>
              </w:rPr>
              <w:t>6</w:t>
            </w:r>
            <w:r>
              <w:rPr>
                <w:rFonts w:hint="eastAsia" w:ascii="Calibri" w:hAnsi="宋体" w:cs="Courier New"/>
                <w:bCs/>
                <w:color w:val="auto"/>
                <w:szCs w:val="20"/>
                <w:highlight w:val="none"/>
              </w:rPr>
              <w:t>项内容，内容表述清晰且满足项目要求。</w:t>
            </w:r>
          </w:p>
          <w:p w14:paraId="72B4136F">
            <w:pPr>
              <w:spacing w:line="360" w:lineRule="auto"/>
              <w:rPr>
                <w:rFonts w:hint="eastAsia" w:hAnsi="宋体" w:cs="Courier New"/>
                <w:bCs/>
                <w:color w:val="auto"/>
                <w:highlight w:val="none"/>
              </w:rPr>
            </w:pPr>
            <w:r>
              <w:rPr>
                <w:rFonts w:hint="eastAsia" w:ascii="Calibri" w:hAnsi="宋体" w:cs="Courier New"/>
                <w:bCs/>
                <w:color w:val="auto"/>
                <w:szCs w:val="20"/>
                <w:highlight w:val="none"/>
                <w:lang w:val="en-US" w:eastAsia="zh-CN"/>
              </w:rPr>
              <w:t>四</w:t>
            </w:r>
            <w:r>
              <w:rPr>
                <w:rFonts w:hint="eastAsia" w:ascii="Calibri" w:hAnsi="宋体" w:cs="Courier New"/>
                <w:bCs/>
                <w:color w:val="auto"/>
                <w:szCs w:val="20"/>
                <w:highlight w:val="none"/>
              </w:rPr>
              <w:t>档（</w:t>
            </w:r>
            <w:r>
              <w:rPr>
                <w:rFonts w:hint="eastAsia" w:ascii="Calibri" w:hAnsi="宋体" w:cs="Courier New"/>
                <w:bCs/>
                <w:color w:val="auto"/>
                <w:szCs w:val="20"/>
                <w:highlight w:val="none"/>
                <w:lang w:val="en-US" w:eastAsia="zh-CN"/>
              </w:rPr>
              <w:t>15</w:t>
            </w:r>
            <w:r>
              <w:rPr>
                <w:rFonts w:hint="eastAsia" w:ascii="Calibri" w:hAnsi="宋体" w:cs="Courier New"/>
                <w:bCs/>
                <w:color w:val="auto"/>
                <w:szCs w:val="20"/>
                <w:highlight w:val="none"/>
              </w:rPr>
              <w:t>分）：</w:t>
            </w:r>
            <w:r>
              <w:rPr>
                <w:rFonts w:hint="eastAsia" w:ascii="Calibri" w:hAnsi="宋体" w:cs="Courier New"/>
                <w:bCs/>
                <w:color w:val="auto"/>
                <w:szCs w:val="20"/>
                <w:highlight w:val="none"/>
                <w:lang w:eastAsia="zh-CN"/>
              </w:rPr>
              <w:t>供应商提供的后续服务保障措施</w:t>
            </w:r>
            <w:r>
              <w:rPr>
                <w:rFonts w:hint="eastAsia" w:ascii="Calibri" w:hAnsi="宋体" w:cs="Courier New"/>
                <w:bCs/>
                <w:color w:val="auto"/>
                <w:szCs w:val="20"/>
                <w:highlight w:val="none"/>
              </w:rPr>
              <w:t>内容齐全</w:t>
            </w:r>
            <w:r>
              <w:rPr>
                <w:rFonts w:hint="eastAsia" w:ascii="Calibri" w:hAnsi="宋体" w:cs="Courier New"/>
                <w:bCs/>
                <w:color w:val="auto"/>
                <w:szCs w:val="20"/>
                <w:highlight w:val="none"/>
                <w:lang w:eastAsia="zh-CN"/>
              </w:rPr>
              <w:t>完整</w:t>
            </w:r>
            <w:r>
              <w:rPr>
                <w:rFonts w:hint="eastAsia" w:ascii="Calibri" w:hAnsi="宋体" w:cs="Courier New"/>
                <w:bCs/>
                <w:color w:val="auto"/>
                <w:szCs w:val="20"/>
                <w:highlight w:val="none"/>
              </w:rPr>
              <w:t>，内容表述清晰</w:t>
            </w:r>
            <w:r>
              <w:rPr>
                <w:rFonts w:hint="eastAsia" w:hAnsi="宋体" w:cs="Courier New"/>
                <w:bCs/>
                <w:color w:val="auto"/>
                <w:kern w:val="2"/>
                <w:sz w:val="21"/>
                <w:highlight w:val="none"/>
                <w:lang w:val="en-US" w:eastAsia="zh-CN"/>
              </w:rPr>
              <w:t>、有条理，具有可操作性、可行性</w:t>
            </w:r>
            <w:r>
              <w:rPr>
                <w:rFonts w:hint="eastAsia" w:ascii="Calibri" w:hAnsi="宋体" w:cs="Courier New"/>
                <w:bCs/>
                <w:color w:val="auto"/>
                <w:szCs w:val="20"/>
                <w:highlight w:val="none"/>
              </w:rPr>
              <w:t>且满足项目要求。</w:t>
            </w:r>
          </w:p>
        </w:tc>
        <w:tc>
          <w:tcPr>
            <w:tcW w:w="851" w:type="dxa"/>
            <w:tcBorders>
              <w:top w:val="single" w:color="auto" w:sz="4" w:space="0"/>
              <w:left w:val="single" w:color="auto" w:sz="4" w:space="0"/>
              <w:bottom w:val="single" w:color="auto" w:sz="4" w:space="0"/>
              <w:right w:val="single" w:color="auto" w:sz="4" w:space="0"/>
            </w:tcBorders>
            <w:vAlign w:val="center"/>
          </w:tcPr>
          <w:p w14:paraId="650C5B95">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15</w:t>
            </w:r>
            <w:r>
              <w:rPr>
                <w:rFonts w:hint="eastAsia" w:ascii="宋体" w:hAnsi="宋体" w:cs="Courier New"/>
                <w:bCs/>
                <w:color w:val="auto"/>
                <w:szCs w:val="21"/>
                <w:highlight w:val="none"/>
              </w:rPr>
              <w:t>分</w:t>
            </w:r>
          </w:p>
        </w:tc>
      </w:tr>
      <w:tr w14:paraId="3A8B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4CC44982">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2.4</w:t>
            </w:r>
          </w:p>
        </w:tc>
        <w:tc>
          <w:tcPr>
            <w:tcW w:w="1418" w:type="dxa"/>
            <w:tcBorders>
              <w:top w:val="single" w:color="auto" w:sz="4" w:space="0"/>
              <w:left w:val="single" w:color="auto" w:sz="4" w:space="0"/>
              <w:bottom w:val="single" w:color="auto" w:sz="4" w:space="0"/>
              <w:right w:val="single" w:color="auto" w:sz="4" w:space="0"/>
            </w:tcBorders>
            <w:vAlign w:val="center"/>
          </w:tcPr>
          <w:p w14:paraId="449BBFA8">
            <w:pPr>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lang w:val="en-US" w:eastAsia="zh-CN"/>
              </w:rPr>
              <w:t>系统支撑及数据分析方案分</w:t>
            </w:r>
          </w:p>
        </w:tc>
        <w:tc>
          <w:tcPr>
            <w:tcW w:w="6288" w:type="dxa"/>
            <w:tcBorders>
              <w:top w:val="single" w:color="auto" w:sz="4" w:space="0"/>
              <w:left w:val="single" w:color="auto" w:sz="4" w:space="0"/>
              <w:bottom w:val="single" w:color="auto" w:sz="4" w:space="0"/>
              <w:right w:val="single" w:color="auto" w:sz="4" w:space="0"/>
            </w:tcBorders>
            <w:vAlign w:val="center"/>
          </w:tcPr>
          <w:p w14:paraId="3876694A">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由磋商小组根据供应商的系统支撑及数据分析方案独立评分，包含以下评审因素：①智能审核应用；②知识库体系应用；③大数据分析应用；④飞检稽核应用。</w:t>
            </w:r>
          </w:p>
          <w:p w14:paraId="058FB637">
            <w:pPr>
              <w:pStyle w:val="36"/>
              <w:spacing w:line="360" w:lineRule="auto"/>
              <w:rPr>
                <w:rFonts w:hint="eastAsia" w:hAnsi="宋体" w:cs="Courier New"/>
                <w:b/>
                <w:bCs w:val="0"/>
                <w:color w:val="auto"/>
                <w:kern w:val="2"/>
                <w:sz w:val="21"/>
                <w:highlight w:val="none"/>
                <w:lang w:val="en-US" w:eastAsia="zh-CN"/>
              </w:rPr>
            </w:pPr>
            <w:r>
              <w:rPr>
                <w:rFonts w:hint="eastAsia" w:hAnsi="宋体" w:cs="Courier New"/>
                <w:b/>
                <w:bCs w:val="0"/>
                <w:color w:val="auto"/>
                <w:kern w:val="2"/>
                <w:sz w:val="21"/>
                <w:highlight w:val="none"/>
                <w:lang w:val="en-US" w:eastAsia="zh-CN"/>
              </w:rPr>
              <w:t>不能达到一档要求的得0分。</w:t>
            </w:r>
          </w:p>
          <w:p w14:paraId="4244E44A">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一档（4分）：供应商提供有系统支撑及数据分析方案，但方案内容不齐全，仅包含其中1项内容，内容表述清晰且满足项目要求。</w:t>
            </w:r>
          </w:p>
          <w:p w14:paraId="5A4AC3EE">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二档（7分）：供应商提供有系统支撑及数据分析方案，但方案内容不齐全，仅包含其中2-3项内容，内容表述清晰且满足项目要求。</w:t>
            </w:r>
          </w:p>
          <w:p w14:paraId="4F7A7B98">
            <w:pPr>
              <w:pStyle w:val="36"/>
              <w:spacing w:line="360" w:lineRule="auto"/>
              <w:rPr>
                <w:rFonts w:hint="eastAsia"/>
                <w:color w:val="auto"/>
                <w:highlight w:val="none"/>
              </w:rPr>
            </w:pPr>
            <w:r>
              <w:rPr>
                <w:rFonts w:hint="eastAsia" w:hAnsi="宋体" w:cs="Courier New"/>
                <w:bCs/>
                <w:color w:val="auto"/>
                <w:kern w:val="2"/>
                <w:sz w:val="21"/>
                <w:highlight w:val="none"/>
                <w:lang w:val="en-US" w:eastAsia="zh-CN"/>
              </w:rPr>
              <w:t>三档（10分）：供应商提供的系统支撑及数据分析方案内容齐全完整，内容表述清晰、有条理，具有可操作性、可行性且满足项目要求。</w:t>
            </w:r>
          </w:p>
        </w:tc>
        <w:tc>
          <w:tcPr>
            <w:tcW w:w="851" w:type="dxa"/>
            <w:tcBorders>
              <w:top w:val="single" w:color="auto" w:sz="4" w:space="0"/>
              <w:left w:val="single" w:color="auto" w:sz="4" w:space="0"/>
              <w:bottom w:val="single" w:color="auto" w:sz="4" w:space="0"/>
              <w:right w:val="single" w:color="auto" w:sz="4" w:space="0"/>
            </w:tcBorders>
            <w:vAlign w:val="center"/>
          </w:tcPr>
          <w:p w14:paraId="63A2EDB8">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10</w:t>
            </w:r>
            <w:r>
              <w:rPr>
                <w:rFonts w:hint="eastAsia" w:ascii="宋体" w:hAnsi="宋体" w:cs="Courier New"/>
                <w:bCs/>
                <w:color w:val="auto"/>
                <w:szCs w:val="21"/>
                <w:highlight w:val="none"/>
              </w:rPr>
              <w:t>分</w:t>
            </w:r>
          </w:p>
        </w:tc>
      </w:tr>
      <w:tr w14:paraId="44C9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3BCEFDAA">
            <w:pPr>
              <w:spacing w:line="360" w:lineRule="auto"/>
              <w:ind w:left="-105" w:leftChars="-50" w:right="-105" w:rightChars="-50"/>
              <w:jc w:val="center"/>
              <w:rPr>
                <w:rFonts w:hint="eastAsia" w:ascii="宋体" w:hAnsi="宋体"/>
                <w:bCs/>
                <w:color w:val="auto"/>
                <w:kern w:val="0"/>
                <w:szCs w:val="21"/>
                <w:highlight w:val="none"/>
              </w:rPr>
            </w:pPr>
            <w:r>
              <w:rPr>
                <w:rFonts w:hint="eastAsia" w:ascii="宋体" w:hAnsi="宋体"/>
                <w:bCs/>
                <w:color w:val="auto"/>
                <w:kern w:val="0"/>
                <w:szCs w:val="21"/>
                <w:highlight w:val="none"/>
              </w:rPr>
              <w:t>2.5</w:t>
            </w:r>
          </w:p>
        </w:tc>
        <w:tc>
          <w:tcPr>
            <w:tcW w:w="1418" w:type="dxa"/>
            <w:tcBorders>
              <w:top w:val="single" w:color="auto" w:sz="4" w:space="0"/>
              <w:left w:val="single" w:color="auto" w:sz="4" w:space="0"/>
              <w:bottom w:val="single" w:color="auto" w:sz="4" w:space="0"/>
              <w:right w:val="single" w:color="auto" w:sz="4" w:space="0"/>
            </w:tcBorders>
            <w:vAlign w:val="center"/>
          </w:tcPr>
          <w:p w14:paraId="28A9E07E">
            <w:pPr>
              <w:spacing w:line="360" w:lineRule="auto"/>
              <w:jc w:val="center"/>
              <w:rPr>
                <w:rFonts w:ascii="宋体" w:hAnsi="宋体" w:cs="Courier New"/>
                <w:bCs/>
                <w:color w:val="auto"/>
                <w:kern w:val="0"/>
                <w:szCs w:val="21"/>
                <w:highlight w:val="none"/>
              </w:rPr>
            </w:pPr>
            <w:r>
              <w:rPr>
                <w:rFonts w:hint="eastAsia" w:ascii="宋体" w:hAnsi="宋体" w:cs="Courier New"/>
                <w:bCs/>
                <w:color w:val="auto"/>
                <w:kern w:val="0"/>
                <w:szCs w:val="21"/>
                <w:highlight w:val="none"/>
                <w:lang w:val="en-US" w:eastAsia="zh-CN"/>
              </w:rPr>
              <w:t>安全及保密控制方案</w:t>
            </w:r>
            <w:r>
              <w:rPr>
                <w:rFonts w:hint="eastAsia" w:ascii="宋体" w:hAnsi="宋体" w:cs="Courier New"/>
                <w:bCs/>
                <w:color w:val="auto"/>
                <w:kern w:val="0"/>
                <w:szCs w:val="21"/>
                <w:highlight w:val="none"/>
              </w:rPr>
              <w:t>分</w:t>
            </w:r>
          </w:p>
        </w:tc>
        <w:tc>
          <w:tcPr>
            <w:tcW w:w="6288" w:type="dxa"/>
            <w:tcBorders>
              <w:top w:val="single" w:color="auto" w:sz="4" w:space="0"/>
              <w:left w:val="single" w:color="auto" w:sz="4" w:space="0"/>
              <w:bottom w:val="single" w:color="auto" w:sz="4" w:space="0"/>
              <w:right w:val="single" w:color="auto" w:sz="4" w:space="0"/>
            </w:tcBorders>
            <w:vAlign w:val="center"/>
          </w:tcPr>
          <w:p w14:paraId="162AEB0C">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由磋商小组根据供应商的安全及保密控制方案独立评分，包含以下评审因素：①数据安全管理体系；②安全保密控制流程；③安全保密控制制度；④软件、设备安全保密控制。</w:t>
            </w:r>
          </w:p>
          <w:p w14:paraId="379AA7F8">
            <w:pPr>
              <w:pStyle w:val="36"/>
              <w:spacing w:line="360" w:lineRule="auto"/>
              <w:rPr>
                <w:rFonts w:hint="eastAsia" w:hAnsi="宋体" w:cs="Courier New"/>
                <w:b/>
                <w:bCs w:val="0"/>
                <w:color w:val="auto"/>
                <w:kern w:val="2"/>
                <w:sz w:val="21"/>
                <w:highlight w:val="none"/>
                <w:lang w:val="en-US" w:eastAsia="zh-CN"/>
              </w:rPr>
            </w:pPr>
            <w:r>
              <w:rPr>
                <w:rFonts w:hint="eastAsia" w:hAnsi="宋体" w:cs="Courier New"/>
                <w:b/>
                <w:bCs w:val="0"/>
                <w:color w:val="auto"/>
                <w:kern w:val="2"/>
                <w:sz w:val="21"/>
                <w:highlight w:val="none"/>
                <w:lang w:val="en-US" w:eastAsia="zh-CN"/>
              </w:rPr>
              <w:t>不能达到一档要求的得0分。</w:t>
            </w:r>
          </w:p>
          <w:p w14:paraId="6C7EF049">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一档（4分）：供应商提供有安全及保密控制方案，但方案内容不齐全，仅包含其中1项内容，内容表述清晰且满足项目要求。</w:t>
            </w:r>
          </w:p>
          <w:p w14:paraId="4BA5D943">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二档（7分）：供应商提供有安全及保密控制方案，但方案内容不齐全，仅包含其中2-3项内容，内容表述清晰且满足项目要求。</w:t>
            </w:r>
          </w:p>
          <w:p w14:paraId="5B2A05C1">
            <w:pPr>
              <w:pStyle w:val="36"/>
              <w:spacing w:line="360" w:lineRule="auto"/>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三档（10分）：供应商提供的安全及保密控制方案内容齐全完整，内容表述清晰、有条理，具有可操作性、可行性且满足项目要求。</w:t>
            </w:r>
          </w:p>
        </w:tc>
        <w:tc>
          <w:tcPr>
            <w:tcW w:w="851" w:type="dxa"/>
            <w:tcBorders>
              <w:top w:val="single" w:color="auto" w:sz="4" w:space="0"/>
              <w:left w:val="single" w:color="auto" w:sz="4" w:space="0"/>
              <w:bottom w:val="single" w:color="auto" w:sz="4" w:space="0"/>
              <w:right w:val="single" w:color="auto" w:sz="4" w:space="0"/>
            </w:tcBorders>
            <w:vAlign w:val="center"/>
          </w:tcPr>
          <w:p w14:paraId="1AC365C4">
            <w:pPr>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10</w:t>
            </w:r>
            <w:r>
              <w:rPr>
                <w:rFonts w:hint="eastAsia" w:ascii="宋体" w:hAnsi="宋体" w:cs="Courier New"/>
                <w:bCs/>
                <w:color w:val="auto"/>
                <w:szCs w:val="21"/>
                <w:highlight w:val="none"/>
              </w:rPr>
              <w:t>分</w:t>
            </w:r>
          </w:p>
        </w:tc>
      </w:tr>
      <w:tr w14:paraId="1800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77B9532D">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14:paraId="47FDA85E">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139" w:type="dxa"/>
            <w:gridSpan w:val="2"/>
            <w:tcBorders>
              <w:top w:val="single" w:color="auto" w:sz="4" w:space="0"/>
              <w:left w:val="single" w:color="auto" w:sz="4" w:space="0"/>
              <w:bottom w:val="single" w:color="auto" w:sz="4" w:space="0"/>
              <w:right w:val="single" w:color="auto" w:sz="4" w:space="0"/>
            </w:tcBorders>
            <w:vAlign w:val="center"/>
          </w:tcPr>
          <w:p w14:paraId="11D0877E">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评审因素</w:t>
            </w:r>
          </w:p>
        </w:tc>
      </w:tr>
      <w:tr w14:paraId="2E45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BA00897">
            <w:pPr>
              <w:spacing w:line="360" w:lineRule="auto"/>
              <w:jc w:val="center"/>
              <w:rPr>
                <w:rFonts w:hint="eastAsia" w:ascii="宋体" w:hAnsi="宋体" w:cs="Tahoma"/>
                <w:color w:val="auto"/>
                <w:kern w:val="0"/>
                <w:szCs w:val="21"/>
                <w:highlight w:val="none"/>
              </w:rPr>
            </w:pPr>
            <w:r>
              <w:rPr>
                <w:rFonts w:ascii="宋体" w:hAnsi="宋体" w:cs="Tahoma"/>
                <w:color w:val="auto"/>
                <w:kern w:val="0"/>
                <w:szCs w:val="21"/>
                <w:highlight w:val="none"/>
              </w:rPr>
              <w:t>3.</w:t>
            </w:r>
            <w:r>
              <w:rPr>
                <w:rFonts w:hint="eastAsia" w:ascii="宋体" w:hAnsi="宋体" w:cs="Tahom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495D79FB">
            <w:pPr>
              <w:spacing w:line="360" w:lineRule="auto"/>
              <w:jc w:val="center"/>
              <w:rPr>
                <w:rFonts w:hint="eastAsia" w:ascii="宋体" w:hAnsi="宋体" w:eastAsia="宋体" w:cs="Courier New"/>
                <w:bCs/>
                <w:color w:val="auto"/>
                <w:kern w:val="0"/>
                <w:sz w:val="21"/>
                <w:szCs w:val="21"/>
                <w:highlight w:val="none"/>
                <w:lang w:val="en-US" w:eastAsia="zh-CN" w:bidi="ar-SA"/>
              </w:rPr>
            </w:pPr>
            <w:r>
              <w:rPr>
                <w:rFonts w:hint="eastAsia" w:ascii="宋体" w:hAnsi="宋体" w:cs="Courier New"/>
                <w:bCs/>
                <w:color w:val="auto"/>
                <w:kern w:val="0"/>
                <w:szCs w:val="21"/>
                <w:highlight w:val="none"/>
                <w:lang w:eastAsia="zh-CN"/>
              </w:rPr>
              <w:t>拟投入</w:t>
            </w:r>
            <w:r>
              <w:rPr>
                <w:rFonts w:hint="eastAsia" w:ascii="宋体" w:hAnsi="宋体" w:cs="Courier New"/>
                <w:bCs/>
                <w:color w:val="auto"/>
                <w:kern w:val="0"/>
                <w:szCs w:val="21"/>
                <w:highlight w:val="none"/>
                <w:lang w:val="en-US" w:eastAsia="zh-CN"/>
              </w:rPr>
              <w:t>项目服务团队</w:t>
            </w:r>
            <w:r>
              <w:rPr>
                <w:rFonts w:hint="eastAsia" w:ascii="宋体" w:hAnsi="宋体" w:cs="Courier New"/>
                <w:bCs/>
                <w:color w:val="auto"/>
                <w:kern w:val="0"/>
                <w:szCs w:val="21"/>
                <w:highlight w:val="none"/>
              </w:rPr>
              <w:t>分</w:t>
            </w:r>
          </w:p>
        </w:tc>
        <w:tc>
          <w:tcPr>
            <w:tcW w:w="6288" w:type="dxa"/>
            <w:tcBorders>
              <w:top w:val="single" w:color="auto" w:sz="4" w:space="0"/>
              <w:left w:val="single" w:color="auto" w:sz="4" w:space="0"/>
              <w:bottom w:val="single" w:color="auto" w:sz="4" w:space="0"/>
              <w:right w:val="single" w:color="auto" w:sz="4" w:space="0"/>
            </w:tcBorders>
            <w:shd w:val="clear" w:color="auto" w:fill="auto"/>
            <w:vAlign w:val="center"/>
          </w:tcPr>
          <w:p w14:paraId="06D9EE09">
            <w:pPr>
              <w:pStyle w:val="36"/>
              <w:spacing w:line="360" w:lineRule="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1.拟投入人员具有医学相关专业</w:t>
            </w:r>
            <w:r>
              <w:rPr>
                <w:rFonts w:hint="eastAsia" w:ascii="宋体" w:hAnsi="宋体"/>
                <w:color w:val="auto"/>
                <w:highlight w:val="none"/>
              </w:rPr>
              <w:t>背景</w:t>
            </w:r>
            <w:r>
              <w:rPr>
                <w:rFonts w:hint="eastAsia" w:ascii="宋体" w:hAnsi="宋体" w:eastAsia="宋体" w:cs="Courier New"/>
                <w:bCs/>
                <w:color w:val="auto"/>
                <w:kern w:val="2"/>
                <w:sz w:val="21"/>
                <w:highlight w:val="none"/>
                <w:lang w:val="en-US" w:eastAsia="zh-CN"/>
              </w:rPr>
              <w:t>，每有1人得0.5分，满分3分；</w:t>
            </w:r>
          </w:p>
          <w:p w14:paraId="2D50C922">
            <w:pPr>
              <w:pStyle w:val="36"/>
              <w:spacing w:line="360" w:lineRule="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2.拟投入人员具备信息化相关专业</w:t>
            </w:r>
            <w:r>
              <w:rPr>
                <w:rFonts w:hint="eastAsia" w:ascii="宋体" w:hAnsi="宋体"/>
                <w:color w:val="auto"/>
                <w:highlight w:val="none"/>
              </w:rPr>
              <w:t>背景</w:t>
            </w:r>
            <w:r>
              <w:rPr>
                <w:rFonts w:hint="eastAsia" w:ascii="宋体" w:hAnsi="宋体" w:eastAsia="宋体" w:cs="Courier New"/>
                <w:bCs/>
                <w:color w:val="auto"/>
                <w:kern w:val="2"/>
                <w:sz w:val="21"/>
                <w:highlight w:val="none"/>
                <w:lang w:val="en-US" w:eastAsia="zh-CN"/>
              </w:rPr>
              <w:t>，每有1人得0.5分，满分3分；</w:t>
            </w:r>
          </w:p>
          <w:p w14:paraId="01C446F3">
            <w:pPr>
              <w:pStyle w:val="36"/>
              <w:spacing w:line="360" w:lineRule="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3.拟投入人员具备财务相关专业</w:t>
            </w:r>
            <w:r>
              <w:rPr>
                <w:rFonts w:hint="eastAsia" w:ascii="宋体" w:hAnsi="宋体"/>
                <w:color w:val="auto"/>
                <w:highlight w:val="none"/>
              </w:rPr>
              <w:t>背景</w:t>
            </w:r>
            <w:r>
              <w:rPr>
                <w:rFonts w:hint="eastAsia" w:ascii="宋体" w:hAnsi="宋体" w:eastAsia="宋体" w:cs="Courier New"/>
                <w:bCs/>
                <w:color w:val="auto"/>
                <w:kern w:val="2"/>
                <w:sz w:val="21"/>
                <w:highlight w:val="none"/>
                <w:lang w:val="en-US" w:eastAsia="zh-CN"/>
              </w:rPr>
              <w:t>，每有1人得0.5分，满分2分。</w:t>
            </w:r>
          </w:p>
          <w:p w14:paraId="5AB4AE8D">
            <w:pPr>
              <w:pStyle w:val="36"/>
              <w:spacing w:line="360" w:lineRule="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
                <w:bCs w:val="0"/>
                <w:color w:val="auto"/>
                <w:kern w:val="2"/>
                <w:sz w:val="21"/>
                <w:highlight w:val="none"/>
                <w:lang w:val="en-US" w:eastAsia="zh-CN"/>
              </w:rPr>
              <w:t>注：①供应商在响应文件中须提</w:t>
            </w:r>
            <w:r>
              <w:rPr>
                <w:rFonts w:hint="eastAsia"/>
                <w:b/>
                <w:bCs/>
                <w:color w:val="auto"/>
                <w:highlight w:val="none"/>
                <w:lang w:eastAsia="zh-CN"/>
              </w:rPr>
              <w:t>供</w:t>
            </w:r>
            <w:r>
              <w:rPr>
                <w:rFonts w:hint="eastAsia" w:ascii="宋体" w:hAnsi="宋体" w:eastAsia="宋体" w:cs="Courier New"/>
                <w:b/>
                <w:bCs w:val="0"/>
                <w:color w:val="auto"/>
                <w:kern w:val="2"/>
                <w:sz w:val="21"/>
                <w:highlight w:val="none"/>
                <w:lang w:val="en-US" w:eastAsia="zh-CN"/>
              </w:rPr>
              <w:t>拟投入人员资质（包括但不限于毕业证、医师资格证、药学或护理专业技术资格证、会计资格证等</w:t>
            </w:r>
            <w:r>
              <w:rPr>
                <w:rFonts w:hint="eastAsia" w:hAnsi="宋体" w:cs="Courier New"/>
                <w:b/>
                <w:bCs w:val="0"/>
                <w:color w:val="auto"/>
                <w:kern w:val="2"/>
                <w:sz w:val="21"/>
                <w:highlight w:val="none"/>
                <w:lang w:val="en-US" w:eastAsia="zh-CN"/>
              </w:rPr>
              <w:t>能证明人员专业的</w:t>
            </w:r>
            <w:r>
              <w:rPr>
                <w:rFonts w:hint="eastAsia" w:ascii="宋体" w:hAnsi="宋体" w:eastAsia="宋体" w:cs="Courier New"/>
                <w:b/>
                <w:bCs w:val="0"/>
                <w:color w:val="auto"/>
                <w:kern w:val="2"/>
                <w:sz w:val="21"/>
                <w:highlight w:val="none"/>
                <w:lang w:val="en-US" w:eastAsia="zh-CN"/>
              </w:rPr>
              <w:t>证书），一人具有多项资质的，以最高计分项计分，不得重复计分；②提供拟投入实施人员</w:t>
            </w:r>
            <w:r>
              <w:rPr>
                <w:rFonts w:hint="eastAsia" w:ascii="宋体" w:hAnsi="宋体" w:cs="宋体"/>
                <w:b/>
                <w:bCs/>
                <w:color w:val="auto"/>
                <w:highlight w:val="none"/>
              </w:rPr>
              <w:t>所属于供应商单位在职人员的相关证明材料</w:t>
            </w:r>
            <w:r>
              <w:rPr>
                <w:rFonts w:hint="eastAsia" w:ascii="宋体" w:hAnsi="宋体" w:cs="宋体"/>
                <w:b/>
                <w:bCs/>
                <w:color w:val="auto"/>
                <w:highlight w:val="none"/>
                <w:lang w:eastAsia="zh-CN"/>
              </w:rPr>
              <w:t>复印件或</w:t>
            </w:r>
            <w:r>
              <w:rPr>
                <w:rFonts w:hint="eastAsia" w:ascii="宋体" w:hAnsi="宋体" w:cs="宋体"/>
                <w:b/>
                <w:bCs/>
                <w:color w:val="auto"/>
                <w:highlight w:val="none"/>
              </w:rPr>
              <w:t>扫描件</w:t>
            </w:r>
            <w:r>
              <w:rPr>
                <w:rFonts w:hint="eastAsia" w:ascii="宋体" w:hAnsi="宋体" w:cs="宋体"/>
                <w:b/>
                <w:bCs/>
                <w:color w:val="auto"/>
                <w:highlight w:val="none"/>
                <w:lang w:eastAsia="zh-CN"/>
              </w:rPr>
              <w:t>：如</w:t>
            </w:r>
            <w:r>
              <w:rPr>
                <w:rFonts w:hint="eastAsia" w:ascii="宋体" w:hAnsi="宋体" w:eastAsia="宋体" w:cs="Courier New"/>
                <w:b/>
                <w:bCs w:val="0"/>
                <w:color w:val="auto"/>
                <w:kern w:val="2"/>
                <w:sz w:val="21"/>
                <w:highlight w:val="none"/>
                <w:lang w:val="en-US" w:eastAsia="zh-CN"/>
              </w:rPr>
              <w:t>响应截止时间前半年内连续三个月供应商为相关人员缴纳的社保证明复印件</w:t>
            </w:r>
            <w:r>
              <w:rPr>
                <w:rFonts w:hint="eastAsia" w:hAnsi="宋体" w:cs="Courier New"/>
                <w:b/>
                <w:bCs w:val="0"/>
                <w:color w:val="auto"/>
                <w:kern w:val="2"/>
                <w:sz w:val="21"/>
                <w:highlight w:val="none"/>
                <w:lang w:val="en-US" w:eastAsia="zh-CN"/>
              </w:rPr>
              <w:t>/扫描件</w:t>
            </w:r>
            <w:r>
              <w:rPr>
                <w:rFonts w:hint="eastAsia" w:ascii="宋体" w:hAnsi="宋体" w:eastAsia="宋体" w:cs="Courier New"/>
                <w:b/>
                <w:bCs w:val="0"/>
                <w:color w:val="auto"/>
                <w:kern w:val="2"/>
                <w:sz w:val="21"/>
                <w:highlight w:val="none"/>
                <w:lang w:val="en-US" w:eastAsia="zh-CN"/>
              </w:rPr>
              <w:t>或工资流水或劳动合同</w:t>
            </w:r>
            <w:r>
              <w:rPr>
                <w:rFonts w:hint="eastAsia" w:hAnsi="宋体" w:cs="Courier New"/>
                <w:b/>
                <w:bCs w:val="0"/>
                <w:color w:val="auto"/>
                <w:kern w:val="2"/>
                <w:sz w:val="21"/>
                <w:highlight w:val="none"/>
                <w:lang w:val="en-US" w:eastAsia="zh-CN"/>
              </w:rPr>
              <w:t>等</w:t>
            </w:r>
            <w:r>
              <w:rPr>
                <w:rFonts w:hint="eastAsia" w:ascii="宋体" w:hAnsi="宋体" w:eastAsia="宋体" w:cs="Courier New"/>
                <w:b/>
                <w:bCs w:val="0"/>
                <w:color w:val="auto"/>
                <w:kern w:val="2"/>
                <w:sz w:val="21"/>
                <w:highlight w:val="none"/>
                <w:lang w:val="en-US" w:eastAsia="zh-CN"/>
              </w:rPr>
              <w:t>，并加盖供应商单位公章，否则不予认可。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CB10296">
            <w:pPr>
              <w:spacing w:line="360" w:lineRule="auto"/>
              <w:jc w:val="center"/>
              <w:rPr>
                <w:rFonts w:hint="eastAsia" w:ascii="宋体" w:hAnsi="宋体" w:eastAsia="宋体" w:cs="Courier New"/>
                <w:bCs/>
                <w:color w:val="auto"/>
                <w:kern w:val="2"/>
                <w:sz w:val="21"/>
                <w:szCs w:val="21"/>
                <w:highlight w:val="none"/>
                <w:lang w:val="en-US" w:eastAsia="zh-CN" w:bidi="ar-SA"/>
              </w:rPr>
            </w:pPr>
            <w:r>
              <w:rPr>
                <w:rFonts w:hint="eastAsia" w:ascii="宋体" w:hAnsi="宋体" w:cs="Courier New"/>
                <w:bCs/>
                <w:color w:val="auto"/>
                <w:szCs w:val="21"/>
                <w:highlight w:val="none"/>
                <w:lang w:val="en-US" w:eastAsia="zh-CN"/>
              </w:rPr>
              <w:t>8</w:t>
            </w:r>
            <w:r>
              <w:rPr>
                <w:rFonts w:hint="eastAsia" w:ascii="宋体" w:hAnsi="宋体" w:cs="Courier New"/>
                <w:bCs/>
                <w:color w:val="auto"/>
                <w:szCs w:val="21"/>
                <w:highlight w:val="none"/>
              </w:rPr>
              <w:t>分</w:t>
            </w:r>
          </w:p>
        </w:tc>
      </w:tr>
      <w:tr w14:paraId="46FD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8544C04">
            <w:pPr>
              <w:spacing w:line="360" w:lineRule="auto"/>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7B6ED1D">
            <w:pPr>
              <w:spacing w:line="360" w:lineRule="auto"/>
              <w:jc w:val="center"/>
              <w:rPr>
                <w:rFonts w:hint="eastAsia" w:ascii="宋体" w:hAnsi="宋体" w:eastAsia="宋体" w:cs="Courier New"/>
                <w:bCs/>
                <w:color w:val="auto"/>
                <w:kern w:val="0"/>
                <w:sz w:val="21"/>
                <w:szCs w:val="21"/>
                <w:highlight w:val="none"/>
                <w:lang w:val="en-US" w:eastAsia="zh-CN" w:bidi="ar-SA"/>
              </w:rPr>
            </w:pPr>
            <w:r>
              <w:rPr>
                <w:rFonts w:hint="eastAsia" w:ascii="宋体" w:hAnsi="宋体" w:cs="Courier New"/>
                <w:bCs/>
                <w:color w:val="auto"/>
                <w:kern w:val="0"/>
                <w:szCs w:val="21"/>
                <w:highlight w:val="none"/>
                <w:lang w:val="en-US" w:eastAsia="zh-CN"/>
              </w:rPr>
              <w:t>专家支持团队</w:t>
            </w:r>
            <w:r>
              <w:rPr>
                <w:rFonts w:hint="eastAsia" w:ascii="宋体" w:hAnsi="宋体" w:cs="Courier New"/>
                <w:bCs/>
                <w:color w:val="auto"/>
                <w:kern w:val="0"/>
                <w:szCs w:val="21"/>
                <w:highlight w:val="none"/>
              </w:rPr>
              <w:t>分</w:t>
            </w:r>
          </w:p>
        </w:tc>
        <w:tc>
          <w:tcPr>
            <w:tcW w:w="6288" w:type="dxa"/>
            <w:tcBorders>
              <w:top w:val="single" w:color="auto" w:sz="4" w:space="0"/>
              <w:left w:val="single" w:color="auto" w:sz="4" w:space="0"/>
              <w:bottom w:val="single" w:color="auto" w:sz="4" w:space="0"/>
              <w:right w:val="single" w:color="auto" w:sz="4" w:space="0"/>
            </w:tcBorders>
            <w:shd w:val="clear" w:color="auto" w:fill="auto"/>
            <w:vAlign w:val="center"/>
          </w:tcPr>
          <w:p w14:paraId="3F5B2818">
            <w:pPr>
              <w:pStyle w:val="36"/>
              <w:spacing w:line="360" w:lineRule="auto"/>
              <w:rPr>
                <w:rFonts w:hint="eastAsia" w:ascii="宋体" w:hAnsi="宋体" w:eastAsia="宋体" w:cs="Courier New"/>
                <w:bCs/>
                <w:color w:val="auto"/>
                <w:kern w:val="2"/>
                <w:sz w:val="21"/>
                <w:highlight w:val="none"/>
                <w:lang w:val="en-US" w:eastAsia="zh-CN"/>
              </w:rPr>
            </w:pPr>
            <w:r>
              <w:rPr>
                <w:rFonts w:hint="eastAsia" w:ascii="宋体" w:hAnsi="宋体" w:eastAsia="宋体" w:cs="Courier New"/>
                <w:bCs/>
                <w:color w:val="auto"/>
                <w:kern w:val="2"/>
                <w:sz w:val="21"/>
                <w:highlight w:val="none"/>
                <w:lang w:val="en-US" w:eastAsia="zh-CN"/>
              </w:rPr>
              <w:t>供应商</w:t>
            </w:r>
            <w:r>
              <w:rPr>
                <w:rFonts w:hint="eastAsia" w:hAnsi="宋体" w:cs="Courier New"/>
                <w:bCs/>
                <w:color w:val="auto"/>
                <w:kern w:val="2"/>
                <w:sz w:val="21"/>
                <w:highlight w:val="none"/>
                <w:lang w:val="en-US" w:eastAsia="zh-CN"/>
              </w:rPr>
              <w:t>有拟投入本项目的专家支持团队，专家团队由</w:t>
            </w:r>
            <w:r>
              <w:rPr>
                <w:rFonts w:hint="eastAsia" w:ascii="宋体" w:hAnsi="宋体" w:eastAsia="宋体" w:cs="Courier New"/>
                <w:bCs/>
                <w:color w:val="auto"/>
                <w:kern w:val="2"/>
                <w:sz w:val="21"/>
                <w:highlight w:val="none"/>
                <w:lang w:val="en-US" w:eastAsia="zh-CN"/>
              </w:rPr>
              <w:t>医学类专业的副高级以上（含）职称专家组成且专家人数每有1人得1分，满分5分。</w:t>
            </w:r>
          </w:p>
          <w:p w14:paraId="32AF5A8D">
            <w:pPr>
              <w:pStyle w:val="36"/>
              <w:spacing w:line="360" w:lineRule="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
                <w:bCs w:val="0"/>
                <w:color w:val="auto"/>
                <w:kern w:val="2"/>
                <w:sz w:val="21"/>
                <w:highlight w:val="none"/>
                <w:lang w:val="en-US" w:eastAsia="zh-CN"/>
              </w:rPr>
              <w:t>注：供应商响应文件提供有效的合作/聘用协议及专家的相关资质（职称）证明复印件</w:t>
            </w:r>
            <w:r>
              <w:rPr>
                <w:rFonts w:hint="eastAsia" w:hAnsi="宋体" w:cs="Courier New"/>
                <w:b/>
                <w:bCs w:val="0"/>
                <w:color w:val="auto"/>
                <w:kern w:val="2"/>
                <w:sz w:val="21"/>
                <w:highlight w:val="none"/>
                <w:lang w:val="en-US" w:eastAsia="zh-CN"/>
              </w:rPr>
              <w:t>或扫描件</w:t>
            </w:r>
            <w:r>
              <w:rPr>
                <w:rFonts w:hint="eastAsia" w:ascii="宋体" w:hAnsi="宋体" w:eastAsia="宋体" w:cs="Courier New"/>
                <w:b/>
                <w:bCs w:val="0"/>
                <w:color w:val="auto"/>
                <w:kern w:val="2"/>
                <w:sz w:val="21"/>
                <w:highlight w:val="none"/>
                <w:lang w:val="en-US" w:eastAsia="zh-CN"/>
              </w:rPr>
              <w:t>并加盖供应商公章，否则不予认可。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58998D2">
            <w:pPr>
              <w:spacing w:line="360" w:lineRule="auto"/>
              <w:jc w:val="center"/>
              <w:rPr>
                <w:rFonts w:hint="eastAsia" w:ascii="宋体" w:hAnsi="宋体" w:eastAsia="宋体" w:cs="Courier New"/>
                <w:bCs/>
                <w:color w:val="auto"/>
                <w:kern w:val="2"/>
                <w:sz w:val="21"/>
                <w:szCs w:val="21"/>
                <w:highlight w:val="none"/>
                <w:lang w:val="en-US" w:eastAsia="zh-CN" w:bidi="ar-SA"/>
              </w:rPr>
            </w:pPr>
            <w:r>
              <w:rPr>
                <w:rFonts w:hint="eastAsia" w:ascii="宋体" w:hAnsi="宋体" w:cs="Courier New"/>
                <w:bCs/>
                <w:color w:val="auto"/>
                <w:kern w:val="0"/>
                <w:szCs w:val="21"/>
                <w:highlight w:val="none"/>
                <w:lang w:val="en-US" w:eastAsia="zh-CN"/>
              </w:rPr>
              <w:t>5</w:t>
            </w:r>
            <w:r>
              <w:rPr>
                <w:rFonts w:hint="eastAsia" w:ascii="宋体" w:hAnsi="宋体" w:cs="Courier New"/>
                <w:bCs/>
                <w:color w:val="auto"/>
                <w:kern w:val="0"/>
                <w:szCs w:val="21"/>
                <w:highlight w:val="none"/>
              </w:rPr>
              <w:t>分</w:t>
            </w:r>
          </w:p>
        </w:tc>
      </w:tr>
      <w:tr w14:paraId="5E1B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27191267">
            <w:pPr>
              <w:spacing w:line="360" w:lineRule="auto"/>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3.3</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948C970">
            <w:pPr>
              <w:widowControl/>
              <w:spacing w:line="360" w:lineRule="auto"/>
              <w:jc w:val="center"/>
              <w:rPr>
                <w:rFonts w:hint="eastAsia" w:ascii="宋体" w:hAnsi="宋体" w:eastAsia="宋体" w:cs="Courier New"/>
                <w:bCs/>
                <w:color w:val="auto"/>
                <w:kern w:val="0"/>
                <w:sz w:val="21"/>
                <w:szCs w:val="21"/>
                <w:highlight w:val="none"/>
                <w:lang w:val="en-US" w:eastAsia="zh-CN" w:bidi="ar-SA"/>
              </w:rPr>
            </w:pPr>
            <w:r>
              <w:rPr>
                <w:rFonts w:hint="eastAsia" w:ascii="宋体" w:hAnsi="宋体" w:cs="Courier New"/>
                <w:bCs/>
                <w:color w:val="auto"/>
                <w:kern w:val="0"/>
                <w:szCs w:val="21"/>
                <w:highlight w:val="none"/>
                <w:lang w:val="en-US" w:eastAsia="zh-CN"/>
              </w:rPr>
              <w:t>履约能力</w:t>
            </w:r>
            <w:r>
              <w:rPr>
                <w:rFonts w:hint="eastAsia" w:ascii="宋体" w:hAnsi="宋体" w:cs="Courier New"/>
                <w:bCs/>
                <w:color w:val="auto"/>
                <w:kern w:val="0"/>
                <w:szCs w:val="21"/>
                <w:highlight w:val="none"/>
              </w:rPr>
              <w:t>分</w:t>
            </w:r>
          </w:p>
        </w:tc>
        <w:tc>
          <w:tcPr>
            <w:tcW w:w="6288" w:type="dxa"/>
            <w:tcBorders>
              <w:top w:val="single" w:color="auto" w:sz="4" w:space="0"/>
              <w:left w:val="single" w:color="auto" w:sz="4" w:space="0"/>
              <w:bottom w:val="single" w:color="auto" w:sz="4" w:space="0"/>
              <w:right w:val="single" w:color="auto" w:sz="4" w:space="0"/>
            </w:tcBorders>
            <w:shd w:val="clear" w:color="auto" w:fill="auto"/>
            <w:vAlign w:val="top"/>
          </w:tcPr>
          <w:p w14:paraId="597EA79E">
            <w:pPr>
              <w:spacing w:line="360" w:lineRule="auto"/>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因本项目涉及对数据进行准确的提取、筛查和分析，为确保项目顺利开展的能力，</w:t>
            </w:r>
            <w:r>
              <w:rPr>
                <w:rFonts w:hint="eastAsia" w:ascii="宋体" w:hAnsi="宋体" w:eastAsia="宋体" w:cs="Courier New"/>
                <w:bCs/>
                <w:color w:val="auto"/>
                <w:szCs w:val="21"/>
                <w:highlight w:val="none"/>
                <w:lang w:val="en-US" w:eastAsia="zh-CN"/>
              </w:rPr>
              <w:t>供应商应</w:t>
            </w:r>
            <w:r>
              <w:rPr>
                <w:rFonts w:hint="eastAsia" w:ascii="宋体" w:hAnsi="宋体" w:eastAsia="宋体" w:cs="Courier New"/>
                <w:bCs/>
                <w:color w:val="auto"/>
                <w:szCs w:val="21"/>
                <w:highlight w:val="none"/>
              </w:rPr>
              <w:t>具备</w:t>
            </w:r>
            <w:r>
              <w:rPr>
                <w:rFonts w:hint="eastAsia" w:ascii="宋体" w:hAnsi="宋体" w:eastAsia="宋体" w:cs="Courier New"/>
                <w:bCs/>
                <w:color w:val="auto"/>
                <w:szCs w:val="21"/>
                <w:highlight w:val="none"/>
                <w:lang w:val="en-US" w:eastAsia="zh-CN"/>
              </w:rPr>
              <w:t>质量管理、</w:t>
            </w:r>
            <w:r>
              <w:rPr>
                <w:rFonts w:hint="eastAsia" w:ascii="宋体" w:hAnsi="宋体" w:eastAsia="宋体" w:cs="Courier New"/>
                <w:bCs/>
                <w:color w:val="auto"/>
                <w:szCs w:val="21"/>
                <w:highlight w:val="none"/>
              </w:rPr>
              <w:t>技术</w:t>
            </w:r>
            <w:r>
              <w:rPr>
                <w:rFonts w:hint="eastAsia" w:ascii="宋体" w:hAnsi="宋体" w:eastAsia="宋体" w:cs="Courier New"/>
                <w:bCs/>
                <w:color w:val="auto"/>
                <w:szCs w:val="21"/>
                <w:highlight w:val="none"/>
                <w:lang w:val="en-US" w:eastAsia="zh-CN"/>
              </w:rPr>
              <w:t>服务</w:t>
            </w:r>
            <w:r>
              <w:rPr>
                <w:rFonts w:hint="eastAsia" w:ascii="宋体" w:hAnsi="宋体" w:eastAsia="宋体" w:cs="Courier New"/>
                <w:bCs/>
                <w:color w:val="auto"/>
                <w:szCs w:val="21"/>
                <w:highlight w:val="none"/>
                <w:lang w:eastAsia="zh-CN"/>
              </w:rPr>
              <w:t>、</w:t>
            </w:r>
            <w:r>
              <w:rPr>
                <w:rFonts w:hint="eastAsia" w:ascii="宋体" w:hAnsi="宋体" w:eastAsia="宋体" w:cs="Courier New"/>
                <w:bCs/>
                <w:color w:val="auto"/>
                <w:szCs w:val="21"/>
                <w:highlight w:val="none"/>
              </w:rPr>
              <w:t>信息安全保障</w:t>
            </w:r>
            <w:r>
              <w:rPr>
                <w:rFonts w:hint="eastAsia" w:ascii="宋体" w:hAnsi="宋体" w:eastAsia="宋体" w:cs="Courier New"/>
                <w:bCs/>
                <w:color w:val="auto"/>
                <w:szCs w:val="21"/>
                <w:highlight w:val="none"/>
                <w:lang w:eastAsia="zh-CN"/>
              </w:rPr>
              <w:t>、</w:t>
            </w:r>
            <w:r>
              <w:rPr>
                <w:rFonts w:hint="eastAsia" w:ascii="宋体" w:hAnsi="宋体" w:eastAsia="宋体" w:cs="Courier New"/>
                <w:bCs/>
                <w:color w:val="auto"/>
                <w:szCs w:val="21"/>
                <w:highlight w:val="none"/>
                <w:lang w:val="en-US" w:eastAsia="zh-CN"/>
              </w:rPr>
              <w:t>数据处理</w:t>
            </w:r>
            <w:r>
              <w:rPr>
                <w:rFonts w:hint="eastAsia" w:ascii="宋体" w:hAnsi="宋体" w:eastAsia="宋体" w:cs="Courier New"/>
                <w:bCs/>
                <w:color w:val="auto"/>
                <w:szCs w:val="21"/>
                <w:highlight w:val="none"/>
              </w:rPr>
              <w:t>的能力证明：</w:t>
            </w:r>
          </w:p>
          <w:p w14:paraId="25A05EFD">
            <w:pPr>
              <w:spacing w:line="360" w:lineRule="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1.具有ISO9001质量管理体系认证证书，得0.5分；</w:t>
            </w:r>
          </w:p>
          <w:p w14:paraId="1064503C">
            <w:pPr>
              <w:spacing w:line="360" w:lineRule="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2.具有ISO20000信息技术服务管理体系认证证书，得0.5分；</w:t>
            </w:r>
          </w:p>
          <w:p w14:paraId="055CAB32">
            <w:pPr>
              <w:spacing w:line="360" w:lineRule="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3.具有ISO27001信息安全管理体系认证证书，得0.5分；</w:t>
            </w:r>
          </w:p>
          <w:p w14:paraId="2D51FAF9">
            <w:pPr>
              <w:spacing w:line="360" w:lineRule="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4.具有ISO/IEC38505数据治理符合性评价认证证书的，得0.5分。</w:t>
            </w:r>
          </w:p>
          <w:p w14:paraId="6C56BA4A">
            <w:pPr>
              <w:spacing w:line="360" w:lineRule="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
                <w:bCs w:val="0"/>
                <w:color w:val="auto"/>
                <w:szCs w:val="21"/>
                <w:highlight w:val="none"/>
                <w:lang w:val="en-US" w:eastAsia="zh-CN"/>
              </w:rPr>
              <w:t>注</w:t>
            </w:r>
            <w:r>
              <w:rPr>
                <w:rFonts w:hint="eastAsia" w:ascii="宋体" w:hAnsi="宋体" w:eastAsia="宋体" w:cs="Courier New"/>
                <w:b/>
                <w:bCs w:val="0"/>
                <w:color w:val="auto"/>
                <w:szCs w:val="21"/>
                <w:highlight w:val="none"/>
              </w:rPr>
              <w:t>：</w:t>
            </w:r>
            <w:r>
              <w:rPr>
                <w:rFonts w:hint="eastAsia" w:ascii="宋体" w:hAnsi="宋体" w:eastAsia="宋体" w:cs="Courier New"/>
                <w:b/>
                <w:bCs w:val="0"/>
                <w:color w:val="auto"/>
                <w:szCs w:val="21"/>
                <w:highlight w:val="none"/>
                <w:lang w:val="en-US" w:eastAsia="zh-CN"/>
              </w:rPr>
              <w:t>供应商须在响应</w:t>
            </w:r>
            <w:r>
              <w:rPr>
                <w:rFonts w:hint="eastAsia" w:ascii="宋体" w:hAnsi="宋体" w:eastAsia="宋体" w:cs="Courier New"/>
                <w:b/>
                <w:bCs w:val="0"/>
                <w:color w:val="auto"/>
                <w:szCs w:val="21"/>
                <w:highlight w:val="none"/>
              </w:rPr>
              <w:t>文件提供</w:t>
            </w:r>
            <w:r>
              <w:rPr>
                <w:rFonts w:hint="eastAsia" w:ascii="宋体" w:hAnsi="宋体" w:eastAsia="宋体" w:cs="Courier New"/>
                <w:b/>
                <w:bCs w:val="0"/>
                <w:color w:val="auto"/>
                <w:szCs w:val="21"/>
                <w:highlight w:val="none"/>
                <w:lang w:val="en-US" w:eastAsia="zh-CN"/>
              </w:rPr>
              <w:t>有效的资质证书</w:t>
            </w:r>
            <w:r>
              <w:rPr>
                <w:rFonts w:hint="eastAsia" w:ascii="宋体" w:hAnsi="宋体" w:eastAsia="宋体" w:cs="Courier New"/>
                <w:b/>
                <w:bCs w:val="0"/>
                <w:color w:val="auto"/>
                <w:szCs w:val="21"/>
                <w:highlight w:val="none"/>
              </w:rPr>
              <w:t>复印件</w:t>
            </w:r>
            <w:r>
              <w:rPr>
                <w:rFonts w:hint="eastAsia"/>
                <w:b/>
                <w:bCs/>
                <w:color w:val="auto"/>
                <w:highlight w:val="none"/>
                <w:lang w:eastAsia="zh-CN"/>
              </w:rPr>
              <w:t>或扫描件</w:t>
            </w:r>
            <w:r>
              <w:rPr>
                <w:rFonts w:hint="eastAsia" w:ascii="宋体" w:hAnsi="宋体" w:eastAsia="宋体" w:cs="Courier New"/>
                <w:b/>
                <w:bCs w:val="0"/>
                <w:color w:val="auto"/>
                <w:szCs w:val="21"/>
                <w:highlight w:val="none"/>
                <w:lang w:val="en-US" w:eastAsia="zh-CN"/>
              </w:rPr>
              <w:t>并</w:t>
            </w:r>
            <w:r>
              <w:rPr>
                <w:rFonts w:hint="eastAsia" w:ascii="宋体" w:hAnsi="宋体" w:eastAsia="宋体" w:cs="Courier New"/>
                <w:b/>
                <w:bCs w:val="0"/>
                <w:color w:val="auto"/>
                <w:szCs w:val="21"/>
                <w:highlight w:val="none"/>
              </w:rPr>
              <w:t>加盖</w:t>
            </w:r>
            <w:r>
              <w:rPr>
                <w:rFonts w:hint="eastAsia" w:ascii="宋体" w:hAnsi="宋体" w:eastAsia="宋体" w:cs="Courier New"/>
                <w:b/>
                <w:bCs w:val="0"/>
                <w:color w:val="auto"/>
                <w:szCs w:val="21"/>
                <w:highlight w:val="none"/>
                <w:lang w:eastAsia="zh-CN"/>
              </w:rPr>
              <w:t>供应商</w:t>
            </w:r>
            <w:r>
              <w:rPr>
                <w:rFonts w:hint="eastAsia" w:ascii="宋体" w:hAnsi="宋体" w:eastAsia="宋体" w:cs="Courier New"/>
                <w:b/>
                <w:bCs w:val="0"/>
                <w:color w:val="auto"/>
                <w:szCs w:val="21"/>
                <w:highlight w:val="none"/>
              </w:rPr>
              <w:t>公章</w:t>
            </w:r>
            <w:r>
              <w:rPr>
                <w:rFonts w:hint="eastAsia" w:ascii="宋体" w:hAnsi="宋体" w:eastAsia="宋体" w:cs="Courier New"/>
                <w:b/>
                <w:bCs w:val="0"/>
                <w:color w:val="auto"/>
                <w:szCs w:val="21"/>
                <w:highlight w:val="none"/>
                <w:lang w:eastAsia="zh-CN"/>
              </w:rPr>
              <w:t>，</w:t>
            </w:r>
            <w:r>
              <w:rPr>
                <w:rFonts w:hint="eastAsia" w:ascii="宋体" w:hAnsi="宋体" w:eastAsia="宋体" w:cs="Courier New"/>
                <w:b/>
                <w:bCs w:val="0"/>
                <w:color w:val="auto"/>
                <w:szCs w:val="21"/>
                <w:highlight w:val="none"/>
                <w:lang w:val="en-US" w:eastAsia="zh-CN"/>
              </w:rPr>
              <w:t>否则不予认可</w:t>
            </w:r>
            <w:r>
              <w:rPr>
                <w:rFonts w:hint="eastAsia" w:ascii="宋体" w:hAnsi="宋体" w:eastAsia="宋体" w:cs="Courier New"/>
                <w:b/>
                <w:bCs w:val="0"/>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53C600E">
            <w:pPr>
              <w:widowControl/>
              <w:spacing w:line="360" w:lineRule="auto"/>
              <w:jc w:val="center"/>
              <w:rPr>
                <w:rFonts w:hint="eastAsia" w:ascii="宋体" w:hAnsi="宋体" w:eastAsia="宋体" w:cs="Courier New"/>
                <w:bCs/>
                <w:color w:val="auto"/>
                <w:kern w:val="2"/>
                <w:sz w:val="21"/>
                <w:szCs w:val="21"/>
                <w:highlight w:val="none"/>
                <w:lang w:val="en-US" w:eastAsia="zh-CN" w:bidi="ar-SA"/>
              </w:rPr>
            </w:pP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分</w:t>
            </w:r>
          </w:p>
        </w:tc>
      </w:tr>
      <w:tr w14:paraId="0BCF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DAC3DF1">
            <w:pPr>
              <w:spacing w:line="360" w:lineRule="auto"/>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rPr>
              <w:t>3.</w:t>
            </w:r>
            <w:r>
              <w:rPr>
                <w:rFonts w:hint="eastAsia" w:ascii="宋体" w:hAnsi="宋体" w:cs="Tahoma"/>
                <w:color w:val="auto"/>
                <w:kern w:val="0"/>
                <w:szCs w:val="21"/>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vAlign w:val="center"/>
          </w:tcPr>
          <w:p w14:paraId="536C1D7E">
            <w:pPr>
              <w:widowControl/>
              <w:spacing w:line="360" w:lineRule="auto"/>
              <w:jc w:val="center"/>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业绩分</w:t>
            </w:r>
          </w:p>
        </w:tc>
        <w:tc>
          <w:tcPr>
            <w:tcW w:w="6288" w:type="dxa"/>
            <w:tcBorders>
              <w:top w:val="single" w:color="auto" w:sz="4" w:space="0"/>
              <w:left w:val="single" w:color="auto" w:sz="4" w:space="0"/>
              <w:bottom w:val="single" w:color="auto" w:sz="4" w:space="0"/>
              <w:right w:val="single" w:color="auto" w:sz="4" w:space="0"/>
            </w:tcBorders>
            <w:vAlign w:val="top"/>
          </w:tcPr>
          <w:p w14:paraId="3D6531C1">
            <w:pPr>
              <w:spacing w:line="360" w:lineRule="auto"/>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rPr>
              <w:t>202</w:t>
            </w:r>
            <w:r>
              <w:rPr>
                <w:rFonts w:hint="eastAsia" w:ascii="宋体" w:hAnsi="宋体" w:eastAsia="宋体" w:cs="Courier New"/>
                <w:bCs/>
                <w:color w:val="auto"/>
                <w:szCs w:val="21"/>
                <w:highlight w:val="none"/>
                <w:lang w:val="en-US" w:eastAsia="zh-CN"/>
              </w:rPr>
              <w:t>3</w:t>
            </w:r>
            <w:r>
              <w:rPr>
                <w:rFonts w:hint="eastAsia" w:ascii="宋体" w:hAnsi="宋体" w:eastAsia="宋体" w:cs="Courier New"/>
                <w:bCs/>
                <w:color w:val="auto"/>
                <w:szCs w:val="21"/>
                <w:highlight w:val="none"/>
              </w:rPr>
              <w:t>年1月1日至</w:t>
            </w:r>
            <w:r>
              <w:rPr>
                <w:rFonts w:hint="eastAsia" w:ascii="宋体" w:hAnsi="宋体" w:eastAsia="宋体" w:cs="Courier New"/>
                <w:bCs/>
                <w:color w:val="auto"/>
                <w:szCs w:val="21"/>
                <w:highlight w:val="none"/>
                <w:lang w:val="en-US" w:eastAsia="zh-CN"/>
              </w:rPr>
              <w:t>响应文件递交</w:t>
            </w:r>
            <w:r>
              <w:rPr>
                <w:rFonts w:hint="eastAsia" w:ascii="宋体" w:hAnsi="宋体" w:eastAsia="宋体" w:cs="Courier New"/>
                <w:bCs/>
                <w:color w:val="auto"/>
                <w:szCs w:val="21"/>
                <w:highlight w:val="none"/>
              </w:rPr>
              <w:t>截止时间</w:t>
            </w:r>
            <w:r>
              <w:rPr>
                <w:rFonts w:hint="eastAsia" w:ascii="宋体" w:hAnsi="宋体" w:eastAsia="宋体" w:cs="Courier New"/>
                <w:bCs/>
                <w:color w:val="auto"/>
                <w:szCs w:val="21"/>
                <w:highlight w:val="none"/>
                <w:lang w:eastAsia="zh-CN"/>
              </w:rPr>
              <w:t>止</w:t>
            </w:r>
            <w:r>
              <w:rPr>
                <w:rFonts w:hint="eastAsia" w:ascii="宋体" w:hAnsi="宋体" w:eastAsia="宋体" w:cs="Courier New"/>
                <w:bCs/>
                <w:color w:val="auto"/>
                <w:szCs w:val="21"/>
                <w:highlight w:val="none"/>
              </w:rPr>
              <w:t>，</w:t>
            </w:r>
            <w:r>
              <w:rPr>
                <w:rFonts w:hint="eastAsia" w:ascii="宋体" w:hAnsi="宋体" w:eastAsia="宋体" w:cs="Courier New"/>
                <w:bCs/>
                <w:color w:val="auto"/>
                <w:szCs w:val="21"/>
                <w:highlight w:val="none"/>
                <w:lang w:eastAsia="zh-CN"/>
              </w:rPr>
              <w:t>供应商</w:t>
            </w:r>
            <w:r>
              <w:rPr>
                <w:rFonts w:hint="eastAsia" w:ascii="宋体" w:hAnsi="宋体" w:eastAsia="宋体" w:cs="Courier New"/>
                <w:bCs/>
                <w:color w:val="auto"/>
                <w:szCs w:val="21"/>
                <w:highlight w:val="none"/>
              </w:rPr>
              <w:t>每</w:t>
            </w:r>
            <w:r>
              <w:rPr>
                <w:rFonts w:hint="eastAsia" w:ascii="宋体" w:hAnsi="宋体" w:eastAsia="宋体" w:cs="Courier New"/>
                <w:bCs/>
                <w:color w:val="auto"/>
                <w:szCs w:val="21"/>
                <w:highlight w:val="none"/>
                <w:lang w:eastAsia="zh-CN"/>
              </w:rPr>
              <w:t>提供</w:t>
            </w:r>
            <w:r>
              <w:rPr>
                <w:rFonts w:hint="eastAsia" w:ascii="宋体" w:hAnsi="宋体" w:eastAsia="宋体" w:cs="Courier New"/>
                <w:bCs/>
                <w:color w:val="auto"/>
                <w:szCs w:val="21"/>
                <w:highlight w:val="none"/>
              </w:rPr>
              <w:t>1个同类项目业绩，得</w:t>
            </w:r>
            <w:r>
              <w:rPr>
                <w:rFonts w:hint="eastAsia" w:ascii="宋体" w:hAnsi="宋体" w:eastAsia="宋体" w:cs="Courier New"/>
                <w:bCs/>
                <w:color w:val="auto"/>
                <w:szCs w:val="21"/>
                <w:highlight w:val="none"/>
                <w:lang w:val="en-US" w:eastAsia="zh-CN"/>
              </w:rPr>
              <w:t>0.5</w:t>
            </w:r>
            <w:r>
              <w:rPr>
                <w:rFonts w:hint="eastAsia" w:ascii="宋体" w:hAnsi="宋体" w:eastAsia="宋体" w:cs="Courier New"/>
                <w:bCs/>
                <w:color w:val="auto"/>
                <w:szCs w:val="21"/>
                <w:highlight w:val="none"/>
              </w:rPr>
              <w:t>分，本项最高得</w:t>
            </w:r>
            <w:r>
              <w:rPr>
                <w:rFonts w:hint="eastAsia" w:ascii="宋体" w:hAnsi="宋体" w:eastAsia="宋体" w:cs="Courier New"/>
                <w:bCs/>
                <w:color w:val="auto"/>
                <w:szCs w:val="21"/>
                <w:highlight w:val="none"/>
                <w:lang w:val="en-US" w:eastAsia="zh-CN"/>
              </w:rPr>
              <w:t>5</w:t>
            </w:r>
            <w:r>
              <w:rPr>
                <w:rFonts w:hint="eastAsia" w:ascii="宋体" w:hAnsi="宋体" w:eastAsia="宋体" w:cs="Courier New"/>
                <w:bCs/>
                <w:color w:val="auto"/>
                <w:szCs w:val="21"/>
                <w:highlight w:val="none"/>
              </w:rPr>
              <w:t>分。</w:t>
            </w:r>
            <w:r>
              <w:rPr>
                <w:rFonts w:hint="eastAsia" w:ascii="宋体" w:hAnsi="宋体" w:eastAsia="宋体" w:cs="Courier New"/>
                <w:bCs/>
                <w:color w:val="auto"/>
                <w:szCs w:val="21"/>
                <w:highlight w:val="none"/>
                <w:lang w:val="en-US" w:eastAsia="zh-CN"/>
              </w:rPr>
              <w:t xml:space="preserve">  </w:t>
            </w:r>
          </w:p>
          <w:p w14:paraId="07F6A436">
            <w:pPr>
              <w:spacing w:line="360" w:lineRule="auto"/>
              <w:rPr>
                <w:rFonts w:hint="eastAsia" w:ascii="宋体" w:hAnsi="宋体" w:eastAsia="宋体" w:cs="Courier New"/>
                <w:bCs/>
                <w:color w:val="auto"/>
                <w:szCs w:val="21"/>
                <w:highlight w:val="none"/>
              </w:rPr>
            </w:pPr>
            <w:r>
              <w:rPr>
                <w:rFonts w:hint="eastAsia" w:ascii="宋体" w:hAnsi="宋体" w:eastAsia="宋体" w:cs="Courier New"/>
                <w:b/>
                <w:bCs w:val="0"/>
                <w:color w:val="auto"/>
                <w:szCs w:val="21"/>
                <w:highlight w:val="none"/>
                <w:lang w:val="en-US" w:eastAsia="zh-CN"/>
              </w:rPr>
              <w:t>注：供应商响应</w:t>
            </w:r>
            <w:r>
              <w:rPr>
                <w:rFonts w:hint="eastAsia" w:ascii="宋体" w:hAnsi="宋体" w:eastAsia="宋体" w:cs="Courier New"/>
                <w:b/>
                <w:bCs w:val="0"/>
                <w:color w:val="auto"/>
                <w:szCs w:val="21"/>
                <w:highlight w:val="none"/>
              </w:rPr>
              <w:t>文件提供</w:t>
            </w:r>
            <w:r>
              <w:rPr>
                <w:rFonts w:hint="eastAsia" w:ascii="宋体" w:hAnsi="宋体" w:eastAsia="宋体" w:cs="Courier New"/>
                <w:b/>
                <w:bCs w:val="0"/>
                <w:color w:val="auto"/>
                <w:szCs w:val="21"/>
                <w:highlight w:val="none"/>
                <w:lang w:val="en-US" w:eastAsia="zh-CN"/>
              </w:rPr>
              <w:t>同类项目业绩</w:t>
            </w:r>
            <w:r>
              <w:rPr>
                <w:rFonts w:hint="eastAsia" w:ascii="宋体" w:hAnsi="宋体" w:eastAsia="宋体" w:cs="Courier New"/>
                <w:b/>
                <w:bCs w:val="0"/>
                <w:color w:val="auto"/>
                <w:szCs w:val="21"/>
                <w:highlight w:val="none"/>
              </w:rPr>
              <w:t>合同复印件</w:t>
            </w:r>
            <w:r>
              <w:rPr>
                <w:rFonts w:hint="eastAsia"/>
                <w:b/>
                <w:bCs/>
                <w:color w:val="auto"/>
                <w:highlight w:val="none"/>
                <w:lang w:eastAsia="zh-CN"/>
              </w:rPr>
              <w:t>或扫描件</w:t>
            </w:r>
            <w:r>
              <w:rPr>
                <w:rFonts w:hint="eastAsia" w:ascii="宋体" w:hAnsi="宋体" w:eastAsia="宋体" w:cs="Courier New"/>
                <w:b/>
                <w:bCs w:val="0"/>
                <w:color w:val="auto"/>
                <w:szCs w:val="21"/>
                <w:highlight w:val="none"/>
              </w:rPr>
              <w:t>并加盖</w:t>
            </w:r>
            <w:r>
              <w:rPr>
                <w:rFonts w:hint="eastAsia" w:ascii="宋体" w:hAnsi="宋体" w:eastAsia="宋体" w:cs="Courier New"/>
                <w:b/>
                <w:bCs w:val="0"/>
                <w:color w:val="auto"/>
                <w:szCs w:val="21"/>
                <w:highlight w:val="none"/>
                <w:lang w:eastAsia="zh-CN"/>
              </w:rPr>
              <w:t>供应商</w:t>
            </w:r>
            <w:r>
              <w:rPr>
                <w:rFonts w:hint="eastAsia" w:ascii="宋体" w:hAnsi="宋体" w:eastAsia="宋体" w:cs="Courier New"/>
                <w:b/>
                <w:bCs w:val="0"/>
                <w:color w:val="auto"/>
                <w:szCs w:val="21"/>
                <w:highlight w:val="none"/>
              </w:rPr>
              <w:t>公章</w:t>
            </w:r>
            <w:r>
              <w:rPr>
                <w:rFonts w:hint="eastAsia" w:ascii="宋体" w:hAnsi="宋体" w:eastAsia="宋体" w:cs="Courier New"/>
                <w:b/>
                <w:bCs w:val="0"/>
                <w:color w:val="auto"/>
                <w:szCs w:val="21"/>
                <w:highlight w:val="none"/>
                <w:lang w:eastAsia="zh-CN"/>
              </w:rPr>
              <w:t>，</w:t>
            </w:r>
            <w:r>
              <w:rPr>
                <w:rFonts w:hint="eastAsia" w:ascii="宋体" w:hAnsi="宋体" w:eastAsia="宋体" w:cs="Courier New"/>
                <w:b/>
                <w:bCs w:val="0"/>
                <w:color w:val="auto"/>
                <w:szCs w:val="21"/>
                <w:highlight w:val="none"/>
                <w:lang w:val="en-US" w:eastAsia="zh-CN"/>
              </w:rPr>
              <w:t>否则不予认可</w:t>
            </w:r>
            <w:r>
              <w:rPr>
                <w:rFonts w:hint="eastAsia" w:ascii="宋体" w:hAnsi="宋体" w:eastAsia="宋体" w:cs="Courier New"/>
                <w:b/>
                <w:bCs w:val="0"/>
                <w:color w:val="auto"/>
                <w:szCs w:val="21"/>
                <w:highlight w:val="none"/>
              </w:rPr>
              <w:t>。）</w:t>
            </w:r>
          </w:p>
        </w:tc>
        <w:tc>
          <w:tcPr>
            <w:tcW w:w="851" w:type="dxa"/>
            <w:tcBorders>
              <w:top w:val="single" w:color="auto" w:sz="4" w:space="0"/>
              <w:left w:val="single" w:color="auto" w:sz="4" w:space="0"/>
              <w:bottom w:val="single" w:color="auto" w:sz="4" w:space="0"/>
              <w:right w:val="single" w:color="auto" w:sz="4" w:space="0"/>
            </w:tcBorders>
            <w:vAlign w:val="center"/>
          </w:tcPr>
          <w:p w14:paraId="073CF159">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lang w:val="en-US" w:eastAsia="zh-CN"/>
              </w:rPr>
              <w:t>5</w:t>
            </w:r>
            <w:r>
              <w:rPr>
                <w:rFonts w:hint="eastAsia" w:ascii="宋体" w:hAnsi="宋体" w:cs="Courier New"/>
                <w:bCs/>
                <w:color w:val="auto"/>
                <w:szCs w:val="21"/>
                <w:highlight w:val="none"/>
              </w:rPr>
              <w:t>分</w:t>
            </w:r>
          </w:p>
        </w:tc>
      </w:tr>
      <w:tr w14:paraId="0001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Borders>
              <w:top w:val="single" w:color="auto" w:sz="4" w:space="0"/>
              <w:left w:val="single" w:color="auto" w:sz="4" w:space="0"/>
              <w:bottom w:val="single" w:color="auto" w:sz="4" w:space="0"/>
              <w:right w:val="single" w:color="auto" w:sz="4" w:space="0"/>
            </w:tcBorders>
            <w:vAlign w:val="top"/>
          </w:tcPr>
          <w:p w14:paraId="48CBFDD1">
            <w:pPr>
              <w:pStyle w:val="36"/>
              <w:spacing w:line="360" w:lineRule="auto"/>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总得分＝1＋2＋3</w:t>
            </w:r>
          </w:p>
        </w:tc>
        <w:tc>
          <w:tcPr>
            <w:tcW w:w="851" w:type="dxa"/>
            <w:tcBorders>
              <w:top w:val="single" w:color="auto" w:sz="4" w:space="0"/>
              <w:left w:val="single" w:color="auto" w:sz="4" w:space="0"/>
              <w:bottom w:val="single" w:color="auto" w:sz="4" w:space="0"/>
              <w:right w:val="single" w:color="auto" w:sz="4" w:space="0"/>
            </w:tcBorders>
            <w:vAlign w:val="center"/>
          </w:tcPr>
          <w:p w14:paraId="38C1A536">
            <w:pPr>
              <w:widowControl/>
              <w:spacing w:line="360" w:lineRule="auto"/>
              <w:jc w:val="center"/>
              <w:rPr>
                <w:rFonts w:ascii="宋体" w:hAnsi="宋体" w:cs="Tahoma"/>
                <w:color w:val="auto"/>
                <w:kern w:val="0"/>
                <w:szCs w:val="21"/>
                <w:highlight w:val="none"/>
              </w:rPr>
            </w:pPr>
          </w:p>
        </w:tc>
      </w:tr>
    </w:tbl>
    <w:p w14:paraId="0CCDF6A4">
      <w:pPr>
        <w:spacing w:line="400" w:lineRule="exact"/>
        <w:ind w:firstLine="420" w:firstLineChars="200"/>
        <w:rPr>
          <w:rFonts w:ascii="宋体" w:hAnsi="宋体" w:cs="宋体"/>
          <w:color w:val="auto"/>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w:t>
      </w:r>
      <w:r>
        <w:rPr>
          <w:rFonts w:hint="eastAsia" w:ascii="宋体" w:hAnsi="宋体"/>
          <w:bCs/>
          <w:color w:val="auto"/>
          <w:szCs w:val="21"/>
          <w:highlight w:val="none"/>
          <w:lang w:eastAsia="zh-CN"/>
        </w:rPr>
        <w:t>及</w:t>
      </w:r>
      <w:r>
        <w:rPr>
          <w:rFonts w:hint="eastAsia" w:ascii="宋体" w:hAnsi="宋体"/>
          <w:bCs/>
          <w:color w:val="auto"/>
          <w:szCs w:val="21"/>
          <w:highlight w:val="none"/>
        </w:rPr>
        <w:t>以上成交候选供应商，并编写评审报告，评审报告通过电子交易平台向采购人、采购代理机构提交。符合本章第4.3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55F30E2F">
      <w:pPr>
        <w:pStyle w:val="14"/>
        <w:jc w:val="center"/>
        <w:rPr>
          <w:color w:val="auto"/>
          <w:highlight w:val="none"/>
        </w:rPr>
      </w:pPr>
      <w:r>
        <w:rPr>
          <w:color w:val="auto"/>
          <w:highlight w:val="none"/>
        </w:rPr>
        <w:br w:type="page"/>
      </w:r>
      <w:r>
        <w:rPr>
          <w:rFonts w:hint="eastAsia"/>
          <w:color w:val="auto"/>
          <w:highlight w:val="none"/>
        </w:rPr>
        <w:t>第五章 响应文件格式</w:t>
      </w:r>
    </w:p>
    <w:p w14:paraId="4B7EEB42">
      <w:pPr>
        <w:spacing w:line="240" w:lineRule="atLeast"/>
        <w:rPr>
          <w:rFonts w:ascii="宋体" w:hAnsi="宋体"/>
          <w:b/>
          <w:color w:val="auto"/>
          <w:sz w:val="32"/>
          <w:szCs w:val="32"/>
          <w:highlight w:val="none"/>
        </w:rPr>
      </w:pPr>
    </w:p>
    <w:p w14:paraId="333329E1">
      <w:pPr>
        <w:spacing w:line="240" w:lineRule="atLeast"/>
        <w:rPr>
          <w:rFonts w:ascii="宋体" w:hAnsi="宋体"/>
          <w:b/>
          <w:color w:val="auto"/>
          <w:sz w:val="32"/>
          <w:szCs w:val="32"/>
          <w:highlight w:val="none"/>
        </w:rPr>
      </w:pPr>
    </w:p>
    <w:p w14:paraId="1448C2A4">
      <w:pPr>
        <w:spacing w:line="240" w:lineRule="atLeast"/>
        <w:rPr>
          <w:rFonts w:ascii="宋体" w:hAnsi="宋体"/>
          <w:b/>
          <w:color w:val="auto"/>
          <w:sz w:val="32"/>
          <w:szCs w:val="32"/>
          <w:highlight w:val="none"/>
        </w:rPr>
      </w:pPr>
    </w:p>
    <w:p w14:paraId="164FBA99">
      <w:pPr>
        <w:spacing w:line="240" w:lineRule="atLeast"/>
        <w:rPr>
          <w:rFonts w:ascii="宋体" w:hAnsi="宋体"/>
          <w:b/>
          <w:color w:val="auto"/>
          <w:sz w:val="32"/>
          <w:szCs w:val="32"/>
          <w:highlight w:val="none"/>
        </w:rPr>
      </w:pPr>
    </w:p>
    <w:p w14:paraId="27FD2A08">
      <w:pPr>
        <w:spacing w:line="240" w:lineRule="atLeast"/>
        <w:rPr>
          <w:rFonts w:ascii="宋体" w:hAnsi="宋体"/>
          <w:b/>
          <w:color w:val="auto"/>
          <w:sz w:val="32"/>
          <w:szCs w:val="32"/>
          <w:highlight w:val="none"/>
        </w:rPr>
      </w:pPr>
    </w:p>
    <w:p w14:paraId="729774E0">
      <w:pPr>
        <w:spacing w:line="240" w:lineRule="atLeast"/>
        <w:rPr>
          <w:rFonts w:ascii="宋体" w:hAnsi="宋体"/>
          <w:b/>
          <w:color w:val="auto"/>
          <w:sz w:val="32"/>
          <w:szCs w:val="32"/>
          <w:highlight w:val="none"/>
        </w:rPr>
      </w:pPr>
    </w:p>
    <w:p w14:paraId="7B407D9A">
      <w:pPr>
        <w:spacing w:line="240" w:lineRule="atLeast"/>
        <w:rPr>
          <w:rFonts w:ascii="宋体" w:hAnsi="宋体"/>
          <w:b/>
          <w:color w:val="auto"/>
          <w:sz w:val="32"/>
          <w:szCs w:val="32"/>
          <w:highlight w:val="none"/>
        </w:rPr>
      </w:pPr>
    </w:p>
    <w:p w14:paraId="2DC69D4C">
      <w:pPr>
        <w:spacing w:line="240" w:lineRule="atLeast"/>
        <w:rPr>
          <w:rFonts w:ascii="宋体" w:hAnsi="宋体"/>
          <w:b/>
          <w:color w:val="auto"/>
          <w:sz w:val="32"/>
          <w:szCs w:val="32"/>
          <w:highlight w:val="none"/>
        </w:rPr>
      </w:pPr>
    </w:p>
    <w:p w14:paraId="34767042">
      <w:pPr>
        <w:spacing w:line="240" w:lineRule="atLeast"/>
        <w:rPr>
          <w:rFonts w:ascii="宋体" w:hAnsi="宋体"/>
          <w:b/>
          <w:color w:val="auto"/>
          <w:sz w:val="32"/>
          <w:szCs w:val="32"/>
          <w:highlight w:val="none"/>
        </w:rPr>
      </w:pPr>
    </w:p>
    <w:p w14:paraId="44E35B75">
      <w:pPr>
        <w:pStyle w:val="18"/>
        <w:rPr>
          <w:color w:val="auto"/>
          <w:highlight w:val="none"/>
        </w:rPr>
      </w:pPr>
    </w:p>
    <w:p w14:paraId="717F7342">
      <w:pPr>
        <w:pStyle w:val="18"/>
        <w:rPr>
          <w:color w:val="auto"/>
          <w:highlight w:val="none"/>
        </w:rPr>
      </w:pPr>
    </w:p>
    <w:p w14:paraId="6A3249E1">
      <w:pPr>
        <w:pStyle w:val="18"/>
        <w:rPr>
          <w:color w:val="auto"/>
          <w:highlight w:val="none"/>
        </w:rPr>
      </w:pPr>
    </w:p>
    <w:p w14:paraId="33B30F0B">
      <w:pPr>
        <w:pStyle w:val="18"/>
        <w:rPr>
          <w:color w:val="auto"/>
          <w:highlight w:val="none"/>
        </w:rPr>
      </w:pPr>
    </w:p>
    <w:p w14:paraId="35662685">
      <w:pPr>
        <w:pStyle w:val="18"/>
        <w:rPr>
          <w:color w:val="auto"/>
          <w:highlight w:val="none"/>
        </w:rPr>
      </w:pPr>
    </w:p>
    <w:p w14:paraId="6EACE50E">
      <w:pPr>
        <w:pStyle w:val="18"/>
        <w:rPr>
          <w:color w:val="auto"/>
          <w:highlight w:val="none"/>
        </w:rPr>
      </w:pPr>
    </w:p>
    <w:p w14:paraId="3B5D3263">
      <w:pPr>
        <w:pStyle w:val="18"/>
        <w:rPr>
          <w:color w:val="auto"/>
          <w:highlight w:val="none"/>
        </w:rPr>
      </w:pPr>
    </w:p>
    <w:p w14:paraId="152A861D">
      <w:pPr>
        <w:pStyle w:val="18"/>
        <w:rPr>
          <w:color w:val="auto"/>
          <w:highlight w:val="none"/>
        </w:rPr>
      </w:pPr>
    </w:p>
    <w:p w14:paraId="4AB1E0B7">
      <w:pPr>
        <w:pStyle w:val="18"/>
        <w:rPr>
          <w:color w:val="auto"/>
          <w:highlight w:val="none"/>
        </w:rPr>
      </w:pPr>
    </w:p>
    <w:p w14:paraId="1619720C">
      <w:pPr>
        <w:pStyle w:val="18"/>
        <w:rPr>
          <w:color w:val="auto"/>
          <w:highlight w:val="none"/>
        </w:rPr>
      </w:pPr>
    </w:p>
    <w:p w14:paraId="54E9ABC8">
      <w:pPr>
        <w:pStyle w:val="18"/>
        <w:rPr>
          <w:color w:val="auto"/>
          <w:highlight w:val="none"/>
        </w:rPr>
      </w:pPr>
    </w:p>
    <w:p w14:paraId="028DFE81">
      <w:pPr>
        <w:pStyle w:val="18"/>
        <w:rPr>
          <w:color w:val="auto"/>
          <w:highlight w:val="none"/>
        </w:rPr>
      </w:pPr>
    </w:p>
    <w:p w14:paraId="1D179903">
      <w:pPr>
        <w:pStyle w:val="18"/>
        <w:rPr>
          <w:color w:val="auto"/>
          <w:highlight w:val="none"/>
        </w:rPr>
      </w:pPr>
    </w:p>
    <w:p w14:paraId="0C95617A">
      <w:pPr>
        <w:pStyle w:val="18"/>
        <w:rPr>
          <w:color w:val="auto"/>
          <w:highlight w:val="none"/>
        </w:rPr>
      </w:pPr>
    </w:p>
    <w:p w14:paraId="1E156A82">
      <w:pPr>
        <w:pStyle w:val="18"/>
        <w:rPr>
          <w:color w:val="auto"/>
          <w:highlight w:val="none"/>
        </w:rPr>
      </w:pPr>
    </w:p>
    <w:p w14:paraId="0B63C834">
      <w:pPr>
        <w:pStyle w:val="18"/>
        <w:rPr>
          <w:color w:val="auto"/>
          <w:highlight w:val="none"/>
        </w:rPr>
      </w:pPr>
    </w:p>
    <w:p w14:paraId="44863910">
      <w:pPr>
        <w:pStyle w:val="18"/>
        <w:rPr>
          <w:color w:val="auto"/>
          <w:highlight w:val="none"/>
        </w:rPr>
      </w:pPr>
    </w:p>
    <w:p w14:paraId="4D6E5AE3">
      <w:pPr>
        <w:pStyle w:val="18"/>
        <w:rPr>
          <w:color w:val="auto"/>
          <w:highlight w:val="none"/>
        </w:rPr>
      </w:pPr>
    </w:p>
    <w:p w14:paraId="07531FD2">
      <w:pPr>
        <w:pStyle w:val="18"/>
        <w:rPr>
          <w:color w:val="auto"/>
          <w:highlight w:val="none"/>
        </w:rPr>
      </w:pPr>
    </w:p>
    <w:p w14:paraId="26ED205B">
      <w:pPr>
        <w:pStyle w:val="18"/>
        <w:rPr>
          <w:color w:val="auto"/>
          <w:highlight w:val="none"/>
        </w:rPr>
      </w:pPr>
    </w:p>
    <w:p w14:paraId="08278EA3">
      <w:pPr>
        <w:pStyle w:val="18"/>
        <w:rPr>
          <w:color w:val="auto"/>
          <w:highlight w:val="none"/>
        </w:rPr>
      </w:pPr>
    </w:p>
    <w:p w14:paraId="0C2B442D">
      <w:pPr>
        <w:pStyle w:val="18"/>
        <w:rPr>
          <w:color w:val="auto"/>
          <w:highlight w:val="none"/>
        </w:rPr>
      </w:pPr>
    </w:p>
    <w:p w14:paraId="0D9F8DAC">
      <w:pPr>
        <w:pStyle w:val="18"/>
        <w:rPr>
          <w:color w:val="auto"/>
          <w:highlight w:val="none"/>
        </w:rPr>
      </w:pPr>
    </w:p>
    <w:p w14:paraId="2CBC1290">
      <w:pPr>
        <w:pStyle w:val="18"/>
        <w:rPr>
          <w:color w:val="auto"/>
          <w:highlight w:val="none"/>
        </w:rPr>
      </w:pPr>
    </w:p>
    <w:p w14:paraId="69BD4F9B">
      <w:pPr>
        <w:pStyle w:val="18"/>
        <w:rPr>
          <w:color w:val="auto"/>
          <w:highlight w:val="none"/>
        </w:rPr>
      </w:pPr>
    </w:p>
    <w:p w14:paraId="1AF2554E">
      <w:pPr>
        <w:pStyle w:val="18"/>
        <w:rPr>
          <w:color w:val="auto"/>
          <w:highlight w:val="none"/>
        </w:rPr>
      </w:pPr>
    </w:p>
    <w:p w14:paraId="6BE968EB">
      <w:pPr>
        <w:spacing w:line="240" w:lineRule="atLeast"/>
        <w:rPr>
          <w:rFonts w:ascii="宋体" w:hAnsi="宋体"/>
          <w:b/>
          <w:color w:val="auto"/>
          <w:sz w:val="32"/>
          <w:szCs w:val="32"/>
          <w:highlight w:val="none"/>
        </w:rPr>
      </w:pPr>
    </w:p>
    <w:p w14:paraId="237FFE42">
      <w:pPr>
        <w:spacing w:line="240" w:lineRule="atLeast"/>
        <w:rPr>
          <w:rFonts w:ascii="宋体" w:hAnsi="宋体"/>
          <w:b/>
          <w:color w:val="auto"/>
          <w:sz w:val="32"/>
          <w:szCs w:val="32"/>
          <w:highlight w:val="none"/>
        </w:rPr>
      </w:pPr>
    </w:p>
    <w:p w14:paraId="0A16157D">
      <w:pPr>
        <w:spacing w:before="50" w:after="50"/>
        <w:outlineLvl w:val="1"/>
        <w:rPr>
          <w:rFonts w:ascii="宋体" w:hAnsi="宋体"/>
          <w:b/>
          <w:bCs/>
          <w:color w:val="auto"/>
          <w:sz w:val="24"/>
          <w:highlight w:val="none"/>
        </w:rPr>
      </w:pPr>
    </w:p>
    <w:p w14:paraId="1E853773">
      <w:pPr>
        <w:spacing w:after="50"/>
        <w:jc w:val="center"/>
        <w:rPr>
          <w:rFonts w:ascii="仿宋_GB2312" w:hAnsi="仿宋_GB2312" w:eastAsia="仿宋_GB2312" w:cs="仿宋_GB2312"/>
          <w:bCs/>
          <w:color w:val="auto"/>
          <w:sz w:val="32"/>
          <w:szCs w:val="32"/>
          <w:highlight w:val="none"/>
        </w:rPr>
      </w:pPr>
    </w:p>
    <w:p w14:paraId="11F01269">
      <w:pPr>
        <w:rPr>
          <w:b/>
          <w:color w:val="auto"/>
          <w:sz w:val="32"/>
          <w:szCs w:val="32"/>
          <w:highlight w:val="none"/>
        </w:rPr>
      </w:pPr>
      <w:r>
        <w:rPr>
          <w:rFonts w:hint="eastAsia"/>
          <w:b/>
          <w:color w:val="auto"/>
          <w:sz w:val="32"/>
          <w:szCs w:val="32"/>
          <w:highlight w:val="none"/>
        </w:rPr>
        <w:t>一、资格证明文件格式</w:t>
      </w:r>
    </w:p>
    <w:p w14:paraId="385A76B1">
      <w:pPr>
        <w:spacing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22206930">
      <w:pPr>
        <w:spacing w:after="50"/>
        <w:jc w:val="center"/>
        <w:rPr>
          <w:rFonts w:ascii="宋体" w:hAnsi="宋体"/>
          <w:color w:val="auto"/>
          <w:sz w:val="44"/>
          <w:szCs w:val="44"/>
          <w:highlight w:val="none"/>
        </w:rPr>
      </w:pPr>
    </w:p>
    <w:p w14:paraId="40B4CB88">
      <w:pPr>
        <w:spacing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38B65B71">
      <w:pPr>
        <w:spacing w:after="50"/>
        <w:rPr>
          <w:rFonts w:ascii="宋体" w:hAnsi="宋体"/>
          <w:color w:val="auto"/>
          <w:sz w:val="24"/>
          <w:szCs w:val="20"/>
          <w:highlight w:val="none"/>
        </w:rPr>
      </w:pPr>
    </w:p>
    <w:p w14:paraId="51B6E8CB">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5234676">
      <w:pPr>
        <w:spacing w:after="50"/>
        <w:rPr>
          <w:rFonts w:ascii="宋体" w:hAnsi="宋体"/>
          <w:bCs/>
          <w:color w:val="auto"/>
          <w:sz w:val="24"/>
          <w:szCs w:val="20"/>
          <w:highlight w:val="none"/>
        </w:rPr>
      </w:pPr>
    </w:p>
    <w:p w14:paraId="42D6644F">
      <w:pPr>
        <w:spacing w:after="50"/>
        <w:rPr>
          <w:rFonts w:ascii="宋体" w:hAnsi="宋体"/>
          <w:bCs/>
          <w:color w:val="auto"/>
          <w:sz w:val="24"/>
          <w:szCs w:val="20"/>
          <w:highlight w:val="none"/>
        </w:rPr>
      </w:pPr>
    </w:p>
    <w:p w14:paraId="3F620FD0">
      <w:pPr>
        <w:spacing w:after="50"/>
        <w:rPr>
          <w:rFonts w:ascii="宋体" w:hAnsi="宋体"/>
          <w:bCs/>
          <w:color w:val="auto"/>
          <w:sz w:val="24"/>
          <w:szCs w:val="20"/>
          <w:highlight w:val="none"/>
        </w:rPr>
      </w:pPr>
    </w:p>
    <w:p w14:paraId="3416D51B">
      <w:pPr>
        <w:spacing w:after="50"/>
        <w:rPr>
          <w:rFonts w:ascii="宋体" w:hAnsi="宋体"/>
          <w:bCs/>
          <w:color w:val="auto"/>
          <w:sz w:val="24"/>
          <w:szCs w:val="20"/>
          <w:highlight w:val="none"/>
        </w:rPr>
      </w:pPr>
    </w:p>
    <w:p w14:paraId="377B6259">
      <w:pPr>
        <w:spacing w:after="50"/>
        <w:rPr>
          <w:rFonts w:ascii="宋体" w:hAnsi="宋体"/>
          <w:bCs/>
          <w:color w:val="auto"/>
          <w:sz w:val="24"/>
          <w:szCs w:val="20"/>
          <w:highlight w:val="none"/>
        </w:rPr>
      </w:pPr>
    </w:p>
    <w:p w14:paraId="34BF0CF1">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9AA7ABB">
      <w:pPr>
        <w:spacing w:after="50"/>
        <w:ind w:firstLine="720" w:firstLineChars="225"/>
        <w:rPr>
          <w:rFonts w:ascii="宋体" w:hAnsi="宋体" w:cs="仿宋_GB2312"/>
          <w:bCs/>
          <w:color w:val="auto"/>
          <w:sz w:val="32"/>
          <w:szCs w:val="32"/>
          <w:highlight w:val="none"/>
        </w:rPr>
      </w:pPr>
    </w:p>
    <w:p w14:paraId="18262F63">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FFA9DB5">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E266D09">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73D89FF">
      <w:pPr>
        <w:spacing w:after="50"/>
        <w:ind w:firstLine="720" w:firstLineChars="225"/>
        <w:rPr>
          <w:rFonts w:ascii="宋体" w:hAnsi="宋体" w:cs="仿宋_GB2312"/>
          <w:bCs/>
          <w:color w:val="auto"/>
          <w:sz w:val="32"/>
          <w:szCs w:val="32"/>
          <w:highlight w:val="none"/>
        </w:rPr>
      </w:pPr>
    </w:p>
    <w:p w14:paraId="653083CB">
      <w:pPr>
        <w:pStyle w:val="18"/>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D11405A">
      <w:pPr>
        <w:spacing w:after="50"/>
        <w:ind w:firstLine="640" w:firstLineChars="200"/>
        <w:rPr>
          <w:rFonts w:ascii="宋体" w:hAnsi="宋体" w:cs="仿宋_GB2312"/>
          <w:bCs/>
          <w:color w:val="auto"/>
          <w:sz w:val="32"/>
          <w:szCs w:val="32"/>
          <w:highlight w:val="none"/>
        </w:rPr>
      </w:pPr>
    </w:p>
    <w:p w14:paraId="11FDAB89">
      <w:pPr>
        <w:pStyle w:val="18"/>
        <w:spacing w:before="50" w:after="50"/>
        <w:ind w:firstLine="720" w:firstLineChars="225"/>
        <w:rPr>
          <w:rFonts w:ascii="宋体" w:hAnsi="宋体" w:cs="仿宋_GB2312"/>
          <w:bCs/>
          <w:color w:val="auto"/>
          <w:sz w:val="32"/>
          <w:szCs w:val="32"/>
          <w:highlight w:val="none"/>
        </w:rPr>
      </w:pPr>
    </w:p>
    <w:p w14:paraId="64313AAF">
      <w:pPr>
        <w:pStyle w:val="18"/>
        <w:spacing w:before="50" w:after="50"/>
        <w:ind w:firstLine="720" w:firstLineChars="225"/>
        <w:rPr>
          <w:rFonts w:ascii="宋体" w:hAnsi="宋体" w:cs="仿宋_GB2312"/>
          <w:bCs/>
          <w:color w:val="auto"/>
          <w:sz w:val="32"/>
          <w:szCs w:val="32"/>
          <w:highlight w:val="none"/>
        </w:rPr>
      </w:pPr>
    </w:p>
    <w:p w14:paraId="1BE55B88">
      <w:pPr>
        <w:pStyle w:val="18"/>
        <w:spacing w:before="50" w:after="50"/>
        <w:ind w:firstLine="1280" w:firstLineChars="400"/>
        <w:rPr>
          <w:rFonts w:ascii="宋体" w:hAnsi="宋体" w:cs="仿宋_GB2312"/>
          <w:bCs/>
          <w:color w:val="auto"/>
          <w:sz w:val="32"/>
          <w:szCs w:val="32"/>
          <w:highlight w:val="none"/>
        </w:rPr>
      </w:pPr>
    </w:p>
    <w:p w14:paraId="042D7A5E">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17C7791">
      <w:pPr>
        <w:spacing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1B9C5D0">
      <w:pPr>
        <w:spacing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85ECF77">
      <w:pPr>
        <w:spacing w:after="50"/>
        <w:rPr>
          <w:rFonts w:ascii="宋体" w:hAnsi="宋体"/>
          <w:color w:val="auto"/>
          <w:sz w:val="24"/>
          <w:szCs w:val="20"/>
          <w:highlight w:val="none"/>
        </w:rPr>
      </w:pPr>
      <w:r>
        <w:rPr>
          <w:rFonts w:ascii="宋体" w:hAnsi="宋体"/>
          <w:color w:val="auto"/>
          <w:sz w:val="24"/>
          <w:szCs w:val="20"/>
          <w:highlight w:val="none"/>
        </w:rPr>
        <w:t xml:space="preserve"> </w:t>
      </w:r>
    </w:p>
    <w:p w14:paraId="39087CAC">
      <w:pPr>
        <w:spacing w:line="300" w:lineRule="auto"/>
        <w:rPr>
          <w:rFonts w:ascii="宋体" w:hAnsi="宋体"/>
          <w:color w:val="auto"/>
          <w:szCs w:val="21"/>
          <w:highlight w:val="none"/>
        </w:rPr>
      </w:pPr>
    </w:p>
    <w:p w14:paraId="74F965E1">
      <w:pPr>
        <w:spacing w:line="300" w:lineRule="auto"/>
        <w:rPr>
          <w:rFonts w:ascii="宋体" w:hAnsi="宋体"/>
          <w:color w:val="auto"/>
          <w:szCs w:val="21"/>
          <w:highlight w:val="none"/>
        </w:rPr>
      </w:pPr>
    </w:p>
    <w:p w14:paraId="10F5C6A7">
      <w:pPr>
        <w:spacing w:line="300" w:lineRule="auto"/>
        <w:rPr>
          <w:rFonts w:ascii="宋体" w:hAnsi="宋体"/>
          <w:color w:val="auto"/>
          <w:szCs w:val="21"/>
          <w:highlight w:val="none"/>
        </w:rPr>
      </w:pPr>
    </w:p>
    <w:p w14:paraId="439E3A62">
      <w:pPr>
        <w:spacing w:line="300" w:lineRule="auto"/>
        <w:rPr>
          <w:rFonts w:ascii="宋体" w:hAnsi="宋体"/>
          <w:color w:val="auto"/>
          <w:szCs w:val="21"/>
          <w:highlight w:val="none"/>
        </w:rPr>
      </w:pPr>
    </w:p>
    <w:p w14:paraId="6A838F92">
      <w:pPr>
        <w:spacing w:line="300" w:lineRule="auto"/>
        <w:rPr>
          <w:rFonts w:ascii="宋体" w:hAnsi="宋体"/>
          <w:color w:val="auto"/>
          <w:szCs w:val="21"/>
          <w:highlight w:val="none"/>
        </w:rPr>
      </w:pPr>
    </w:p>
    <w:p w14:paraId="48C83301">
      <w:pPr>
        <w:spacing w:line="300" w:lineRule="auto"/>
        <w:rPr>
          <w:rFonts w:ascii="宋体" w:hAnsi="宋体"/>
          <w:color w:val="auto"/>
          <w:szCs w:val="21"/>
          <w:highlight w:val="none"/>
        </w:rPr>
      </w:pPr>
    </w:p>
    <w:p w14:paraId="34C6497C">
      <w:pPr>
        <w:spacing w:line="300" w:lineRule="auto"/>
        <w:rPr>
          <w:rFonts w:ascii="宋体" w:hAnsi="宋体"/>
          <w:color w:val="auto"/>
          <w:szCs w:val="21"/>
          <w:highlight w:val="none"/>
        </w:rPr>
      </w:pPr>
    </w:p>
    <w:p w14:paraId="7FE94B59">
      <w:pPr>
        <w:spacing w:line="300" w:lineRule="auto"/>
        <w:rPr>
          <w:rFonts w:ascii="宋体" w:hAnsi="宋体"/>
          <w:color w:val="auto"/>
          <w:szCs w:val="21"/>
          <w:highlight w:val="none"/>
        </w:rPr>
      </w:pPr>
    </w:p>
    <w:p w14:paraId="131828DE">
      <w:pPr>
        <w:spacing w:line="300" w:lineRule="auto"/>
        <w:rPr>
          <w:rFonts w:ascii="宋体" w:hAnsi="宋体"/>
          <w:color w:val="auto"/>
          <w:szCs w:val="21"/>
          <w:highlight w:val="none"/>
        </w:rPr>
      </w:pPr>
    </w:p>
    <w:p w14:paraId="536971B2">
      <w:pPr>
        <w:spacing w:line="300" w:lineRule="auto"/>
        <w:rPr>
          <w:rFonts w:ascii="宋体" w:hAnsi="宋体"/>
          <w:color w:val="auto"/>
          <w:szCs w:val="21"/>
          <w:highlight w:val="none"/>
        </w:rPr>
      </w:pPr>
    </w:p>
    <w:p w14:paraId="208C88C3">
      <w:pPr>
        <w:spacing w:line="300" w:lineRule="auto"/>
        <w:rPr>
          <w:rFonts w:ascii="宋体" w:hAnsi="宋体"/>
          <w:color w:val="auto"/>
          <w:szCs w:val="21"/>
          <w:highlight w:val="none"/>
        </w:rPr>
      </w:pPr>
    </w:p>
    <w:p w14:paraId="09464D29">
      <w:pPr>
        <w:spacing w:line="300" w:lineRule="auto"/>
        <w:rPr>
          <w:rFonts w:ascii="宋体" w:hAnsi="宋体"/>
          <w:color w:val="auto"/>
          <w:szCs w:val="21"/>
          <w:highlight w:val="none"/>
        </w:rPr>
      </w:pPr>
    </w:p>
    <w:p w14:paraId="5A80262A">
      <w:pPr>
        <w:spacing w:line="300" w:lineRule="auto"/>
        <w:rPr>
          <w:rFonts w:ascii="宋体" w:hAnsi="宋体"/>
          <w:color w:val="auto"/>
          <w:szCs w:val="21"/>
          <w:highlight w:val="none"/>
        </w:rPr>
      </w:pPr>
    </w:p>
    <w:p w14:paraId="46EF6613">
      <w:pPr>
        <w:spacing w:line="300" w:lineRule="auto"/>
        <w:rPr>
          <w:rFonts w:ascii="宋体" w:hAnsi="宋体"/>
          <w:color w:val="auto"/>
          <w:szCs w:val="21"/>
          <w:highlight w:val="none"/>
        </w:rPr>
      </w:pPr>
    </w:p>
    <w:p w14:paraId="4F22B470">
      <w:pPr>
        <w:spacing w:line="300" w:lineRule="auto"/>
        <w:rPr>
          <w:rFonts w:ascii="宋体" w:hAnsi="宋体"/>
          <w:color w:val="auto"/>
          <w:szCs w:val="21"/>
          <w:highlight w:val="none"/>
        </w:rPr>
      </w:pPr>
    </w:p>
    <w:p w14:paraId="3BD78AA3">
      <w:pPr>
        <w:spacing w:line="320" w:lineRule="exact"/>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770D15BA">
      <w:pPr>
        <w:spacing w:line="320" w:lineRule="exact"/>
        <w:jc w:val="left"/>
        <w:rPr>
          <w:rFonts w:ascii="宋体" w:hAnsi="宋体"/>
          <w:color w:val="auto"/>
          <w:szCs w:val="21"/>
          <w:highlight w:val="none"/>
        </w:rPr>
      </w:pPr>
    </w:p>
    <w:p w14:paraId="1F4A9CF0">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101F4D9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5D4D5C5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77FEB11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0836F5B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66E9BB6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23A18BD7">
      <w:pPr>
        <w:spacing w:line="360" w:lineRule="auto"/>
        <w:jc w:val="left"/>
        <w:rPr>
          <w:rFonts w:ascii="宋体" w:hAnsi="宋体"/>
          <w:color w:val="auto"/>
          <w:sz w:val="24"/>
          <w:highlight w:val="none"/>
        </w:rPr>
      </w:pPr>
    </w:p>
    <w:p w14:paraId="515D2E19">
      <w:pPr>
        <w:spacing w:line="360" w:lineRule="auto"/>
        <w:jc w:val="left"/>
        <w:rPr>
          <w:rFonts w:ascii="宋体" w:hAnsi="宋体"/>
          <w:color w:val="auto"/>
          <w:sz w:val="24"/>
          <w:highlight w:val="none"/>
        </w:rPr>
      </w:pPr>
    </w:p>
    <w:p w14:paraId="6B7099D0">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18CE6D5B">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01386C92">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67B63DD5">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47A66EE6">
      <w:pPr>
        <w:spacing w:line="360" w:lineRule="auto"/>
        <w:jc w:val="left"/>
        <w:rPr>
          <w:rFonts w:ascii="宋体" w:hAnsi="宋体"/>
          <w:color w:val="auto"/>
          <w:sz w:val="24"/>
          <w:highlight w:val="none"/>
        </w:rPr>
      </w:pPr>
    </w:p>
    <w:p w14:paraId="6068BE7C">
      <w:pPr>
        <w:spacing w:line="360" w:lineRule="auto"/>
        <w:jc w:val="left"/>
        <w:rPr>
          <w:rFonts w:ascii="宋体" w:hAnsi="宋体"/>
          <w:b/>
          <w:bCs/>
          <w:color w:val="auto"/>
          <w:sz w:val="24"/>
          <w:highlight w:val="none"/>
        </w:rPr>
      </w:pPr>
      <w:r>
        <w:rPr>
          <w:rFonts w:hint="eastAsia" w:ascii="宋体" w:hAnsi="宋体"/>
          <w:b/>
          <w:bCs/>
          <w:color w:val="auto"/>
          <w:sz w:val="24"/>
          <w:highlight w:val="none"/>
        </w:rPr>
        <w:t>注：1.供应商须在响应文件中按此模板提供承诺函，未提供视为未实质性响应采购文件要求，按无效响应处理。</w:t>
      </w:r>
    </w:p>
    <w:p w14:paraId="1BCFB705">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6556BC56">
      <w:pPr>
        <w:spacing w:line="320" w:lineRule="exact"/>
        <w:jc w:val="left"/>
        <w:rPr>
          <w:rFonts w:ascii="宋体" w:hAnsi="宋体"/>
          <w:color w:val="auto"/>
          <w:szCs w:val="21"/>
          <w:highlight w:val="none"/>
        </w:rPr>
      </w:pPr>
    </w:p>
    <w:p w14:paraId="24FBD92F">
      <w:pPr>
        <w:pStyle w:val="18"/>
        <w:rPr>
          <w:color w:val="auto"/>
          <w:highlight w:val="none"/>
        </w:rPr>
      </w:pPr>
    </w:p>
    <w:p w14:paraId="2921D9CF">
      <w:pPr>
        <w:pStyle w:val="18"/>
        <w:rPr>
          <w:color w:val="auto"/>
          <w:highlight w:val="none"/>
        </w:rPr>
      </w:pPr>
    </w:p>
    <w:p w14:paraId="10C6A9E0">
      <w:pPr>
        <w:pStyle w:val="18"/>
        <w:rPr>
          <w:color w:val="auto"/>
          <w:highlight w:val="none"/>
        </w:rPr>
      </w:pPr>
    </w:p>
    <w:p w14:paraId="7EA7F3AD">
      <w:pPr>
        <w:pStyle w:val="18"/>
        <w:rPr>
          <w:color w:val="auto"/>
          <w:highlight w:val="none"/>
        </w:rPr>
      </w:pPr>
    </w:p>
    <w:p w14:paraId="49ACFB69">
      <w:pPr>
        <w:pStyle w:val="18"/>
        <w:rPr>
          <w:color w:val="auto"/>
          <w:highlight w:val="none"/>
        </w:rPr>
      </w:pPr>
    </w:p>
    <w:p w14:paraId="3C88B392">
      <w:pPr>
        <w:pStyle w:val="18"/>
        <w:rPr>
          <w:color w:val="auto"/>
          <w:highlight w:val="none"/>
        </w:rPr>
      </w:pPr>
    </w:p>
    <w:p w14:paraId="5EC3964C">
      <w:pPr>
        <w:pStyle w:val="18"/>
        <w:rPr>
          <w:color w:val="auto"/>
          <w:highlight w:val="none"/>
        </w:rPr>
      </w:pPr>
    </w:p>
    <w:p w14:paraId="16BBA627">
      <w:pPr>
        <w:pStyle w:val="18"/>
        <w:rPr>
          <w:color w:val="auto"/>
          <w:highlight w:val="none"/>
        </w:rPr>
      </w:pPr>
    </w:p>
    <w:p w14:paraId="70575569">
      <w:pPr>
        <w:pStyle w:val="18"/>
        <w:rPr>
          <w:color w:val="auto"/>
          <w:highlight w:val="none"/>
        </w:rPr>
      </w:pPr>
    </w:p>
    <w:p w14:paraId="7AE52433">
      <w:pPr>
        <w:pStyle w:val="18"/>
        <w:rPr>
          <w:color w:val="auto"/>
          <w:highlight w:val="none"/>
        </w:rPr>
      </w:pPr>
    </w:p>
    <w:p w14:paraId="6AEF60BA">
      <w:pPr>
        <w:pStyle w:val="18"/>
        <w:rPr>
          <w:color w:val="auto"/>
          <w:highlight w:val="none"/>
        </w:rPr>
      </w:pPr>
    </w:p>
    <w:p w14:paraId="5F176791">
      <w:pPr>
        <w:pStyle w:val="18"/>
        <w:rPr>
          <w:color w:val="auto"/>
          <w:highlight w:val="none"/>
        </w:rPr>
      </w:pPr>
    </w:p>
    <w:p w14:paraId="643AF647">
      <w:pPr>
        <w:wordWrap w:val="0"/>
        <w:spacing w:after="50" w:line="320" w:lineRule="exact"/>
        <w:ind w:right="482" w:firstLine="210" w:firstLineChars="100"/>
        <w:contextualSpacing/>
        <w:jc w:val="center"/>
        <w:rPr>
          <w:rFonts w:ascii="宋体" w:hAnsi="宋体"/>
          <w:color w:val="auto"/>
          <w:szCs w:val="21"/>
          <w:highlight w:val="none"/>
        </w:rPr>
      </w:pPr>
    </w:p>
    <w:p w14:paraId="64A4B1EE">
      <w:pPr>
        <w:pStyle w:val="4"/>
        <w:rPr>
          <w:color w:val="auto"/>
          <w:highlight w:val="none"/>
        </w:rPr>
      </w:pPr>
    </w:p>
    <w:p w14:paraId="6F997AF2">
      <w:pPr>
        <w:wordWrap w:val="0"/>
        <w:spacing w:after="50" w:line="320" w:lineRule="exact"/>
        <w:ind w:right="482" w:firstLine="210" w:firstLineChars="100"/>
        <w:contextualSpacing/>
        <w:jc w:val="center"/>
        <w:rPr>
          <w:rFonts w:ascii="宋体" w:hAnsi="宋体"/>
          <w:color w:val="auto"/>
          <w:szCs w:val="21"/>
          <w:highlight w:val="none"/>
        </w:rPr>
      </w:pPr>
    </w:p>
    <w:p w14:paraId="2F1CB0DF">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F6FC0DB">
      <w:pPr>
        <w:spacing w:after="50" w:line="360" w:lineRule="auto"/>
        <w:jc w:val="center"/>
        <w:rPr>
          <w:rFonts w:ascii="宋体" w:hAnsi="宋体"/>
          <w:b/>
          <w:color w:val="auto"/>
          <w:sz w:val="24"/>
          <w:highlight w:val="none"/>
        </w:rPr>
      </w:pPr>
    </w:p>
    <w:p w14:paraId="1CBA20F8">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240B98A">
      <w:pPr>
        <w:spacing w:line="360" w:lineRule="auto"/>
        <w:contextualSpacing/>
        <w:jc w:val="center"/>
        <w:rPr>
          <w:rFonts w:ascii="宋体" w:hAnsi="宋体"/>
          <w:b/>
          <w:color w:val="auto"/>
          <w:sz w:val="24"/>
          <w:highlight w:val="none"/>
        </w:rPr>
      </w:pPr>
    </w:p>
    <w:tbl>
      <w:tblPr>
        <w:tblStyle w:val="10"/>
        <w:tblW w:w="9255" w:type="dxa"/>
        <w:jc w:val="center"/>
        <w:shd w:val="clear" w:color="auto" w:fill="FBFBFB"/>
        <w:tblLayout w:type="fixed"/>
        <w:tblCellMar>
          <w:top w:w="120" w:type="dxa"/>
          <w:left w:w="120" w:type="dxa"/>
          <w:bottom w:w="120" w:type="dxa"/>
          <w:right w:w="120" w:type="dxa"/>
        </w:tblCellMar>
      </w:tblPr>
      <w:tblGrid>
        <w:gridCol w:w="880"/>
        <w:gridCol w:w="2655"/>
        <w:gridCol w:w="1455"/>
        <w:gridCol w:w="3065"/>
        <w:gridCol w:w="1200"/>
      </w:tblGrid>
      <w:tr w14:paraId="7A2BA20C">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376C61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206FA5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876F9E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C57BFE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31B110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4FE832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0D126A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C184F39">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D9EA3F1">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0BDC0B6">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0EA7DAC">
            <w:pPr>
              <w:widowControl/>
              <w:spacing w:line="360" w:lineRule="auto"/>
              <w:contextualSpacing/>
              <w:jc w:val="center"/>
              <w:rPr>
                <w:rFonts w:ascii="宋体" w:hAnsi="宋体" w:cs="宋体"/>
                <w:color w:val="auto"/>
                <w:kern w:val="0"/>
                <w:sz w:val="24"/>
                <w:highlight w:val="none"/>
              </w:rPr>
            </w:pPr>
          </w:p>
        </w:tc>
      </w:tr>
      <w:tr w14:paraId="3358509C">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BE0807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422E2CB">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C71B327">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99315AD">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47F8492">
            <w:pPr>
              <w:widowControl/>
              <w:spacing w:line="360" w:lineRule="auto"/>
              <w:contextualSpacing/>
              <w:jc w:val="center"/>
              <w:rPr>
                <w:rFonts w:ascii="宋体" w:hAnsi="宋体" w:cs="宋体"/>
                <w:color w:val="auto"/>
                <w:kern w:val="0"/>
                <w:sz w:val="24"/>
                <w:highlight w:val="none"/>
              </w:rPr>
            </w:pPr>
          </w:p>
        </w:tc>
      </w:tr>
      <w:tr w14:paraId="6FE030A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CE856B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3FA7F83">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DEF5E39">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C740D3E">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2E0255B">
            <w:pPr>
              <w:widowControl/>
              <w:spacing w:line="360" w:lineRule="auto"/>
              <w:contextualSpacing/>
              <w:jc w:val="center"/>
              <w:rPr>
                <w:rFonts w:ascii="宋体" w:hAnsi="宋体" w:cs="宋体"/>
                <w:color w:val="auto"/>
                <w:kern w:val="0"/>
                <w:sz w:val="24"/>
                <w:highlight w:val="none"/>
              </w:rPr>
            </w:pPr>
          </w:p>
        </w:tc>
      </w:tr>
      <w:tr w14:paraId="763808D7">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D20FE8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7FEEDC4">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1D50836">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06DFD00">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3239A19">
            <w:pPr>
              <w:widowControl/>
              <w:spacing w:line="360" w:lineRule="auto"/>
              <w:contextualSpacing/>
              <w:jc w:val="center"/>
              <w:rPr>
                <w:rFonts w:ascii="宋体" w:hAnsi="宋体" w:cs="宋体"/>
                <w:color w:val="auto"/>
                <w:kern w:val="0"/>
                <w:sz w:val="24"/>
                <w:highlight w:val="none"/>
              </w:rPr>
            </w:pPr>
          </w:p>
        </w:tc>
      </w:tr>
    </w:tbl>
    <w:p w14:paraId="3D1EDC9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946CD7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A0025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7F0474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7FFC122">
      <w:pPr>
        <w:spacing w:line="360" w:lineRule="auto"/>
        <w:ind w:firstLine="420" w:firstLineChars="200"/>
        <w:contextualSpacing/>
        <w:jc w:val="left"/>
        <w:rPr>
          <w:rFonts w:ascii="宋体" w:hAnsi="宋体" w:cs="宋体"/>
          <w:color w:val="auto"/>
          <w:szCs w:val="21"/>
          <w:highlight w:val="none"/>
        </w:rPr>
      </w:pPr>
    </w:p>
    <w:p w14:paraId="4F9CA9E3">
      <w:pPr>
        <w:spacing w:line="360" w:lineRule="auto"/>
        <w:ind w:firstLine="560" w:firstLineChars="200"/>
        <w:contextualSpacing/>
        <w:jc w:val="left"/>
        <w:rPr>
          <w:rFonts w:ascii="宋体" w:hAnsi="宋体" w:cs="宋体"/>
          <w:color w:val="auto"/>
          <w:sz w:val="28"/>
          <w:szCs w:val="28"/>
          <w:highlight w:val="none"/>
        </w:rPr>
      </w:pPr>
    </w:p>
    <w:p w14:paraId="7888DE39">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5D0B55A">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FC6BACA">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1DA5C2FC">
      <w:pPr>
        <w:jc w:val="center"/>
        <w:rPr>
          <w:rFonts w:ascii="宋体" w:hAnsi="宋体"/>
          <w:b/>
          <w:color w:val="auto"/>
          <w:sz w:val="28"/>
          <w:szCs w:val="28"/>
          <w:highlight w:val="none"/>
        </w:rPr>
      </w:pPr>
      <w:r>
        <w:rPr>
          <w:rFonts w:ascii="宋体" w:hAnsi="宋体"/>
          <w:b/>
          <w:color w:val="auto"/>
          <w:sz w:val="28"/>
          <w:szCs w:val="28"/>
          <w:highlight w:val="none"/>
        </w:rPr>
        <w:br w:type="page"/>
      </w:r>
    </w:p>
    <w:p w14:paraId="7F2D57B1">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201F19E3">
      <w:pPr>
        <w:spacing w:line="360" w:lineRule="auto"/>
        <w:jc w:val="center"/>
        <w:rPr>
          <w:rFonts w:ascii="宋体" w:hAnsi="宋体"/>
          <w:b/>
          <w:color w:val="auto"/>
          <w:sz w:val="24"/>
          <w:highlight w:val="none"/>
        </w:rPr>
      </w:pPr>
    </w:p>
    <w:tbl>
      <w:tblPr>
        <w:tblStyle w:val="10"/>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C032DAF">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FAED19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0219724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C30992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E8B00A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77D56E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037B17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5030D0B">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CD478F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2801EFF4">
            <w:pPr>
              <w:widowControl/>
              <w:spacing w:line="360" w:lineRule="auto"/>
              <w:contextualSpacing/>
              <w:jc w:val="center"/>
              <w:rPr>
                <w:rFonts w:ascii="宋体" w:hAnsi="宋体" w:cs="宋体"/>
                <w:color w:val="auto"/>
                <w:kern w:val="0"/>
                <w:sz w:val="24"/>
                <w:highlight w:val="none"/>
              </w:rPr>
            </w:pPr>
          </w:p>
        </w:tc>
      </w:tr>
      <w:tr w14:paraId="3D5E055C">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15C12D6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2E5DA6B">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7996288">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DC1699A">
            <w:pPr>
              <w:widowControl/>
              <w:spacing w:line="360" w:lineRule="auto"/>
              <w:contextualSpacing/>
              <w:jc w:val="center"/>
              <w:rPr>
                <w:rFonts w:ascii="宋体" w:hAnsi="宋体" w:cs="宋体"/>
                <w:color w:val="auto"/>
                <w:kern w:val="0"/>
                <w:sz w:val="24"/>
                <w:highlight w:val="none"/>
              </w:rPr>
            </w:pPr>
          </w:p>
        </w:tc>
      </w:tr>
      <w:tr w14:paraId="54018C9A">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79CCF3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A2FE67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ED2725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7A8C4B63">
            <w:pPr>
              <w:widowControl/>
              <w:spacing w:line="360" w:lineRule="auto"/>
              <w:contextualSpacing/>
              <w:jc w:val="center"/>
              <w:rPr>
                <w:rFonts w:ascii="宋体" w:hAnsi="宋体" w:cs="宋体"/>
                <w:color w:val="auto"/>
                <w:kern w:val="0"/>
                <w:sz w:val="24"/>
                <w:highlight w:val="none"/>
              </w:rPr>
            </w:pPr>
          </w:p>
        </w:tc>
      </w:tr>
      <w:tr w14:paraId="6872780B">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6FB825F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577641E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45042D6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14:paraId="353A9495">
            <w:pPr>
              <w:widowControl/>
              <w:spacing w:line="360" w:lineRule="auto"/>
              <w:contextualSpacing/>
              <w:jc w:val="center"/>
              <w:rPr>
                <w:rFonts w:ascii="宋体" w:hAnsi="宋体" w:cs="宋体"/>
                <w:color w:val="auto"/>
                <w:kern w:val="0"/>
                <w:sz w:val="24"/>
                <w:highlight w:val="none"/>
              </w:rPr>
            </w:pPr>
          </w:p>
        </w:tc>
      </w:tr>
    </w:tbl>
    <w:p w14:paraId="16981666">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1143DC92">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3CB557C">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E13AB5C">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D6F7FC9">
      <w:pPr>
        <w:spacing w:line="360" w:lineRule="auto"/>
        <w:contextualSpacing/>
        <w:jc w:val="left"/>
        <w:rPr>
          <w:rFonts w:ascii="宋体" w:hAnsi="宋体"/>
          <w:color w:val="auto"/>
          <w:sz w:val="28"/>
          <w:szCs w:val="28"/>
          <w:highlight w:val="none"/>
        </w:rPr>
      </w:pPr>
    </w:p>
    <w:p w14:paraId="31B398DA">
      <w:pPr>
        <w:spacing w:line="360" w:lineRule="auto"/>
        <w:contextualSpacing/>
        <w:jc w:val="left"/>
        <w:rPr>
          <w:rFonts w:ascii="宋体" w:hAnsi="宋体"/>
          <w:color w:val="auto"/>
          <w:sz w:val="28"/>
          <w:szCs w:val="28"/>
          <w:highlight w:val="none"/>
        </w:rPr>
      </w:pPr>
    </w:p>
    <w:p w14:paraId="1FD35EF3">
      <w:pPr>
        <w:spacing w:line="360" w:lineRule="auto"/>
        <w:contextualSpacing/>
        <w:jc w:val="left"/>
        <w:rPr>
          <w:color w:val="auto"/>
          <w:sz w:val="28"/>
          <w:szCs w:val="28"/>
          <w:highlight w:val="none"/>
        </w:rPr>
      </w:pPr>
    </w:p>
    <w:p w14:paraId="725F4BD7">
      <w:pPr>
        <w:spacing w:line="360" w:lineRule="auto"/>
        <w:contextualSpacing/>
        <w:jc w:val="left"/>
        <w:rPr>
          <w:color w:val="auto"/>
          <w:sz w:val="28"/>
          <w:szCs w:val="28"/>
          <w:highlight w:val="none"/>
        </w:rPr>
      </w:pPr>
    </w:p>
    <w:p w14:paraId="6550A66B">
      <w:pPr>
        <w:spacing w:line="360" w:lineRule="auto"/>
        <w:contextualSpacing/>
        <w:jc w:val="left"/>
        <w:rPr>
          <w:color w:val="auto"/>
          <w:sz w:val="28"/>
          <w:szCs w:val="28"/>
          <w:highlight w:val="none"/>
        </w:rPr>
      </w:pPr>
    </w:p>
    <w:p w14:paraId="5E3E75DF">
      <w:pPr>
        <w:spacing w:line="360" w:lineRule="auto"/>
        <w:contextualSpacing/>
        <w:jc w:val="left"/>
        <w:rPr>
          <w:rFonts w:ascii="宋体" w:hAnsi="宋体"/>
          <w:color w:val="auto"/>
          <w:sz w:val="28"/>
          <w:szCs w:val="28"/>
          <w:highlight w:val="none"/>
        </w:rPr>
      </w:pPr>
    </w:p>
    <w:p w14:paraId="63309AF7">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55F7CC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B17F794">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0D19A9E3">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7DCABD15">
      <w:pPr>
        <w:spacing w:line="320" w:lineRule="exact"/>
        <w:jc w:val="center"/>
        <w:rPr>
          <w:rFonts w:ascii="宋体" w:hAnsi="宋体"/>
          <w:color w:val="auto"/>
          <w:sz w:val="24"/>
          <w:szCs w:val="20"/>
          <w:highlight w:val="none"/>
        </w:rPr>
      </w:pPr>
    </w:p>
    <w:p w14:paraId="278894E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43681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EA983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7D0088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9AA8E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9D8C5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E4EF6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516ACF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B136EB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7E427F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BC7645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EA7F5A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537A41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95A130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366E0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2E4764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FBD4C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7D44295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EC4F9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999E4D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5CD9F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2A1BE0E">
      <w:pPr>
        <w:pStyle w:val="3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lang w:val="en-US" w:eastAsia="zh-CN"/>
        </w:rPr>
        <w:t>7</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4FFA38B8">
      <w:pPr>
        <w:pStyle w:val="3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0835E55">
      <w:pPr>
        <w:pStyle w:val="3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E54C4B5">
      <w:pPr>
        <w:pStyle w:val="3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.以上事项如有虚假或者隐瞒，我方愿意承担一切后果，并不再寻求任何旨在减轻或者免除法律责任的辩解。</w:t>
      </w:r>
    </w:p>
    <w:p w14:paraId="77B43BF5">
      <w:pPr>
        <w:pStyle w:val="3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44BD4932">
      <w:pPr>
        <w:spacing w:line="360" w:lineRule="auto"/>
        <w:contextualSpacing/>
        <w:jc w:val="left"/>
        <w:rPr>
          <w:rFonts w:ascii="宋体" w:hAnsi="宋体" w:cs="宋体"/>
          <w:b/>
          <w:color w:val="auto"/>
          <w:sz w:val="24"/>
          <w:highlight w:val="none"/>
        </w:rPr>
      </w:pPr>
    </w:p>
    <w:p w14:paraId="3F8C1892">
      <w:pPr>
        <w:spacing w:line="360" w:lineRule="auto"/>
        <w:contextualSpacing/>
        <w:jc w:val="left"/>
        <w:rPr>
          <w:rFonts w:ascii="宋体" w:hAnsi="宋体" w:cs="宋体"/>
          <w:color w:val="auto"/>
          <w:szCs w:val="21"/>
          <w:highlight w:val="none"/>
        </w:rPr>
      </w:pPr>
    </w:p>
    <w:p w14:paraId="2746C21B">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660AE568">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4DA368AC">
      <w:pPr>
        <w:pStyle w:val="35"/>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798B445C">
      <w:pPr>
        <w:pStyle w:val="18"/>
        <w:overflowPunct w:val="0"/>
        <w:spacing w:line="520" w:lineRule="exact"/>
        <w:ind w:firstLine="0"/>
        <w:jc w:val="center"/>
        <w:rPr>
          <w:color w:val="auto"/>
          <w:sz w:val="24"/>
          <w:highlight w:val="none"/>
        </w:rPr>
      </w:pPr>
    </w:p>
    <w:p w14:paraId="00A1E30B">
      <w:pPr>
        <w:pStyle w:val="18"/>
        <w:overflowPunct w:val="0"/>
        <w:spacing w:line="520" w:lineRule="exact"/>
        <w:ind w:firstLine="0"/>
        <w:jc w:val="center"/>
        <w:rPr>
          <w:color w:val="auto"/>
          <w:sz w:val="24"/>
          <w:highlight w:val="none"/>
        </w:rPr>
      </w:pPr>
    </w:p>
    <w:p w14:paraId="6DCBBD28">
      <w:pPr>
        <w:pStyle w:val="18"/>
        <w:overflowPunct w:val="0"/>
        <w:spacing w:line="520" w:lineRule="exact"/>
        <w:ind w:firstLine="0"/>
        <w:jc w:val="center"/>
        <w:rPr>
          <w:color w:val="auto"/>
          <w:sz w:val="24"/>
          <w:highlight w:val="none"/>
        </w:rPr>
      </w:pPr>
    </w:p>
    <w:p w14:paraId="42F622EA">
      <w:pPr>
        <w:pStyle w:val="18"/>
        <w:overflowPunct w:val="0"/>
        <w:spacing w:line="520" w:lineRule="exact"/>
        <w:ind w:firstLine="0"/>
        <w:jc w:val="center"/>
        <w:rPr>
          <w:color w:val="auto"/>
          <w:sz w:val="24"/>
          <w:highlight w:val="none"/>
        </w:rPr>
      </w:pPr>
    </w:p>
    <w:p w14:paraId="38E67AA6">
      <w:pPr>
        <w:pStyle w:val="18"/>
        <w:overflowPunct w:val="0"/>
        <w:spacing w:line="520" w:lineRule="exact"/>
        <w:ind w:firstLine="0"/>
        <w:jc w:val="center"/>
        <w:rPr>
          <w:color w:val="auto"/>
          <w:sz w:val="24"/>
          <w:highlight w:val="none"/>
        </w:rPr>
      </w:pPr>
    </w:p>
    <w:p w14:paraId="475BFB23">
      <w:pPr>
        <w:pStyle w:val="18"/>
        <w:overflowPunct w:val="0"/>
        <w:spacing w:line="520" w:lineRule="exact"/>
        <w:ind w:firstLine="0"/>
        <w:jc w:val="center"/>
        <w:rPr>
          <w:color w:val="auto"/>
          <w:sz w:val="24"/>
          <w:highlight w:val="none"/>
        </w:rPr>
      </w:pPr>
    </w:p>
    <w:p w14:paraId="5D5A1878">
      <w:pPr>
        <w:pStyle w:val="18"/>
        <w:overflowPunct w:val="0"/>
        <w:spacing w:line="520" w:lineRule="exact"/>
        <w:ind w:firstLine="0"/>
        <w:jc w:val="center"/>
        <w:rPr>
          <w:color w:val="auto"/>
          <w:sz w:val="24"/>
          <w:highlight w:val="none"/>
        </w:rPr>
      </w:pPr>
    </w:p>
    <w:p w14:paraId="2FE9AE07">
      <w:pPr>
        <w:pStyle w:val="18"/>
        <w:overflowPunct w:val="0"/>
        <w:spacing w:line="520" w:lineRule="exact"/>
        <w:ind w:firstLine="0"/>
        <w:jc w:val="center"/>
        <w:rPr>
          <w:color w:val="auto"/>
          <w:sz w:val="24"/>
          <w:highlight w:val="none"/>
        </w:rPr>
      </w:pPr>
    </w:p>
    <w:p w14:paraId="55E5FD5E">
      <w:pPr>
        <w:pStyle w:val="18"/>
        <w:overflowPunct w:val="0"/>
        <w:spacing w:line="520" w:lineRule="exact"/>
        <w:ind w:firstLine="0"/>
        <w:jc w:val="center"/>
        <w:rPr>
          <w:color w:val="auto"/>
          <w:sz w:val="24"/>
          <w:highlight w:val="none"/>
        </w:rPr>
      </w:pPr>
    </w:p>
    <w:p w14:paraId="2B4EF49B">
      <w:pPr>
        <w:spacing w:line="360" w:lineRule="auto"/>
        <w:ind w:right="420"/>
        <w:contextualSpacing/>
        <w:jc w:val="left"/>
        <w:rPr>
          <w:rFonts w:hint="eastAsia" w:ascii="宋体" w:hAnsi="宋体"/>
          <w:b/>
          <w:bCs/>
          <w:color w:val="auto"/>
          <w:sz w:val="32"/>
          <w:szCs w:val="32"/>
          <w:highlight w:val="none"/>
        </w:rPr>
      </w:pPr>
    </w:p>
    <w:p w14:paraId="2D977670">
      <w:pPr>
        <w:spacing w:line="360" w:lineRule="auto"/>
        <w:ind w:right="420"/>
        <w:contextualSpacing/>
        <w:jc w:val="left"/>
        <w:rPr>
          <w:rFonts w:hint="eastAsia" w:ascii="宋体" w:hAnsi="宋体"/>
          <w:b/>
          <w:bCs/>
          <w:color w:val="auto"/>
          <w:sz w:val="32"/>
          <w:szCs w:val="32"/>
          <w:highlight w:val="none"/>
        </w:rPr>
      </w:pPr>
    </w:p>
    <w:p w14:paraId="60D4BAF9">
      <w:pPr>
        <w:spacing w:line="360" w:lineRule="auto"/>
        <w:ind w:right="420"/>
        <w:contextualSpacing/>
        <w:jc w:val="left"/>
        <w:rPr>
          <w:rFonts w:hint="eastAsia" w:ascii="宋体" w:hAnsi="宋体"/>
          <w:b/>
          <w:bCs/>
          <w:color w:val="auto"/>
          <w:sz w:val="32"/>
          <w:szCs w:val="32"/>
          <w:highlight w:val="none"/>
        </w:rPr>
      </w:pPr>
    </w:p>
    <w:p w14:paraId="53F45B93">
      <w:pPr>
        <w:spacing w:line="360" w:lineRule="auto"/>
        <w:ind w:right="420"/>
        <w:contextualSpacing/>
        <w:jc w:val="left"/>
        <w:rPr>
          <w:rFonts w:hint="eastAsia" w:ascii="宋体" w:hAnsi="宋体"/>
          <w:b/>
          <w:bCs/>
          <w:color w:val="auto"/>
          <w:sz w:val="32"/>
          <w:szCs w:val="32"/>
          <w:highlight w:val="none"/>
        </w:rPr>
      </w:pPr>
    </w:p>
    <w:p w14:paraId="356DD531">
      <w:pPr>
        <w:spacing w:line="360" w:lineRule="auto"/>
        <w:ind w:right="420"/>
        <w:contextualSpacing/>
        <w:jc w:val="left"/>
        <w:rPr>
          <w:rFonts w:hint="eastAsia" w:ascii="宋体" w:hAnsi="宋体"/>
          <w:b/>
          <w:bCs/>
          <w:color w:val="auto"/>
          <w:sz w:val="32"/>
          <w:szCs w:val="32"/>
          <w:highlight w:val="none"/>
        </w:rPr>
      </w:pPr>
    </w:p>
    <w:p w14:paraId="58AF86A4">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05FACDD">
      <w:pPr>
        <w:spacing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362DA868">
      <w:pPr>
        <w:spacing w:after="50"/>
        <w:rPr>
          <w:rFonts w:ascii="宋体" w:hAnsi="宋体"/>
          <w:bCs/>
          <w:color w:val="auto"/>
          <w:sz w:val="32"/>
          <w:szCs w:val="20"/>
          <w:highlight w:val="none"/>
        </w:rPr>
      </w:pPr>
      <w:r>
        <w:rPr>
          <w:rFonts w:hint="eastAsia" w:ascii="宋体" w:hAnsi="宋体"/>
          <w:color w:val="auto"/>
          <w:sz w:val="24"/>
          <w:highlight w:val="none"/>
        </w:rPr>
        <w:t xml:space="preserve">                                                    </w:t>
      </w:r>
    </w:p>
    <w:p w14:paraId="7B0B9BBC">
      <w:pPr>
        <w:spacing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70E8C4D">
      <w:pPr>
        <w:spacing w:after="50"/>
        <w:rPr>
          <w:rFonts w:ascii="宋体" w:hAnsi="宋体"/>
          <w:color w:val="auto"/>
          <w:sz w:val="24"/>
          <w:szCs w:val="20"/>
          <w:highlight w:val="none"/>
        </w:rPr>
      </w:pPr>
    </w:p>
    <w:p w14:paraId="6C36218F">
      <w:pPr>
        <w:spacing w:after="50"/>
        <w:rPr>
          <w:rFonts w:ascii="宋体" w:hAnsi="宋体"/>
          <w:color w:val="auto"/>
          <w:sz w:val="24"/>
          <w:szCs w:val="20"/>
          <w:highlight w:val="none"/>
        </w:rPr>
      </w:pPr>
    </w:p>
    <w:p w14:paraId="22125A48">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54ECB7C1">
      <w:pPr>
        <w:spacing w:after="50"/>
        <w:rPr>
          <w:rFonts w:ascii="宋体" w:hAnsi="宋体"/>
          <w:bCs/>
          <w:color w:val="auto"/>
          <w:sz w:val="24"/>
          <w:szCs w:val="20"/>
          <w:highlight w:val="none"/>
        </w:rPr>
      </w:pPr>
    </w:p>
    <w:p w14:paraId="686194E8">
      <w:pPr>
        <w:spacing w:after="50"/>
        <w:rPr>
          <w:rFonts w:ascii="宋体" w:hAnsi="宋体"/>
          <w:bCs/>
          <w:color w:val="auto"/>
          <w:sz w:val="24"/>
          <w:szCs w:val="20"/>
          <w:highlight w:val="none"/>
        </w:rPr>
      </w:pPr>
    </w:p>
    <w:p w14:paraId="04018DE1">
      <w:pPr>
        <w:spacing w:after="50"/>
        <w:rPr>
          <w:rFonts w:ascii="宋体" w:hAnsi="宋体"/>
          <w:bCs/>
          <w:color w:val="auto"/>
          <w:sz w:val="24"/>
          <w:szCs w:val="20"/>
          <w:highlight w:val="none"/>
        </w:rPr>
      </w:pPr>
    </w:p>
    <w:p w14:paraId="591EA547">
      <w:pPr>
        <w:spacing w:after="50"/>
        <w:rPr>
          <w:rFonts w:ascii="宋体" w:hAnsi="宋体"/>
          <w:bCs/>
          <w:color w:val="auto"/>
          <w:sz w:val="24"/>
          <w:szCs w:val="20"/>
          <w:highlight w:val="none"/>
        </w:rPr>
      </w:pPr>
    </w:p>
    <w:p w14:paraId="3E2AF961">
      <w:pPr>
        <w:spacing w:after="50"/>
        <w:rPr>
          <w:rFonts w:ascii="宋体" w:hAnsi="宋体"/>
          <w:bCs/>
          <w:color w:val="auto"/>
          <w:sz w:val="24"/>
          <w:szCs w:val="20"/>
          <w:highlight w:val="none"/>
        </w:rPr>
      </w:pPr>
    </w:p>
    <w:p w14:paraId="42D8FD6F">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FA9507C">
      <w:pPr>
        <w:spacing w:after="50"/>
        <w:ind w:firstLine="720" w:firstLineChars="225"/>
        <w:rPr>
          <w:rFonts w:ascii="宋体" w:hAnsi="宋体" w:cs="仿宋_GB2312"/>
          <w:bCs/>
          <w:color w:val="auto"/>
          <w:sz w:val="32"/>
          <w:szCs w:val="32"/>
          <w:highlight w:val="none"/>
        </w:rPr>
      </w:pPr>
    </w:p>
    <w:p w14:paraId="2541F3E1">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34B59C8">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C165070">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1E4E775">
      <w:pPr>
        <w:spacing w:after="50"/>
        <w:ind w:firstLine="720" w:firstLineChars="225"/>
        <w:rPr>
          <w:rFonts w:ascii="宋体" w:hAnsi="宋体" w:cs="仿宋_GB2312"/>
          <w:bCs/>
          <w:color w:val="auto"/>
          <w:sz w:val="32"/>
          <w:szCs w:val="32"/>
          <w:highlight w:val="none"/>
        </w:rPr>
      </w:pPr>
    </w:p>
    <w:p w14:paraId="46D691C0">
      <w:pPr>
        <w:pStyle w:val="18"/>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CCF1DFA">
      <w:pPr>
        <w:pStyle w:val="18"/>
        <w:spacing w:before="50" w:after="50"/>
        <w:ind w:firstLine="640" w:firstLineChars="200"/>
        <w:rPr>
          <w:rFonts w:ascii="宋体" w:hAnsi="宋体" w:cs="仿宋_GB2312"/>
          <w:bCs/>
          <w:color w:val="auto"/>
          <w:sz w:val="32"/>
          <w:szCs w:val="32"/>
          <w:highlight w:val="none"/>
        </w:rPr>
      </w:pPr>
    </w:p>
    <w:p w14:paraId="22687F0F">
      <w:pPr>
        <w:pStyle w:val="18"/>
        <w:spacing w:before="50" w:after="50"/>
        <w:ind w:firstLine="720" w:firstLineChars="225"/>
        <w:rPr>
          <w:rFonts w:ascii="宋体" w:hAnsi="宋体" w:cs="仿宋_GB2312"/>
          <w:bCs/>
          <w:color w:val="auto"/>
          <w:sz w:val="32"/>
          <w:szCs w:val="32"/>
          <w:highlight w:val="none"/>
        </w:rPr>
      </w:pPr>
    </w:p>
    <w:p w14:paraId="4F7BCE9F">
      <w:pPr>
        <w:pStyle w:val="18"/>
        <w:spacing w:before="50" w:after="50"/>
        <w:ind w:firstLine="0"/>
        <w:rPr>
          <w:rFonts w:ascii="宋体" w:hAnsi="宋体" w:cs="仿宋_GB2312"/>
          <w:bCs/>
          <w:color w:val="auto"/>
          <w:sz w:val="32"/>
          <w:szCs w:val="32"/>
          <w:highlight w:val="none"/>
        </w:rPr>
      </w:pPr>
    </w:p>
    <w:p w14:paraId="19E90791">
      <w:pPr>
        <w:pStyle w:val="18"/>
        <w:spacing w:before="50" w:after="50"/>
        <w:ind w:firstLine="1280" w:firstLineChars="400"/>
        <w:rPr>
          <w:rFonts w:ascii="宋体" w:hAnsi="宋体" w:cs="仿宋_GB2312"/>
          <w:bCs/>
          <w:color w:val="auto"/>
          <w:sz w:val="32"/>
          <w:szCs w:val="32"/>
          <w:highlight w:val="none"/>
        </w:rPr>
      </w:pPr>
    </w:p>
    <w:p w14:paraId="79C698C6">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933C90D">
      <w:pPr>
        <w:spacing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548AE819">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1CDC1B08">
      <w:pPr>
        <w:spacing w:line="440" w:lineRule="exact"/>
        <w:jc w:val="center"/>
        <w:rPr>
          <w:rFonts w:ascii="方正小标宋简体" w:hAnsi="方正小标宋简体" w:eastAsia="方正小标宋简体" w:cs="方正小标宋简体"/>
          <w:bCs/>
          <w:color w:val="auto"/>
          <w:sz w:val="32"/>
          <w:szCs w:val="32"/>
          <w:highlight w:val="none"/>
        </w:rPr>
      </w:pPr>
    </w:p>
    <w:p w14:paraId="4C2FDEF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DDCA918">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36B98A7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5BC62B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10"/>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43"/>
        <w:gridCol w:w="1157"/>
        <w:gridCol w:w="1075"/>
        <w:gridCol w:w="1687"/>
        <w:gridCol w:w="963"/>
      </w:tblGrid>
      <w:tr w14:paraId="32C7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0574BD83">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143" w:type="dxa"/>
            <w:tcBorders>
              <w:top w:val="single" w:color="auto" w:sz="4" w:space="0"/>
              <w:left w:val="single" w:color="auto" w:sz="4" w:space="0"/>
              <w:bottom w:val="single" w:color="auto" w:sz="4" w:space="0"/>
              <w:right w:val="single" w:color="auto" w:sz="4" w:space="0"/>
            </w:tcBorders>
            <w:noWrap/>
            <w:vAlign w:val="center"/>
          </w:tcPr>
          <w:p w14:paraId="41EBDD4C">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1157" w:type="dxa"/>
            <w:tcBorders>
              <w:top w:val="single" w:color="auto" w:sz="4" w:space="0"/>
              <w:left w:val="single" w:color="auto" w:sz="4" w:space="0"/>
              <w:bottom w:val="single" w:color="auto" w:sz="4" w:space="0"/>
              <w:right w:val="single" w:color="auto" w:sz="4" w:space="0"/>
            </w:tcBorders>
            <w:noWrap/>
            <w:vAlign w:val="center"/>
          </w:tcPr>
          <w:p w14:paraId="5FAA8B48">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数量及单位①</w:t>
            </w:r>
          </w:p>
        </w:tc>
        <w:tc>
          <w:tcPr>
            <w:tcW w:w="1075" w:type="dxa"/>
            <w:tcBorders>
              <w:top w:val="single" w:color="auto" w:sz="4" w:space="0"/>
              <w:left w:val="single" w:color="auto" w:sz="4" w:space="0"/>
              <w:bottom w:val="single" w:color="auto" w:sz="4" w:space="0"/>
              <w:right w:val="single" w:color="auto" w:sz="4" w:space="0"/>
            </w:tcBorders>
            <w:noWrap/>
            <w:vAlign w:val="center"/>
          </w:tcPr>
          <w:p w14:paraId="56470E6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单价②</w:t>
            </w:r>
          </w:p>
        </w:tc>
        <w:tc>
          <w:tcPr>
            <w:tcW w:w="1687" w:type="dxa"/>
            <w:tcBorders>
              <w:top w:val="single" w:color="auto" w:sz="4" w:space="0"/>
              <w:left w:val="single" w:color="auto" w:sz="4" w:space="0"/>
              <w:bottom w:val="single" w:color="auto" w:sz="4" w:space="0"/>
              <w:right w:val="single" w:color="auto" w:sz="4" w:space="0"/>
            </w:tcBorders>
            <w:noWrap/>
            <w:vAlign w:val="center"/>
          </w:tcPr>
          <w:p w14:paraId="76E93A4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③合计金额=①×②</w:t>
            </w:r>
          </w:p>
        </w:tc>
        <w:tc>
          <w:tcPr>
            <w:tcW w:w="963" w:type="dxa"/>
            <w:tcBorders>
              <w:top w:val="single" w:color="auto" w:sz="4" w:space="0"/>
              <w:left w:val="single" w:color="auto" w:sz="4" w:space="0"/>
              <w:bottom w:val="single" w:color="auto" w:sz="4" w:space="0"/>
              <w:right w:val="single" w:color="auto" w:sz="4" w:space="0"/>
            </w:tcBorders>
            <w:noWrap/>
            <w:vAlign w:val="center"/>
          </w:tcPr>
          <w:p w14:paraId="213F7B08">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3519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081CA5C9">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143" w:type="dxa"/>
            <w:tcBorders>
              <w:top w:val="single" w:color="auto" w:sz="4" w:space="0"/>
              <w:left w:val="single" w:color="auto" w:sz="4" w:space="0"/>
              <w:bottom w:val="single" w:color="auto" w:sz="4" w:space="0"/>
              <w:right w:val="single" w:color="auto" w:sz="4" w:space="0"/>
            </w:tcBorders>
            <w:noWrap/>
            <w:vAlign w:val="center"/>
          </w:tcPr>
          <w:p w14:paraId="09301EB3">
            <w:pPr>
              <w:spacing w:line="360" w:lineRule="auto"/>
              <w:contextualSpacing/>
              <w:jc w:val="center"/>
              <w:rPr>
                <w:rFonts w:ascii="宋体" w:hAnsi="宋体" w:cs="仿宋_GB2312"/>
                <w:color w:val="auto"/>
                <w:sz w:val="24"/>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23F65340">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1075" w:type="dxa"/>
            <w:tcBorders>
              <w:top w:val="single" w:color="auto" w:sz="4" w:space="0"/>
              <w:left w:val="single" w:color="auto" w:sz="4" w:space="0"/>
              <w:bottom w:val="single" w:color="auto" w:sz="4" w:space="0"/>
              <w:right w:val="single" w:color="auto" w:sz="4" w:space="0"/>
            </w:tcBorders>
            <w:noWrap/>
            <w:vAlign w:val="top"/>
          </w:tcPr>
          <w:p w14:paraId="2C28D135">
            <w:pPr>
              <w:spacing w:line="360" w:lineRule="auto"/>
              <w:contextualSpacing/>
              <w:rPr>
                <w:rFonts w:ascii="宋体" w:hAnsi="宋体" w:cs="仿宋_GB2312"/>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ign w:val="center"/>
          </w:tcPr>
          <w:p w14:paraId="3E9C0105">
            <w:pPr>
              <w:spacing w:line="360" w:lineRule="auto"/>
              <w:contextualSpacing/>
              <w:rPr>
                <w:rFonts w:ascii="宋体" w:hAnsi="宋体" w:cs="仿宋_GB2312"/>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ign w:val="center"/>
          </w:tcPr>
          <w:p w14:paraId="79FF431D">
            <w:pPr>
              <w:spacing w:line="360" w:lineRule="auto"/>
              <w:contextualSpacing/>
              <w:rPr>
                <w:rFonts w:ascii="宋体" w:hAnsi="宋体" w:cs="仿宋_GB2312"/>
                <w:color w:val="auto"/>
                <w:sz w:val="24"/>
                <w:highlight w:val="none"/>
              </w:rPr>
            </w:pPr>
          </w:p>
        </w:tc>
      </w:tr>
      <w:tr w14:paraId="4424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816" w:type="dxa"/>
            <w:gridSpan w:val="6"/>
            <w:tcBorders>
              <w:top w:val="single" w:color="auto" w:sz="4" w:space="0"/>
              <w:left w:val="single" w:color="auto" w:sz="4" w:space="0"/>
              <w:bottom w:val="single" w:color="auto" w:sz="4" w:space="0"/>
              <w:right w:val="single" w:color="auto" w:sz="4" w:space="0"/>
            </w:tcBorders>
            <w:noWrap/>
            <w:vAlign w:val="center"/>
          </w:tcPr>
          <w:p w14:paraId="02C1751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总报价：人民币      （¥）</w:t>
            </w:r>
          </w:p>
        </w:tc>
      </w:tr>
    </w:tbl>
    <w:p w14:paraId="0EC8F000">
      <w:pPr>
        <w:spacing w:line="360" w:lineRule="auto"/>
        <w:contextualSpacing/>
        <w:jc w:val="left"/>
        <w:rPr>
          <w:rFonts w:ascii="宋体" w:hAnsi="宋体" w:cs="仿宋_GB2312"/>
          <w:color w:val="auto"/>
          <w:sz w:val="24"/>
          <w:highlight w:val="none"/>
        </w:rPr>
      </w:pPr>
    </w:p>
    <w:p w14:paraId="4071E55B">
      <w:pPr>
        <w:spacing w:line="360" w:lineRule="auto"/>
        <w:contextualSpacing/>
        <w:jc w:val="left"/>
        <w:rPr>
          <w:rFonts w:ascii="宋体" w:hAnsi="宋体" w:cs="仿宋_GB2312"/>
          <w:color w:val="auto"/>
          <w:szCs w:val="21"/>
          <w:highlight w:val="none"/>
        </w:rPr>
      </w:pPr>
      <w:r>
        <w:rPr>
          <w:rFonts w:hint="eastAsia" w:ascii="宋体" w:hAnsi="宋体" w:cs="仿宋_GB2312"/>
          <w:color w:val="auto"/>
          <w:szCs w:val="21"/>
          <w:highlight w:val="none"/>
        </w:rPr>
        <w:t xml:space="preserve">注: </w:t>
      </w:r>
    </w:p>
    <w:p w14:paraId="695858C1">
      <w:pPr>
        <w:spacing w:line="360" w:lineRule="auto"/>
        <w:ind w:firstLine="420" w:firstLineChars="200"/>
        <w:contextualSpacing/>
        <w:jc w:val="left"/>
        <w:rPr>
          <w:rFonts w:ascii="宋体" w:hAnsi="宋体" w:cs="仿宋_GB2312"/>
          <w:color w:val="auto"/>
          <w:szCs w:val="21"/>
          <w:highlight w:val="none"/>
        </w:rPr>
      </w:pPr>
      <w:r>
        <w:rPr>
          <w:rFonts w:hint="eastAsia" w:ascii="宋体" w:hAnsi="宋体" w:cs="仿宋_GB2312"/>
          <w:color w:val="auto"/>
          <w:szCs w:val="21"/>
          <w:highlight w:val="none"/>
        </w:rPr>
        <w:t>1.供应商的报价表必须加盖供应商电子签章并由法定代表人或者委托代理人签字或者电子签名，</w:t>
      </w:r>
      <w:r>
        <w:rPr>
          <w:rFonts w:hint="eastAsia" w:ascii="宋体" w:hAnsi="宋体" w:cs="仿宋_GB2312"/>
          <w:b/>
          <w:color w:val="auto"/>
          <w:szCs w:val="21"/>
          <w:highlight w:val="none"/>
        </w:rPr>
        <w:t>否则其响应文件按无效处理</w:t>
      </w:r>
      <w:r>
        <w:rPr>
          <w:rFonts w:hint="eastAsia" w:ascii="宋体" w:hAnsi="宋体" w:cs="仿宋_GB2312"/>
          <w:color w:val="auto"/>
          <w:szCs w:val="21"/>
          <w:highlight w:val="none"/>
        </w:rPr>
        <w:t>。</w:t>
      </w:r>
    </w:p>
    <w:p w14:paraId="35682761">
      <w:pPr>
        <w:spacing w:line="360" w:lineRule="auto"/>
        <w:ind w:firstLine="420" w:firstLineChars="200"/>
        <w:contextualSpacing/>
        <w:jc w:val="left"/>
        <w:rPr>
          <w:rFonts w:ascii="宋体" w:hAnsi="宋体" w:cs="仿宋_GB2312"/>
          <w:b/>
          <w:color w:val="auto"/>
          <w:szCs w:val="21"/>
          <w:highlight w:val="none"/>
        </w:rPr>
      </w:pPr>
      <w:r>
        <w:rPr>
          <w:rFonts w:hint="eastAsia" w:ascii="宋体" w:hAnsi="宋体" w:cs="仿宋_GB2312"/>
          <w:bCs/>
          <w:color w:val="auto"/>
          <w:szCs w:val="21"/>
          <w:highlight w:val="none"/>
        </w:rPr>
        <w:t>2.</w:t>
      </w:r>
      <w:r>
        <w:rPr>
          <w:rFonts w:hint="eastAsia" w:ascii="宋体" w:hAnsi="宋体" w:cs="仿宋_GB2312"/>
          <w:color w:val="auto"/>
          <w:szCs w:val="21"/>
          <w:highlight w:val="none"/>
        </w:rPr>
        <w:t>报价一经涂改，应在涂改处加盖供应商公章或者加盖电子签章或者由法定代表人或者授权委托人签字</w:t>
      </w:r>
      <w:r>
        <w:rPr>
          <w:rFonts w:hint="eastAsia" w:ascii="宋体" w:hAnsi="宋体"/>
          <w:color w:val="auto"/>
          <w:szCs w:val="21"/>
          <w:highlight w:val="none"/>
        </w:rPr>
        <w:t>（或者电子签名）</w:t>
      </w:r>
      <w:r>
        <w:rPr>
          <w:rFonts w:hint="eastAsia" w:ascii="宋体" w:hAnsi="宋体" w:cs="仿宋_GB2312"/>
          <w:b/>
          <w:color w:val="auto"/>
          <w:szCs w:val="21"/>
          <w:highlight w:val="none"/>
        </w:rPr>
        <w:t>，否则其响应文件按无效处理。</w:t>
      </w:r>
    </w:p>
    <w:p w14:paraId="0BD10985">
      <w:pPr>
        <w:spacing w:line="360" w:lineRule="auto"/>
        <w:ind w:right="-817" w:rightChars="-389"/>
        <w:contextualSpacing/>
        <w:rPr>
          <w:rFonts w:ascii="宋体" w:hAnsi="宋体" w:cs="仿宋_GB2312"/>
          <w:color w:val="auto"/>
          <w:sz w:val="24"/>
          <w:highlight w:val="none"/>
        </w:rPr>
      </w:pPr>
    </w:p>
    <w:p w14:paraId="5B85EF5F">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D57E3B1">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5F85FA2">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AE36D88">
      <w:pPr>
        <w:pStyle w:val="13"/>
        <w:rPr>
          <w:rFonts w:hint="eastAsia" w:ascii="宋体" w:hAnsi="宋体" w:cs="仿宋_GB2312"/>
          <w:color w:val="auto"/>
          <w:sz w:val="24"/>
          <w:highlight w:val="none"/>
        </w:rPr>
      </w:pPr>
    </w:p>
    <w:p w14:paraId="12FEBE85">
      <w:pPr>
        <w:pStyle w:val="13"/>
        <w:rPr>
          <w:rFonts w:hint="eastAsia" w:ascii="宋体" w:hAnsi="宋体" w:cs="仿宋_GB2312"/>
          <w:color w:val="auto"/>
          <w:sz w:val="24"/>
          <w:highlight w:val="none"/>
        </w:rPr>
      </w:pPr>
    </w:p>
    <w:p w14:paraId="0A1A77E9">
      <w:pPr>
        <w:pStyle w:val="13"/>
        <w:rPr>
          <w:rFonts w:hint="eastAsia" w:ascii="宋体" w:hAnsi="宋体" w:cs="仿宋_GB2312"/>
          <w:color w:val="auto"/>
          <w:sz w:val="24"/>
          <w:highlight w:val="none"/>
        </w:rPr>
      </w:pPr>
    </w:p>
    <w:p w14:paraId="3BFC8FA6">
      <w:pPr>
        <w:pStyle w:val="13"/>
        <w:rPr>
          <w:rFonts w:hint="eastAsia" w:ascii="宋体" w:hAnsi="宋体" w:cs="仿宋_GB2312"/>
          <w:color w:val="auto"/>
          <w:sz w:val="24"/>
          <w:highlight w:val="none"/>
        </w:rPr>
      </w:pPr>
    </w:p>
    <w:p w14:paraId="0E3EC53D">
      <w:pPr>
        <w:pStyle w:val="13"/>
        <w:rPr>
          <w:rFonts w:hint="eastAsia" w:ascii="宋体" w:hAnsi="宋体" w:cs="仿宋_GB2312"/>
          <w:color w:val="auto"/>
          <w:sz w:val="24"/>
          <w:highlight w:val="none"/>
        </w:rPr>
      </w:pPr>
    </w:p>
    <w:p w14:paraId="489FB706">
      <w:pPr>
        <w:pStyle w:val="13"/>
        <w:rPr>
          <w:rFonts w:hint="eastAsia" w:ascii="宋体" w:hAnsi="宋体" w:cs="仿宋_GB2312"/>
          <w:color w:val="auto"/>
          <w:sz w:val="24"/>
          <w:highlight w:val="none"/>
        </w:rPr>
      </w:pPr>
    </w:p>
    <w:p w14:paraId="443F0123">
      <w:pPr>
        <w:pStyle w:val="13"/>
        <w:rPr>
          <w:rFonts w:hint="eastAsia" w:ascii="宋体" w:hAnsi="宋体" w:cs="仿宋_GB2312"/>
          <w:color w:val="auto"/>
          <w:sz w:val="24"/>
          <w:highlight w:val="none"/>
        </w:rPr>
      </w:pPr>
    </w:p>
    <w:p w14:paraId="4DF09203">
      <w:pPr>
        <w:pStyle w:val="13"/>
        <w:rPr>
          <w:rFonts w:hint="eastAsia" w:ascii="宋体" w:hAnsi="宋体" w:cs="仿宋_GB2312"/>
          <w:color w:val="auto"/>
          <w:sz w:val="24"/>
          <w:highlight w:val="none"/>
        </w:rPr>
      </w:pPr>
    </w:p>
    <w:p w14:paraId="372E2345">
      <w:pPr>
        <w:pStyle w:val="13"/>
        <w:rPr>
          <w:rFonts w:hint="eastAsia" w:ascii="宋体" w:hAnsi="宋体" w:cs="仿宋_GB2312"/>
          <w:color w:val="auto"/>
          <w:sz w:val="24"/>
          <w:highlight w:val="none"/>
        </w:rPr>
      </w:pPr>
    </w:p>
    <w:p w14:paraId="4638ABC4">
      <w:pPr>
        <w:pStyle w:val="13"/>
        <w:rPr>
          <w:rFonts w:hint="eastAsia" w:ascii="宋体" w:hAnsi="宋体" w:cs="仿宋_GB2312"/>
          <w:color w:val="auto"/>
          <w:sz w:val="24"/>
          <w:highlight w:val="none"/>
        </w:rPr>
      </w:pPr>
    </w:p>
    <w:p w14:paraId="1E333D1D">
      <w:pPr>
        <w:pStyle w:val="13"/>
        <w:rPr>
          <w:rFonts w:hint="eastAsia" w:ascii="宋体" w:hAnsi="宋体" w:cs="仿宋_GB2312"/>
          <w:color w:val="auto"/>
          <w:sz w:val="24"/>
          <w:highlight w:val="none"/>
        </w:rPr>
      </w:pPr>
    </w:p>
    <w:p w14:paraId="51ACCED8">
      <w:pPr>
        <w:pStyle w:val="13"/>
        <w:rPr>
          <w:rFonts w:hint="eastAsia" w:ascii="宋体" w:hAnsi="宋体" w:cs="仿宋_GB2312"/>
          <w:color w:val="auto"/>
          <w:sz w:val="24"/>
          <w:highlight w:val="none"/>
        </w:rPr>
      </w:pPr>
    </w:p>
    <w:p w14:paraId="35892F8E">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5F4E7B3B">
      <w:pPr>
        <w:spacing w:before="2" w:line="500" w:lineRule="exact"/>
        <w:ind w:firstLine="708" w:firstLineChars="294"/>
        <w:rPr>
          <w:rFonts w:ascii="宋体" w:hAnsi="宋体" w:cs="宋体"/>
          <w:b/>
          <w:bCs/>
          <w:color w:val="auto"/>
          <w:sz w:val="24"/>
          <w:highlight w:val="none"/>
        </w:rPr>
      </w:pPr>
    </w:p>
    <w:p w14:paraId="2DEF97F1">
      <w:pPr>
        <w:pStyle w:val="31"/>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76256E25">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7B601AF">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56497215">
      <w:pPr>
        <w:pStyle w:val="3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11CC8549">
      <w:pPr>
        <w:pStyle w:val="3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6171B595">
      <w:pPr>
        <w:pStyle w:val="31"/>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4ED478D2">
      <w:pPr>
        <w:pStyle w:val="31"/>
        <w:spacing w:before="56" w:line="500" w:lineRule="exact"/>
        <w:ind w:right="1808" w:firstLine="705" w:firstLineChars="294"/>
        <w:rPr>
          <w:rFonts w:ascii="宋体" w:hAnsi="宋体"/>
          <w:color w:val="auto"/>
          <w:sz w:val="24"/>
          <w:highlight w:val="none"/>
        </w:rPr>
      </w:pPr>
    </w:p>
    <w:p w14:paraId="65C18CDD">
      <w:pPr>
        <w:pStyle w:val="31"/>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4851B654">
      <w:pPr>
        <w:pStyle w:val="31"/>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58397C69">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CB515FC">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70AB0956">
      <w:pPr>
        <w:spacing w:line="360" w:lineRule="auto"/>
        <w:contextualSpacing/>
        <w:rPr>
          <w:rFonts w:ascii="仿宋_GB2312" w:hAnsi="仿宋_GB2312" w:eastAsia="仿宋_GB2312" w:cs="仿宋_GB2312"/>
          <w:color w:val="auto"/>
          <w:sz w:val="32"/>
          <w:szCs w:val="32"/>
          <w:highlight w:val="none"/>
        </w:rPr>
      </w:pPr>
    </w:p>
    <w:p w14:paraId="22928A7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476D08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64C3868">
      <w:pPr>
        <w:spacing w:line="360" w:lineRule="auto"/>
        <w:contextualSpacing/>
        <w:rPr>
          <w:rFonts w:ascii="宋体" w:hAnsi="宋体" w:cs="仿宋_GB2312"/>
          <w:color w:val="auto"/>
          <w:sz w:val="24"/>
          <w:highlight w:val="none"/>
        </w:rPr>
      </w:pPr>
    </w:p>
    <w:p w14:paraId="6D58B503">
      <w:pPr>
        <w:spacing w:line="360" w:lineRule="auto"/>
        <w:contextualSpacing/>
        <w:rPr>
          <w:rFonts w:ascii="宋体" w:hAnsi="宋体" w:cs="仿宋_GB2312"/>
          <w:color w:val="auto"/>
          <w:sz w:val="24"/>
          <w:highlight w:val="none"/>
        </w:rPr>
      </w:pPr>
    </w:p>
    <w:p w14:paraId="18070FFA">
      <w:pPr>
        <w:spacing w:line="360" w:lineRule="auto"/>
        <w:contextualSpacing/>
        <w:rPr>
          <w:rFonts w:ascii="宋体" w:hAnsi="宋体" w:cs="仿宋_GB2312"/>
          <w:color w:val="auto"/>
          <w:sz w:val="24"/>
          <w:highlight w:val="none"/>
        </w:rPr>
      </w:pPr>
    </w:p>
    <w:p w14:paraId="04E43A1F">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单位名称（电子签章）：</w:t>
      </w:r>
    </w:p>
    <w:p w14:paraId="1E610D5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E135947">
      <w:pPr>
        <w:spacing w:line="360" w:lineRule="auto"/>
        <w:contextualSpacing/>
        <w:rPr>
          <w:rFonts w:ascii="宋体" w:hAnsi="宋体" w:cs="仿宋_GB2312"/>
          <w:color w:val="auto"/>
          <w:sz w:val="24"/>
          <w:highlight w:val="none"/>
        </w:rPr>
      </w:pPr>
    </w:p>
    <w:p w14:paraId="6922CCD8">
      <w:pPr>
        <w:spacing w:line="360" w:lineRule="auto"/>
        <w:contextualSpacing/>
        <w:rPr>
          <w:rFonts w:ascii="宋体" w:hAnsi="宋体" w:cs="仿宋_GB2312"/>
          <w:color w:val="auto"/>
          <w:sz w:val="24"/>
          <w:highlight w:val="none"/>
        </w:rPr>
      </w:pPr>
    </w:p>
    <w:p w14:paraId="61577781">
      <w:pPr>
        <w:spacing w:line="360" w:lineRule="auto"/>
        <w:contextualSpacing/>
        <w:rPr>
          <w:rFonts w:ascii="宋体" w:hAnsi="宋体" w:cs="仿宋_GB2312"/>
          <w:color w:val="auto"/>
          <w:sz w:val="24"/>
          <w:highlight w:val="none"/>
        </w:rPr>
      </w:pPr>
    </w:p>
    <w:p w14:paraId="015978A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E3E5070">
      <w:pPr>
        <w:spacing w:line="360" w:lineRule="auto"/>
        <w:ind w:right="420"/>
        <w:contextualSpacing/>
        <w:jc w:val="left"/>
        <w:rPr>
          <w:rFonts w:ascii="宋体" w:hAnsi="宋体"/>
          <w:b/>
          <w:bCs/>
          <w:color w:val="auto"/>
          <w:sz w:val="32"/>
          <w:szCs w:val="32"/>
          <w:highlight w:val="none"/>
        </w:rPr>
      </w:pPr>
    </w:p>
    <w:p w14:paraId="34737D7C">
      <w:pPr>
        <w:spacing w:line="360" w:lineRule="auto"/>
        <w:ind w:right="420"/>
        <w:contextualSpacing/>
        <w:jc w:val="left"/>
        <w:rPr>
          <w:rFonts w:ascii="宋体" w:hAnsi="宋体"/>
          <w:b/>
          <w:bCs/>
          <w:color w:val="auto"/>
          <w:sz w:val="32"/>
          <w:szCs w:val="32"/>
          <w:highlight w:val="none"/>
        </w:rPr>
      </w:pPr>
    </w:p>
    <w:p w14:paraId="5C73F18C">
      <w:pPr>
        <w:spacing w:line="360" w:lineRule="auto"/>
        <w:ind w:right="420"/>
        <w:contextualSpacing/>
        <w:jc w:val="left"/>
        <w:rPr>
          <w:rFonts w:ascii="宋体" w:hAnsi="宋体"/>
          <w:b/>
          <w:bCs/>
          <w:color w:val="auto"/>
          <w:sz w:val="32"/>
          <w:szCs w:val="32"/>
          <w:highlight w:val="none"/>
        </w:rPr>
      </w:pPr>
    </w:p>
    <w:p w14:paraId="4CEC8DAD">
      <w:pPr>
        <w:spacing w:line="360" w:lineRule="auto"/>
        <w:ind w:right="420"/>
        <w:contextualSpacing/>
        <w:jc w:val="left"/>
        <w:rPr>
          <w:rFonts w:ascii="宋体" w:hAnsi="宋体"/>
          <w:b/>
          <w:bCs/>
          <w:color w:val="auto"/>
          <w:sz w:val="32"/>
          <w:szCs w:val="32"/>
          <w:highlight w:val="none"/>
        </w:rPr>
      </w:pPr>
    </w:p>
    <w:p w14:paraId="68DAADB0">
      <w:pPr>
        <w:spacing w:line="360" w:lineRule="auto"/>
        <w:ind w:right="420"/>
        <w:contextualSpacing/>
        <w:jc w:val="left"/>
        <w:rPr>
          <w:rFonts w:ascii="宋体" w:hAnsi="宋体"/>
          <w:b/>
          <w:bCs/>
          <w:color w:val="auto"/>
          <w:sz w:val="32"/>
          <w:szCs w:val="32"/>
          <w:highlight w:val="none"/>
        </w:rPr>
      </w:pPr>
    </w:p>
    <w:p w14:paraId="66D773BB">
      <w:pPr>
        <w:spacing w:line="360" w:lineRule="auto"/>
        <w:ind w:right="420"/>
        <w:contextualSpacing/>
        <w:jc w:val="left"/>
        <w:rPr>
          <w:rFonts w:ascii="宋体" w:hAnsi="宋体"/>
          <w:b/>
          <w:bCs/>
          <w:color w:val="auto"/>
          <w:sz w:val="32"/>
          <w:szCs w:val="32"/>
          <w:highlight w:val="none"/>
        </w:rPr>
      </w:pPr>
    </w:p>
    <w:p w14:paraId="0776D154">
      <w:pPr>
        <w:spacing w:line="360" w:lineRule="auto"/>
        <w:ind w:right="420"/>
        <w:contextualSpacing/>
        <w:jc w:val="left"/>
        <w:rPr>
          <w:rFonts w:ascii="宋体" w:hAnsi="宋体"/>
          <w:b/>
          <w:bCs/>
          <w:color w:val="auto"/>
          <w:sz w:val="32"/>
          <w:szCs w:val="32"/>
          <w:highlight w:val="none"/>
        </w:rPr>
      </w:pPr>
    </w:p>
    <w:p w14:paraId="0113918E">
      <w:pPr>
        <w:spacing w:line="360" w:lineRule="auto"/>
        <w:ind w:right="420"/>
        <w:contextualSpacing/>
        <w:jc w:val="left"/>
        <w:rPr>
          <w:rFonts w:ascii="宋体" w:hAnsi="宋体"/>
          <w:b/>
          <w:bCs/>
          <w:color w:val="auto"/>
          <w:sz w:val="32"/>
          <w:szCs w:val="32"/>
          <w:highlight w:val="none"/>
        </w:rPr>
      </w:pPr>
    </w:p>
    <w:p w14:paraId="5C861943">
      <w:pPr>
        <w:pStyle w:val="9"/>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5DB713B3">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E35BE15">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D6D0BA7">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3F02B33A">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52752DB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70244E21">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6D5EC2EE">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0D87481C">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0BF3979E">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0DE11130">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16E6E45B">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6869193F">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76994686">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7C56A1E4">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7F08EC4F">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54C0174D">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7D2ABE18">
      <w:pPr>
        <w:spacing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028BAFB">
      <w:pPr>
        <w:spacing w:after="50"/>
        <w:rPr>
          <w:rFonts w:ascii="宋体" w:hAnsi="宋体"/>
          <w:bCs/>
          <w:color w:val="auto"/>
          <w:sz w:val="32"/>
          <w:szCs w:val="20"/>
          <w:highlight w:val="none"/>
        </w:rPr>
      </w:pPr>
      <w:r>
        <w:rPr>
          <w:rFonts w:hint="eastAsia" w:ascii="宋体" w:hAnsi="宋体"/>
          <w:color w:val="auto"/>
          <w:sz w:val="24"/>
          <w:highlight w:val="none"/>
        </w:rPr>
        <w:t xml:space="preserve">                                                    </w:t>
      </w:r>
    </w:p>
    <w:p w14:paraId="443F757E">
      <w:pPr>
        <w:spacing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DA2954B">
      <w:pPr>
        <w:spacing w:after="50"/>
        <w:rPr>
          <w:rFonts w:ascii="宋体" w:hAnsi="宋体"/>
          <w:color w:val="auto"/>
          <w:sz w:val="24"/>
          <w:szCs w:val="20"/>
          <w:highlight w:val="none"/>
        </w:rPr>
      </w:pPr>
    </w:p>
    <w:p w14:paraId="60D4D919">
      <w:pPr>
        <w:spacing w:after="50"/>
        <w:rPr>
          <w:rFonts w:ascii="宋体" w:hAnsi="宋体"/>
          <w:color w:val="auto"/>
          <w:sz w:val="24"/>
          <w:szCs w:val="20"/>
          <w:highlight w:val="none"/>
        </w:rPr>
      </w:pPr>
    </w:p>
    <w:p w14:paraId="4F9282D8">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17F690FA">
      <w:pPr>
        <w:spacing w:after="50"/>
        <w:rPr>
          <w:rFonts w:ascii="宋体" w:hAnsi="宋体"/>
          <w:bCs/>
          <w:color w:val="auto"/>
          <w:sz w:val="24"/>
          <w:szCs w:val="20"/>
          <w:highlight w:val="none"/>
        </w:rPr>
      </w:pPr>
    </w:p>
    <w:p w14:paraId="6D289064">
      <w:pPr>
        <w:spacing w:after="50"/>
        <w:rPr>
          <w:rFonts w:ascii="宋体" w:hAnsi="宋体"/>
          <w:bCs/>
          <w:color w:val="auto"/>
          <w:sz w:val="24"/>
          <w:szCs w:val="20"/>
          <w:highlight w:val="none"/>
        </w:rPr>
      </w:pPr>
    </w:p>
    <w:p w14:paraId="303AEB4A">
      <w:pPr>
        <w:spacing w:after="50"/>
        <w:rPr>
          <w:rFonts w:ascii="宋体" w:hAnsi="宋体"/>
          <w:bCs/>
          <w:color w:val="auto"/>
          <w:sz w:val="24"/>
          <w:szCs w:val="20"/>
          <w:highlight w:val="none"/>
        </w:rPr>
      </w:pPr>
    </w:p>
    <w:p w14:paraId="314875FA">
      <w:pPr>
        <w:spacing w:after="50"/>
        <w:rPr>
          <w:rFonts w:ascii="宋体" w:hAnsi="宋体"/>
          <w:bCs/>
          <w:color w:val="auto"/>
          <w:sz w:val="24"/>
          <w:szCs w:val="20"/>
          <w:highlight w:val="none"/>
        </w:rPr>
      </w:pPr>
    </w:p>
    <w:p w14:paraId="6093CCAE">
      <w:pPr>
        <w:spacing w:after="50"/>
        <w:rPr>
          <w:rFonts w:ascii="宋体" w:hAnsi="宋体"/>
          <w:bCs/>
          <w:color w:val="auto"/>
          <w:sz w:val="24"/>
          <w:szCs w:val="20"/>
          <w:highlight w:val="none"/>
        </w:rPr>
      </w:pPr>
    </w:p>
    <w:p w14:paraId="074CFA9C">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B1C6608">
      <w:pPr>
        <w:spacing w:after="50"/>
        <w:ind w:firstLine="720" w:firstLineChars="225"/>
        <w:rPr>
          <w:rFonts w:ascii="宋体" w:hAnsi="宋体" w:cs="仿宋_GB2312"/>
          <w:bCs/>
          <w:color w:val="auto"/>
          <w:sz w:val="32"/>
          <w:szCs w:val="32"/>
          <w:highlight w:val="none"/>
        </w:rPr>
      </w:pPr>
    </w:p>
    <w:p w14:paraId="27166BAC">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3C534DB">
      <w:pPr>
        <w:spacing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B33F892">
      <w:pPr>
        <w:spacing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259FE52">
      <w:pPr>
        <w:spacing w:after="50"/>
        <w:ind w:firstLine="720" w:firstLineChars="225"/>
        <w:rPr>
          <w:rFonts w:ascii="宋体" w:hAnsi="宋体" w:cs="仿宋_GB2312"/>
          <w:bCs/>
          <w:color w:val="auto"/>
          <w:sz w:val="32"/>
          <w:szCs w:val="32"/>
          <w:highlight w:val="none"/>
        </w:rPr>
      </w:pPr>
    </w:p>
    <w:p w14:paraId="487AC56D">
      <w:pPr>
        <w:pStyle w:val="18"/>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9498E88">
      <w:pPr>
        <w:pStyle w:val="18"/>
        <w:spacing w:before="50" w:after="50"/>
        <w:ind w:firstLine="640" w:firstLineChars="200"/>
        <w:rPr>
          <w:rFonts w:ascii="宋体" w:hAnsi="宋体" w:cs="仿宋_GB2312"/>
          <w:bCs/>
          <w:color w:val="auto"/>
          <w:sz w:val="32"/>
          <w:szCs w:val="32"/>
          <w:highlight w:val="none"/>
        </w:rPr>
      </w:pPr>
    </w:p>
    <w:p w14:paraId="512CFBDC">
      <w:pPr>
        <w:pStyle w:val="18"/>
        <w:spacing w:before="50" w:after="50"/>
        <w:ind w:firstLine="720" w:firstLineChars="225"/>
        <w:rPr>
          <w:rFonts w:ascii="宋体" w:hAnsi="宋体" w:cs="仿宋_GB2312"/>
          <w:bCs/>
          <w:color w:val="auto"/>
          <w:sz w:val="32"/>
          <w:szCs w:val="32"/>
          <w:highlight w:val="none"/>
        </w:rPr>
      </w:pPr>
    </w:p>
    <w:p w14:paraId="7DB3D8D0">
      <w:pPr>
        <w:pStyle w:val="18"/>
        <w:spacing w:before="50" w:after="50"/>
        <w:ind w:firstLine="0"/>
        <w:rPr>
          <w:rFonts w:ascii="宋体" w:hAnsi="宋体" w:cs="仿宋_GB2312"/>
          <w:bCs/>
          <w:color w:val="auto"/>
          <w:sz w:val="32"/>
          <w:szCs w:val="32"/>
          <w:highlight w:val="none"/>
        </w:rPr>
      </w:pPr>
    </w:p>
    <w:p w14:paraId="2BCAD10B">
      <w:pPr>
        <w:pStyle w:val="18"/>
        <w:spacing w:before="50" w:after="50"/>
        <w:ind w:firstLine="1280" w:firstLineChars="400"/>
        <w:rPr>
          <w:rFonts w:ascii="宋体" w:hAnsi="宋体" w:cs="仿宋_GB2312"/>
          <w:bCs/>
          <w:color w:val="auto"/>
          <w:sz w:val="32"/>
          <w:szCs w:val="32"/>
          <w:highlight w:val="none"/>
        </w:rPr>
      </w:pPr>
    </w:p>
    <w:p w14:paraId="4AEDAF2C">
      <w:pPr>
        <w:spacing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A0A6C3">
      <w:pPr>
        <w:spacing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3BEE779">
      <w:pPr>
        <w:spacing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2E8E5162">
      <w:pPr>
        <w:spacing w:line="400" w:lineRule="exact"/>
        <w:rPr>
          <w:rFonts w:ascii="仿宋_GB2312" w:hAnsi="仿宋_GB2312" w:eastAsia="仿宋_GB2312" w:cs="仿宋_GB2312"/>
          <w:color w:val="auto"/>
          <w:sz w:val="32"/>
          <w:szCs w:val="32"/>
          <w:highlight w:val="none"/>
        </w:rPr>
      </w:pPr>
    </w:p>
    <w:p w14:paraId="32605E90">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55C4BD0A">
      <w:pPr>
        <w:spacing w:line="360" w:lineRule="auto"/>
        <w:ind w:firstLine="640" w:firstLineChars="200"/>
        <w:contextualSpacing/>
        <w:rPr>
          <w:rFonts w:ascii="仿宋_GB2312" w:hAnsi="仿宋_GB2312" w:eastAsia="仿宋_GB2312" w:cs="仿宋_GB2312"/>
          <w:color w:val="auto"/>
          <w:sz w:val="32"/>
          <w:szCs w:val="32"/>
          <w:highlight w:val="none"/>
        </w:rPr>
      </w:pPr>
    </w:p>
    <w:p w14:paraId="525BD062">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BF1536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宋体"/>
          <w:color w:val="auto"/>
          <w:szCs w:val="21"/>
          <w:highlight w:val="none"/>
        </w:rPr>
        <w:t>或不同供应商报名的IP地址一致的；</w:t>
      </w:r>
      <w:r>
        <w:rPr>
          <w:rFonts w:hint="eastAsia" w:ascii="宋体" w:hAnsi="宋体" w:cs="仿宋_GB2312"/>
          <w:color w:val="auto"/>
          <w:sz w:val="24"/>
          <w:highlight w:val="none"/>
        </w:rPr>
        <w:t xml:space="preserve"> </w:t>
      </w:r>
    </w:p>
    <w:p w14:paraId="72E1B53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0B38EA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638649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06D325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E638898">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0FFDBB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0D406A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7098A3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0CC942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F079D5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3F0504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8F2ADC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5A1C8627">
      <w:pPr>
        <w:spacing w:line="360" w:lineRule="auto"/>
        <w:ind w:firstLine="480" w:firstLineChars="200"/>
        <w:contextualSpacing/>
        <w:rPr>
          <w:rFonts w:ascii="宋体" w:hAnsi="宋体" w:cs="仿宋_GB2312"/>
          <w:color w:val="auto"/>
          <w:sz w:val="24"/>
          <w:highlight w:val="none"/>
        </w:rPr>
      </w:pPr>
    </w:p>
    <w:p w14:paraId="12136C7F">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D3950C5">
      <w:pPr>
        <w:spacing w:line="360" w:lineRule="auto"/>
        <w:contextualSpacing/>
        <w:rPr>
          <w:rFonts w:ascii="宋体" w:hAnsi="宋体" w:cs="仿宋_GB2312"/>
          <w:color w:val="auto"/>
          <w:sz w:val="24"/>
          <w:highlight w:val="none"/>
        </w:rPr>
      </w:pPr>
    </w:p>
    <w:p w14:paraId="0047F05C">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161F8180">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CAA24F3">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7629AC9">
      <w:pPr>
        <w:spacing w:line="360" w:lineRule="auto"/>
        <w:ind w:left="540"/>
        <w:contextualSpacing/>
        <w:rPr>
          <w:rFonts w:ascii="仿宋_GB2312" w:hAnsi="仿宋_GB2312" w:eastAsia="仿宋_GB2312" w:cs="仿宋_GB2312"/>
          <w:color w:val="auto"/>
          <w:sz w:val="32"/>
          <w:szCs w:val="32"/>
          <w:highlight w:val="none"/>
        </w:rPr>
      </w:pPr>
    </w:p>
    <w:p w14:paraId="32E223F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4295AC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DD432D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1B6F025">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9A4FD2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3A278C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D844AD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3B108706">
      <w:pPr>
        <w:spacing w:line="360" w:lineRule="auto"/>
        <w:ind w:left="540"/>
        <w:contextualSpacing/>
        <w:rPr>
          <w:rFonts w:ascii="宋体" w:hAnsi="宋体" w:cs="仿宋_GB2312"/>
          <w:color w:val="auto"/>
          <w:sz w:val="24"/>
          <w:highlight w:val="none"/>
        </w:rPr>
      </w:pPr>
    </w:p>
    <w:p w14:paraId="4500F3E5">
      <w:pPr>
        <w:spacing w:line="360" w:lineRule="auto"/>
        <w:ind w:left="540"/>
        <w:contextualSpacing/>
        <w:rPr>
          <w:rFonts w:ascii="宋体" w:hAnsi="宋体" w:cs="仿宋_GB2312"/>
          <w:color w:val="auto"/>
          <w:sz w:val="24"/>
          <w:highlight w:val="none"/>
        </w:rPr>
      </w:pPr>
    </w:p>
    <w:p w14:paraId="0476F91E">
      <w:pPr>
        <w:spacing w:line="360" w:lineRule="auto"/>
        <w:ind w:left="540"/>
        <w:contextualSpacing/>
        <w:rPr>
          <w:rFonts w:ascii="宋体" w:hAnsi="宋体" w:cs="仿宋_GB2312"/>
          <w:color w:val="auto"/>
          <w:sz w:val="24"/>
          <w:highlight w:val="none"/>
        </w:rPr>
      </w:pPr>
    </w:p>
    <w:p w14:paraId="6103707D">
      <w:pPr>
        <w:spacing w:line="360" w:lineRule="auto"/>
        <w:ind w:left="540"/>
        <w:contextualSpacing/>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附件：法定代表人有效身份证正反面复印件</w:t>
      </w:r>
      <w:r>
        <w:rPr>
          <w:rFonts w:hint="eastAsia" w:ascii="宋体" w:hAnsi="宋体" w:cs="仿宋_GB2312"/>
          <w:color w:val="auto"/>
          <w:sz w:val="24"/>
          <w:highlight w:val="none"/>
          <w:lang w:eastAsia="zh-CN"/>
        </w:rPr>
        <w:t>或扫描件</w:t>
      </w:r>
    </w:p>
    <w:p w14:paraId="37FB9C21">
      <w:pPr>
        <w:spacing w:line="360" w:lineRule="auto"/>
        <w:ind w:left="540"/>
        <w:contextualSpacing/>
        <w:rPr>
          <w:rFonts w:ascii="宋体" w:hAnsi="宋体" w:cs="仿宋_GB2312"/>
          <w:color w:val="auto"/>
          <w:sz w:val="24"/>
          <w:highlight w:val="none"/>
        </w:rPr>
      </w:pPr>
    </w:p>
    <w:p w14:paraId="2DD3501F">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C95A29E">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0D5E5E83">
      <w:pPr>
        <w:spacing w:line="360" w:lineRule="auto"/>
        <w:contextualSpacing/>
        <w:jc w:val="right"/>
        <w:rPr>
          <w:rFonts w:hint="eastAsia" w:ascii="宋体" w:hAnsi="宋体" w:cs="仿宋_GB2312"/>
          <w:color w:val="auto"/>
          <w:sz w:val="24"/>
          <w:highlight w:val="none"/>
        </w:rPr>
      </w:pPr>
    </w:p>
    <w:p w14:paraId="773CCB1B">
      <w:pPr>
        <w:spacing w:line="360" w:lineRule="auto"/>
        <w:contextualSpacing/>
        <w:jc w:val="left"/>
        <w:rPr>
          <w:rFonts w:hint="eastAsia" w:ascii="宋体" w:hAnsi="宋体" w:cs="仿宋_GB2312"/>
          <w:color w:val="auto"/>
          <w:sz w:val="24"/>
          <w:highlight w:val="none"/>
        </w:rPr>
      </w:pPr>
    </w:p>
    <w:p w14:paraId="50012390">
      <w:pPr>
        <w:spacing w:line="360" w:lineRule="auto"/>
        <w:contextualSpacing/>
        <w:jc w:val="center"/>
        <w:rPr>
          <w:rFonts w:ascii="宋体" w:hAnsi="宋体" w:cs="仿宋_GB2312"/>
          <w:b/>
          <w:color w:val="auto"/>
          <w:sz w:val="24"/>
          <w:highlight w:val="none"/>
        </w:rPr>
      </w:pPr>
    </w:p>
    <w:p w14:paraId="4FB91ECD">
      <w:pPr>
        <w:spacing w:line="360" w:lineRule="auto"/>
        <w:contextualSpacing/>
        <w:jc w:val="left"/>
        <w:rPr>
          <w:rFonts w:ascii="宋体" w:hAnsi="宋体" w:cs="仿宋_GB2312"/>
          <w:color w:val="auto"/>
          <w:sz w:val="24"/>
          <w:highlight w:val="none"/>
        </w:rPr>
      </w:pPr>
    </w:p>
    <w:p w14:paraId="366E87D1">
      <w:pPr>
        <w:spacing w:line="300" w:lineRule="auto"/>
        <w:jc w:val="left"/>
        <w:rPr>
          <w:rFonts w:ascii="宋体" w:hAnsi="宋体"/>
          <w:b/>
          <w:color w:val="auto"/>
          <w:szCs w:val="21"/>
          <w:highlight w:val="none"/>
        </w:rPr>
      </w:pPr>
    </w:p>
    <w:p w14:paraId="57CE0B14">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63BC9873">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5AB15BAC">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53125370">
      <w:pPr>
        <w:spacing w:line="520" w:lineRule="exact"/>
        <w:rPr>
          <w:rFonts w:ascii="仿宋_GB2312" w:hAnsi="仿宋_GB2312" w:eastAsia="仿宋_GB2312" w:cs="仿宋_GB2312"/>
          <w:color w:val="auto"/>
          <w:sz w:val="32"/>
          <w:szCs w:val="32"/>
          <w:highlight w:val="none"/>
        </w:rPr>
      </w:pPr>
    </w:p>
    <w:p w14:paraId="5416F8E6">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C62FF2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77E1A5C6">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408AD80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1E3A77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F81D580">
      <w:pPr>
        <w:spacing w:line="360" w:lineRule="auto"/>
        <w:ind w:firstLine="480" w:firstLineChars="200"/>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附：法定代表人身份证明书及委托代理人有效身份证正反面复印件</w:t>
      </w:r>
      <w:r>
        <w:rPr>
          <w:rFonts w:hint="eastAsia" w:ascii="宋体" w:hAnsi="宋体" w:cs="仿宋_GB2312"/>
          <w:color w:val="auto"/>
          <w:sz w:val="24"/>
          <w:highlight w:val="none"/>
          <w:lang w:eastAsia="zh-CN"/>
        </w:rPr>
        <w:t>或扫描件</w:t>
      </w:r>
    </w:p>
    <w:p w14:paraId="7AF9E13D">
      <w:pPr>
        <w:spacing w:line="360" w:lineRule="auto"/>
        <w:rPr>
          <w:rFonts w:ascii="宋体" w:hAnsi="宋体" w:cs="仿宋_GB2312"/>
          <w:color w:val="auto"/>
          <w:sz w:val="24"/>
          <w:highlight w:val="none"/>
        </w:rPr>
      </w:pPr>
    </w:p>
    <w:p w14:paraId="1CFCA31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1421388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A15BA9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45B6D53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6432E7C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45D003B5">
      <w:pPr>
        <w:spacing w:line="360" w:lineRule="auto"/>
        <w:rPr>
          <w:rFonts w:ascii="宋体" w:hAnsi="宋体" w:cs="仿宋_GB2312"/>
          <w:color w:val="auto"/>
          <w:sz w:val="24"/>
          <w:highlight w:val="none"/>
        </w:rPr>
      </w:pPr>
    </w:p>
    <w:p w14:paraId="13083E92">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9AC1179">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w:t>
      </w:r>
    </w:p>
    <w:p w14:paraId="46DA4C25">
      <w:pPr>
        <w:spacing w:line="360" w:lineRule="auto"/>
        <w:ind w:firstLine="420" w:firstLineChars="200"/>
        <w:jc w:val="left"/>
        <w:rPr>
          <w:rFonts w:ascii="仿宋_GB2312" w:hAnsi="仿宋_GB2312" w:eastAsia="仿宋_GB2312" w:cs="仿宋_GB2312"/>
          <w:color w:val="auto"/>
          <w:szCs w:val="21"/>
          <w:highlight w:val="none"/>
        </w:rPr>
      </w:pPr>
    </w:p>
    <w:p w14:paraId="46D3AB1C">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14:paraId="40B8437C">
      <w:pPr>
        <w:spacing w:line="520" w:lineRule="exact"/>
        <w:rPr>
          <w:rFonts w:ascii="仿宋_GB2312" w:hAnsi="仿宋_GB2312" w:eastAsia="仿宋_GB2312" w:cs="仿宋_GB2312"/>
          <w:color w:val="auto"/>
          <w:sz w:val="32"/>
          <w:szCs w:val="32"/>
          <w:highlight w:val="none"/>
        </w:rPr>
      </w:pPr>
    </w:p>
    <w:p w14:paraId="7F590CC2">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EF9D1D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F8268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ign w:val="top"/>
          </w:tcPr>
          <w:p w14:paraId="13F31695">
            <w:pPr>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ign w:val="top"/>
          </w:tcPr>
          <w:p w14:paraId="6FDFB3BB">
            <w:pPr>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ign w:val="top"/>
          </w:tcPr>
          <w:p w14:paraId="196D5C23">
            <w:pPr>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ign w:val="top"/>
          </w:tcPr>
          <w:p w14:paraId="208757B8">
            <w:pPr>
              <w:jc w:val="center"/>
              <w:rPr>
                <w:rFonts w:ascii="宋体" w:hAnsi="宋体"/>
                <w:color w:val="auto"/>
                <w:sz w:val="24"/>
                <w:highlight w:val="none"/>
              </w:rPr>
            </w:pPr>
            <w:r>
              <w:rPr>
                <w:rFonts w:hint="eastAsia" w:ascii="宋体" w:hAnsi="宋体"/>
                <w:color w:val="auto"/>
                <w:sz w:val="24"/>
                <w:highlight w:val="none"/>
              </w:rPr>
              <w:t>偏离说明</w:t>
            </w:r>
          </w:p>
        </w:tc>
      </w:tr>
      <w:tr w14:paraId="31B08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047F280F">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791770C5">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0D0CF5E1">
            <w:pPr>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4260A58F">
            <w:pPr>
              <w:jc w:val="center"/>
              <w:rPr>
                <w:rFonts w:ascii="宋体" w:hAnsi="宋体"/>
                <w:color w:val="auto"/>
                <w:sz w:val="24"/>
                <w:highlight w:val="none"/>
              </w:rPr>
            </w:pPr>
          </w:p>
        </w:tc>
      </w:tr>
      <w:tr w14:paraId="1B21F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1F0BF522">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4F4C0165">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22E6C67C">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1CEF5EB0">
            <w:pPr>
              <w:ind w:left="43"/>
              <w:jc w:val="center"/>
              <w:rPr>
                <w:rFonts w:ascii="宋体" w:hAnsi="宋体"/>
                <w:color w:val="auto"/>
                <w:sz w:val="24"/>
                <w:highlight w:val="none"/>
              </w:rPr>
            </w:pPr>
          </w:p>
        </w:tc>
      </w:tr>
      <w:tr w14:paraId="24CA6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79AE894F">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EE740C2">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5EC69E43">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64E3A471">
            <w:pPr>
              <w:ind w:left="43"/>
              <w:jc w:val="center"/>
              <w:rPr>
                <w:rFonts w:ascii="宋体" w:hAnsi="宋体"/>
                <w:color w:val="auto"/>
                <w:sz w:val="24"/>
                <w:highlight w:val="none"/>
              </w:rPr>
            </w:pPr>
          </w:p>
        </w:tc>
      </w:tr>
      <w:tr w14:paraId="28785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2DF920AB">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AD5DE0F">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4612031B">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7401E6E9">
            <w:pPr>
              <w:ind w:left="43"/>
              <w:jc w:val="center"/>
              <w:rPr>
                <w:rFonts w:ascii="宋体" w:hAnsi="宋体"/>
                <w:color w:val="auto"/>
                <w:sz w:val="24"/>
                <w:highlight w:val="none"/>
              </w:rPr>
            </w:pPr>
          </w:p>
        </w:tc>
      </w:tr>
      <w:tr w14:paraId="521C9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2456BACD">
            <w:pPr>
              <w:tabs>
                <w:tab w:val="left" w:pos="180"/>
                <w:tab w:val="left" w:pos="1620"/>
              </w:tabs>
              <w:spacing w:line="440" w:lineRule="exact"/>
              <w:jc w:val="center"/>
              <w:rPr>
                <w:rFonts w:hint="eastAsia" w:ascii="宋体" w:hAnsi="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D2EE81C">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5EACF942">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28DB5CE1">
            <w:pPr>
              <w:ind w:left="43"/>
              <w:jc w:val="center"/>
              <w:rPr>
                <w:rFonts w:ascii="宋体" w:hAnsi="宋体"/>
                <w:color w:val="auto"/>
                <w:sz w:val="24"/>
                <w:highlight w:val="none"/>
              </w:rPr>
            </w:pPr>
          </w:p>
        </w:tc>
      </w:tr>
      <w:tr w14:paraId="59FD4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1BFF39D1">
            <w:pPr>
              <w:tabs>
                <w:tab w:val="left" w:pos="180"/>
                <w:tab w:val="left" w:pos="1620"/>
              </w:tabs>
              <w:spacing w:line="440" w:lineRule="exact"/>
              <w:jc w:val="center"/>
              <w:rPr>
                <w:rFonts w:hint="eastAsia" w:ascii="宋体" w:hAnsi="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C2093B4">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0412C8AB">
            <w:pPr>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3A16F665">
            <w:pPr>
              <w:ind w:left="43"/>
              <w:jc w:val="center"/>
              <w:rPr>
                <w:rFonts w:ascii="宋体" w:hAnsi="宋体"/>
                <w:color w:val="auto"/>
                <w:sz w:val="24"/>
                <w:highlight w:val="none"/>
              </w:rPr>
            </w:pPr>
          </w:p>
        </w:tc>
      </w:tr>
      <w:tr w14:paraId="58950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ign w:val="top"/>
          </w:tcPr>
          <w:p w14:paraId="1A99091F">
            <w:pPr>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ign w:val="top"/>
          </w:tcPr>
          <w:p w14:paraId="0012F4F6">
            <w:pPr>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ign w:val="top"/>
          </w:tcPr>
          <w:p w14:paraId="71AB2E34">
            <w:pPr>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ign w:val="top"/>
          </w:tcPr>
          <w:p w14:paraId="1FD76928">
            <w:pPr>
              <w:jc w:val="center"/>
              <w:rPr>
                <w:rFonts w:ascii="宋体" w:hAnsi="宋体"/>
                <w:color w:val="auto"/>
                <w:sz w:val="24"/>
                <w:highlight w:val="none"/>
              </w:rPr>
            </w:pPr>
          </w:p>
        </w:tc>
      </w:tr>
    </w:tbl>
    <w:p w14:paraId="77A0FD40">
      <w:pPr>
        <w:spacing w:line="360" w:lineRule="auto"/>
        <w:contextualSpacing/>
        <w:rPr>
          <w:rFonts w:ascii="宋体" w:hAnsi="宋体" w:cs="仿宋_GB2312"/>
          <w:color w:val="auto"/>
          <w:sz w:val="24"/>
          <w:highlight w:val="none"/>
        </w:rPr>
      </w:pPr>
    </w:p>
    <w:p w14:paraId="10D62365">
      <w:pPr>
        <w:pStyle w:val="33"/>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E6976BC">
      <w:pPr>
        <w:pStyle w:val="33"/>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340B86FC">
      <w:pPr>
        <w:pStyle w:val="33"/>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65FE580C">
      <w:pPr>
        <w:spacing w:line="360" w:lineRule="auto"/>
        <w:ind w:right="-817" w:rightChars="-389"/>
        <w:contextualSpacing/>
        <w:rPr>
          <w:rFonts w:ascii="宋体" w:hAnsi="宋体" w:cs="仿宋_GB2312"/>
          <w:color w:val="auto"/>
          <w:sz w:val="24"/>
          <w:highlight w:val="none"/>
        </w:rPr>
      </w:pPr>
    </w:p>
    <w:p w14:paraId="504C9690">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8E22156">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CA86DE3">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D4C707B">
      <w:pPr>
        <w:spacing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6FB60CAA">
      <w:pPr>
        <w:spacing w:after="50"/>
        <w:ind w:left="142"/>
        <w:jc w:val="left"/>
        <w:rPr>
          <w:rFonts w:ascii="宋体" w:hAnsi="宋体"/>
          <w:b/>
          <w:color w:val="auto"/>
          <w:sz w:val="24"/>
          <w:highlight w:val="none"/>
        </w:rPr>
      </w:pPr>
    </w:p>
    <w:p w14:paraId="194AB1A3">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409F3757">
      <w:pPr>
        <w:pStyle w:val="36"/>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B69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4D6DB69A">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ign w:val="center"/>
          </w:tcPr>
          <w:p w14:paraId="00110192">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ign w:val="center"/>
          </w:tcPr>
          <w:p w14:paraId="44A8E05D">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ign w:val="center"/>
          </w:tcPr>
          <w:p w14:paraId="2F3A8F6B">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ign w:val="center"/>
          </w:tcPr>
          <w:p w14:paraId="6138D676">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1FE6454D">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ign w:val="center"/>
          </w:tcPr>
          <w:p w14:paraId="7AC57326">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05EE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50C5211">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0508A5C">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236A8EDB">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032EE45A">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29A74ACC">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1F75FC6D">
            <w:pPr>
              <w:spacing w:line="360" w:lineRule="auto"/>
              <w:contextualSpacing/>
              <w:jc w:val="center"/>
              <w:rPr>
                <w:rFonts w:ascii="宋体" w:hAnsi="宋体"/>
                <w:color w:val="auto"/>
                <w:sz w:val="24"/>
                <w:szCs w:val="20"/>
                <w:highlight w:val="none"/>
              </w:rPr>
            </w:pPr>
          </w:p>
        </w:tc>
      </w:tr>
      <w:tr w14:paraId="2FD3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44E35284">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D9CED1">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9938CA9">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3C4AC894">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2BECD24C">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52D091B7">
            <w:pPr>
              <w:spacing w:line="360" w:lineRule="auto"/>
              <w:contextualSpacing/>
              <w:jc w:val="center"/>
              <w:rPr>
                <w:rFonts w:ascii="宋体" w:hAnsi="宋体"/>
                <w:color w:val="auto"/>
                <w:sz w:val="24"/>
                <w:szCs w:val="20"/>
                <w:highlight w:val="none"/>
              </w:rPr>
            </w:pPr>
          </w:p>
        </w:tc>
      </w:tr>
      <w:tr w14:paraId="3C2B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0EB2EBD">
            <w:pPr>
              <w:spacing w:line="360" w:lineRule="auto"/>
              <w:contextualSpacing/>
              <w:jc w:val="center"/>
              <w:rPr>
                <w:rFonts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D555A7A">
            <w:pPr>
              <w:spacing w:line="360" w:lineRule="auto"/>
              <w:contextualSpacing/>
              <w:jc w:val="center"/>
              <w:rPr>
                <w:rFonts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69C161B">
            <w:pPr>
              <w:spacing w:line="360" w:lineRule="auto"/>
              <w:contextualSpacing/>
              <w:jc w:val="center"/>
              <w:rPr>
                <w:rFonts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ign w:val="center"/>
          </w:tcPr>
          <w:p w14:paraId="2D8541F3">
            <w:pPr>
              <w:spacing w:line="360" w:lineRule="auto"/>
              <w:contextualSpacing/>
              <w:jc w:val="center"/>
              <w:rPr>
                <w:rFonts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ign w:val="center"/>
          </w:tcPr>
          <w:p w14:paraId="32AFF70D">
            <w:pPr>
              <w:spacing w:line="360" w:lineRule="auto"/>
              <w:contextualSpacing/>
              <w:jc w:val="center"/>
              <w:rPr>
                <w:rFonts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ign w:val="center"/>
          </w:tcPr>
          <w:p w14:paraId="5C28EC0A">
            <w:pPr>
              <w:spacing w:line="360" w:lineRule="auto"/>
              <w:contextualSpacing/>
              <w:jc w:val="center"/>
              <w:rPr>
                <w:rFonts w:ascii="宋体" w:hAnsi="宋体"/>
                <w:color w:val="auto"/>
                <w:sz w:val="24"/>
                <w:szCs w:val="20"/>
                <w:highlight w:val="none"/>
              </w:rPr>
            </w:pPr>
          </w:p>
        </w:tc>
      </w:tr>
    </w:tbl>
    <w:p w14:paraId="62D3963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471C3B57">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24A61F6D">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w:t>
      </w:r>
      <w:r>
        <w:rPr>
          <w:rFonts w:hint="eastAsia" w:ascii="宋体" w:hAnsi="宋体"/>
          <w:color w:val="auto"/>
          <w:sz w:val="24"/>
          <w:szCs w:val="20"/>
          <w:highlight w:val="none"/>
          <w:lang w:eastAsia="zh-CN"/>
        </w:rPr>
        <w:t>或扫描件</w:t>
      </w:r>
      <w:r>
        <w:rPr>
          <w:rFonts w:hint="eastAsia" w:ascii="宋体" w:hAnsi="宋体"/>
          <w:color w:val="auto"/>
          <w:sz w:val="24"/>
          <w:szCs w:val="20"/>
          <w:highlight w:val="none"/>
        </w:rPr>
        <w:t>并加盖供应商电子签章。</w:t>
      </w:r>
    </w:p>
    <w:p w14:paraId="42FBFA2B">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签字或电子签名：</w:t>
      </w:r>
      <w:r>
        <w:rPr>
          <w:rFonts w:hint="eastAsia" w:ascii="宋体" w:hAnsi="宋体"/>
          <w:color w:val="auto"/>
          <w:spacing w:val="20"/>
          <w:sz w:val="24"/>
          <w:highlight w:val="none"/>
          <w:u w:val="single"/>
        </w:rPr>
        <w:t xml:space="preserve">        </w:t>
      </w:r>
    </w:p>
    <w:p w14:paraId="6DCD5AB3">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0B8D0F37">
      <w:pPr>
        <w:spacing w:before="50"/>
        <w:jc w:val="left"/>
        <w:rPr>
          <w:rFonts w:ascii="宋体" w:hAnsi="宋体"/>
          <w:color w:val="auto"/>
          <w:sz w:val="24"/>
          <w:szCs w:val="20"/>
          <w:highlight w:val="none"/>
        </w:rPr>
      </w:pPr>
    </w:p>
    <w:p w14:paraId="5F03EF48">
      <w:pPr>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29AFF909">
      <w:pPr>
        <w:spacing w:after="50"/>
        <w:jc w:val="left"/>
        <w:rPr>
          <w:rFonts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3BB68D02">
      <w:pPr>
        <w:spacing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614F129C">
      <w:pPr>
        <w:spacing w:after="50"/>
        <w:jc w:val="center"/>
        <w:rPr>
          <w:rFonts w:ascii="宋体" w:hAnsi="宋体"/>
          <w:b/>
          <w:color w:val="auto"/>
          <w:sz w:val="24"/>
          <w:highlight w:val="none"/>
        </w:rPr>
      </w:pPr>
    </w:p>
    <w:p w14:paraId="6F4178FE">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322C253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3830D97B">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25EB4D2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C19224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24B89F4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95D6FB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6E7063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第二种方式：开具增值税发票，开票信息如下：</w:t>
      </w:r>
    </w:p>
    <w:p w14:paraId="5D102D1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5BB101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FBE3FA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2582DB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CE6331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EA67AB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C324B34">
      <w:pPr>
        <w:spacing w:line="440" w:lineRule="exact"/>
        <w:rPr>
          <w:rFonts w:ascii="宋体" w:hAnsi="宋体"/>
          <w:color w:val="auto"/>
          <w:sz w:val="24"/>
          <w:highlight w:val="none"/>
        </w:rPr>
      </w:pPr>
    </w:p>
    <w:p w14:paraId="0599BA37">
      <w:pPr>
        <w:spacing w:line="440" w:lineRule="exact"/>
        <w:rPr>
          <w:rFonts w:ascii="宋体" w:hAnsi="宋体"/>
          <w:color w:val="auto"/>
          <w:sz w:val="24"/>
          <w:highlight w:val="none"/>
        </w:rPr>
      </w:pPr>
    </w:p>
    <w:p w14:paraId="29D9A7B3">
      <w:pPr>
        <w:spacing w:line="440" w:lineRule="exact"/>
        <w:rPr>
          <w:rFonts w:ascii="宋体" w:hAnsi="宋体"/>
          <w:color w:val="auto"/>
          <w:sz w:val="24"/>
          <w:highlight w:val="none"/>
        </w:rPr>
      </w:pPr>
    </w:p>
    <w:p w14:paraId="22C525CB">
      <w:pPr>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17426C2">
      <w:pPr>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10CA2913">
      <w:pPr>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11654EC">
      <w:pPr>
        <w:widowControl/>
        <w:spacing w:line="360" w:lineRule="auto"/>
        <w:jc w:val="left"/>
        <w:rPr>
          <w:rFonts w:ascii="宋体" w:hAnsi="宋体"/>
          <w:color w:val="auto"/>
          <w:szCs w:val="21"/>
          <w:highlight w:val="none"/>
        </w:rPr>
        <w:sectPr>
          <w:footerReference r:id="rId10" w:type="first"/>
          <w:footerReference r:id="rId9" w:type="default"/>
          <w:pgSz w:w="11906" w:h="16838"/>
          <w:pgMar w:top="1440" w:right="1289" w:bottom="1440" w:left="1797" w:header="851" w:footer="992" w:gutter="0"/>
          <w:cols w:space="720" w:num="1"/>
        </w:sectPr>
      </w:pPr>
    </w:p>
    <w:p w14:paraId="55611273">
      <w:pPr>
        <w:spacing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10"/>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7E51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3EAC3F76">
            <w:pPr>
              <w:pStyle w:val="3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noWrap/>
            <w:vAlign w:val="center"/>
          </w:tcPr>
          <w:p w14:paraId="23021125">
            <w:pPr>
              <w:pStyle w:val="3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tcBorders>
              <w:top w:val="single" w:color="auto" w:sz="4" w:space="0"/>
              <w:left w:val="single" w:color="auto" w:sz="4" w:space="0"/>
              <w:bottom w:val="single" w:color="auto" w:sz="4" w:space="0"/>
              <w:right w:val="single" w:color="auto" w:sz="4" w:space="0"/>
            </w:tcBorders>
            <w:noWrap/>
            <w:vAlign w:val="center"/>
          </w:tcPr>
          <w:p w14:paraId="78A3E525">
            <w:pPr>
              <w:pStyle w:val="3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noWrap/>
            <w:vAlign w:val="center"/>
          </w:tcPr>
          <w:p w14:paraId="4C64D4B5">
            <w:pPr>
              <w:pStyle w:val="3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竞标响应</w:t>
            </w:r>
          </w:p>
        </w:tc>
        <w:tc>
          <w:tcPr>
            <w:tcW w:w="1934" w:type="dxa"/>
            <w:tcBorders>
              <w:top w:val="single" w:color="auto" w:sz="4" w:space="0"/>
              <w:left w:val="single" w:color="auto" w:sz="4" w:space="0"/>
              <w:bottom w:val="single" w:color="auto" w:sz="4" w:space="0"/>
              <w:right w:val="single" w:color="auto" w:sz="4" w:space="0"/>
            </w:tcBorders>
            <w:noWrap/>
            <w:vAlign w:val="center"/>
          </w:tcPr>
          <w:p w14:paraId="566AA320">
            <w:pPr>
              <w:pStyle w:val="36"/>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8A4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541625BB">
            <w:pPr>
              <w:pStyle w:val="36"/>
              <w:spacing w:line="600" w:lineRule="exact"/>
              <w:jc w:val="center"/>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center"/>
          </w:tcPr>
          <w:p w14:paraId="370E179B">
            <w:pPr>
              <w:pStyle w:val="36"/>
              <w:spacing w:line="600" w:lineRule="exact"/>
              <w:jc w:val="center"/>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center"/>
          </w:tcPr>
          <w:p w14:paraId="6CDFD55E">
            <w:pPr>
              <w:pStyle w:val="36"/>
              <w:spacing w:line="600" w:lineRule="exact"/>
              <w:jc w:val="center"/>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center"/>
          </w:tcPr>
          <w:p w14:paraId="2206984D">
            <w:pPr>
              <w:pStyle w:val="36"/>
              <w:spacing w:line="600" w:lineRule="exact"/>
              <w:jc w:val="center"/>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center"/>
          </w:tcPr>
          <w:p w14:paraId="61BB26F8">
            <w:pPr>
              <w:pStyle w:val="36"/>
              <w:spacing w:line="600" w:lineRule="exact"/>
              <w:jc w:val="center"/>
              <w:rPr>
                <w:rFonts w:hAnsi="宋体" w:cs="Courier New"/>
                <w:color w:val="auto"/>
                <w:kern w:val="2"/>
                <w:sz w:val="24"/>
                <w:szCs w:val="24"/>
                <w:highlight w:val="none"/>
              </w:rPr>
            </w:pPr>
          </w:p>
        </w:tc>
      </w:tr>
      <w:tr w14:paraId="2C4F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04ED009D">
            <w:pPr>
              <w:pStyle w:val="36"/>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307AA66D">
            <w:pPr>
              <w:pStyle w:val="36"/>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58AC6327">
            <w:pPr>
              <w:pStyle w:val="36"/>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706C0232">
            <w:pPr>
              <w:pStyle w:val="36"/>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7D5912A4">
            <w:pPr>
              <w:pStyle w:val="36"/>
              <w:spacing w:line="600" w:lineRule="exact"/>
              <w:rPr>
                <w:rFonts w:hAnsi="宋体" w:cs="Courier New"/>
                <w:color w:val="auto"/>
                <w:kern w:val="2"/>
                <w:sz w:val="24"/>
                <w:szCs w:val="24"/>
                <w:highlight w:val="none"/>
              </w:rPr>
            </w:pPr>
          </w:p>
        </w:tc>
      </w:tr>
      <w:tr w14:paraId="26CA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46DAE892">
            <w:pPr>
              <w:pStyle w:val="36"/>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2B0EC157">
            <w:pPr>
              <w:pStyle w:val="36"/>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2C7AFD0D">
            <w:pPr>
              <w:pStyle w:val="36"/>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3CA2648F">
            <w:pPr>
              <w:pStyle w:val="36"/>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F2CFEFA">
            <w:pPr>
              <w:pStyle w:val="36"/>
              <w:spacing w:line="600" w:lineRule="exact"/>
              <w:rPr>
                <w:rFonts w:hAnsi="宋体" w:cs="Courier New"/>
                <w:color w:val="auto"/>
                <w:kern w:val="2"/>
                <w:sz w:val="24"/>
                <w:szCs w:val="24"/>
                <w:highlight w:val="none"/>
              </w:rPr>
            </w:pPr>
          </w:p>
        </w:tc>
      </w:tr>
      <w:tr w14:paraId="37B3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3491B3AD">
            <w:pPr>
              <w:pStyle w:val="36"/>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40EF358C">
            <w:pPr>
              <w:pStyle w:val="36"/>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63962262">
            <w:pPr>
              <w:pStyle w:val="36"/>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7518EDAF">
            <w:pPr>
              <w:pStyle w:val="36"/>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242C65B3">
            <w:pPr>
              <w:pStyle w:val="36"/>
              <w:spacing w:line="600" w:lineRule="exact"/>
              <w:rPr>
                <w:rFonts w:hAnsi="宋体" w:cs="Courier New"/>
                <w:color w:val="auto"/>
                <w:kern w:val="2"/>
                <w:sz w:val="24"/>
                <w:szCs w:val="24"/>
                <w:highlight w:val="none"/>
              </w:rPr>
            </w:pPr>
          </w:p>
        </w:tc>
      </w:tr>
      <w:tr w14:paraId="0D5F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1E7B4933">
            <w:pPr>
              <w:pStyle w:val="36"/>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5B87DAE9">
            <w:pPr>
              <w:pStyle w:val="36"/>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01D1D45D">
            <w:pPr>
              <w:pStyle w:val="36"/>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7EE57529">
            <w:pPr>
              <w:pStyle w:val="36"/>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3E97B87F">
            <w:pPr>
              <w:pStyle w:val="36"/>
              <w:spacing w:line="600" w:lineRule="exact"/>
              <w:rPr>
                <w:rFonts w:hAnsi="宋体" w:cs="Courier New"/>
                <w:color w:val="auto"/>
                <w:kern w:val="2"/>
                <w:sz w:val="24"/>
                <w:szCs w:val="24"/>
                <w:highlight w:val="none"/>
              </w:rPr>
            </w:pPr>
          </w:p>
        </w:tc>
      </w:tr>
      <w:tr w14:paraId="41C2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36614FCF">
            <w:pPr>
              <w:pStyle w:val="36"/>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48D4E77B">
            <w:pPr>
              <w:pStyle w:val="36"/>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37865C32">
            <w:pPr>
              <w:pStyle w:val="36"/>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56FEDD4B">
            <w:pPr>
              <w:pStyle w:val="36"/>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02579412">
            <w:pPr>
              <w:pStyle w:val="36"/>
              <w:spacing w:line="600" w:lineRule="exact"/>
              <w:rPr>
                <w:rFonts w:hAnsi="宋体" w:cs="Courier New"/>
                <w:color w:val="auto"/>
                <w:kern w:val="2"/>
                <w:sz w:val="24"/>
                <w:szCs w:val="24"/>
                <w:highlight w:val="none"/>
              </w:rPr>
            </w:pPr>
          </w:p>
        </w:tc>
      </w:tr>
      <w:tr w14:paraId="08BC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648E0C32">
            <w:pPr>
              <w:pStyle w:val="36"/>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top"/>
          </w:tcPr>
          <w:p w14:paraId="6F6A7D13">
            <w:pPr>
              <w:pStyle w:val="36"/>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top"/>
          </w:tcPr>
          <w:p w14:paraId="0168B2DD">
            <w:pPr>
              <w:pStyle w:val="36"/>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top"/>
          </w:tcPr>
          <w:p w14:paraId="5FD0EA36">
            <w:pPr>
              <w:pStyle w:val="36"/>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top"/>
          </w:tcPr>
          <w:p w14:paraId="71EB277F">
            <w:pPr>
              <w:pStyle w:val="36"/>
              <w:spacing w:line="600" w:lineRule="exact"/>
              <w:rPr>
                <w:rFonts w:hAnsi="宋体" w:cs="Courier New"/>
                <w:color w:val="auto"/>
                <w:kern w:val="2"/>
                <w:sz w:val="24"/>
                <w:szCs w:val="24"/>
                <w:highlight w:val="none"/>
              </w:rPr>
            </w:pPr>
          </w:p>
        </w:tc>
      </w:tr>
    </w:tbl>
    <w:p w14:paraId="20D6C85B">
      <w:pPr>
        <w:pStyle w:val="29"/>
        <w:spacing w:line="360" w:lineRule="auto"/>
        <w:rPr>
          <w:rFonts w:ascii="宋体" w:hAnsi="宋体"/>
          <w:b/>
          <w:color w:val="auto"/>
          <w:kern w:val="0"/>
          <w:sz w:val="24"/>
          <w:szCs w:val="24"/>
          <w:highlight w:val="none"/>
        </w:rPr>
      </w:pPr>
      <w:r>
        <w:rPr>
          <w:rFonts w:hint="eastAsia" w:ascii="宋体" w:hAnsi="宋体"/>
          <w:color w:val="auto"/>
          <w:highlight w:val="none"/>
        </w:rPr>
        <w:t>注：</w:t>
      </w:r>
    </w:p>
    <w:p w14:paraId="52953162">
      <w:pPr>
        <w:pStyle w:val="33"/>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01D2461B">
      <w:pPr>
        <w:pStyle w:val="29"/>
        <w:spacing w:line="360" w:lineRule="auto"/>
        <w:rPr>
          <w:rFonts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512D4DDB">
      <w:pPr>
        <w:pStyle w:val="29"/>
        <w:spacing w:line="360" w:lineRule="auto"/>
        <w:rPr>
          <w:rFonts w:ascii="宋体" w:hAnsi="宋体"/>
          <w:color w:val="auto"/>
          <w:spacing w:val="20"/>
          <w:highlight w:val="none"/>
        </w:rPr>
      </w:pPr>
    </w:p>
    <w:p w14:paraId="09BE8B1B">
      <w:pPr>
        <w:spacing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1FACF08">
      <w:pPr>
        <w:spacing w:line="360" w:lineRule="auto"/>
        <w:rPr>
          <w:rFonts w:ascii="宋体" w:hAnsi="宋体"/>
          <w:color w:val="auto"/>
          <w:spacing w:val="20"/>
          <w:sz w:val="24"/>
          <w:highlight w:val="none"/>
        </w:rPr>
      </w:pPr>
      <w:r>
        <w:rPr>
          <w:rFonts w:hint="eastAsia" w:ascii="宋体" w:hAnsi="宋体"/>
          <w:color w:val="auto"/>
          <w:spacing w:val="20"/>
          <w:sz w:val="24"/>
          <w:highlight w:val="none"/>
          <w:lang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11C500E">
      <w:pPr>
        <w:spacing w:line="360" w:lineRule="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7440999F">
      <w:pPr>
        <w:spacing w:line="300" w:lineRule="auto"/>
        <w:rPr>
          <w:rFonts w:ascii="宋体" w:hAnsi="宋体"/>
          <w:b/>
          <w:bCs/>
          <w:color w:val="auto"/>
          <w:sz w:val="24"/>
          <w:highlight w:val="none"/>
        </w:rPr>
      </w:pPr>
    </w:p>
    <w:p w14:paraId="1B620728">
      <w:pPr>
        <w:pStyle w:val="18"/>
        <w:rPr>
          <w:color w:val="auto"/>
          <w:highlight w:val="none"/>
        </w:rPr>
      </w:pPr>
    </w:p>
    <w:p w14:paraId="454AAE3E">
      <w:pPr>
        <w:pStyle w:val="18"/>
        <w:rPr>
          <w:color w:val="auto"/>
          <w:highlight w:val="none"/>
        </w:rPr>
      </w:pPr>
    </w:p>
    <w:p w14:paraId="527DC76B">
      <w:pPr>
        <w:pStyle w:val="18"/>
        <w:rPr>
          <w:color w:val="auto"/>
          <w:highlight w:val="none"/>
        </w:rPr>
      </w:pPr>
    </w:p>
    <w:p w14:paraId="34B8E1B0">
      <w:pPr>
        <w:pStyle w:val="18"/>
        <w:rPr>
          <w:color w:val="auto"/>
          <w:highlight w:val="none"/>
        </w:rPr>
      </w:pPr>
    </w:p>
    <w:p w14:paraId="02B0DBBA">
      <w:pPr>
        <w:pStyle w:val="18"/>
        <w:rPr>
          <w:color w:val="auto"/>
          <w:highlight w:val="none"/>
        </w:rPr>
      </w:pPr>
    </w:p>
    <w:p w14:paraId="14EDEFCA">
      <w:pPr>
        <w:pStyle w:val="18"/>
        <w:rPr>
          <w:color w:val="auto"/>
          <w:highlight w:val="none"/>
        </w:rPr>
      </w:pPr>
    </w:p>
    <w:p w14:paraId="51043E30">
      <w:pPr>
        <w:pStyle w:val="18"/>
        <w:rPr>
          <w:color w:val="auto"/>
          <w:highlight w:val="none"/>
        </w:rPr>
      </w:pPr>
    </w:p>
    <w:p w14:paraId="30B9451E">
      <w:pPr>
        <w:pStyle w:val="18"/>
        <w:rPr>
          <w:color w:val="auto"/>
          <w:highlight w:val="none"/>
        </w:rPr>
      </w:pPr>
    </w:p>
    <w:p w14:paraId="296F5EE4">
      <w:pPr>
        <w:pStyle w:val="18"/>
        <w:rPr>
          <w:color w:val="auto"/>
          <w:highlight w:val="none"/>
        </w:rPr>
      </w:pPr>
    </w:p>
    <w:p w14:paraId="3DCF8FD3">
      <w:pPr>
        <w:pStyle w:val="18"/>
        <w:rPr>
          <w:color w:val="auto"/>
          <w:highlight w:val="none"/>
        </w:rPr>
      </w:pPr>
    </w:p>
    <w:p w14:paraId="660D4E36">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03FA3AD9">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101638B0">
      <w:pPr>
        <w:pStyle w:val="3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75BDE27">
      <w:pPr>
        <w:pStyle w:val="36"/>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93129FB">
      <w:pPr>
        <w:pStyle w:val="3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BBB49A">
      <w:pPr>
        <w:pStyle w:val="3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9656539">
      <w:pPr>
        <w:pStyle w:val="36"/>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CD6077B">
      <w:pPr>
        <w:pStyle w:val="36"/>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E1CBC2C">
      <w:pPr>
        <w:pStyle w:val="3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CE888F9">
      <w:pPr>
        <w:pStyle w:val="3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26F613E9">
      <w:pPr>
        <w:pStyle w:val="3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E5DFF69">
      <w:pPr>
        <w:pStyle w:val="3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B84F5E7">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58967B0">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3DC41464">
      <w:pPr>
        <w:pStyle w:val="3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F022DE5">
      <w:pPr>
        <w:pStyle w:val="3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479E1F3">
      <w:pPr>
        <w:pStyle w:val="36"/>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13B3ADCC">
      <w:pPr>
        <w:pStyle w:val="36"/>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165828C3">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46D2E2C8">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2912724">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5E945CA7">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7F698326">
      <w:pPr>
        <w:pStyle w:val="36"/>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32DDE8FE">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290BB5CD">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B65CDDA">
      <w:pPr>
        <w:pStyle w:val="36"/>
        <w:spacing w:line="360" w:lineRule="auto"/>
        <w:ind w:left="25" w:leftChars="12" w:firstLine="352" w:firstLineChars="147"/>
        <w:contextualSpacing/>
        <w:rPr>
          <w:rFonts w:hAnsi="宋体"/>
          <w:color w:val="auto"/>
          <w:sz w:val="24"/>
          <w:szCs w:val="24"/>
          <w:highlight w:val="none"/>
        </w:rPr>
      </w:pPr>
    </w:p>
    <w:p w14:paraId="38301209">
      <w:pPr>
        <w:pStyle w:val="3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684655C1">
      <w:pPr>
        <w:pStyle w:val="36"/>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64EAA542">
      <w:pPr>
        <w:pStyle w:val="36"/>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31C1298A">
      <w:pPr>
        <w:pStyle w:val="36"/>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DB0CD2E">
      <w:pPr>
        <w:pStyle w:val="3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FFFB36E">
      <w:pPr>
        <w:pStyle w:val="3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486F69C">
      <w:pPr>
        <w:pStyle w:val="3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44C17F7A">
      <w:pPr>
        <w:pStyle w:val="36"/>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B0498F3">
      <w:pPr>
        <w:pStyle w:val="36"/>
        <w:rPr>
          <w:b/>
          <w:color w:val="auto"/>
          <w:sz w:val="24"/>
          <w:szCs w:val="24"/>
          <w:highlight w:val="none"/>
        </w:rPr>
      </w:pPr>
    </w:p>
    <w:p w14:paraId="6F32DDD0">
      <w:pPr>
        <w:rPr>
          <w:color w:val="auto"/>
          <w:sz w:val="32"/>
          <w:szCs w:val="40"/>
          <w:highlight w:val="none"/>
        </w:rPr>
      </w:pPr>
    </w:p>
    <w:p w14:paraId="3E83FEC2">
      <w:pPr>
        <w:rPr>
          <w:color w:val="auto"/>
          <w:sz w:val="32"/>
          <w:szCs w:val="40"/>
          <w:highlight w:val="none"/>
        </w:rPr>
      </w:pPr>
    </w:p>
    <w:p w14:paraId="0F1BED2D">
      <w:pPr>
        <w:rPr>
          <w:color w:val="auto"/>
          <w:sz w:val="32"/>
          <w:szCs w:val="40"/>
          <w:highlight w:val="none"/>
        </w:rPr>
      </w:pPr>
    </w:p>
    <w:p w14:paraId="5027E668">
      <w:pPr>
        <w:rPr>
          <w:color w:val="auto"/>
          <w:sz w:val="32"/>
          <w:szCs w:val="40"/>
          <w:highlight w:val="none"/>
        </w:rPr>
      </w:pPr>
    </w:p>
    <w:p w14:paraId="0243424A">
      <w:pPr>
        <w:rPr>
          <w:color w:val="auto"/>
          <w:sz w:val="32"/>
          <w:szCs w:val="40"/>
          <w:highlight w:val="none"/>
        </w:rPr>
      </w:pPr>
    </w:p>
    <w:p w14:paraId="2A05D127">
      <w:pPr>
        <w:rPr>
          <w:color w:val="auto"/>
          <w:sz w:val="32"/>
          <w:szCs w:val="40"/>
          <w:highlight w:val="none"/>
        </w:rPr>
      </w:pPr>
    </w:p>
    <w:p w14:paraId="523BF00A">
      <w:pPr>
        <w:rPr>
          <w:color w:val="auto"/>
          <w:sz w:val="32"/>
          <w:szCs w:val="40"/>
          <w:highlight w:val="none"/>
        </w:rPr>
      </w:pPr>
    </w:p>
    <w:p w14:paraId="0BFB5CDC">
      <w:pPr>
        <w:rPr>
          <w:color w:val="auto"/>
          <w:sz w:val="32"/>
          <w:szCs w:val="40"/>
          <w:highlight w:val="none"/>
        </w:rPr>
      </w:pPr>
    </w:p>
    <w:p w14:paraId="5E16A467">
      <w:pPr>
        <w:rPr>
          <w:color w:val="auto"/>
          <w:sz w:val="32"/>
          <w:szCs w:val="40"/>
          <w:highlight w:val="none"/>
        </w:rPr>
      </w:pPr>
    </w:p>
    <w:p w14:paraId="23B73637">
      <w:pPr>
        <w:pStyle w:val="18"/>
        <w:rPr>
          <w:color w:val="auto"/>
          <w:highlight w:val="none"/>
        </w:rPr>
      </w:pPr>
    </w:p>
    <w:p w14:paraId="0206A5DC">
      <w:pPr>
        <w:pStyle w:val="18"/>
        <w:rPr>
          <w:color w:val="auto"/>
          <w:highlight w:val="none"/>
        </w:rPr>
      </w:pPr>
    </w:p>
    <w:p w14:paraId="2ED4AF9E">
      <w:pPr>
        <w:rPr>
          <w:color w:val="auto"/>
          <w:sz w:val="32"/>
          <w:szCs w:val="40"/>
          <w:highlight w:val="none"/>
        </w:rPr>
      </w:pPr>
    </w:p>
    <w:p w14:paraId="10964823">
      <w:pPr>
        <w:rPr>
          <w:color w:val="auto"/>
          <w:sz w:val="32"/>
          <w:szCs w:val="40"/>
          <w:highlight w:val="none"/>
        </w:rPr>
      </w:pPr>
    </w:p>
    <w:p w14:paraId="1BA27130">
      <w:pPr>
        <w:rPr>
          <w:color w:val="auto"/>
          <w:sz w:val="32"/>
          <w:szCs w:val="40"/>
          <w:highlight w:val="none"/>
        </w:rPr>
      </w:pPr>
    </w:p>
    <w:p w14:paraId="28189C97">
      <w:pPr>
        <w:rPr>
          <w:color w:val="auto"/>
          <w:sz w:val="32"/>
          <w:szCs w:val="40"/>
          <w:highlight w:val="none"/>
        </w:rPr>
      </w:pPr>
    </w:p>
    <w:p w14:paraId="0097F4CB">
      <w:pPr>
        <w:rPr>
          <w:color w:val="auto"/>
          <w:sz w:val="32"/>
          <w:szCs w:val="40"/>
          <w:highlight w:val="none"/>
        </w:rPr>
      </w:pPr>
    </w:p>
    <w:p w14:paraId="2A4879EF">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0D7D845">
      <w:pPr>
        <w:pStyle w:val="36"/>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292C6D8">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179E68B">
      <w:pPr>
        <w:pStyle w:val="36"/>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5357BBF">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15B0BFE">
      <w:pPr>
        <w:pStyle w:val="36"/>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1596007">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9399A03">
      <w:pPr>
        <w:pStyle w:val="36"/>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6A33A72">
      <w:pPr>
        <w:pStyle w:val="36"/>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78585FF">
      <w:pPr>
        <w:pStyle w:val="3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1237008D">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3F6393D">
      <w:pPr>
        <w:pStyle w:val="36"/>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8783835">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01AE22C">
      <w:pPr>
        <w:pStyle w:val="3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07147245">
      <w:pPr>
        <w:pStyle w:val="36"/>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1627CEFC">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B7B4878">
      <w:pPr>
        <w:pStyle w:val="36"/>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F568DB5">
      <w:pPr>
        <w:pStyle w:val="3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06E601">
      <w:pPr>
        <w:pStyle w:val="36"/>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2BA474EC">
      <w:pPr>
        <w:pStyle w:val="3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BBA889A">
      <w:pPr>
        <w:pStyle w:val="3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A956185">
      <w:pPr>
        <w:pStyle w:val="3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EB3B55C">
      <w:pPr>
        <w:pStyle w:val="3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1051B2B0">
      <w:pPr>
        <w:pStyle w:val="3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F28F11B">
      <w:pPr>
        <w:pStyle w:val="3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192C1D6">
      <w:pPr>
        <w:pStyle w:val="3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53402DFC">
      <w:pPr>
        <w:pStyle w:val="36"/>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6070D0D">
      <w:pPr>
        <w:pStyle w:val="36"/>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41D6AF3">
      <w:pPr>
        <w:pStyle w:val="36"/>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8E44360">
      <w:pPr>
        <w:pStyle w:val="36"/>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52113E17">
      <w:pPr>
        <w:pStyle w:val="3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3F63D5D2">
      <w:pPr>
        <w:pStyle w:val="3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A9F727E">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31A223F">
      <w:pPr>
        <w:pStyle w:val="3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3AFE5E87">
      <w:pPr>
        <w:pStyle w:val="3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6069F4B">
      <w:pPr>
        <w:pStyle w:val="36"/>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E92942F">
      <w:pPr>
        <w:pStyle w:val="3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359AF43">
      <w:pPr>
        <w:pStyle w:val="3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63E0D894">
      <w:pPr>
        <w:pStyle w:val="3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13574DC4">
      <w:pPr>
        <w:pStyle w:val="3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E5315F2">
      <w:pPr>
        <w:pStyle w:val="36"/>
        <w:spacing w:line="360" w:lineRule="auto"/>
        <w:ind w:left="25" w:leftChars="12" w:firstLine="352" w:firstLineChars="147"/>
        <w:rPr>
          <w:rFonts w:hAnsi="宋体"/>
          <w:color w:val="auto"/>
          <w:sz w:val="24"/>
          <w:szCs w:val="24"/>
          <w:highlight w:val="none"/>
        </w:rPr>
      </w:pPr>
    </w:p>
    <w:p w14:paraId="6F873D0D">
      <w:pPr>
        <w:pStyle w:val="3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727622E4">
      <w:pPr>
        <w:pStyle w:val="36"/>
        <w:spacing w:line="360" w:lineRule="auto"/>
        <w:ind w:left="25" w:leftChars="12" w:firstLine="352" w:firstLineChars="147"/>
        <w:rPr>
          <w:rFonts w:hAnsi="宋体"/>
          <w:color w:val="auto"/>
          <w:sz w:val="24"/>
          <w:szCs w:val="24"/>
          <w:highlight w:val="none"/>
        </w:rPr>
      </w:pPr>
    </w:p>
    <w:p w14:paraId="10B775A4">
      <w:pPr>
        <w:pStyle w:val="3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52A8FA39">
      <w:pPr>
        <w:pStyle w:val="36"/>
        <w:spacing w:line="360" w:lineRule="auto"/>
        <w:rPr>
          <w:rFonts w:hAnsi="宋体"/>
          <w:b/>
          <w:color w:val="auto"/>
          <w:sz w:val="24"/>
          <w:szCs w:val="24"/>
          <w:highlight w:val="none"/>
        </w:rPr>
      </w:pPr>
      <w:r>
        <w:rPr>
          <w:rFonts w:hint="eastAsia" w:hAnsi="宋体"/>
          <w:b/>
          <w:color w:val="auto"/>
          <w:sz w:val="24"/>
          <w:szCs w:val="24"/>
          <w:highlight w:val="none"/>
        </w:rPr>
        <w:t>说明：</w:t>
      </w:r>
    </w:p>
    <w:p w14:paraId="73185398">
      <w:pPr>
        <w:pStyle w:val="3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433CB22">
      <w:pPr>
        <w:pStyle w:val="3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B16014">
      <w:pPr>
        <w:pStyle w:val="3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C7EF8A4">
      <w:pPr>
        <w:pStyle w:val="3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0C43274">
      <w:pPr>
        <w:pStyle w:val="3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3E70AE92">
      <w:pPr>
        <w:pStyle w:val="3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35A116A">
      <w:pPr>
        <w:pStyle w:val="14"/>
        <w:jc w:val="center"/>
        <w:rPr>
          <w:color w:val="auto"/>
          <w:highlight w:val="none"/>
        </w:rPr>
      </w:pPr>
      <w:r>
        <w:rPr>
          <w:rFonts w:hint="eastAsia"/>
          <w:color w:val="auto"/>
          <w:highlight w:val="none"/>
        </w:rPr>
        <w:t>第六章 合同文本</w:t>
      </w:r>
    </w:p>
    <w:p w14:paraId="31695908">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政府采购合同</w:t>
      </w:r>
    </w:p>
    <w:p w14:paraId="38486B95">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0BBA6A81">
      <w:pPr>
        <w:snapToGrid w:val="0"/>
        <w:spacing w:line="360" w:lineRule="auto"/>
        <w:rPr>
          <w:rFonts w:hint="eastAsia" w:ascii="宋体" w:hAnsi="宋体"/>
          <w:color w:val="auto"/>
          <w:szCs w:val="21"/>
          <w:highlight w:val="none"/>
        </w:rPr>
      </w:pPr>
    </w:p>
    <w:p w14:paraId="0666DE72">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7506147">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67F2AA68">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4A0652A7">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611D40D4">
      <w:pPr>
        <w:snapToGrid w:val="0"/>
        <w:spacing w:line="360" w:lineRule="auto"/>
        <w:rPr>
          <w:rFonts w:hint="eastAsia" w:ascii="宋体" w:hAnsi="宋体"/>
          <w:color w:val="auto"/>
          <w:highlight w:val="non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 xml:space="preserve">      </w:t>
      </w:r>
      <w:r>
        <w:rPr>
          <w:rFonts w:hint="eastAsia" w:ascii="宋体" w:hAnsi="宋体"/>
          <w:color w:val="auto"/>
          <w:highlight w:val="none"/>
        </w:rPr>
        <w:t>合同</w:t>
      </w:r>
    </w:p>
    <w:p w14:paraId="204665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i/>
          <w:color w:val="auto"/>
          <w:szCs w:val="21"/>
          <w:highlight w:val="none"/>
          <w:u w:val="single"/>
        </w:rPr>
        <w:t>（是/否）</w:t>
      </w:r>
      <w:r>
        <w:rPr>
          <w:rFonts w:hint="eastAsia" w:ascii="宋体" w:hAnsi="宋体" w:cs="宋体"/>
          <w:color w:val="auto"/>
          <w:szCs w:val="21"/>
          <w:highlight w:val="none"/>
        </w:rPr>
        <w:t>。</w:t>
      </w:r>
    </w:p>
    <w:p w14:paraId="3EAD82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7BE11C4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tbl>
      <w:tblPr>
        <w:tblStyle w:val="10"/>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D3E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72C90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E381D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CEDE9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498671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92B95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70DA0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107A48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99B2B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  价</w:t>
            </w:r>
          </w:p>
          <w:p w14:paraId="6B39AD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06B1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0EFF3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395758E">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2543613">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0BF06F7">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CCF652">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809C577">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C4D0F18">
            <w:pPr>
              <w:spacing w:line="360" w:lineRule="auto"/>
              <w:jc w:val="center"/>
              <w:rPr>
                <w:rFonts w:ascii="宋体" w:hAnsi="宋体" w:cs="宋体"/>
                <w:color w:val="auto"/>
                <w:szCs w:val="21"/>
                <w:highlight w:val="none"/>
              </w:rPr>
            </w:pPr>
          </w:p>
        </w:tc>
      </w:tr>
      <w:tr w14:paraId="39C7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1DBA244">
            <w:pPr>
              <w:spacing w:line="360" w:lineRule="auto"/>
              <w:rPr>
                <w:rFonts w:ascii="宋体" w:hAnsi="宋体" w:cs="宋体"/>
                <w:color w:val="auto"/>
                <w:szCs w:val="21"/>
                <w:highlight w:val="none"/>
              </w:rPr>
            </w:pPr>
            <w:r>
              <w:rPr>
                <w:rFonts w:hint="eastAsia" w:ascii="宋体" w:hAnsi="宋体" w:cs="宋体"/>
                <w:color w:val="auto"/>
                <w:szCs w:val="21"/>
                <w:highlight w:val="none"/>
              </w:rPr>
              <w:t>合计金额（人民币）：</w:t>
            </w:r>
            <w:r>
              <w:rPr>
                <w:rFonts w:hint="eastAsia" w:ascii="宋体" w:hAnsi="宋体" w:cs="宋体"/>
                <w:color w:val="auto"/>
                <w:szCs w:val="21"/>
                <w:highlight w:val="none"/>
                <w:u w:val="single"/>
              </w:rPr>
              <w:t xml:space="preserve">（大写）                          （小写）                   </w:t>
            </w:r>
            <w:r>
              <w:rPr>
                <w:rFonts w:hint="eastAsia" w:ascii="宋体" w:hAnsi="宋体" w:cs="宋体"/>
                <w:color w:val="auto"/>
                <w:szCs w:val="21"/>
                <w:highlight w:val="none"/>
              </w:rPr>
              <w:t xml:space="preserve">             </w:t>
            </w:r>
          </w:p>
        </w:tc>
      </w:tr>
    </w:tbl>
    <w:p w14:paraId="107E12C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14FD054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w:t>
      </w:r>
      <w:r>
        <w:rPr>
          <w:rFonts w:hint="eastAsia" w:ascii="宋体" w:hAnsi="宋体"/>
          <w:color w:val="auto"/>
          <w:szCs w:val="21"/>
          <w:highlight w:val="none"/>
        </w:rPr>
        <w:t>响应</w:t>
      </w:r>
      <w:r>
        <w:rPr>
          <w:rFonts w:hint="eastAsia" w:ascii="宋体" w:hAnsi="宋体" w:cs="宋体"/>
          <w:color w:val="auto"/>
          <w:szCs w:val="21"/>
          <w:highlight w:val="none"/>
        </w:rPr>
        <w:t>承诺相一致，</w:t>
      </w:r>
      <w:r>
        <w:rPr>
          <w:rFonts w:hint="eastAsia" w:ascii="宋体" w:hAnsi="宋体"/>
          <w:color w:val="auto"/>
          <w:szCs w:val="21"/>
          <w:highlight w:val="none"/>
        </w:rPr>
        <w:t>且满足项目实施要求，</w:t>
      </w:r>
      <w:r>
        <w:rPr>
          <w:rFonts w:hint="eastAsia" w:ascii="宋体" w:hAnsi="宋体" w:cs="宋体"/>
          <w:color w:val="auto"/>
          <w:szCs w:val="21"/>
          <w:highlight w:val="none"/>
        </w:rPr>
        <w:t>有国家强制性标准的，还必须符合国家强制性标准的规定，没有国家强制性标准但有其他强制性标准的，必须符合其他强制性标准的规定。</w:t>
      </w:r>
    </w:p>
    <w:p w14:paraId="2D6F4574">
      <w:pPr>
        <w:snapToGrid w:val="0"/>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第三条  履行时间（期限）、地点和方式</w:t>
      </w:r>
    </w:p>
    <w:p w14:paraId="1DE1576F">
      <w:pPr>
        <w:snapToGrid w:val="0"/>
        <w:spacing w:line="360" w:lineRule="auto"/>
        <w:ind w:firstLine="420" w:firstLineChars="200"/>
        <w:rPr>
          <w:rFonts w:hint="eastAsia" w:ascii="宋体" w:hAnsi="宋体"/>
          <w:i/>
          <w:color w:val="auto"/>
          <w:szCs w:val="21"/>
          <w:highlight w:val="none"/>
        </w:rPr>
      </w:pPr>
      <w:r>
        <w:rPr>
          <w:rFonts w:hint="eastAsia" w:ascii="宋体" w:hAnsi="宋体" w:cs="宋体"/>
          <w:color w:val="auto"/>
          <w:szCs w:val="21"/>
          <w:highlight w:val="none"/>
        </w:rPr>
        <w:t>1.履行时间（期限）：</w:t>
      </w:r>
      <w:r>
        <w:rPr>
          <w:rFonts w:hint="eastAsia" w:ascii="宋体" w:hAnsi="宋体" w:cs="宋体"/>
          <w:color w:val="auto"/>
          <w:szCs w:val="21"/>
          <w:highlight w:val="none"/>
          <w:lang w:val="en-US" w:eastAsia="zh-CN"/>
        </w:rPr>
        <w:t>自合同签订之日起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个月内完成项目，特殊情况需延迟的必须经采购人的同意。</w:t>
      </w:r>
    </w:p>
    <w:p w14:paraId="759C0405">
      <w:pPr>
        <w:snapToGrid w:val="0"/>
        <w:spacing w:line="360" w:lineRule="auto"/>
        <w:ind w:firstLine="420" w:firstLineChars="200"/>
        <w:rPr>
          <w:rFonts w:hint="eastAsia" w:ascii="宋体" w:hAnsi="宋体" w:eastAsia="宋体" w:cs="宋体"/>
          <w:i/>
          <w:color w:val="auto"/>
          <w:szCs w:val="21"/>
          <w:highlight w:val="none"/>
          <w:lang w:val="en-US" w:eastAsia="zh-CN"/>
        </w:rPr>
      </w:pPr>
      <w:r>
        <w:rPr>
          <w:rFonts w:hint="eastAsia" w:ascii="宋体" w:hAnsi="宋体" w:cs="宋体"/>
          <w:color w:val="auto"/>
          <w:szCs w:val="21"/>
          <w:highlight w:val="none"/>
        </w:rPr>
        <w:t>2.履行地点：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p>
    <w:p w14:paraId="1AE57B4D">
      <w:pPr>
        <w:snapToGrid w:val="0"/>
        <w:spacing w:line="360" w:lineRule="auto"/>
        <w:ind w:firstLine="420" w:firstLineChars="200"/>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3.提交服务成果地点：</w:t>
      </w:r>
      <w:r>
        <w:rPr>
          <w:rFonts w:hint="eastAsia" w:ascii="宋体" w:hAnsi="宋体" w:cs="宋体"/>
          <w:b w:val="0"/>
          <w:bCs/>
          <w:color w:val="auto"/>
          <w:szCs w:val="21"/>
          <w:highlight w:val="none"/>
          <w:u w:val="single"/>
          <w:lang w:val="en-US" w:eastAsia="zh-CN"/>
        </w:rPr>
        <w:t>防城港市医疗保障局内指定地点</w:t>
      </w:r>
      <w:r>
        <w:rPr>
          <w:rFonts w:hint="eastAsia" w:ascii="宋体" w:hAnsi="宋体" w:cs="宋体"/>
          <w:b w:val="0"/>
          <w:bCs/>
          <w:color w:val="auto"/>
          <w:szCs w:val="21"/>
          <w:highlight w:val="none"/>
          <w:lang w:val="en-US" w:eastAsia="zh-CN"/>
        </w:rPr>
        <w:t>。</w:t>
      </w:r>
    </w:p>
    <w:p w14:paraId="466582D8">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eastAsia="zh-CN"/>
        </w:rPr>
        <w:t>四</w:t>
      </w:r>
      <w:r>
        <w:rPr>
          <w:rFonts w:hint="eastAsia" w:ascii="宋体" w:hAnsi="宋体"/>
          <w:b/>
          <w:color w:val="auto"/>
          <w:szCs w:val="21"/>
          <w:highlight w:val="none"/>
        </w:rPr>
        <w:t>条　实施和培训</w:t>
      </w:r>
    </w:p>
    <w:p w14:paraId="79D47E2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1.实施时间：</w:t>
      </w:r>
      <w:r>
        <w:rPr>
          <w:rFonts w:hint="eastAsia" w:ascii="宋体" w:hAnsi="宋体"/>
          <w:color w:val="auto"/>
          <w:szCs w:val="21"/>
          <w:highlight w:val="none"/>
          <w:u w:val="single"/>
        </w:rPr>
        <w:t xml:space="preserve">                     </w:t>
      </w:r>
      <w:r>
        <w:rPr>
          <w:rFonts w:hint="eastAsia" w:ascii="宋体" w:hAnsi="宋体"/>
          <w:color w:val="auto"/>
          <w:szCs w:val="21"/>
          <w:highlight w:val="none"/>
        </w:rPr>
        <w:t>；实施地点：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7339B1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2.实施要求：</w:t>
      </w:r>
      <w:r>
        <w:rPr>
          <w:rFonts w:hint="eastAsia" w:ascii="宋体" w:hAnsi="宋体"/>
          <w:i/>
          <w:color w:val="auto"/>
          <w:szCs w:val="21"/>
          <w:highlight w:val="none"/>
          <w:u w:val="single"/>
        </w:rPr>
        <w:t>乙方应当按响应文件要求（如有）或甲方要求进行实施</w:t>
      </w:r>
      <w:r>
        <w:rPr>
          <w:rFonts w:hint="eastAsia" w:ascii="宋体" w:hAnsi="宋体"/>
          <w:color w:val="auto"/>
          <w:szCs w:val="21"/>
          <w:highlight w:val="none"/>
        </w:rPr>
        <w:t>。</w:t>
      </w:r>
    </w:p>
    <w:p w14:paraId="19E9664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3.乙方应按响应文件的承诺向甲方提供相应的服务，并提供所服务内容的相关技术资料，乙方提供不符合响应文件和本合同规定的服务成果，甲方有权拒绝接受。</w:t>
      </w:r>
    </w:p>
    <w:p w14:paraId="377FEE23">
      <w:pPr>
        <w:pStyle w:val="6"/>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.乙方应当按照</w:t>
      </w:r>
      <w:r>
        <w:rPr>
          <w:rFonts w:hint="eastAsia" w:ascii="宋体" w:hAnsi="宋体"/>
          <w:color w:val="auto"/>
          <w:szCs w:val="21"/>
          <w:highlight w:val="none"/>
          <w:lang w:eastAsia="zh-CN"/>
        </w:rPr>
        <w:t>响应</w:t>
      </w:r>
      <w:r>
        <w:rPr>
          <w:rFonts w:hint="eastAsia" w:ascii="宋体" w:hAnsi="宋体"/>
          <w:color w:val="auto"/>
          <w:szCs w:val="21"/>
          <w:highlight w:val="none"/>
        </w:rPr>
        <w:t>文件的承诺对甲方有关人员进行培训。培训时间：</w:t>
      </w:r>
      <w:r>
        <w:rPr>
          <w:rFonts w:hint="eastAsia" w:ascii="宋体" w:hAnsi="宋体"/>
          <w:color w:val="auto"/>
          <w:szCs w:val="21"/>
          <w:highlight w:val="none"/>
          <w:u w:val="single"/>
        </w:rPr>
        <w:t xml:space="preserve">                     </w:t>
      </w:r>
      <w:r>
        <w:rPr>
          <w:rFonts w:hint="eastAsia" w:ascii="宋体" w:hAnsi="宋体"/>
          <w:color w:val="auto"/>
          <w:szCs w:val="21"/>
          <w:highlight w:val="none"/>
        </w:rPr>
        <w:t>；培训地点：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E1284A9">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eastAsia="zh-CN"/>
        </w:rPr>
        <w:t>五</w:t>
      </w:r>
      <w:r>
        <w:rPr>
          <w:rFonts w:hint="eastAsia" w:ascii="宋体" w:hAnsi="宋体"/>
          <w:b/>
          <w:color w:val="auto"/>
          <w:szCs w:val="21"/>
          <w:highlight w:val="none"/>
        </w:rPr>
        <w:t>条　合同价款及支付</w:t>
      </w:r>
    </w:p>
    <w:p w14:paraId="67C228DA">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1.本合同以人民币付款。</w:t>
      </w:r>
    </w:p>
    <w:p w14:paraId="0BE09645">
      <w:pPr>
        <w:pStyle w:val="8"/>
        <w:snapToGrid w:val="0"/>
        <w:spacing w:line="360" w:lineRule="auto"/>
        <w:ind w:firstLine="420" w:firstLineChars="200"/>
        <w:rPr>
          <w:rFonts w:hint="eastAsia" w:hAnsi="宋体"/>
          <w:color w:val="auto"/>
          <w:highlight w:val="none"/>
        </w:rPr>
      </w:pPr>
      <w:r>
        <w:rPr>
          <w:rFonts w:hint="eastAsia" w:hAnsi="宋体"/>
          <w:color w:val="auto"/>
          <w:sz w:val="21"/>
          <w:highlight w:val="none"/>
        </w:rPr>
        <w:t>2.合同价款：</w:t>
      </w:r>
      <w:r>
        <w:rPr>
          <w:rFonts w:hint="eastAsia" w:hAnsi="宋体"/>
          <w:color w:val="auto"/>
          <w:highlight w:val="none"/>
          <w:u w:val="single"/>
        </w:rPr>
        <w:t xml:space="preserve">                     </w:t>
      </w:r>
      <w:r>
        <w:rPr>
          <w:rFonts w:hint="eastAsia" w:hAnsi="宋体"/>
          <w:color w:val="auto"/>
          <w:highlight w:val="none"/>
        </w:rPr>
        <w:t>。</w:t>
      </w:r>
    </w:p>
    <w:p w14:paraId="5382C7B0">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olor w:val="auto"/>
          <w:szCs w:val="21"/>
          <w:highlight w:val="none"/>
        </w:rPr>
        <w:t>3. 合同价款</w:t>
      </w:r>
      <w:r>
        <w:rPr>
          <w:rFonts w:hint="eastAsia" w:ascii="宋体" w:hAnsi="宋体" w:cs="宋体"/>
          <w:color w:val="auto"/>
          <w:szCs w:val="21"/>
          <w:highlight w:val="none"/>
        </w:rPr>
        <w:t>包括</w:t>
      </w:r>
      <w:r>
        <w:rPr>
          <w:rFonts w:hint="eastAsia" w:ascii="宋体" w:hAnsi="宋体" w:cs="宋体"/>
          <w:color w:val="auto"/>
          <w:szCs w:val="21"/>
          <w:highlight w:val="none"/>
          <w:lang w:eastAsia="zh-CN"/>
        </w:rPr>
        <w:t>：</w:t>
      </w:r>
    </w:p>
    <w:p w14:paraId="525A3568">
      <w:pPr>
        <w:pStyle w:val="8"/>
        <w:snapToGrid w:val="0"/>
        <w:spacing w:line="360" w:lineRule="auto"/>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1.服务的价格；</w:t>
      </w:r>
    </w:p>
    <w:p w14:paraId="5BDBECA7">
      <w:pPr>
        <w:pStyle w:val="8"/>
        <w:snapToGrid w:val="0"/>
        <w:spacing w:line="360" w:lineRule="auto"/>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2.必要的保险费用和各项税金；</w:t>
      </w:r>
    </w:p>
    <w:p w14:paraId="0999A219">
      <w:pPr>
        <w:pStyle w:val="8"/>
        <w:snapToGrid w:val="0"/>
        <w:spacing w:line="360" w:lineRule="auto"/>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3.其他（如技术支持、售后服务等费用）。</w:t>
      </w:r>
    </w:p>
    <w:p w14:paraId="6ACA02F4">
      <w:pPr>
        <w:pStyle w:val="8"/>
        <w:snapToGrid w:val="0"/>
        <w:spacing w:line="360" w:lineRule="auto"/>
        <w:ind w:firstLine="420" w:firstLineChars="200"/>
        <w:rPr>
          <w:rFonts w:hint="eastAsia" w:hAnsi="宋体"/>
          <w:bCs/>
          <w:color w:val="auto"/>
          <w:sz w:val="21"/>
          <w:highlight w:val="none"/>
          <w:lang w:val="en-US" w:eastAsia="zh-CN"/>
        </w:rPr>
      </w:pPr>
      <w:r>
        <w:rPr>
          <w:rFonts w:hint="eastAsia" w:hAnsi="宋体"/>
          <w:bCs/>
          <w:color w:val="auto"/>
          <w:sz w:val="21"/>
          <w:highlight w:val="none"/>
          <w:lang w:val="en-US" w:eastAsia="zh-CN"/>
        </w:rPr>
        <w:t>注：乙方在实施项目过程中的交通费、差旅费、住宿费、伙食费自理，所有费用均应包含在合同价中，不再另做结算。</w:t>
      </w:r>
    </w:p>
    <w:p w14:paraId="50C9A054">
      <w:pPr>
        <w:pStyle w:val="8"/>
        <w:snapToGrid w:val="0"/>
        <w:spacing w:line="360" w:lineRule="auto"/>
        <w:ind w:firstLine="420" w:firstLineChars="200"/>
        <w:rPr>
          <w:rFonts w:hint="eastAsia" w:ascii="宋体" w:hAnsi="宋体"/>
          <w:b w:val="0"/>
          <w:bCs/>
          <w:color w:val="auto"/>
          <w:szCs w:val="21"/>
          <w:highlight w:val="none"/>
          <w:lang w:val="en-US" w:eastAsia="zh-CN"/>
        </w:rPr>
      </w:pPr>
      <w:r>
        <w:rPr>
          <w:rFonts w:hint="eastAsia" w:hAnsi="宋体"/>
          <w:bCs/>
          <w:color w:val="auto"/>
          <w:sz w:val="21"/>
          <w:highlight w:val="none"/>
        </w:rPr>
        <w:t>4.</w:t>
      </w:r>
      <w:r>
        <w:rPr>
          <w:rFonts w:hint="eastAsia" w:hAnsi="宋体"/>
          <w:bCs/>
          <w:color w:val="auto"/>
          <w:sz w:val="21"/>
          <w:highlight w:val="none"/>
          <w:lang w:eastAsia="zh-CN"/>
        </w:rPr>
        <w:t>付款方式：</w:t>
      </w:r>
      <w:r>
        <w:rPr>
          <w:rFonts w:hint="eastAsia" w:hAnsi="宋体"/>
          <w:bCs/>
          <w:color w:val="auto"/>
          <w:sz w:val="21"/>
          <w:highlight w:val="none"/>
          <w:lang w:val="en-US" w:eastAsia="zh-CN"/>
        </w:rPr>
        <w:t>甲方自合同生效之日起10个工作日内向乙方拨付30%的合同款，乙方完成所有检查家数并出具检查报告后甲方支付60%的合同款，甲方验收合格后10个工作日内支付10%的合同款。</w:t>
      </w:r>
    </w:p>
    <w:p w14:paraId="3A29FAF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eastAsia="zh-CN"/>
        </w:rPr>
        <w:t>六</w:t>
      </w:r>
      <w:r>
        <w:rPr>
          <w:rFonts w:hint="eastAsia" w:ascii="宋体" w:hAnsi="宋体"/>
          <w:b/>
          <w:color w:val="auto"/>
          <w:szCs w:val="21"/>
          <w:highlight w:val="none"/>
        </w:rPr>
        <w:t>条　验收、交付标准和方法</w:t>
      </w:r>
    </w:p>
    <w:p w14:paraId="5C41088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1.验收标准和方法</w:t>
      </w:r>
    </w:p>
    <w:p w14:paraId="4944B3A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（1）验收标准：</w:t>
      </w:r>
    </w:p>
    <w:p w14:paraId="6EFE2163">
      <w:pPr>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①采购人对乙方提交的服务依据合同和国家有关质量标准进行验收。</w:t>
      </w:r>
    </w:p>
    <w:p w14:paraId="174931AA">
      <w:pPr>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②乙方交付服务前应对服务作出全面检查和对验收文件进行整理，并列出清单，作为甲方验收和使用的技术条件依据，检验的结果应随服务交甲方。乙方不能完整交付服务及本款规定的单证和材料的，必须负责补齐，否则视为未按合同约定交付服务。</w:t>
      </w:r>
    </w:p>
    <w:p w14:paraId="5803BB4B">
      <w:pPr>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③甲方组织验收，乙方必须到场配合。验收合格后甲乙双方签署验收合格凭证。</w:t>
      </w:r>
    </w:p>
    <w:p w14:paraId="671A5602">
      <w:pPr>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④其他未尽事宜应严格按照《关于印发广西壮族自治区政府采购项目履约验收管理办法的通知》[桂财采〔2015〕22号]以及《财政部关于进一步加强政府采购需求和履约验收管理的指导意见》[财库〔2016〕205号]规定执行。</w:t>
      </w:r>
    </w:p>
    <w:p w14:paraId="56EE3233">
      <w:pPr>
        <w:snapToGrid w:val="0"/>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⑤验收产生的费用由乙方负责。</w:t>
      </w:r>
    </w:p>
    <w:p w14:paraId="52C3908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（2）验收程序及方法：</w:t>
      </w:r>
    </w:p>
    <w:p w14:paraId="395448F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1）乙方完成服务实施和培训后，向甲方提交验收书面申请。</w:t>
      </w:r>
    </w:p>
    <w:p w14:paraId="522956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2）甲方收到乙方验收申请之日起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个工作日内组织开展履约验收。甲方委托第三方机构组织项目验收的，其验收时间以该项目验收方案确定的验收时间为准。</w:t>
      </w:r>
    </w:p>
    <w:p w14:paraId="136633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3）负责本项目验收的单位按下列</w:t>
      </w:r>
      <w:r>
        <w:rPr>
          <w:rFonts w:hint="eastAsia" w:ascii="宋体" w:hAnsi="宋体"/>
          <w:color w:val="auto"/>
          <w:szCs w:val="21"/>
          <w:highlight w:val="none"/>
          <w:u w:val="single"/>
        </w:rPr>
        <w:t xml:space="preserve">    </w:t>
      </w:r>
      <w:r>
        <w:rPr>
          <w:rFonts w:hint="eastAsia" w:ascii="宋体" w:hAnsi="宋体"/>
          <w:color w:val="auto"/>
          <w:szCs w:val="21"/>
          <w:highlight w:val="none"/>
        </w:rPr>
        <w:t>方式确定：</w:t>
      </w:r>
    </w:p>
    <w:p w14:paraId="05496FE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①甲方自行组织；</w:t>
      </w:r>
    </w:p>
    <w:p w14:paraId="2AAF5F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②甲方委托的第三方机构组织；</w:t>
      </w:r>
    </w:p>
    <w:p w14:paraId="301B55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4）本项目验收由验收小组按照采购合同约定对每一项技术和商务要求的履约情况进行确认。</w:t>
      </w:r>
    </w:p>
    <w:p w14:paraId="49491B2B">
      <w:pPr>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F982A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color w:val="auto"/>
          <w:szCs w:val="21"/>
          <w:highlight w:val="none"/>
        </w:rPr>
        <w:t>验收书一式</w:t>
      </w:r>
      <w:r>
        <w:rPr>
          <w:color w:val="auto"/>
          <w:szCs w:val="21"/>
          <w:highlight w:val="none"/>
          <w:u w:val="single"/>
        </w:rPr>
        <w:t xml:space="preserve">   </w:t>
      </w:r>
      <w:r>
        <w:rPr>
          <w:rFonts w:hint="eastAsia"/>
          <w:color w:val="auto"/>
          <w:szCs w:val="21"/>
          <w:highlight w:val="none"/>
        </w:rPr>
        <w:t>份，甲乙双方各执</w:t>
      </w:r>
      <w:r>
        <w:rPr>
          <w:color w:val="auto"/>
          <w:szCs w:val="21"/>
          <w:highlight w:val="none"/>
          <w:u w:val="single"/>
        </w:rPr>
        <w:t xml:space="preserve">   </w:t>
      </w:r>
      <w:r>
        <w:rPr>
          <w:rFonts w:hint="eastAsia"/>
          <w:color w:val="auto"/>
          <w:szCs w:val="21"/>
          <w:highlight w:val="none"/>
        </w:rPr>
        <w:t>份、受托第三方机构一份（如有）</w:t>
      </w:r>
      <w:r>
        <w:rPr>
          <w:rFonts w:hint="eastAsia" w:ascii="宋体" w:hAnsi="宋体"/>
          <w:color w:val="auto"/>
          <w:szCs w:val="21"/>
          <w:highlight w:val="none"/>
        </w:rPr>
        <w:t xml:space="preserve">。 </w:t>
      </w:r>
    </w:p>
    <w:p w14:paraId="21754C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7）验收结论不合格的，乙方应自收到验收书后</w:t>
      </w:r>
      <w:r>
        <w:rPr>
          <w:rFonts w:hint="eastAsia" w:ascii="宋体" w:hAnsi="宋体"/>
          <w:color w:val="auto"/>
          <w:szCs w:val="21"/>
          <w:highlight w:val="none"/>
          <w:u w:val="single"/>
        </w:rPr>
        <w:t xml:space="preserve">   </w:t>
      </w:r>
      <w:r>
        <w:rPr>
          <w:rFonts w:hint="eastAsia" w:ascii="宋体" w:hAnsi="宋体"/>
          <w:color w:val="auto"/>
          <w:szCs w:val="21"/>
          <w:highlight w:val="none"/>
        </w:rPr>
        <w:t>日内及时予以解决。经乙方对验收结论不合格的货物进行整改后，仍然达不到要求的，经双方协商，可按以下办法处理：</w:t>
      </w:r>
    </w:p>
    <w:p w14:paraId="756C6F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①更换：由乙方承担所发生的全部费用。</w:t>
      </w:r>
    </w:p>
    <w:p w14:paraId="0106177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②贬值处理：由甲乙双方合议定价。</w:t>
      </w:r>
    </w:p>
    <w:p w14:paraId="739B18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hint="eastAsia"/>
          <w:color w:val="auto"/>
          <w:highlight w:val="none"/>
        </w:rPr>
        <w:t>验收费用</w:t>
      </w:r>
      <w:r>
        <w:rPr>
          <w:rFonts w:hint="eastAsia" w:ascii="宋体" w:hAnsi="宋体"/>
          <w:color w:val="auto"/>
          <w:szCs w:val="21"/>
          <w:highlight w:val="none"/>
        </w:rPr>
        <w:t>按下列</w:t>
      </w:r>
      <w:r>
        <w:rPr>
          <w:rFonts w:hint="eastAsia" w:ascii="宋体" w:hAnsi="宋体"/>
          <w:color w:val="auto"/>
          <w:szCs w:val="21"/>
          <w:highlight w:val="none"/>
          <w:u w:val="single"/>
        </w:rPr>
        <w:t xml:space="preserve">    </w:t>
      </w:r>
      <w:r>
        <w:rPr>
          <w:rFonts w:hint="eastAsia" w:ascii="宋体" w:hAnsi="宋体"/>
          <w:color w:val="auto"/>
          <w:szCs w:val="21"/>
          <w:highlight w:val="none"/>
        </w:rPr>
        <w:t>方式确定：</w:t>
      </w:r>
    </w:p>
    <w:p w14:paraId="29C9B3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①甲方支付；</w:t>
      </w:r>
    </w:p>
    <w:p w14:paraId="523B82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②乙方支付；</w:t>
      </w:r>
    </w:p>
    <w:p w14:paraId="0B314A00">
      <w:pPr>
        <w:spacing w:line="360" w:lineRule="auto"/>
        <w:ind w:firstLine="420" w:firstLineChars="200"/>
        <w:rPr>
          <w:rFonts w:hint="eastAsia" w:ascii="宋体" w:hAnsi="宋体"/>
          <w:color w:val="auto"/>
          <w:highlight w:val="none"/>
        </w:rPr>
      </w:pPr>
      <w:r>
        <w:rPr>
          <w:rFonts w:hint="eastAsia" w:ascii="宋体" w:hAnsi="宋体"/>
          <w:color w:val="auto"/>
          <w:highlight w:val="none"/>
        </w:rPr>
        <w:t>2.交付标准和方法</w:t>
      </w:r>
    </w:p>
    <w:p w14:paraId="441FF7FA">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（1）除售后服务验收外，</w:t>
      </w:r>
      <w:r>
        <w:rPr>
          <w:rFonts w:hint="eastAsia" w:ascii="宋体" w:hAnsi="宋体"/>
          <w:color w:val="auto"/>
          <w:szCs w:val="21"/>
          <w:highlight w:val="none"/>
        </w:rPr>
        <w:t>验收结论合格的，乙方应自收到验收书/报告后</w:t>
      </w:r>
      <w:r>
        <w:rPr>
          <w:rFonts w:hint="eastAsia" w:ascii="宋体" w:hAnsi="宋体"/>
          <w:color w:val="auto"/>
          <w:szCs w:val="21"/>
          <w:highlight w:val="none"/>
          <w:u w:val="single"/>
        </w:rPr>
        <w:t xml:space="preserve">   </w:t>
      </w:r>
      <w:r>
        <w:rPr>
          <w:rFonts w:hint="eastAsia" w:ascii="宋体" w:hAnsi="宋体"/>
          <w:color w:val="auto"/>
          <w:szCs w:val="21"/>
          <w:highlight w:val="none"/>
        </w:rPr>
        <w:t>日内向甲方交付使用。</w:t>
      </w:r>
    </w:p>
    <w:p w14:paraId="24461253">
      <w:pPr>
        <w:spacing w:line="360" w:lineRule="auto"/>
        <w:ind w:firstLine="420" w:firstLineChars="200"/>
        <w:rPr>
          <w:rFonts w:hint="eastAsia" w:ascii="宋体" w:hAnsi="宋体"/>
          <w:color w:val="auto"/>
          <w:highlight w:val="none"/>
        </w:rPr>
      </w:pPr>
      <w:r>
        <w:rPr>
          <w:rFonts w:hint="eastAsia" w:ascii="宋体" w:hAnsi="宋体"/>
          <w:color w:val="auto"/>
          <w:highlight w:val="none"/>
        </w:rPr>
        <w:t>（2）甲方在初步验收或者最终验收过程中如发现乙方提供的服务成果不满足响应文件及本合同规定的，暂停向乙方付款，直到乙方及时完善并提交相应的服务成果且经甲方验收合格后，方可办理付款。</w:t>
      </w:r>
    </w:p>
    <w:p w14:paraId="1503CC3F">
      <w:pPr>
        <w:snapToGrid w:val="0"/>
        <w:spacing w:line="360" w:lineRule="auto"/>
        <w:ind w:firstLine="420" w:firstLineChars="200"/>
        <w:rPr>
          <w:rFonts w:hint="eastAsia" w:ascii="宋体" w:hAnsi="宋体"/>
          <w:b/>
          <w:color w:val="auto"/>
          <w:szCs w:val="21"/>
          <w:highlight w:val="none"/>
        </w:rPr>
      </w:pPr>
      <w:r>
        <w:rPr>
          <w:rFonts w:hint="eastAsia" w:ascii="宋体" w:hAnsi="宋体"/>
          <w:color w:val="auto"/>
          <w:highlight w:val="none"/>
        </w:rPr>
        <w:t>（3）伴随货物的，其所有权和风险自交付时起由乙方转移至甲方，货物交付给甲方之前所有风险均由乙方承担。</w:t>
      </w:r>
    </w:p>
    <w:p w14:paraId="1F1759F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eastAsia="zh-CN"/>
        </w:rPr>
        <w:t>七</w:t>
      </w:r>
      <w:r>
        <w:rPr>
          <w:rFonts w:hint="eastAsia" w:ascii="宋体" w:hAnsi="宋体"/>
          <w:b/>
          <w:color w:val="auto"/>
          <w:szCs w:val="21"/>
          <w:highlight w:val="none"/>
        </w:rPr>
        <w:t>条  售后服务</w:t>
      </w:r>
    </w:p>
    <w:p w14:paraId="3EA95B9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color w:val="auto"/>
          <w:highlight w:val="none"/>
        </w:rPr>
        <w:t xml:space="preserve"> </w:t>
      </w:r>
      <w:r>
        <w:rPr>
          <w:rFonts w:hint="eastAsia" w:ascii="宋体" w:hAnsi="宋体" w:cs="宋体"/>
          <w:color w:val="auto"/>
          <w:szCs w:val="21"/>
          <w:highlight w:val="none"/>
        </w:rPr>
        <w:t>乙方应按照国家有关法律法规规定以及响应文件承诺，为甲方提供售后服务。</w:t>
      </w:r>
    </w:p>
    <w:p w14:paraId="4659B58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w:t>
      </w:r>
      <w:r>
        <w:rPr>
          <w:rFonts w:hint="eastAsia" w:ascii="宋体" w:hAnsi="宋体"/>
          <w:b/>
          <w:color w:val="auto"/>
          <w:szCs w:val="21"/>
          <w:highlight w:val="none"/>
          <w:lang w:eastAsia="zh-CN"/>
        </w:rPr>
        <w:t>八</w:t>
      </w:r>
      <w:r>
        <w:rPr>
          <w:rFonts w:hint="eastAsia" w:ascii="宋体" w:hAnsi="宋体"/>
          <w:b/>
          <w:color w:val="auto"/>
          <w:szCs w:val="21"/>
          <w:highlight w:val="none"/>
        </w:rPr>
        <w:t>条　违约责任</w:t>
      </w:r>
    </w:p>
    <w:p w14:paraId="4EE331C4">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1.合同一方不履行合同义务、履行合同义务不符合约定或者违反合同项下所作保证的， 应向对方承担继续履行、采取修理、更换、退货等补救措施或者赔偿损失等违约责任。</w:t>
      </w:r>
    </w:p>
    <w:p w14:paraId="11799D68">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lang w:val="en-US" w:eastAsia="zh-CN"/>
        </w:rPr>
        <w:t>2.乙方未按期限提交服务内容的（特殊情况经甲方同意延期除外），乙方商每天应向甲方支付合同总金额2‰的违约金，逾期交付超过15天的，视为乙方商严重违约，甲方有权依法解除合同并要求乙方支付合同总金额10%的违约金，同时赔偿给甲方造成的经济损失。</w:t>
      </w:r>
    </w:p>
    <w:p w14:paraId="57A7A6E9">
      <w:pPr>
        <w:pStyle w:val="8"/>
        <w:snapToGrid w:val="0"/>
        <w:spacing w:line="360" w:lineRule="auto"/>
        <w:ind w:firstLine="420" w:firstLineChars="200"/>
        <w:rPr>
          <w:rFonts w:hint="eastAsia" w:hAnsi="宋体"/>
          <w:color w:val="auto"/>
          <w:sz w:val="21"/>
          <w:highlight w:val="none"/>
        </w:rPr>
      </w:pPr>
    </w:p>
    <w:p w14:paraId="3EF93A2A">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3.甲方未能按合同约定支付合同价款的，应向乙方支付延迟付款违约金。迟延付款违约金的计算方法如下：</w:t>
      </w:r>
    </w:p>
    <w:p w14:paraId="5E84A5E9">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（1）从迟付的第一周到第四周，每周迟延付款违约金为迟延付款金额的</w:t>
      </w:r>
      <w:r>
        <w:rPr>
          <w:rFonts w:hint="eastAsia" w:hAnsi="宋体"/>
          <w:i/>
          <w:color w:val="auto"/>
          <w:sz w:val="21"/>
          <w:highlight w:val="none"/>
          <w:u w:val="single"/>
        </w:rPr>
        <w:t xml:space="preserve"> 0.5%</w:t>
      </w:r>
      <w:r>
        <w:rPr>
          <w:rFonts w:hint="eastAsia" w:hAnsi="宋体"/>
          <w:color w:val="auto"/>
          <w:sz w:val="21"/>
          <w:highlight w:val="none"/>
        </w:rPr>
        <w:t>；</w:t>
      </w:r>
    </w:p>
    <w:p w14:paraId="4EA05297">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（2）从迟付的第五周到第八周，每周迟延付款违约金为迟延付款金额的</w:t>
      </w:r>
      <w:r>
        <w:rPr>
          <w:rFonts w:hint="eastAsia" w:hAnsi="宋体"/>
          <w:i/>
          <w:color w:val="auto"/>
          <w:sz w:val="21"/>
          <w:highlight w:val="none"/>
          <w:u w:val="single"/>
        </w:rPr>
        <w:t xml:space="preserve"> 1%</w:t>
      </w:r>
      <w:r>
        <w:rPr>
          <w:rFonts w:hint="eastAsia" w:hAnsi="宋体"/>
          <w:color w:val="auto"/>
          <w:sz w:val="21"/>
          <w:highlight w:val="none"/>
        </w:rPr>
        <w:t>；</w:t>
      </w:r>
    </w:p>
    <w:p w14:paraId="67238C14">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（3）从迟付第九周起，每周迟延付款违约金为迟延付款金额的</w:t>
      </w:r>
      <w:r>
        <w:rPr>
          <w:rFonts w:hint="eastAsia" w:hAnsi="宋体"/>
          <w:i/>
          <w:color w:val="auto"/>
          <w:sz w:val="21"/>
          <w:highlight w:val="none"/>
          <w:u w:val="single"/>
        </w:rPr>
        <w:t xml:space="preserve"> 1.5%</w:t>
      </w:r>
      <w:r>
        <w:rPr>
          <w:rFonts w:hint="eastAsia" w:hAnsi="宋体"/>
          <w:color w:val="auto"/>
          <w:sz w:val="21"/>
          <w:highlight w:val="none"/>
        </w:rPr>
        <w:t>。在计算迟延付款违约金时，迟付不足一周的按一周计算。迟延付款违约金的总额不得超过合同价格的</w:t>
      </w:r>
      <w:r>
        <w:rPr>
          <w:rFonts w:hint="eastAsia" w:hAnsi="宋体"/>
          <w:color w:val="auto"/>
          <w:sz w:val="21"/>
          <w:highlight w:val="none"/>
          <w:u w:val="single"/>
        </w:rPr>
        <w:t xml:space="preserve"> 10%</w:t>
      </w:r>
      <w:r>
        <w:rPr>
          <w:rFonts w:hint="eastAsia" w:hAnsi="宋体"/>
          <w:color w:val="auto"/>
          <w:sz w:val="21"/>
          <w:highlight w:val="none"/>
        </w:rPr>
        <w:t>。</w:t>
      </w:r>
    </w:p>
    <w:p w14:paraId="6FEA33C8">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4.乙方未按本合同和</w:t>
      </w:r>
      <w:r>
        <w:rPr>
          <w:rFonts w:hint="eastAsia" w:hAnsi="宋体"/>
          <w:color w:val="auto"/>
          <w:sz w:val="21"/>
          <w:highlight w:val="none"/>
          <w:lang w:eastAsia="zh-CN"/>
        </w:rPr>
        <w:t>响应文件</w:t>
      </w:r>
      <w:r>
        <w:rPr>
          <w:rFonts w:hint="eastAsia" w:hAnsi="宋体"/>
          <w:color w:val="auto"/>
          <w:sz w:val="21"/>
          <w:highlight w:val="none"/>
        </w:rPr>
        <w:t xml:space="preserve">承诺提供售后服务的，乙方应按本合同价款（报酬）的 </w:t>
      </w:r>
      <w:r>
        <w:rPr>
          <w:rFonts w:hint="eastAsia" w:hAnsi="宋体"/>
          <w:color w:val="auto"/>
          <w:sz w:val="21"/>
          <w:highlight w:val="none"/>
          <w:u w:val="single"/>
        </w:rPr>
        <w:t xml:space="preserve">   </w:t>
      </w:r>
      <w:r>
        <w:rPr>
          <w:rFonts w:hint="eastAsia" w:hAnsi="宋体"/>
          <w:color w:val="auto"/>
          <w:sz w:val="21"/>
          <w:highlight w:val="none"/>
        </w:rPr>
        <w:t>%向甲方支付违约金。</w:t>
      </w:r>
    </w:p>
    <w:p w14:paraId="1B518DB0">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5.因某一方原因导致变更、中止或者终止政府采购合同的，该方应当对另一方受到的损失予以赔偿或者补偿。</w:t>
      </w:r>
    </w:p>
    <w:p w14:paraId="66B1377E">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6.</w:t>
      </w:r>
      <w:r>
        <w:rPr>
          <w:rFonts w:hint="eastAsia" w:hAnsi="宋体"/>
          <w:color w:val="auto"/>
          <w:sz w:val="21"/>
          <w:highlight w:val="none"/>
          <w:lang w:eastAsia="zh-CN"/>
        </w:rPr>
        <w:t>其他</w:t>
      </w:r>
      <w:r>
        <w:rPr>
          <w:rFonts w:hint="eastAsia" w:hAnsi="宋体"/>
          <w:color w:val="auto"/>
          <w:sz w:val="21"/>
          <w:highlight w:val="none"/>
        </w:rPr>
        <w:t>违约责任按《中华人民共和国民法典》处理。</w:t>
      </w:r>
    </w:p>
    <w:p w14:paraId="40A6C6CE">
      <w:pPr>
        <w:pStyle w:val="8"/>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w:t>
      </w:r>
      <w:r>
        <w:rPr>
          <w:rFonts w:hint="eastAsia" w:hAnsi="宋体"/>
          <w:b/>
          <w:color w:val="auto"/>
          <w:sz w:val="21"/>
          <w:highlight w:val="none"/>
          <w:lang w:eastAsia="zh-CN"/>
        </w:rPr>
        <w:t>九</w:t>
      </w:r>
      <w:r>
        <w:rPr>
          <w:rFonts w:hint="eastAsia" w:hAnsi="宋体"/>
          <w:b/>
          <w:color w:val="auto"/>
          <w:sz w:val="21"/>
          <w:highlight w:val="none"/>
        </w:rPr>
        <w:t>条  不可抗力事件处理</w:t>
      </w:r>
    </w:p>
    <w:p w14:paraId="6DA85DCB">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3BBDFCF2">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1C21477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7836ECA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第十条  合同争议解决</w:t>
      </w:r>
    </w:p>
    <w:p w14:paraId="30303AD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1.因服务质量问题发生争议的，应邀请国家认可的质量检测机构或专家组进行鉴定。服务符合标准的，鉴定费由甲方承担；服务不符合标准的，鉴定费由乙方承担。</w:t>
      </w:r>
    </w:p>
    <w:p w14:paraId="0767B7B8">
      <w:pPr>
        <w:autoSpaceDE w:val="0"/>
        <w:autoSpaceDN w:val="0"/>
        <w:adjustRightInd w:val="0"/>
        <w:spacing w:line="360" w:lineRule="auto"/>
        <w:ind w:left="100" w:right="42" w:firstLine="420"/>
        <w:rPr>
          <w:rFonts w:hint="eastAsia" w:ascii="宋体" w:hAnsi="宋体"/>
          <w:color w:val="auto"/>
          <w:szCs w:val="21"/>
          <w:highlight w:val="none"/>
        </w:rPr>
      </w:pPr>
      <w:r>
        <w:rPr>
          <w:rFonts w:hint="eastAsia" w:ascii="宋体" w:hAnsi="宋体"/>
          <w:color w:val="auto"/>
          <w:szCs w:val="21"/>
          <w:highlight w:val="none"/>
        </w:rPr>
        <w:t>2.因履行本合同引起的或者与本合同有关的争议，甲乙双方应首先通过友好协商解决，如果协商不能解决，按下列</w:t>
      </w:r>
      <w:r>
        <w:rPr>
          <w:rFonts w:hint="eastAsia" w:ascii="宋体" w:hAnsi="宋体"/>
          <w:color w:val="auto"/>
          <w:szCs w:val="21"/>
          <w:highlight w:val="none"/>
          <w:u w:val="single"/>
        </w:rPr>
        <w:t xml:space="preserve">    </w:t>
      </w:r>
      <w:r>
        <w:rPr>
          <w:rFonts w:hint="eastAsia" w:ascii="宋体" w:hAnsi="宋体"/>
          <w:color w:val="auto"/>
          <w:szCs w:val="21"/>
          <w:highlight w:val="none"/>
        </w:rPr>
        <w:t>方式解决：</w:t>
      </w:r>
    </w:p>
    <w:p w14:paraId="288A03FF">
      <w:pPr>
        <w:autoSpaceDE w:val="0"/>
        <w:autoSpaceDN w:val="0"/>
        <w:adjustRightInd w:val="0"/>
        <w:spacing w:line="360" w:lineRule="auto"/>
        <w:ind w:right="40" w:firstLine="420"/>
        <w:rPr>
          <w:rFonts w:hint="eastAsia"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lang w:eastAsia="zh-CN"/>
        </w:rPr>
        <w:t>防城港市</w:t>
      </w:r>
      <w:r>
        <w:rPr>
          <w:rFonts w:hint="eastAsia" w:ascii="宋体" w:hAnsi="宋体"/>
          <w:color w:val="auto"/>
          <w:szCs w:val="21"/>
          <w:highlight w:val="none"/>
        </w:rPr>
        <w:t>仲裁委员会申请仲裁；</w:t>
      </w:r>
    </w:p>
    <w:p w14:paraId="5BB90622">
      <w:pPr>
        <w:autoSpaceDE w:val="0"/>
        <w:autoSpaceDN w:val="0"/>
        <w:adjustRightInd w:val="0"/>
        <w:spacing w:line="360" w:lineRule="auto"/>
        <w:ind w:right="40" w:firstLine="42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）向甲方所在地人民法院提起诉讼。</w:t>
      </w:r>
    </w:p>
    <w:p w14:paraId="56A9502F">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eastAsia="zh-CN"/>
        </w:rPr>
        <w:t>一</w:t>
      </w:r>
      <w:r>
        <w:rPr>
          <w:rFonts w:hint="eastAsia" w:ascii="宋体" w:hAnsi="宋体"/>
          <w:b/>
          <w:color w:val="auto"/>
          <w:szCs w:val="21"/>
          <w:highlight w:val="none"/>
        </w:rPr>
        <w:t>条　合同的变更、中止或者终止</w:t>
      </w:r>
    </w:p>
    <w:p w14:paraId="42F5980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除《中华人民共和国政府采购法》第五十条规定的情形外，本合同一经签订，甲乙双方不得擅自变更、中止或者终止合同。</w:t>
      </w:r>
    </w:p>
    <w:p w14:paraId="027E245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30C983AB">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eastAsia="zh-CN"/>
        </w:rPr>
        <w:t>二</w:t>
      </w:r>
      <w:r>
        <w:rPr>
          <w:rFonts w:hint="eastAsia" w:ascii="宋体" w:hAnsi="宋体"/>
          <w:b/>
          <w:color w:val="auto"/>
          <w:szCs w:val="21"/>
          <w:highlight w:val="none"/>
        </w:rPr>
        <w:t>条　</w:t>
      </w:r>
      <w:r>
        <w:rPr>
          <w:rFonts w:hint="eastAsia" w:ascii="宋体" w:hAnsi="宋体" w:cs="微软雅黑"/>
          <w:b/>
          <w:color w:val="auto"/>
          <w:kern w:val="0"/>
          <w:szCs w:val="21"/>
          <w:highlight w:val="none"/>
        </w:rPr>
        <w:t>合</w:t>
      </w:r>
      <w:r>
        <w:rPr>
          <w:rFonts w:hint="eastAsia" w:ascii="宋体" w:hAnsi="宋体" w:cs="微软雅黑"/>
          <w:b/>
          <w:color w:val="auto"/>
          <w:spacing w:val="-2"/>
          <w:kern w:val="0"/>
          <w:szCs w:val="21"/>
          <w:highlight w:val="none"/>
        </w:rPr>
        <w:t>同</w:t>
      </w:r>
      <w:r>
        <w:rPr>
          <w:rFonts w:hint="eastAsia" w:ascii="宋体" w:hAnsi="宋体" w:cs="微软雅黑"/>
          <w:b/>
          <w:color w:val="auto"/>
          <w:kern w:val="0"/>
          <w:szCs w:val="21"/>
          <w:highlight w:val="none"/>
        </w:rPr>
        <w:t>文</w:t>
      </w:r>
      <w:r>
        <w:rPr>
          <w:rFonts w:hint="eastAsia" w:ascii="宋体" w:hAnsi="宋体" w:cs="微软雅黑"/>
          <w:b/>
          <w:color w:val="auto"/>
          <w:spacing w:val="-2"/>
          <w:kern w:val="0"/>
          <w:szCs w:val="21"/>
          <w:highlight w:val="none"/>
        </w:rPr>
        <w:t>件构成</w:t>
      </w:r>
    </w:p>
    <w:p w14:paraId="5FE0EC7E">
      <w:pPr>
        <w:pStyle w:val="8"/>
        <w:snapToGrid w:val="0"/>
        <w:spacing w:line="360" w:lineRule="auto"/>
        <w:ind w:left="420" w:leftChars="200"/>
        <w:rPr>
          <w:rFonts w:hint="eastAsia" w:hAnsi="宋体"/>
          <w:color w:val="auto"/>
          <w:sz w:val="21"/>
          <w:highlight w:val="none"/>
        </w:rPr>
      </w:pPr>
      <w:r>
        <w:rPr>
          <w:rFonts w:hint="eastAsia" w:hAnsi="宋体"/>
          <w:color w:val="auto"/>
          <w:sz w:val="21"/>
          <w:highlight w:val="none"/>
        </w:rPr>
        <w:t>1.政府采购合同</w:t>
      </w:r>
    </w:p>
    <w:p w14:paraId="3E367588">
      <w:pPr>
        <w:pStyle w:val="8"/>
        <w:snapToGrid w:val="0"/>
        <w:spacing w:line="360" w:lineRule="auto"/>
        <w:ind w:left="420" w:leftChars="200"/>
        <w:rPr>
          <w:rFonts w:hint="eastAsia" w:hAnsi="宋体"/>
          <w:color w:val="auto"/>
          <w:sz w:val="21"/>
          <w:highlight w:val="none"/>
        </w:rPr>
      </w:pPr>
      <w:r>
        <w:rPr>
          <w:rFonts w:hint="eastAsia" w:hAnsi="宋体"/>
          <w:color w:val="auto"/>
          <w:sz w:val="21"/>
          <w:highlight w:val="none"/>
        </w:rPr>
        <w:t>2.成交通知书；</w:t>
      </w:r>
    </w:p>
    <w:p w14:paraId="4A008066">
      <w:pPr>
        <w:pStyle w:val="8"/>
        <w:snapToGrid w:val="0"/>
        <w:spacing w:line="360" w:lineRule="auto"/>
        <w:ind w:left="420" w:leftChars="200"/>
        <w:rPr>
          <w:rFonts w:hint="eastAsia" w:hAnsi="宋体"/>
          <w:color w:val="auto"/>
          <w:sz w:val="21"/>
          <w:highlight w:val="none"/>
        </w:rPr>
      </w:pPr>
      <w:r>
        <w:rPr>
          <w:rFonts w:hint="eastAsia" w:hAnsi="宋体"/>
          <w:color w:val="auto"/>
          <w:sz w:val="21"/>
          <w:highlight w:val="none"/>
        </w:rPr>
        <w:t>3.响应文件；</w:t>
      </w:r>
    </w:p>
    <w:p w14:paraId="65BF90F2">
      <w:pPr>
        <w:pStyle w:val="8"/>
        <w:snapToGrid w:val="0"/>
        <w:spacing w:line="360" w:lineRule="auto"/>
        <w:ind w:left="420" w:leftChars="200"/>
        <w:rPr>
          <w:rFonts w:hint="eastAsia" w:hAnsi="宋体"/>
          <w:color w:val="auto"/>
          <w:sz w:val="21"/>
          <w:highlight w:val="none"/>
        </w:rPr>
      </w:pPr>
      <w:r>
        <w:rPr>
          <w:rFonts w:hint="eastAsia" w:hAnsi="宋体"/>
          <w:color w:val="auto"/>
          <w:sz w:val="21"/>
          <w:highlight w:val="none"/>
        </w:rPr>
        <w:t>4.采购文件及更正公告（澄清或补充通知）；</w:t>
      </w:r>
    </w:p>
    <w:p w14:paraId="5D8EBB45">
      <w:pPr>
        <w:pStyle w:val="8"/>
        <w:snapToGrid w:val="0"/>
        <w:spacing w:line="360" w:lineRule="auto"/>
        <w:ind w:left="420" w:leftChars="200"/>
        <w:rPr>
          <w:rFonts w:hint="eastAsia" w:hAnsi="宋体"/>
          <w:color w:val="auto"/>
          <w:sz w:val="21"/>
          <w:highlight w:val="none"/>
        </w:rPr>
      </w:pPr>
      <w:r>
        <w:rPr>
          <w:rFonts w:hint="eastAsia" w:hAnsi="宋体"/>
          <w:color w:val="auto"/>
          <w:sz w:val="21"/>
          <w:highlight w:val="none"/>
        </w:rPr>
        <w:t>5.标准、规范及有关技术文件；</w:t>
      </w:r>
    </w:p>
    <w:p w14:paraId="174B9BEF">
      <w:pPr>
        <w:pStyle w:val="8"/>
        <w:snapToGrid w:val="0"/>
        <w:spacing w:line="360" w:lineRule="auto"/>
        <w:ind w:left="420" w:leftChars="200"/>
        <w:rPr>
          <w:rFonts w:hint="eastAsia" w:hAnsi="宋体"/>
          <w:color w:val="auto"/>
          <w:sz w:val="21"/>
          <w:highlight w:val="none"/>
        </w:rPr>
      </w:pPr>
      <w:r>
        <w:rPr>
          <w:rFonts w:hint="eastAsia" w:hAnsi="宋体"/>
          <w:color w:val="auto"/>
          <w:sz w:val="21"/>
          <w:highlight w:val="none"/>
        </w:rPr>
        <w:t>6.双方约定的其他合同文件。</w:t>
      </w:r>
    </w:p>
    <w:p w14:paraId="545B54E9">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上述合同文件互相补充和解释。如果合同文件之间存在矛盾或者不一致之处，以上述文件的排列顺序在先者为准。</w:t>
      </w:r>
    </w:p>
    <w:p w14:paraId="4934A94F">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w:t>
      </w:r>
      <w:r>
        <w:rPr>
          <w:rFonts w:hint="eastAsia" w:hAnsi="宋体"/>
          <w:b/>
          <w:color w:val="auto"/>
          <w:highlight w:val="none"/>
        </w:rPr>
        <w:t>十</w:t>
      </w:r>
      <w:r>
        <w:rPr>
          <w:rFonts w:hint="eastAsia" w:hAnsi="宋体"/>
          <w:b/>
          <w:color w:val="auto"/>
          <w:highlight w:val="none"/>
          <w:lang w:eastAsia="zh-CN"/>
        </w:rPr>
        <w:t>三</w:t>
      </w:r>
      <w:r>
        <w:rPr>
          <w:rFonts w:hint="eastAsia" w:ascii="宋体" w:hAnsi="宋体"/>
          <w:b/>
          <w:color w:val="auto"/>
          <w:szCs w:val="21"/>
          <w:highlight w:val="none"/>
        </w:rPr>
        <w:t>条　知识产权和保密要求</w:t>
      </w:r>
    </w:p>
    <w:p w14:paraId="6446173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347FC90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51EB176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372E1B4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A675AC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EBC67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6.伴随货物的，乙方保证将要交付的货物的所有权完全属于乙方且无任何抵押、质押、查封等产权瑕疵。</w:t>
      </w:r>
    </w:p>
    <w:p w14:paraId="468BCF62">
      <w:pPr>
        <w:pStyle w:val="8"/>
        <w:snapToGrid w:val="0"/>
        <w:spacing w:line="360" w:lineRule="auto"/>
        <w:ind w:firstLine="413" w:firstLineChars="196"/>
        <w:rPr>
          <w:rFonts w:hint="eastAsia" w:hAnsi="宋体"/>
          <w:b/>
          <w:color w:val="auto"/>
          <w:sz w:val="21"/>
          <w:highlight w:val="none"/>
        </w:rPr>
      </w:pPr>
      <w:r>
        <w:rPr>
          <w:rFonts w:hint="eastAsia" w:hAnsi="宋体"/>
          <w:b/>
          <w:color w:val="auto"/>
          <w:sz w:val="21"/>
          <w:highlight w:val="none"/>
        </w:rPr>
        <w:t>第十</w:t>
      </w:r>
      <w:r>
        <w:rPr>
          <w:rFonts w:hint="eastAsia" w:hAnsi="宋体"/>
          <w:b/>
          <w:color w:val="auto"/>
          <w:sz w:val="21"/>
          <w:highlight w:val="none"/>
          <w:lang w:eastAsia="zh-CN"/>
        </w:rPr>
        <w:t>四</w:t>
      </w:r>
      <w:r>
        <w:rPr>
          <w:rFonts w:hint="eastAsia" w:hAnsi="宋体"/>
          <w:b/>
          <w:color w:val="auto"/>
          <w:sz w:val="21"/>
          <w:highlight w:val="none"/>
        </w:rPr>
        <w:t>条  合同生效</w:t>
      </w:r>
      <w:r>
        <w:rPr>
          <w:rFonts w:hint="eastAsia" w:hAnsi="宋体"/>
          <w:b/>
          <w:color w:val="auto"/>
          <w:sz w:val="21"/>
          <w:highlight w:val="none"/>
          <w:lang w:eastAsia="zh-CN"/>
        </w:rPr>
        <w:t>及其他</w:t>
      </w:r>
    </w:p>
    <w:p w14:paraId="79854767">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1.合同经双方法定代表人或者委托代理人签字并加盖单位公章后生效（委托代理人签字的需后附授权委托书，格式自拟）。</w:t>
      </w:r>
    </w:p>
    <w:p w14:paraId="2C303B4D">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2.合同执行中涉及采购资金和采购内容修改或者补充的，并签书面补充协议报财政部门备案，方可作为主合同不可分割的一部分。</w:t>
      </w:r>
    </w:p>
    <w:p w14:paraId="4C9B2FC3">
      <w:pPr>
        <w:pStyle w:val="8"/>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3.合同生效后，甲乙双方不得因姓名、名称的变更或者法定代表人、负责人、承办人的变动而不履行合同义务。</w:t>
      </w:r>
    </w:p>
    <w:p w14:paraId="2F19ABAE">
      <w:pPr>
        <w:pStyle w:val="8"/>
        <w:snapToGrid w:val="0"/>
        <w:spacing w:line="360" w:lineRule="auto"/>
        <w:ind w:left="420" w:leftChars="200"/>
        <w:rPr>
          <w:rFonts w:hint="eastAsia" w:hAnsi="宋体"/>
          <w:color w:val="auto"/>
          <w:sz w:val="21"/>
          <w:highlight w:val="none"/>
        </w:rPr>
      </w:pPr>
      <w:r>
        <w:rPr>
          <w:rFonts w:hint="eastAsia" w:hAnsi="宋体"/>
          <w:color w:val="auto"/>
          <w:sz w:val="21"/>
          <w:highlight w:val="none"/>
        </w:rPr>
        <w:t>4.本合同未尽事宜，遵照《中华人民共和国民法典》有关条文执行。</w:t>
      </w:r>
    </w:p>
    <w:p w14:paraId="3A99A34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5.本合同一式</w:t>
      </w:r>
      <w:r>
        <w:rPr>
          <w:rFonts w:hint="eastAsia" w:ascii="宋体" w:hAnsi="宋体"/>
          <w:i/>
          <w:color w:val="auto"/>
          <w:szCs w:val="21"/>
          <w:highlight w:val="none"/>
          <w:u w:val="single"/>
        </w:rPr>
        <w:t xml:space="preserve">   </w:t>
      </w:r>
      <w:r>
        <w:rPr>
          <w:rFonts w:hint="eastAsia" w:ascii="宋体" w:hAnsi="宋体"/>
          <w:color w:val="auto"/>
          <w:szCs w:val="21"/>
          <w:highlight w:val="none"/>
        </w:rPr>
        <w:t>份，具有同等法律效力，财政部门（政府采购监管部门）、采购代理机构各一份，甲乙双方各一份</w:t>
      </w:r>
      <w:r>
        <w:rPr>
          <w:rFonts w:hint="eastAsia" w:ascii="宋体" w:hAnsi="宋体"/>
          <w:i/>
          <w:color w:val="auto"/>
          <w:szCs w:val="21"/>
          <w:highlight w:val="none"/>
        </w:rPr>
        <w:t>（可根据需要另增加）</w:t>
      </w:r>
      <w:r>
        <w:rPr>
          <w:rFonts w:hint="eastAsia" w:ascii="宋体" w:hAnsi="宋体"/>
          <w:color w:val="auto"/>
          <w:szCs w:val="21"/>
          <w:highlight w:val="none"/>
        </w:rPr>
        <w:t>。</w:t>
      </w:r>
    </w:p>
    <w:p w14:paraId="107D02B3">
      <w:pPr>
        <w:spacing w:line="360" w:lineRule="auto"/>
        <w:ind w:firstLine="422" w:firstLineChars="200"/>
        <w:rPr>
          <w:rFonts w:hint="eastAsia" w:ascii="宋体" w:hAnsi="宋体" w:cs="宋体"/>
          <w:b/>
          <w:color w:val="auto"/>
          <w:szCs w:val="21"/>
          <w:highlight w:val="none"/>
        </w:rPr>
      </w:pPr>
    </w:p>
    <w:p w14:paraId="0AE60034">
      <w:pPr>
        <w:tabs>
          <w:tab w:val="left" w:pos="4395"/>
        </w:tabs>
        <w:spacing w:line="360" w:lineRule="auto"/>
        <w:rPr>
          <w:rFonts w:hint="eastAsia" w:ascii="宋体" w:hAnsi="宋体"/>
          <w:b/>
          <w:color w:val="auto"/>
          <w:szCs w:val="21"/>
          <w:highlight w:val="none"/>
        </w:rPr>
      </w:pPr>
      <w:r>
        <w:rPr>
          <w:rFonts w:hint="eastAsia" w:ascii="宋体" w:hAnsi="宋体"/>
          <w:b/>
          <w:color w:val="auto"/>
          <w:szCs w:val="21"/>
          <w:highlight w:val="none"/>
        </w:rPr>
        <w:t>甲方（盖章）：</w:t>
      </w:r>
      <w:r>
        <w:rPr>
          <w:rFonts w:hint="eastAsia" w:ascii="宋体" w:hAnsi="宋体"/>
          <w:b/>
          <w:color w:val="auto"/>
          <w:szCs w:val="21"/>
          <w:highlight w:val="none"/>
        </w:rPr>
        <w:tab/>
      </w:r>
      <w:r>
        <w:rPr>
          <w:rFonts w:hint="eastAsia" w:ascii="宋体" w:hAnsi="宋体"/>
          <w:b/>
          <w:color w:val="auto"/>
          <w:szCs w:val="21"/>
          <w:highlight w:val="none"/>
        </w:rPr>
        <w:t>乙方（盖章）：</w:t>
      </w:r>
    </w:p>
    <w:p w14:paraId="547F5352">
      <w:pPr>
        <w:tabs>
          <w:tab w:val="left" w:pos="4395"/>
        </w:tabs>
        <w:spacing w:line="360" w:lineRule="auto"/>
        <w:rPr>
          <w:rFonts w:hint="eastAsia" w:ascii="宋体" w:hAnsi="宋体"/>
          <w:b/>
          <w:color w:val="auto"/>
          <w:szCs w:val="21"/>
          <w:highlight w:val="none"/>
        </w:rPr>
      </w:pP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w:t>
      </w:r>
      <w:r>
        <w:rPr>
          <w:rFonts w:hint="eastAsia" w:ascii="宋体" w:hAnsi="宋体"/>
          <w:b/>
          <w:color w:val="auto"/>
          <w:szCs w:val="21"/>
          <w:highlight w:val="none"/>
        </w:rPr>
        <w:tab/>
      </w:r>
      <w:r>
        <w:rPr>
          <w:rFonts w:hint="eastAsia" w:ascii="宋体" w:hAnsi="宋体"/>
          <w:bCs/>
          <w:color w:val="auto"/>
          <w:szCs w:val="21"/>
          <w:highlight w:val="none"/>
        </w:rPr>
        <w:t>法定代表人或者委托代理人（签字）</w:t>
      </w:r>
      <w:r>
        <w:rPr>
          <w:rFonts w:hint="eastAsia" w:ascii="宋体" w:hAnsi="宋体"/>
          <w:b/>
          <w:color w:val="auto"/>
          <w:szCs w:val="21"/>
          <w:highlight w:val="none"/>
        </w:rPr>
        <w:t xml:space="preserve">： </w:t>
      </w:r>
    </w:p>
    <w:p w14:paraId="04552FDD">
      <w:pPr>
        <w:tabs>
          <w:tab w:val="left" w:pos="4395"/>
        </w:tabs>
        <w:spacing w:line="360" w:lineRule="auto"/>
        <w:rPr>
          <w:rFonts w:hint="eastAsia" w:ascii="宋体" w:hAnsi="宋体"/>
          <w:color w:val="auto"/>
          <w:szCs w:val="21"/>
          <w:highlight w:val="none"/>
        </w:rPr>
      </w:pPr>
    </w:p>
    <w:p w14:paraId="7790CDD7">
      <w:pPr>
        <w:tabs>
          <w:tab w:val="left" w:pos="4395"/>
        </w:tabs>
        <w:spacing w:line="360" w:lineRule="auto"/>
        <w:rPr>
          <w:rFonts w:hint="eastAsia" w:ascii="宋体" w:hAnsi="宋体"/>
          <w:color w:val="auto"/>
          <w:szCs w:val="21"/>
          <w:highlight w:val="none"/>
        </w:rPr>
      </w:pPr>
      <w:bookmarkStart w:id="91" w:name="OLE_LINK1"/>
      <w:r>
        <w:rPr>
          <w:rFonts w:hint="eastAsia" w:ascii="宋体" w:hAnsi="宋体"/>
          <w:color w:val="auto"/>
          <w:szCs w:val="21"/>
          <w:highlight w:val="none"/>
        </w:rPr>
        <w:t>签订日期</w:t>
      </w:r>
      <w:bookmarkEnd w:id="91"/>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签订日期：　　　年　　月　　日</w:t>
      </w:r>
    </w:p>
    <w:p w14:paraId="2482C529">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开户名称：</w:t>
      </w:r>
    </w:p>
    <w:p w14:paraId="5EE28A53">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银行账号：</w:t>
      </w:r>
    </w:p>
    <w:p w14:paraId="15DA8569">
      <w:pPr>
        <w:tabs>
          <w:tab w:val="left" w:pos="4395"/>
        </w:tabs>
        <w:spacing w:line="360" w:lineRule="auto"/>
        <w:rPr>
          <w:rFonts w:hint="eastAsia" w:ascii="宋体" w:hAnsi="宋体"/>
          <w:color w:val="auto"/>
          <w:szCs w:val="21"/>
          <w:highlight w:val="none"/>
        </w:rPr>
      </w:pPr>
      <w:r>
        <w:rPr>
          <w:rFonts w:hint="eastAsia" w:ascii="宋体" w:hAnsi="宋体"/>
          <w:color w:val="auto"/>
          <w:szCs w:val="21"/>
          <w:highlight w:val="none"/>
        </w:rPr>
        <w:tab/>
      </w:r>
      <w:r>
        <w:rPr>
          <w:rFonts w:hint="eastAsia" w:ascii="宋体" w:hAnsi="宋体"/>
          <w:color w:val="auto"/>
          <w:szCs w:val="21"/>
          <w:highlight w:val="none"/>
        </w:rPr>
        <w:t>开 户 行：</w:t>
      </w:r>
    </w:p>
    <w:p w14:paraId="1362D0F2">
      <w:pPr>
        <w:spacing w:line="520" w:lineRule="exact"/>
        <w:rPr>
          <w:rFonts w:ascii="宋体" w:hAnsi="宋体" w:cs="宋体"/>
          <w:color w:val="auto"/>
          <w:sz w:val="6"/>
          <w:szCs w:val="6"/>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E9E60">
    <w:pPr>
      <w:pStyle w:val="41"/>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EAFCC6">
                          <w:pPr>
                            <w:pStyle w:val="4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14:paraId="2DEAFCC6">
                    <w:pPr>
                      <w:pStyle w:val="41"/>
                    </w:pPr>
                    <w:r>
                      <w:fldChar w:fldCharType="begin"/>
                    </w:r>
                    <w:r>
                      <w:instrText xml:space="preserve"> PAGE  \* MERGEFORMAT </w:instrText>
                    </w:r>
                    <w:r>
                      <w:fldChar w:fldCharType="separate"/>
                    </w:r>
                    <w:r>
                      <w:t>1</w:t>
                    </w:r>
                    <w:r>
                      <w:fldChar w:fldCharType="end"/>
                    </w:r>
                  </w:p>
                </w:txbxContent>
              </v:textbox>
            </v:shape>
          </w:pict>
        </mc:Fallback>
      </mc:AlternateContent>
    </w:r>
  </w:p>
  <w:p w14:paraId="0703B2DA">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CA5A">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BEF1">
    <w:pPr>
      <w:pStyle w:val="41"/>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AFA9C"/>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58FAFA9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8CCB">
    <w:pPr>
      <w:pStyle w:val="4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E2064">
                          <w:pPr>
                            <w:pStyle w:val="41"/>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fill on="f" focussize="0,0"/>
              <v:stroke on="f"/>
              <v:imagedata o:title=""/>
              <o:lock v:ext="edit" aspectratio="f"/>
              <v:textbox inset="0mm,0mm,0mm,0mm" style="mso-fit-shape-to-text:t;">
                <w:txbxContent>
                  <w:p w14:paraId="08BE2064">
                    <w:pPr>
                      <w:pStyle w:val="41"/>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561F5833">
    <w:pPr>
      <w:pStyle w:val="4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6223">
    <w:pPr>
      <w:pStyle w:val="4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46DA23">
                          <w:pPr>
                            <w:pStyle w:val="41"/>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iBtMsBAACc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KogbTLAQAAnAMAAA4AAAAAAAAAAQAgAAAAHgEAAGRycy9lMm9E&#10;b2MueG1sUEsFBgAAAAAGAAYAWQEAAFsFAAAAAA==&#10;">
              <v:fill on="f" focussize="0,0"/>
              <v:stroke on="f"/>
              <v:imagedata o:title=""/>
              <o:lock v:ext="edit" aspectratio="f"/>
              <v:textbox inset="0mm,0mm,0mm,0mm" style="mso-fit-shape-to-text:t;">
                <w:txbxContent>
                  <w:p w14:paraId="1746DA23">
                    <w:pPr>
                      <w:pStyle w:val="4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585EC">
    <w:pPr>
      <w:pStyle w:val="4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85170">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B413">
    <w:pPr>
      <w:pStyle w:val="4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3795"/>
    <w:multiLevelType w:val="singleLevel"/>
    <w:tmpl w:val="A86537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7181"/>
    <w:rsid w:val="002B1FC1"/>
    <w:rsid w:val="00613879"/>
    <w:rsid w:val="016A73A1"/>
    <w:rsid w:val="02B22C99"/>
    <w:rsid w:val="035B4320"/>
    <w:rsid w:val="03D462D7"/>
    <w:rsid w:val="03F45851"/>
    <w:rsid w:val="05351ED6"/>
    <w:rsid w:val="062E4791"/>
    <w:rsid w:val="072232F3"/>
    <w:rsid w:val="07411F39"/>
    <w:rsid w:val="08E64D02"/>
    <w:rsid w:val="08F35AB6"/>
    <w:rsid w:val="09340F04"/>
    <w:rsid w:val="0978441D"/>
    <w:rsid w:val="0F524B39"/>
    <w:rsid w:val="0FF9736B"/>
    <w:rsid w:val="12CF75E2"/>
    <w:rsid w:val="15285CDE"/>
    <w:rsid w:val="172A4DE7"/>
    <w:rsid w:val="17E412A1"/>
    <w:rsid w:val="19433307"/>
    <w:rsid w:val="1A670100"/>
    <w:rsid w:val="1C6434E0"/>
    <w:rsid w:val="1F4B1385"/>
    <w:rsid w:val="20695B39"/>
    <w:rsid w:val="20893BAC"/>
    <w:rsid w:val="22EF46E3"/>
    <w:rsid w:val="277F6EBD"/>
    <w:rsid w:val="289C089D"/>
    <w:rsid w:val="2CD0422B"/>
    <w:rsid w:val="2DEC2D98"/>
    <w:rsid w:val="2EB122C1"/>
    <w:rsid w:val="2EF523B3"/>
    <w:rsid w:val="32D50491"/>
    <w:rsid w:val="32F87086"/>
    <w:rsid w:val="338829EA"/>
    <w:rsid w:val="33EE3E93"/>
    <w:rsid w:val="355A1355"/>
    <w:rsid w:val="38BE57BC"/>
    <w:rsid w:val="38DD47B4"/>
    <w:rsid w:val="39BF47C3"/>
    <w:rsid w:val="39C01A60"/>
    <w:rsid w:val="3ABD2283"/>
    <w:rsid w:val="3BE13D5E"/>
    <w:rsid w:val="3C826C65"/>
    <w:rsid w:val="3CFF6F77"/>
    <w:rsid w:val="3F9E5AC2"/>
    <w:rsid w:val="42814241"/>
    <w:rsid w:val="45BA3661"/>
    <w:rsid w:val="465A0995"/>
    <w:rsid w:val="47913C32"/>
    <w:rsid w:val="47DD7AD0"/>
    <w:rsid w:val="4ACF03B2"/>
    <w:rsid w:val="4C145881"/>
    <w:rsid w:val="4C716A99"/>
    <w:rsid w:val="4E1B16B1"/>
    <w:rsid w:val="4E911DF7"/>
    <w:rsid w:val="4F7A2EBB"/>
    <w:rsid w:val="52A44C7E"/>
    <w:rsid w:val="52CF4C21"/>
    <w:rsid w:val="5302377A"/>
    <w:rsid w:val="53FC38AB"/>
    <w:rsid w:val="53FE4AA5"/>
    <w:rsid w:val="54930EB8"/>
    <w:rsid w:val="55913049"/>
    <w:rsid w:val="56E878F7"/>
    <w:rsid w:val="59EF6005"/>
    <w:rsid w:val="5AA001B3"/>
    <w:rsid w:val="5CE26917"/>
    <w:rsid w:val="5D2B3A78"/>
    <w:rsid w:val="5DB133F7"/>
    <w:rsid w:val="600102F0"/>
    <w:rsid w:val="61DF0827"/>
    <w:rsid w:val="62300C69"/>
    <w:rsid w:val="632046AC"/>
    <w:rsid w:val="637D2162"/>
    <w:rsid w:val="6B030D4C"/>
    <w:rsid w:val="6B430FCA"/>
    <w:rsid w:val="6E15530A"/>
    <w:rsid w:val="6E386F5E"/>
    <w:rsid w:val="70D64FF9"/>
    <w:rsid w:val="72195443"/>
    <w:rsid w:val="7284346E"/>
    <w:rsid w:val="75BB4D2B"/>
    <w:rsid w:val="76E82A67"/>
    <w:rsid w:val="789D13DC"/>
    <w:rsid w:val="78F543CA"/>
    <w:rsid w:val="7A673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1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annotation text"/>
    <w:basedOn w:val="1"/>
    <w:qFormat/>
    <w:uiPriority w:val="0"/>
    <w:pPr>
      <w:jc w:val="left"/>
    </w:pPr>
  </w:style>
  <w:style w:type="paragraph" w:styleId="6">
    <w:name w:val="Body Text"/>
    <w:basedOn w:val="1"/>
    <w:unhideWhenUsed/>
    <w:qFormat/>
    <w:uiPriority w:val="0"/>
    <w:pPr>
      <w:spacing w:after="120"/>
    </w:pPr>
  </w:style>
  <w:style w:type="paragraph" w:styleId="7">
    <w:name w:val="Block Text"/>
    <w:basedOn w:val="1"/>
    <w:qFormat/>
    <w:uiPriority w:val="99"/>
    <w:pPr>
      <w:adjustRightInd w:val="0"/>
      <w:ind w:left="420" w:right="33"/>
      <w:jc w:val="left"/>
      <w:textAlignment w:val="baseline"/>
    </w:pPr>
    <w:rPr>
      <w:kern w:val="0"/>
      <w:szCs w:val="20"/>
    </w:rPr>
  </w:style>
  <w:style w:type="paragraph" w:styleId="8">
    <w:name w:val="Plain Text"/>
    <w:basedOn w:val="1"/>
    <w:qFormat/>
    <w:uiPriority w:val="0"/>
    <w:rPr>
      <w:rFonts w:ascii="宋体" w:hAnsi="Courier New"/>
      <w:kern w:val="0"/>
      <w:sz w:val="20"/>
      <w:szCs w:val="21"/>
    </w:rPr>
  </w:style>
  <w:style w:type="paragraph" w:styleId="9">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12">
    <w:name w:val="Hyperlink"/>
    <w:basedOn w:val="11"/>
    <w:qFormat/>
    <w:uiPriority w:val="0"/>
    <w:rPr>
      <w:color w:val="0000FF"/>
      <w:u w:val="single"/>
    </w:rPr>
  </w:style>
  <w:style w:type="paragraph" w:customStyle="1" w:styleId="13">
    <w:name w:val="UserStyle_0"/>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14">
    <w:name w:val="标题 11"/>
    <w:basedOn w:val="1"/>
    <w:next w:val="1"/>
    <w:link w:val="22"/>
    <w:qFormat/>
    <w:uiPriority w:val="0"/>
    <w:pPr>
      <w:keepNext/>
      <w:keepLines/>
      <w:spacing w:before="340" w:after="330" w:line="578" w:lineRule="auto"/>
      <w:outlineLvl w:val="0"/>
    </w:pPr>
    <w:rPr>
      <w:b/>
      <w:bCs/>
      <w:kern w:val="44"/>
      <w:sz w:val="44"/>
      <w:szCs w:val="44"/>
    </w:rPr>
  </w:style>
  <w:style w:type="paragraph" w:customStyle="1" w:styleId="15">
    <w:name w:val="标题 21"/>
    <w:basedOn w:val="1"/>
    <w:next w:val="1"/>
    <w:link w:val="23"/>
    <w:qFormat/>
    <w:uiPriority w:val="0"/>
    <w:pPr>
      <w:keepNext/>
      <w:keepLines/>
      <w:spacing w:before="260" w:after="260" w:line="416" w:lineRule="auto"/>
      <w:outlineLvl w:val="1"/>
    </w:pPr>
    <w:rPr>
      <w:rFonts w:ascii="Cambria" w:hAnsi="Cambria"/>
      <w:b/>
      <w:bCs/>
      <w:sz w:val="32"/>
      <w:szCs w:val="32"/>
    </w:rPr>
  </w:style>
  <w:style w:type="paragraph" w:customStyle="1" w:styleId="16">
    <w:name w:val="标题 41"/>
    <w:basedOn w:val="1"/>
    <w:next w:val="1"/>
    <w:qFormat/>
    <w:uiPriority w:val="9"/>
    <w:pPr>
      <w:keepNext/>
      <w:keepLines/>
      <w:spacing w:line="360" w:lineRule="auto"/>
      <w:outlineLvl w:val="3"/>
    </w:pPr>
    <w:rPr>
      <w:rFonts w:ascii="Arial" w:hAnsi="Arial"/>
      <w:b/>
      <w:bCs/>
      <w:szCs w:val="28"/>
    </w:rPr>
  </w:style>
  <w:style w:type="paragraph" w:customStyle="1" w:styleId="17">
    <w:name w:val="标题 51"/>
    <w:basedOn w:val="1"/>
    <w:next w:val="18"/>
    <w:link w:val="24"/>
    <w:qFormat/>
    <w:uiPriority w:val="0"/>
    <w:pPr>
      <w:keepNext/>
      <w:keepLines/>
      <w:spacing w:before="280" w:after="290" w:line="376" w:lineRule="auto"/>
      <w:outlineLvl w:val="4"/>
    </w:pPr>
    <w:rPr>
      <w:b/>
      <w:bCs/>
      <w:sz w:val="28"/>
      <w:szCs w:val="28"/>
    </w:rPr>
  </w:style>
  <w:style w:type="paragraph" w:customStyle="1" w:styleId="18">
    <w:name w:val="正文缩进1"/>
    <w:basedOn w:val="1"/>
    <w:qFormat/>
    <w:uiPriority w:val="0"/>
    <w:pPr>
      <w:ind w:firstLine="420"/>
    </w:pPr>
    <w:rPr>
      <w:szCs w:val="20"/>
    </w:rPr>
  </w:style>
  <w:style w:type="paragraph" w:customStyle="1" w:styleId="19">
    <w:name w:val="标题 81"/>
    <w:basedOn w:val="1"/>
    <w:next w:val="1"/>
    <w:link w:val="25"/>
    <w:qFormat/>
    <w:uiPriority w:val="0"/>
    <w:pPr>
      <w:keepNext/>
      <w:keepLines/>
      <w:spacing w:before="240" w:after="64" w:line="320" w:lineRule="auto"/>
      <w:outlineLvl w:val="7"/>
    </w:pPr>
    <w:rPr>
      <w:rFonts w:ascii="等线 Light" w:hAnsi="等线 Light" w:eastAsia="等线 Light"/>
      <w:sz w:val="24"/>
    </w:rPr>
  </w:style>
  <w:style w:type="character" w:customStyle="1" w:styleId="20">
    <w:name w:val="默认段落字体1"/>
    <w:link w:val="1"/>
    <w:unhideWhenUsed/>
    <w:qFormat/>
    <w:uiPriority w:val="1"/>
  </w:style>
  <w:style w:type="table" w:customStyle="1" w:styleId="21">
    <w:name w:val="普通表格1"/>
    <w:unhideWhenUsed/>
    <w:qFormat/>
    <w:uiPriority w:val="99"/>
    <w:tblPr>
      <w:tblCellMar>
        <w:top w:w="0" w:type="dxa"/>
        <w:left w:w="108" w:type="dxa"/>
        <w:bottom w:w="0" w:type="dxa"/>
        <w:right w:w="108" w:type="dxa"/>
      </w:tblCellMar>
    </w:tblPr>
  </w:style>
  <w:style w:type="character" w:customStyle="1" w:styleId="22">
    <w:name w:val="标题 1 Char"/>
    <w:link w:val="14"/>
    <w:qFormat/>
    <w:uiPriority w:val="0"/>
    <w:rPr>
      <w:rFonts w:ascii="Times New Roman" w:hAnsi="Times New Roman" w:eastAsia="宋体" w:cs="Times New Roman"/>
      <w:b/>
      <w:bCs/>
      <w:kern w:val="44"/>
      <w:sz w:val="44"/>
      <w:szCs w:val="44"/>
    </w:rPr>
  </w:style>
  <w:style w:type="character" w:customStyle="1" w:styleId="23">
    <w:name w:val="标题 2 Char1"/>
    <w:link w:val="15"/>
    <w:qFormat/>
    <w:uiPriority w:val="0"/>
    <w:rPr>
      <w:rFonts w:ascii="Cambria" w:hAnsi="Cambria" w:eastAsia="宋体" w:cs="Times New Roman"/>
      <w:b/>
      <w:bCs/>
      <w:kern w:val="2"/>
      <w:sz w:val="32"/>
      <w:szCs w:val="32"/>
    </w:rPr>
  </w:style>
  <w:style w:type="character" w:customStyle="1" w:styleId="24">
    <w:name w:val="标题 5 Char"/>
    <w:link w:val="17"/>
    <w:qFormat/>
    <w:uiPriority w:val="0"/>
    <w:rPr>
      <w:rFonts w:ascii="Times New Roman" w:hAnsi="Times New Roman" w:eastAsia="宋体" w:cs="Times New Roman"/>
      <w:b/>
      <w:bCs/>
      <w:kern w:val="2"/>
      <w:sz w:val="28"/>
      <w:szCs w:val="28"/>
    </w:rPr>
  </w:style>
  <w:style w:type="character" w:customStyle="1" w:styleId="25">
    <w:name w:val="标题 8 Char1"/>
    <w:link w:val="19"/>
    <w:qFormat/>
    <w:uiPriority w:val="0"/>
    <w:rPr>
      <w:rFonts w:ascii="等线 Light" w:hAnsi="等线 Light" w:eastAsia="等线 Light" w:cs="Times New Roman"/>
      <w:kern w:val="2"/>
      <w:sz w:val="24"/>
      <w:szCs w:val="24"/>
    </w:rPr>
  </w:style>
  <w:style w:type="paragraph" w:customStyle="1" w:styleId="26">
    <w:name w:val="列表编号1"/>
    <w:basedOn w:val="1"/>
    <w:qFormat/>
    <w:uiPriority w:val="0"/>
    <w:pPr>
      <w:widowControl/>
      <w:tabs>
        <w:tab w:val="left" w:pos="454"/>
        <w:tab w:val="left" w:pos="720"/>
        <w:tab w:val="left" w:pos="840"/>
      </w:tabs>
      <w:ind w:left="454" w:hanging="284"/>
      <w:jc w:val="left"/>
    </w:pPr>
    <w:rPr>
      <w:kern w:val="0"/>
      <w:sz w:val="24"/>
      <w:szCs w:val="20"/>
    </w:rPr>
  </w:style>
  <w:style w:type="paragraph" w:customStyle="1" w:styleId="27">
    <w:name w:val="批注文字1"/>
    <w:basedOn w:val="1"/>
    <w:link w:val="28"/>
    <w:qFormat/>
    <w:uiPriority w:val="0"/>
    <w:pPr>
      <w:jc w:val="left"/>
    </w:pPr>
  </w:style>
  <w:style w:type="character" w:customStyle="1" w:styleId="28">
    <w:name w:val="批注文字 Char1"/>
    <w:link w:val="27"/>
    <w:qFormat/>
    <w:uiPriority w:val="0"/>
    <w:rPr>
      <w:rFonts w:ascii="Times New Roman" w:hAnsi="Times New Roman" w:eastAsia="宋体" w:cs="Times New Roman"/>
      <w:kern w:val="2"/>
      <w:sz w:val="21"/>
      <w:szCs w:val="24"/>
    </w:rPr>
  </w:style>
  <w:style w:type="paragraph" w:customStyle="1" w:styleId="29">
    <w:name w:val="正文文本 31"/>
    <w:basedOn w:val="1"/>
    <w:link w:val="30"/>
    <w:qFormat/>
    <w:uiPriority w:val="0"/>
    <w:pPr>
      <w:spacing w:after="120"/>
    </w:pPr>
    <w:rPr>
      <w:sz w:val="16"/>
      <w:szCs w:val="16"/>
    </w:rPr>
  </w:style>
  <w:style w:type="character" w:customStyle="1" w:styleId="30">
    <w:name w:val="正文文本 3 Char"/>
    <w:link w:val="29"/>
    <w:qFormat/>
    <w:uiPriority w:val="0"/>
    <w:rPr>
      <w:rFonts w:ascii="Times New Roman" w:hAnsi="Times New Roman" w:eastAsia="宋体" w:cs="Times New Roman"/>
      <w:kern w:val="2"/>
      <w:sz w:val="16"/>
      <w:szCs w:val="16"/>
    </w:rPr>
  </w:style>
  <w:style w:type="paragraph" w:customStyle="1" w:styleId="31">
    <w:name w:val="正文文本1"/>
    <w:basedOn w:val="1"/>
    <w:link w:val="32"/>
    <w:qFormat/>
    <w:uiPriority w:val="0"/>
    <w:pPr>
      <w:spacing w:after="120"/>
    </w:pPr>
  </w:style>
  <w:style w:type="character" w:customStyle="1" w:styleId="32">
    <w:name w:val="正文文本 Char1"/>
    <w:link w:val="31"/>
    <w:qFormat/>
    <w:uiPriority w:val="0"/>
    <w:rPr>
      <w:rFonts w:ascii="Times New Roman" w:hAnsi="Times New Roman" w:eastAsia="宋体" w:cs="Times New Roman"/>
      <w:kern w:val="2"/>
      <w:sz w:val="21"/>
      <w:szCs w:val="24"/>
    </w:rPr>
  </w:style>
  <w:style w:type="paragraph" w:customStyle="1" w:styleId="33">
    <w:name w:val="正文文本缩进1"/>
    <w:basedOn w:val="1"/>
    <w:link w:val="34"/>
    <w:qFormat/>
    <w:uiPriority w:val="0"/>
    <w:pPr>
      <w:ind w:firstLine="830" w:firstLineChars="352"/>
    </w:pPr>
    <w:rPr>
      <w:rFonts w:ascii="仿宋_GB2312" w:eastAsia="仿宋_GB2312"/>
      <w:kern w:val="0"/>
      <w:sz w:val="32"/>
      <w:szCs w:val="20"/>
    </w:rPr>
  </w:style>
  <w:style w:type="character" w:customStyle="1" w:styleId="34">
    <w:name w:val="正文文本缩进 Char"/>
    <w:link w:val="33"/>
    <w:qFormat/>
    <w:uiPriority w:val="0"/>
    <w:rPr>
      <w:rFonts w:ascii="仿宋_GB2312" w:hAnsi="Times New Roman" w:eastAsia="仿宋_GB2312" w:cs="Times New Roman"/>
      <w:sz w:val="32"/>
      <w:szCs w:val="20"/>
    </w:rPr>
  </w:style>
  <w:style w:type="paragraph" w:customStyle="1" w:styleId="35">
    <w:name w:val="列表 21"/>
    <w:basedOn w:val="1"/>
    <w:qFormat/>
    <w:uiPriority w:val="0"/>
    <w:pPr>
      <w:ind w:left="100" w:leftChars="200" w:hanging="200" w:hangingChars="200"/>
      <w:contextualSpacing/>
    </w:pPr>
  </w:style>
  <w:style w:type="paragraph" w:customStyle="1" w:styleId="36">
    <w:name w:val="纯文本1"/>
    <w:basedOn w:val="1"/>
    <w:link w:val="37"/>
    <w:qFormat/>
    <w:uiPriority w:val="0"/>
    <w:rPr>
      <w:rFonts w:ascii="宋体" w:hAnsi="Courier New"/>
      <w:kern w:val="0"/>
      <w:sz w:val="20"/>
      <w:szCs w:val="21"/>
    </w:rPr>
  </w:style>
  <w:style w:type="character" w:customStyle="1" w:styleId="37">
    <w:name w:val="纯文本 Char1"/>
    <w:link w:val="36"/>
    <w:qFormat/>
    <w:uiPriority w:val="0"/>
    <w:rPr>
      <w:rFonts w:ascii="宋体" w:hAnsi="Courier New" w:eastAsia="宋体" w:cs="Courier New"/>
      <w:szCs w:val="21"/>
    </w:rPr>
  </w:style>
  <w:style w:type="paragraph" w:customStyle="1" w:styleId="38">
    <w:name w:val="日期1"/>
    <w:basedOn w:val="1"/>
    <w:next w:val="1"/>
    <w:link w:val="39"/>
    <w:qFormat/>
    <w:uiPriority w:val="0"/>
    <w:pPr>
      <w:ind w:left="100" w:leftChars="2500"/>
    </w:pPr>
  </w:style>
  <w:style w:type="character" w:customStyle="1" w:styleId="39">
    <w:name w:val="日期 Char"/>
    <w:link w:val="38"/>
    <w:qFormat/>
    <w:uiPriority w:val="0"/>
    <w:rPr>
      <w:rFonts w:ascii="Times New Roman" w:hAnsi="Times New Roman" w:eastAsia="宋体" w:cs="Times New Roman"/>
      <w:kern w:val="2"/>
      <w:sz w:val="21"/>
      <w:szCs w:val="24"/>
    </w:rPr>
  </w:style>
  <w:style w:type="paragraph" w:customStyle="1" w:styleId="40">
    <w:name w:val="批注框文本1"/>
    <w:basedOn w:val="1"/>
    <w:qFormat/>
    <w:uiPriority w:val="0"/>
    <w:rPr>
      <w:sz w:val="18"/>
      <w:szCs w:val="18"/>
    </w:rPr>
  </w:style>
  <w:style w:type="paragraph" w:customStyle="1" w:styleId="41">
    <w:name w:val="页脚1"/>
    <w:basedOn w:val="1"/>
    <w:link w:val="42"/>
    <w:qFormat/>
    <w:uiPriority w:val="0"/>
    <w:pPr>
      <w:tabs>
        <w:tab w:val="center" w:pos="4153"/>
        <w:tab w:val="right" w:pos="8306"/>
      </w:tabs>
      <w:jc w:val="left"/>
    </w:pPr>
    <w:rPr>
      <w:kern w:val="0"/>
      <w:sz w:val="18"/>
      <w:szCs w:val="18"/>
    </w:rPr>
  </w:style>
  <w:style w:type="character" w:customStyle="1" w:styleId="42">
    <w:name w:val="页脚 Char"/>
    <w:link w:val="41"/>
    <w:qFormat/>
    <w:uiPriority w:val="0"/>
    <w:rPr>
      <w:rFonts w:ascii="Times New Roman" w:hAnsi="Times New Roman" w:eastAsia="宋体" w:cs="Times New Roman"/>
      <w:sz w:val="18"/>
      <w:szCs w:val="18"/>
    </w:rPr>
  </w:style>
  <w:style w:type="paragraph" w:customStyle="1" w:styleId="43">
    <w:name w:val="页眉1"/>
    <w:basedOn w:val="1"/>
    <w:link w:val="44"/>
    <w:qFormat/>
    <w:uiPriority w:val="0"/>
    <w:pPr>
      <w:pBdr>
        <w:bottom w:val="single" w:color="auto" w:sz="6" w:space="1"/>
      </w:pBdr>
      <w:tabs>
        <w:tab w:val="center" w:pos="4153"/>
        <w:tab w:val="right" w:pos="8306"/>
      </w:tabs>
      <w:jc w:val="center"/>
    </w:pPr>
    <w:rPr>
      <w:kern w:val="0"/>
      <w:sz w:val="18"/>
      <w:szCs w:val="18"/>
    </w:rPr>
  </w:style>
  <w:style w:type="character" w:customStyle="1" w:styleId="44">
    <w:name w:val="页眉 Char"/>
    <w:link w:val="43"/>
    <w:qFormat/>
    <w:uiPriority w:val="0"/>
    <w:rPr>
      <w:rFonts w:ascii="Times New Roman" w:hAnsi="Times New Roman" w:eastAsia="宋体" w:cs="Times New Roman"/>
      <w:sz w:val="18"/>
      <w:szCs w:val="18"/>
    </w:rPr>
  </w:style>
  <w:style w:type="paragraph" w:customStyle="1" w:styleId="45">
    <w:name w:val="目录 11"/>
    <w:basedOn w:val="1"/>
    <w:next w:val="1"/>
    <w:qFormat/>
    <w:uiPriority w:val="0"/>
  </w:style>
  <w:style w:type="paragraph" w:customStyle="1" w:styleId="46">
    <w:name w:val="目录 21"/>
    <w:basedOn w:val="1"/>
    <w:next w:val="1"/>
    <w:qFormat/>
    <w:uiPriority w:val="0"/>
    <w:pPr>
      <w:tabs>
        <w:tab w:val="right" w:leader="dot" w:pos="8296"/>
      </w:tabs>
      <w:ind w:left="420" w:leftChars="200"/>
    </w:pPr>
  </w:style>
  <w:style w:type="paragraph" w:customStyle="1" w:styleId="47">
    <w:name w:val="HTML 预设格式1"/>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48">
    <w:name w:val="普通(网站)1"/>
    <w:basedOn w:val="1"/>
    <w:qFormat/>
    <w:uiPriority w:val="0"/>
    <w:rPr>
      <w:rFonts w:ascii="Calibri" w:hAnsi="Calibri"/>
      <w:kern w:val="0"/>
      <w:sz w:val="24"/>
    </w:rPr>
  </w:style>
  <w:style w:type="paragraph" w:customStyle="1" w:styleId="49">
    <w:name w:val="标题1"/>
    <w:basedOn w:val="1"/>
    <w:next w:val="1"/>
    <w:qFormat/>
    <w:uiPriority w:val="0"/>
    <w:pPr>
      <w:suppressAutoHyphens/>
      <w:spacing w:before="240" w:after="60"/>
      <w:jc w:val="center"/>
      <w:outlineLvl w:val="0"/>
    </w:pPr>
    <w:rPr>
      <w:rFonts w:ascii="Arial" w:hAnsi="Arial" w:cs="宋体"/>
      <w:b/>
      <w:sz w:val="32"/>
    </w:rPr>
  </w:style>
  <w:style w:type="paragraph" w:customStyle="1" w:styleId="50">
    <w:name w:val="批注主题1"/>
    <w:basedOn w:val="27"/>
    <w:next w:val="27"/>
    <w:link w:val="51"/>
    <w:qFormat/>
    <w:uiPriority w:val="0"/>
    <w:rPr>
      <w:b/>
      <w:bCs/>
    </w:rPr>
  </w:style>
  <w:style w:type="character" w:customStyle="1" w:styleId="51">
    <w:name w:val="批注主题 Char"/>
    <w:link w:val="50"/>
    <w:qFormat/>
    <w:uiPriority w:val="0"/>
    <w:rPr>
      <w:rFonts w:ascii="Times New Roman" w:hAnsi="Times New Roman" w:eastAsia="宋体" w:cs="Times New Roman"/>
      <w:b/>
      <w:bCs/>
      <w:kern w:val="2"/>
      <w:sz w:val="21"/>
      <w:szCs w:val="24"/>
    </w:rPr>
  </w:style>
  <w:style w:type="table" w:customStyle="1" w:styleId="52">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3">
    <w:name w:val="要点1"/>
    <w:basedOn w:val="20"/>
    <w:link w:val="1"/>
    <w:qFormat/>
    <w:uiPriority w:val="0"/>
    <w:rPr>
      <w:b/>
    </w:rPr>
  </w:style>
  <w:style w:type="character" w:customStyle="1" w:styleId="54">
    <w:name w:val="尾注引用1"/>
    <w:link w:val="1"/>
    <w:qFormat/>
    <w:uiPriority w:val="0"/>
    <w:rPr>
      <w:rFonts w:ascii="Times New Roman" w:hAnsi="Times New Roman" w:eastAsia="宋体" w:cs="Times New Roman"/>
      <w:vertAlign w:val="superscript"/>
    </w:rPr>
  </w:style>
  <w:style w:type="character" w:customStyle="1" w:styleId="55">
    <w:name w:val="超链接1"/>
    <w:link w:val="1"/>
    <w:qFormat/>
    <w:uiPriority w:val="0"/>
    <w:rPr>
      <w:rFonts w:ascii="Times New Roman" w:hAnsi="Times New Roman" w:eastAsia="宋体" w:cs="Times New Roman"/>
      <w:color w:val="0000FF"/>
      <w:u w:val="single"/>
    </w:rPr>
  </w:style>
  <w:style w:type="character" w:customStyle="1" w:styleId="56">
    <w:name w:val="批注引用1"/>
    <w:link w:val="1"/>
    <w:qFormat/>
    <w:uiPriority w:val="0"/>
    <w:rPr>
      <w:rFonts w:ascii="Times New Roman" w:hAnsi="Times New Roman" w:eastAsia="宋体" w:cs="Times New Roman"/>
      <w:sz w:val="21"/>
      <w:szCs w:val="21"/>
    </w:rPr>
  </w:style>
  <w:style w:type="character" w:customStyle="1" w:styleId="57">
    <w:name w:val="HTML 样本1"/>
    <w:basedOn w:val="20"/>
    <w:link w:val="1"/>
    <w:unhideWhenUsed/>
    <w:qFormat/>
    <w:uiPriority w:val="99"/>
    <w:rPr>
      <w:rFonts w:ascii="Courier New" w:hAnsi="Courier New"/>
    </w:rPr>
  </w:style>
  <w:style w:type="character" w:customStyle="1" w:styleId="58">
    <w:name w:val="NormalCharacter1"/>
    <w:link w:val="1"/>
    <w:qFormat/>
    <w:uiPriority w:val="0"/>
    <w:rPr>
      <w:rFonts w:ascii="Times New Roman" w:hAnsi="Times New Roman" w:eastAsia="宋体" w:cs="Times New Roman"/>
    </w:rPr>
  </w:style>
  <w:style w:type="character" w:customStyle="1" w:styleId="59">
    <w:name w:val="正文2 Char Char"/>
    <w:link w:val="60"/>
    <w:qFormat/>
    <w:uiPriority w:val="0"/>
    <w:rPr>
      <w:rFonts w:ascii="Times New Roman" w:hAnsi="Times New Roman" w:eastAsia="宋体" w:cs="Times New Roman"/>
      <w:kern w:val="2"/>
      <w:sz w:val="24"/>
    </w:rPr>
  </w:style>
  <w:style w:type="paragraph" w:customStyle="1" w:styleId="60">
    <w:name w:val="正文2"/>
    <w:basedOn w:val="1"/>
    <w:link w:val="59"/>
    <w:qFormat/>
    <w:uiPriority w:val="0"/>
    <w:pPr>
      <w:spacing w:before="156" w:line="360" w:lineRule="auto"/>
      <w:ind w:firstLine="510" w:firstLineChars="200"/>
    </w:pPr>
    <w:rPr>
      <w:sz w:val="24"/>
      <w:szCs w:val="20"/>
    </w:rPr>
  </w:style>
  <w:style w:type="character" w:customStyle="1" w:styleId="61">
    <w:name w:val="标题 1 字符1"/>
    <w:link w:val="1"/>
    <w:qFormat/>
    <w:uiPriority w:val="0"/>
    <w:rPr>
      <w:rFonts w:ascii="Times New Roman" w:hAnsi="Times New Roman" w:eastAsia="宋体" w:cs="Times New Roman"/>
      <w:b/>
      <w:bCs/>
      <w:kern w:val="44"/>
      <w:sz w:val="44"/>
      <w:szCs w:val="44"/>
    </w:rPr>
  </w:style>
  <w:style w:type="character" w:customStyle="1" w:styleId="62">
    <w:name w:val="textcontents"/>
    <w:link w:val="1"/>
    <w:qFormat/>
    <w:uiPriority w:val="0"/>
    <w:rPr>
      <w:rFonts w:ascii="Times New Roman" w:hAnsi="Times New Roman" w:eastAsia="宋体" w:cs="Times New Roman"/>
    </w:rPr>
  </w:style>
  <w:style w:type="character" w:customStyle="1" w:styleId="63">
    <w:name w:val="批注文字 Char"/>
    <w:link w:val="1"/>
    <w:qFormat/>
    <w:uiPriority w:val="0"/>
    <w:rPr>
      <w:rFonts w:ascii="Times New Roman" w:hAnsi="Times New Roman" w:eastAsia="宋体" w:cs="Times New Roman"/>
      <w:kern w:val="2"/>
      <w:sz w:val="21"/>
      <w:szCs w:val="24"/>
    </w:rPr>
  </w:style>
  <w:style w:type="character" w:customStyle="1" w:styleId="64">
    <w:name w:val="纯文本 字符"/>
    <w:link w:val="1"/>
    <w:qFormat/>
    <w:uiPriority w:val="0"/>
    <w:rPr>
      <w:rFonts w:ascii="宋体" w:hAnsi="Courier New" w:eastAsia="宋体" w:cs="Courier New"/>
      <w:szCs w:val="21"/>
    </w:rPr>
  </w:style>
  <w:style w:type="character" w:customStyle="1" w:styleId="65">
    <w:name w:val="纯文本 Char"/>
    <w:link w:val="1"/>
    <w:qFormat/>
    <w:uiPriority w:val="0"/>
    <w:rPr>
      <w:rFonts w:ascii="宋体" w:hAnsi="Courier New" w:eastAsia="宋体" w:cs="Courier New"/>
      <w:szCs w:val="21"/>
    </w:rPr>
  </w:style>
  <w:style w:type="character" w:customStyle="1" w:styleId="66">
    <w:name w:val="纯文本 字符2"/>
    <w:link w:val="1"/>
    <w:qFormat/>
    <w:uiPriority w:val="0"/>
    <w:rPr>
      <w:rFonts w:ascii="宋体" w:hAnsi="Courier New" w:eastAsia="宋体" w:cs="Courier New"/>
      <w:szCs w:val="21"/>
    </w:rPr>
  </w:style>
  <w:style w:type="character" w:customStyle="1" w:styleId="67">
    <w:name w:val="批注文字 字符1"/>
    <w:link w:val="1"/>
    <w:qFormat/>
    <w:uiPriority w:val="0"/>
    <w:rPr>
      <w:rFonts w:ascii="Times New Roman" w:hAnsi="Times New Roman" w:eastAsia="宋体" w:cs="Times New Roman"/>
      <w:kern w:val="2"/>
      <w:sz w:val="21"/>
      <w:szCs w:val="24"/>
    </w:rPr>
  </w:style>
  <w:style w:type="character" w:customStyle="1" w:styleId="68">
    <w:name w:val="正文文本 (26) + 间距 0 pt"/>
    <w:link w:val="1"/>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9">
    <w:name w:val="纯文本 字符1"/>
    <w:link w:val="1"/>
    <w:qFormat/>
    <w:uiPriority w:val="0"/>
    <w:rPr>
      <w:rFonts w:ascii="宋体" w:hAnsi="Courier New" w:eastAsia="宋体" w:cs="Times New Roman"/>
    </w:rPr>
  </w:style>
  <w:style w:type="character" w:customStyle="1" w:styleId="70">
    <w:name w:val="正文文本 Char"/>
    <w:link w:val="1"/>
    <w:qFormat/>
    <w:uiPriority w:val="0"/>
    <w:rPr>
      <w:rFonts w:ascii="Times New Roman" w:hAnsi="Times New Roman" w:eastAsia="宋体" w:cs="Times New Roman"/>
      <w:kern w:val="2"/>
      <w:sz w:val="21"/>
      <w:szCs w:val="24"/>
    </w:rPr>
  </w:style>
  <w:style w:type="character" w:customStyle="1" w:styleId="71">
    <w:name w:val="批注文字 字符"/>
    <w:link w:val="1"/>
    <w:qFormat/>
    <w:uiPriority w:val="0"/>
    <w:rPr>
      <w:rFonts w:ascii="Times New Roman" w:hAnsi="Times New Roman" w:eastAsia="宋体" w:cs="Times New Roman"/>
      <w:kern w:val="2"/>
      <w:sz w:val="21"/>
      <w:szCs w:val="24"/>
    </w:rPr>
  </w:style>
  <w:style w:type="character" w:customStyle="1" w:styleId="72">
    <w:name w:val="标题 2 Char"/>
    <w:link w:val="1"/>
    <w:qFormat/>
    <w:uiPriority w:val="0"/>
    <w:rPr>
      <w:rFonts w:ascii="Cambria" w:hAnsi="Cambria" w:eastAsia="宋体" w:cs="Times New Roman"/>
      <w:b/>
      <w:bCs/>
      <w:kern w:val="2"/>
      <w:sz w:val="32"/>
      <w:szCs w:val="32"/>
    </w:rPr>
  </w:style>
  <w:style w:type="character" w:customStyle="1" w:styleId="73">
    <w:name w:val="标题 8 Char"/>
    <w:link w:val="1"/>
    <w:qFormat/>
    <w:uiPriority w:val="0"/>
    <w:rPr>
      <w:rFonts w:ascii="Arial" w:hAnsi="Arial" w:eastAsia="黑体" w:cs="Times New Roman"/>
      <w:kern w:val="2"/>
      <w:sz w:val="24"/>
      <w:szCs w:val="24"/>
    </w:rPr>
  </w:style>
  <w:style w:type="character" w:customStyle="1" w:styleId="74">
    <w:name w:val="apple-style-span"/>
    <w:link w:val="1"/>
    <w:qFormat/>
    <w:uiPriority w:val="0"/>
    <w:rPr>
      <w:rFonts w:ascii="Times New Roman" w:hAnsi="Times New Roman" w:eastAsia="宋体" w:cs="Times New Roman"/>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表内文字"/>
    <w:basedOn w:val="1"/>
    <w:qFormat/>
    <w:uiPriority w:val="0"/>
    <w:pPr>
      <w:spacing w:before="50" w:after="50"/>
      <w:jc w:val="center"/>
    </w:pPr>
    <w:rPr>
      <w:rFonts w:ascii="仿宋_GB2312" w:hAnsi="宋体" w:eastAsia="仿宋_GB2312"/>
      <w:b/>
      <w:color w:val="000000"/>
      <w:sz w:val="32"/>
      <w:szCs w:val="32"/>
    </w:rPr>
  </w:style>
  <w:style w:type="paragraph" w:styleId="77">
    <w:name w:val="List Paragraph"/>
    <w:basedOn w:val="1"/>
    <w:qFormat/>
    <w:uiPriority w:val="0"/>
    <w:pPr>
      <w:ind w:firstLine="420" w:firstLineChars="200"/>
    </w:pPr>
  </w:style>
  <w:style w:type="paragraph" w:customStyle="1" w:styleId="78">
    <w:name w:val="Table Paragraph"/>
    <w:basedOn w:val="1"/>
    <w:qFormat/>
    <w:uiPriority w:val="0"/>
    <w:pPr>
      <w:jc w:val="left"/>
    </w:pPr>
    <w:rPr>
      <w:rFonts w:ascii="Calibri" w:hAnsi="Calibri"/>
      <w:kern w:val="0"/>
      <w:sz w:val="22"/>
      <w:szCs w:val="22"/>
      <w:lang w:eastAsia="en-US"/>
    </w:rPr>
  </w:style>
  <w:style w:type="character" w:customStyle="1" w:styleId="79">
    <w:name w:val="正文文本 字符"/>
    <w:link w:val="1"/>
    <w:qFormat/>
    <w:uiPriority w:val="0"/>
    <w:rPr>
      <w:rFonts w:ascii="Times New Roman" w:hAnsi="Times New Roman" w:eastAsia="宋体" w:cs="Times New Roman"/>
      <w:kern w:val="2"/>
      <w:sz w:val="21"/>
      <w:szCs w:val="24"/>
    </w:rPr>
  </w:style>
  <w:style w:type="character" w:customStyle="1" w:styleId="80">
    <w:name w:val="批注文字 Char2"/>
    <w:link w:val="1"/>
    <w:qFormat/>
    <w:uiPriority w:val="0"/>
    <w:rPr>
      <w:rFonts w:ascii="Times New Roman" w:hAnsi="Times New Roman" w:eastAsia="宋体" w:cs="Times New Roman"/>
      <w:kern w:val="2"/>
      <w:sz w:val="21"/>
      <w:szCs w:val="24"/>
    </w:rPr>
  </w:style>
  <w:style w:type="table" w:customStyle="1" w:styleId="81">
    <w:name w:val="网格型2"/>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c3580698-eb4b-4060-b1df-b0dd19b561e7</errorID>
      <errorWord>/）</errorWord>
      <group>L1_Punc</group>
      <groupName>标点问题</groupName>
      <ability>L2_Punc</ability>
      <abilityName>标点符号检查</abilityName>
      <candidateList>
        <item>）</item>
      </candidateList>
      <explain/>
      <paraID> 545063A</paraID>
      <start>68</start>
      <end>70</end>
      <status>unmodified</status>
      <modifiedWord/>
      <trackRevisions>false</trackRevisions>
    </reviewItem>
    <reviewItem>
      <errorID>16d1c357-cc88-42d7-97ed-456c63e5e13c</errorID>
      <errorWord>/）</errorWord>
      <group>L1_Punc</group>
      <groupName>标点问题</groupName>
      <ability>L2_Punc</ability>
      <abilityName>标点符号检查</abilityName>
      <candidateList>
        <item>）</item>
      </candidateList>
      <explain/>
      <paraID>65814E0C</paraID>
      <start>45</start>
      <end>47</end>
      <status>unmodified</status>
      <modifiedWord/>
      <trackRevisions>false</trackRevisions>
    </reviewItem>
    <reviewItem>
      <errorID>32049ba2-b4d2-4a18-8d01-d2264edfbba7</errorID>
      <errorWord>/）</errorWord>
      <group>L1_Punc</group>
      <groupName>标点问题</groupName>
      <ability>L2_Punc</ability>
      <abilityName>标点符号检查</abilityName>
      <candidateList>
        <item>）</item>
      </candidateList>
      <explain/>
      <paraID>5B239F43</paraID>
      <start>68</start>
      <end>70</end>
      <status>unmodified</status>
      <modifiedWord/>
      <trackRevisions>false</trackRevisions>
    </reviewItem>
    <reviewItem>
      <errorID>cbfaf9c4-474f-405a-a18b-971d0c93465f</errorID>
      <errorWord>-</errorWord>
      <group>L1_Format</group>
      <groupName>格式问题</groupName>
      <ability>L2_HalfPunc</ability>
      <abilityName>全半角检查</abilityName>
      <candidateList>
        <item>－</item>
      </candidateList>
      <explain>文本全半角错误。</explain>
      <paraID>5B239F43</paraID>
      <start>70</start>
      <end>71</end>
      <status>unmodified</status>
      <modifiedWord/>
      <trackRevisions>false</trackRevisions>
    </reviewItem>
    <reviewItem>
      <errorID>28a3e16c-a253-4e1b-94d9-9fd3a78802b2</errorID>
      <errorWord>/）</errorWord>
      <group>L1_Punc</group>
      <groupName>标点问题</groupName>
      <ability>L2_Punc</ability>
      <abilityName>标点符号检查</abilityName>
      <candidateList>
        <item>）</item>
      </candidateList>
      <explain/>
      <paraID>2085FB68</paraID>
      <start>45</start>
      <end>47</end>
      <status>unmodified</status>
      <modifiedWord/>
      <trackRevisions>false</trackRevisions>
    </reviewItem>
    <reviewItem>
      <errorID>f6329c4c-362f-4b1f-980c-f3a880d4f345</errorID>
      <errorWord>/）</errorWord>
      <group>L1_Punc</group>
      <groupName>标点问题</groupName>
      <ability>L2_Punc</ability>
      <abilityName>标点符号检查</abilityName>
      <candidateList>
        <item>）</item>
      </candidateList>
      <explain/>
      <paraID>6602BA81</paraID>
      <start>39</start>
      <end>41</end>
      <status>unmodified</status>
      <modifiedWord/>
      <trackRevisions>false</trackRevisions>
    </reviewItem>
    <reviewItem>
      <errorID>ca44a905-cddd-4f30-be92-9d8dda726b7b</errorID>
      <errorWord>/）</errorWord>
      <group>L1_Punc</group>
      <groupName>标点问题</groupName>
      <ability>L2_Punc</ability>
      <abilityName>标点符号检查</abilityName>
      <candidateList>
        <item>）</item>
      </candidateList>
      <explain/>
      <paraID>6602BA81</paraID>
      <start>85</start>
      <end>87</end>
      <status>unmodified</status>
      <modifiedWord/>
      <trackRevisions>false</trackRevisions>
    </reviewItem>
    <reviewItem>
      <errorID>ad0c07ca-a890-459f-85c5-1af781140a5e</errorID>
      <errorWord>(</errorWord>
      <group>L1_Format</group>
      <groupName>格式问题</groupName>
      <ability>L2_HalfPunc</ability>
      <abilityName>全半角检查</abilityName>
      <candidateList>
        <item>（</item>
      </candidateList>
      <explain>文本全半角错误。</explain>
      <paraID>6602BA81</paraID>
      <start>98</start>
      <end>99</end>
      <status>unmodified</status>
      <modifiedWord/>
      <trackRevisions>false</trackRevisions>
    </reviewItem>
    <reviewItem>
      <errorID>90b41a1a-bbc8-4199-911d-8e8f39e31f80</errorID>
      <errorWord>)</errorWord>
      <group>L1_Format</group>
      <groupName>格式问题</groupName>
      <ability>L2_HalfPunc</ability>
      <abilityName>全半角检查</abilityName>
      <candidateList>
        <item>）</item>
      </candidateList>
      <explain>文本全半角错误。</explain>
      <paraID>6602BA81</paraID>
      <start>105</start>
      <end>106</end>
      <status>unmodified</status>
      <modifiedWord/>
      <trackRevisions>false</trackRevisions>
    </reviewItem>
    <reviewItem>
      <errorID>f216c853-2838-4989-a8b6-1d9c854448be</errorID>
      <errorWord>/）</errorWord>
      <group>L1_Punc</group>
      <groupName>标点问题</groupName>
      <ability>L2_Punc</ability>
      <abilityName>标点符号检查</abilityName>
      <candidateList>
        <item>）</item>
      </candidateList>
      <explain/>
      <paraID>6602BA81</paraID>
      <start>144</start>
      <end>146</end>
      <status>unmodified</status>
      <modifiedWord/>
      <trackRevisions>false</trackRevisions>
    </reviewItem>
    <reviewItem>
      <errorID>df9f21d4-6fae-4b7c-b882-f9827f512546</errorID>
      <errorWord>/）</errorWord>
      <group>L1_Punc</group>
      <groupName>标点问题</groupName>
      <ability>L2_Punc</ability>
      <abilityName>标点符号检查</abilityName>
      <candidateList>
        <item>）</item>
      </candidateList>
      <explain/>
      <paraID>333967A4</paraID>
      <start>62</start>
      <end>64</end>
      <status>unmodified</status>
      <modifiedWord/>
      <trackRevisions>false</trackRevisions>
    </reviewItem>
    <reviewItem>
      <errorID>a07b073c-1049-4f30-937a-580f491f95d2</errorID>
      <errorWord>-</errorWord>
      <group>L1_Format</group>
      <groupName>格式问题</groupName>
      <ability>L2_HalfPunc</ability>
      <abilityName>全半角检查</abilityName>
      <candidateList>
        <item>－</item>
      </candidateList>
      <explain>文本全半角错误。</explain>
      <paraID>333967A4</paraID>
      <start>229</start>
      <end>230</end>
      <status>unmodified</status>
      <modifiedWord/>
      <trackRevisions>false</trackRevisions>
    </reviewItem>
    <reviewItem>
      <errorID>6f8e4eee-c539-4f7d-9090-589a982c15c8</errorID>
      <errorWord>-</errorWord>
      <group>L1_Format</group>
      <groupName>格式问题</groupName>
      <ability>L2_HalfPunc</ability>
      <abilityName>全半角检查</abilityName>
      <candidateList>
        <item>－</item>
      </candidateList>
      <explain>文本全半角错误。</explain>
      <paraID>333967A4</paraID>
      <start>234</start>
      <end>235</end>
      <status>unmodified</status>
      <modifiedWord/>
      <trackRevisions>false</trackRevisions>
    </reviewItem>
    <reviewItem>
      <errorID>aa2881c5-69b4-440e-a253-594aeef1dfe2</errorID>
      <errorWord>-</errorWord>
      <group>L1_Format</group>
      <groupName>格式问题</groupName>
      <ability>L2_HalfPunc</ability>
      <abilityName>全半角检查</abilityName>
      <candidateList>
        <item>－</item>
      </candidateList>
      <explain>文本全半角错误。</explain>
      <paraID>333967A4</paraID>
      <start>239</start>
      <end>240</end>
      <status>unmodified</status>
      <modifiedWord/>
      <trackRevisions>false</trackRevisions>
    </reviewItem>
    <reviewItem>
      <errorID>ebc2def3-6c79-41ce-9c00-4d863f1eb7ae</errorID>
      <errorWord>-</errorWord>
      <group>L1_Format</group>
      <groupName>格式问题</groupName>
      <ability>L2_HalfPunc</ability>
      <abilityName>全半角检查</abilityName>
      <candidateList>
        <item>－</item>
      </candidateList>
      <explain>文本全半角错误。</explain>
      <paraID>333967A4</paraID>
      <start>245</start>
      <end>246</end>
      <status>unmodified</status>
      <modifiedWord/>
      <trackRevisions>false</trackRevisions>
    </reviewItem>
    <reviewItem>
      <errorID>8a982d57-5869-4262-8c3f-90a04499db2e</errorID>
      <errorWord>-</errorWord>
      <group>L1_Format</group>
      <groupName>格式问题</groupName>
      <ability>L2_HalfPunc</ability>
      <abilityName>全半角检查</abilityName>
      <candidateList>
        <item>－</item>
      </candidateList>
      <explain>文本全半角错误。</explain>
      <paraID>333967A4</paraID>
      <start>262</start>
      <end>263</end>
      <status>unmodified</status>
      <modifiedWord/>
      <trackRevisions>false</trackRevisions>
    </reviewItem>
    <reviewItem>
      <errorID>d21bc640-d357-4b7d-934c-ef48ef553b4e</errorID>
      <errorWord>-</errorWord>
      <group>L1_Format</group>
      <groupName>格式问题</groupName>
      <ability>L2_HalfPunc</ability>
      <abilityName>全半角检查</abilityName>
      <candidateList>
        <item>－</item>
      </candidateList>
      <explain>文本全半角错误。</explain>
      <paraID>19064D30</paraID>
      <start>114</start>
      <end>115</end>
      <status>unmodified</status>
      <modifiedWord/>
      <trackRevisions>false</trackRevisions>
    </reviewItem>
    <reviewItem>
      <errorID>141b5caa-e7ae-4f53-af1a-9250cedc8fe3</errorID>
      <errorWord>-</errorWord>
      <group>L1_Format</group>
      <groupName>格式问题</groupName>
      <ability>L2_HalfPunc</ability>
      <abilityName>全半角检查</abilityName>
      <candidateList>
        <item>－</item>
      </candidateList>
      <explain>文本全半角错误。</explain>
      <paraID>19064D30</paraID>
      <start>143</start>
      <end>144</end>
      <status>unmodified</status>
      <modifiedWord/>
      <trackRevisions>false</trackRevisions>
    </reviewItem>
    <reviewItem>
      <errorID>5e86b40a-86c1-4739-90be-a7352ab06174</errorID>
      <errorWord>操作合</errorWord>
      <group>L1_Word</group>
      <groupName>字词问题</groupName>
      <ability>L2_Typo</ability>
      <abilityName>字词错误</abilityName>
      <candidateList>
        <item>操作台</item>
      </candidateList>
      <explain/>
      <paraID>4848ADAF</paraID>
      <start>9</start>
      <end>12</end>
      <status>unmodified</status>
      <modifiedWord/>
      <trackRevisions>false</trackRevisions>
    </reviewItem>
    <reviewItem>
      <errorID>47c0ade2-a3ee-44d8-acbc-ceddfadb3e41</errorID>
      <errorWord>，</errorWord>
      <group>L1_Word</group>
      <groupName>字词问题</groupName>
      <ability>L2_Typo</ability>
      <abilityName>字词错误</abilityName>
      <candidateList>
        <item>，在</item>
      </candidateList>
      <explain/>
      <paraID>4848ADAF</paraID>
      <start>119</start>
      <end>120</end>
      <status>unmodified</status>
      <modifiedWord/>
      <trackRevisions>false</trackRevisions>
    </reviewItem>
    <reviewItem>
      <errorID>ad7647f4-6322-4f01-8b4c-7aa6882362cc</errorID>
      <errorWord>间</errorWord>
      <group>L1_Word</group>
      <groupName>字词问题</groupName>
      <ability>L2_Typo</ability>
      <abilityName>字词错误</abilityName>
      <candidateList>
        <item>间之</item>
      </candidateList>
      <explain/>
      <paraID>4848ADAF</paraID>
      <start>194</start>
      <end>195</end>
      <status>unmodified</status>
      <modifiedWord/>
      <trackRevisions>false</trackRevisions>
    </reviewItem>
    <reviewItem>
      <errorID>9ead971d-000b-46c2-93a0-7db11544ddce</errorID>
      <errorWord>(</errorWord>
      <group>L1_Format</group>
      <groupName>格式问题</groupName>
      <ability>L2_HalfPunc</ability>
      <abilityName>全半角检查</abilityName>
      <candidateList>
        <item>（</item>
      </candidateList>
      <explain>文本全半角错误。</explain>
      <paraID> A7C17EE</paraID>
      <start>15</start>
      <end>16</end>
      <status>unmodified</status>
      <modifiedWord/>
      <trackRevisions>false</trackRevisions>
    </reviewItem>
    <reviewItem>
      <errorID>84359126-e934-4e48-910d-e3359b67c40e</errorID>
      <errorWord>)</errorWord>
      <group>L1_Format</group>
      <groupName>格式问题</groupName>
      <ability>L2_HalfPunc</ability>
      <abilityName>全半角检查</abilityName>
      <candidateList>
        <item>）</item>
      </candidateList>
      <explain>文本全半角错误。</explain>
      <paraID> A7C17EE</paraID>
      <start>27</start>
      <end>28</end>
      <status>unmodified</status>
      <modifiedWord/>
      <trackRevisions>false</trackRevisions>
    </reviewItem>
    <reviewItem>
      <errorID>2a754939-71a0-4158-9eef-47fdafd9dacf</errorID>
      <errorWord>(</errorWord>
      <group>L1_Format</group>
      <groupName>格式问题</groupName>
      <ability>L2_HalfPunc</ability>
      <abilityName>全半角检查</abilityName>
      <candidateList>
        <item>（</item>
      </candidateList>
      <explain>文本全半角错误。</explain>
      <paraID>4B73163E</paraID>
      <start>18</start>
      <end>19</end>
      <status>unmodified</status>
      <modifiedWord/>
      <trackRevisions>false</trackRevisions>
    </reviewItem>
    <reviewItem>
      <errorID>d2b02077-8bea-49aa-8698-9cc20c8993d8</errorID>
      <errorWord>)</errorWord>
      <group>L1_Format</group>
      <groupName>格式问题</groupName>
      <ability>L2_HalfPunc</ability>
      <abilityName>全半角检查</abilityName>
      <candidateList>
        <item>）</item>
      </candidateList>
      <explain>文本全半角错误。</explain>
      <paraID>4B73163E</paraID>
      <start>28</start>
      <end>29</end>
      <status>unmodified</status>
      <modifiedWord/>
      <trackRevisions>false</trackRevisions>
    </reviewItem>
    <reviewItem>
      <errorID>7dd67f88-3c33-41ac-b330-91bbb977b1bb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B7210AC</paraID>
      <start>50</start>
      <end>51</end>
      <status>unmodified</status>
      <modifiedWord/>
      <trackRevisions>false</trackRevisions>
    </reviewItem>
    <reviewItem>
      <errorID>9b73a6dc-54be-4028-9541-110175bba76e</errorID>
      <errorWord>，</errorWord>
      <group>L1_Word</group>
      <groupName>字词问题</groupName>
      <ability>L2_Typo</ability>
      <abilityName>字词错误</abilityName>
      <candidateList>
        <item>，使</item>
      </candidateList>
      <explain/>
      <paraID> 3058C7E</paraID>
      <start>32</start>
      <end>33</end>
      <status>unmodified</status>
      <modifiedWord/>
      <trackRevisions>false</trackRevisions>
    </reviewItem>
    <reviewItem>
      <errorID>a0ac4233-d9c2-4d09-82f5-da4e393715a7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240EA54D</paraID>
      <start>15</start>
      <end>18</end>
      <status>unmodified</status>
      <modifiedWord/>
      <trackRevisions>false</trackRevisions>
    </reviewItem>
    <reviewItem>
      <errorID>61918885-400f-46ca-91f6-b8ffc5168e78</errorID>
      <errorWord>法律、法规</errorWord>
      <group>L1_Word</group>
      <groupName>字词问题</groupName>
      <ability>L2_Typo</ability>
      <abilityName>字词错误</abilityName>
      <candidateList>
        <item>法律法规</item>
      </candidateList>
      <explain/>
      <paraID>559EABAF</paraID>
      <start>38</start>
      <end>43</end>
      <status>unmodified</status>
      <modifiedWord/>
      <trackRevisions>false</trackRevisions>
    </reviewItem>
    <reviewItem>
      <errorID>2bad72d6-0dd0-464d-b710-7680c93e6a8d</errorID>
      <errorWord>操作合</errorWord>
      <group>L1_Word</group>
      <groupName>字词问题</groupName>
      <ability>L2_Typo</ability>
      <abilityName>字词错误</abilityName>
      <candidateList>
        <item>操作台</item>
      </candidateList>
      <explain/>
      <paraID>4443BCB0</paraID>
      <start>9</start>
      <end>12</end>
      <status>unmodified</status>
      <modifiedWord/>
      <trackRevisions>false</trackRevisions>
    </reviewItem>
    <reviewItem>
      <errorID>f3e5da04-727b-4ff2-aa80-c9e99ac25d21</errorID>
      <errorWord>，</errorWord>
      <group>L1_Word</group>
      <groupName>字词问题</groupName>
      <ability>L2_Typo</ability>
      <abilityName>字词错误</abilityName>
      <candidateList>
        <item>，在</item>
      </candidateList>
      <explain/>
      <paraID>4163B8F8</paraID>
      <start>36</start>
      <end>37</end>
      <status>unmodified</status>
      <modifiedWord/>
      <trackRevisions>false</trackRevisions>
    </reviewItem>
    <reviewItem>
      <errorID>5ad85785-a0e9-42e4-902a-b3ffc60da862</errorID>
      <errorWord>间</errorWord>
      <group>L1_Word</group>
      <groupName>字词问题</groupName>
      <ability>L2_Typo</ability>
      <abilityName>字词错误</abilityName>
      <candidateList>
        <item>间之</item>
      </candidateList>
      <explain/>
      <paraID> D5BBB61</paraID>
      <start>14</start>
      <end>15</end>
      <status>unmodified</status>
      <modifiedWord/>
      <trackRevisions>false</trackRevisions>
    </reviewItem>
    <reviewItem>
      <errorID>7d63cda5-a6a4-4183-87b1-3ca4a967257e</errorID>
      <errorWord>做出</errorWord>
      <group>L1_Word</group>
      <groupName>字词问题</groupName>
      <ability>L2_Typo</ability>
      <abilityName>字词错误</abilityName>
      <candidateList>
        <item>作出</item>
      </candidateList>
      <explain/>
      <paraID>353A9A5C</paraID>
      <start>64</start>
      <end>66</end>
      <status>unmodified</status>
      <modifiedWord/>
      <trackRevisions>false</trackRevisions>
    </reviewItem>
    <reviewItem>
      <errorID>d11829e7-f51e-4262-a376-6c0d973cf602</errorID>
      <errorWord>)</errorWord>
      <group>L1_Format</group>
      <groupName>格式问题</groupName>
      <ability>L2_HalfPunc</ability>
      <abilityName>全半角检查</abilityName>
      <candidateList>
        <item>）</item>
      </candidateList>
      <explain>文本全半角错误。</explain>
      <paraID> 9B8B7A3</paraID>
      <start>103</start>
      <end>104</end>
      <status>unmodified</status>
      <modifiedWord/>
      <trackRevisions>false</trackRevisions>
    </reviewItem>
    <reviewItem>
      <errorID>33b3da07-6d21-48f7-a02e-cfed55bc5c69</errorID>
      <errorWord>费</errorWord>
      <group>L1_Word</group>
      <groupName>字词问题</groupName>
      <ability>L2_Typo</ability>
      <abilityName>字词错误</abilityName>
      <candidateList>
        <item>费用</item>
      </candidateList>
      <explain/>
      <paraID> CBC44B8</paraID>
      <start>54</start>
      <end>55</end>
      <status>unmodified</status>
      <modifiedWord/>
      <trackRevisions>false</trackRevisions>
    </reviewItem>
    <reviewItem>
      <errorID>a45bffae-a8e8-4139-a21b-2bec9ae1828e</errorID>
      <errorWord>能效</errorWord>
      <group>L1_Word</group>
      <groupName>字词问题</groupName>
      <ability>L2_Typo</ability>
      <abilityName>字词错误</abilityName>
      <candidateList>
        <item>效能</item>
      </candidateList>
      <explain/>
      <paraID> CBC44B8</paraID>
      <start>102</start>
      <end>104</end>
      <status>unmodified</status>
      <modifiedWord/>
      <trackRevisions>false</trackRevisions>
    </reviewItem>
    <reviewItem>
      <errorID>2735c8c8-b75a-4063-9137-1150e2db20ca</errorID>
      <errorWord>(</errorWord>
      <group>L1_Format</group>
      <groupName>格式问题</groupName>
      <ability>L2_HalfPunc</ability>
      <abilityName>全半角检查</abilityName>
      <candidateList>
        <item>（</item>
      </candidateList>
      <explain>文本全半角错误。</explain>
      <paraID>2FAB1E39</paraID>
      <start>15</start>
      <end>16</end>
      <status>unmodified</status>
      <modifiedWord/>
      <trackRevisions>false</trackRevisions>
    </reviewItem>
    <reviewItem>
      <errorID>6535ee09-a3e6-44ec-ab24-3ac89fd4db09</errorID>
      <errorWord>)</errorWord>
      <group>L1_Format</group>
      <groupName>格式问题</groupName>
      <ability>L2_HalfPunc</ability>
      <abilityName>全半角检查</abilityName>
      <candidateList>
        <item>）</item>
      </candidateList>
      <explain>文本全半角错误。</explain>
      <paraID>2FAB1E39</paraID>
      <start>38</start>
      <end>39</end>
      <status>unmodified</status>
      <modifiedWord/>
      <trackRevisions>false</trackRevisions>
    </reviewItem>
    <reviewItem>
      <errorID>86eb848b-b8eb-49d9-bba9-18e76fbce023</errorID>
      <errorWord>;</errorWord>
      <group>L1_Format</group>
      <groupName>格式问题</groupName>
      <ability>L2_HalfPunc</ability>
      <abilityName>全半角检查</abilityName>
      <candidateList>
        <item>；</item>
      </candidateList>
      <explain>文本全半角错误。</explain>
      <paraID>6D2C4339</paraID>
      <start>72</start>
      <end>73</end>
      <status>unmodified</status>
      <modifiedWord/>
      <trackRevisions>false</trackRevisions>
    </reviewItem>
    <reviewItem>
      <errorID>acf87ce4-d925-49c6-bfd9-add1e129ade0</errorID>
      <errorWord>人</errorWord>
      <group>L1_Word</group>
      <groupName>字词问题</groupName>
      <ability>L2_Typo</ability>
      <abilityName>字词错误</abilityName>
      <candidateList>
        <item>人员</item>
      </candidateList>
      <explain>〈名〉担任某种职务的人：机关工作～｜值班～｜～配备。</explain>
      <paraID>41792D4D</paraID>
      <start>25</start>
      <end>26</end>
      <status>unmodified</status>
      <modifiedWord/>
      <trackRevisions>false</trackRevisions>
    </reviewItem>
    <reviewItem>
      <errorID>e15aee29-b410-411f-8b48-8036f584118b</errorID>
      <errorWord>束</errorWord>
      <group>L1_Word</group>
      <groupName>字词问题</groupName>
      <ability>L2_Typo</ability>
      <abilityName>字词错误</abilityName>
      <candidateList>
        <item>束后</item>
      </candidateList>
      <explain/>
      <paraID>77832EC3</paraID>
      <start>50</start>
      <end>51</end>
      <status>unmodified</status>
      <modifiedWord/>
      <trackRevisions>false</trackRevisions>
    </reviewItem>
    <reviewItem>
      <errorID>48df7e2d-ff1f-40af-a563-d290c84657fb</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141B0226</paraID>
      <start>51</start>
      <end>52</end>
      <status>unmodified</status>
      <modifiedWord/>
      <trackRevisions>false</trackRevisions>
    </reviewItem>
    <reviewItem>
      <errorID>cab9c693-c454-4989-b43d-a578ca6a4dd2</errorID>
      <errorWord>作出</errorWord>
      <group>L1_Word</group>
      <groupName>字词问题</groupName>
      <ability>L2_Typo</ability>
      <abilityName>字词错误</abilityName>
      <candidateList>
        <item>做出</item>
      </candidateList>
      <explain/>
      <paraID>42F209EF</paraID>
      <start>16</start>
      <end>18</end>
      <status>unmodified</status>
      <modifiedWord/>
      <trackRevisions>false</trackRevisions>
    </reviewItem>
    <reviewItem>
      <errorID>de47f98e-30f5-4125-bb79-ed3b256f7568</errorID>
      <errorWord>(</errorWord>
      <group>L1_Format</group>
      <groupName>格式问题</groupName>
      <ability>L2_HalfPunc</ability>
      <abilityName>全半角检查</abilityName>
      <candidateList>
        <item>（</item>
      </candidateList>
      <explain>文本全半角错误。</explain>
      <paraID>71D985A9</paraID>
      <start>46</start>
      <end>47</end>
      <status>unmodified</status>
      <modifiedWord/>
      <trackRevisions>false</trackRevisions>
    </reviewItem>
    <reviewItem>
      <errorID>47dafdcd-3aa1-4290-a1fe-2a5df1a5451a</errorID>
      <errorWord>)</errorWord>
      <group>L1_Format</group>
      <groupName>格式问题</groupName>
      <ability>L2_HalfPunc</ability>
      <abilityName>全半角检查</abilityName>
      <candidateList>
        <item>）</item>
      </candidateList>
      <explain>文本全半角错误。</explain>
      <paraID>71D985A9</paraID>
      <start>58</start>
      <end>59</end>
      <status>unmodified</status>
      <modifiedWord/>
      <trackRevisions>false</trackRevisions>
    </reviewItem>
    <reviewItem>
      <errorID>0175c177-2974-4e35-8d53-30d63683133d</errorID>
      <errorWord>(</errorWord>
      <group>L1_Format</group>
      <groupName>格式问题</groupName>
      <ability>L2_HalfPunc</ability>
      <abilityName>全半角检查</abilityName>
      <candidateList>
        <item>（</item>
      </candidateList>
      <explain>文本全半角错误。</explain>
      <paraID>4A7F6F99</paraID>
      <start>25</start>
      <end>26</end>
      <status>unmodified</status>
      <modifiedWord/>
      <trackRevisions>false</trackRevisions>
    </reviewItem>
    <reviewItem>
      <errorID>f539b100-d80b-4b44-a82b-292c70afe406</errorID>
      <errorWord>)</errorWord>
      <group>L1_Format</group>
      <groupName>格式问题</groupName>
      <ability>L2_HalfPunc</ability>
      <abilityName>全半角检查</abilityName>
      <candidateList>
        <item>）</item>
      </candidateList>
      <explain>文本全半角错误。</explain>
      <paraID>4A7F6F99</paraID>
      <start>48</start>
      <end>49</end>
      <status>unmodified</status>
      <modifiedWord/>
      <trackRevisions>false</trackRevisions>
    </reviewItem>
    <reviewItem>
      <errorID>952728dd-e4be-46b1-95cf-3d6915e88fb2</errorID>
      <errorWord>(</errorWord>
      <group>L1_Format</group>
      <groupName>格式问题</groupName>
      <ability>L2_HalfPunc</ability>
      <abilityName>全半角检查</abilityName>
      <candidateList>
        <item>（</item>
      </candidateList>
      <explain>文本全半角错误。</explain>
      <paraID>4A7F6F99</paraID>
      <start>57</start>
      <end>58</end>
      <status>unmodified</status>
      <modifiedWord/>
      <trackRevisions>false</trackRevisions>
    </reviewItem>
    <reviewItem>
      <errorID>4dea3b90-5622-478e-91ca-9912d1804790</errorID>
      <errorWord>)</errorWord>
      <group>L1_Format</group>
      <groupName>格式问题</groupName>
      <ability>L2_HalfPunc</ability>
      <abilityName>全半角检查</abilityName>
      <candidateList>
        <item>）</item>
      </candidateList>
      <explain>文本全半角错误。</explain>
      <paraID>4A7F6F99</paraID>
      <start>73</start>
      <end>74</end>
      <status>unmodified</status>
      <modifiedWord/>
      <trackRevisions>false</trackRevisions>
    </reviewItem>
    <reviewItem>
      <errorID>35a9895e-209d-4b4f-9e01-89b91df17889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316E54A8</paraID>
      <start>19</start>
      <end>21</end>
      <status>unmodified</status>
      <modifiedWord/>
      <trackRevisions>false</trackRevisions>
    </reviewItem>
    <reviewItem>
      <errorID>b37dc1cd-f385-4da1-a05e-3fedf4414c0e</errorID>
      <errorWord>-</errorWord>
      <group>L1_Format</group>
      <groupName>格式问题</groupName>
      <ability>L2_HalfPunc</ability>
      <abilityName>全半角检查</abilityName>
      <candidateList>
        <item>－</item>
      </candidateList>
      <explain>文本全半角错误。</explain>
      <paraID>44BDEBDE</paraID>
      <start>20</start>
      <end>21</end>
      <status>unmodified</status>
      <modifiedWord/>
      <trackRevisions>false</trackRevisions>
    </reviewItem>
    <reviewItem>
      <errorID>187f42e6-1b12-41f3-9615-2b069e218c06</errorID>
      <errorWord>法律、法规</errorWord>
      <group>L1_Word</group>
      <groupName>字词问题</groupName>
      <ability>L2_Typo</ability>
      <abilityName>字词错误</abilityName>
      <candidateList>
        <item>法律法规</item>
      </candidateList>
      <explain/>
      <paraID>3479ABC0</paraID>
      <start>3</start>
      <end>8</end>
      <status>unmodified</status>
      <modifiedWord/>
      <trackRevisions>false</trackRevisions>
    </reviewItem>
    <reviewItem>
      <errorID>c96ca87b-06b8-462c-9ad2-901df3d2e3eb</errorID>
      <errorWord>试试</errorWord>
      <group>L1_Word</group>
      <groupName>字词问题</groupName>
      <ability>L2_Typo</ability>
      <abilityName>字词错误</abilityName>
      <candidateList>
        <item>试</item>
      </candidateList>
      <explain/>
      <paraID>25E07482</paraID>
      <start>72</start>
      <end>74</end>
      <status>unmodified</status>
      <modifiedWord/>
      <trackRevisions>false</trackRevisions>
    </reviewItem>
    <reviewItem>
      <errorID>2762ad8b-3c4a-4ae5-abb1-dc96dc88517c</errorID>
      <errorWord>提</errorWord>
      <group>L1_Word</group>
      <groupName>字词问题</groupName>
      <ability>L2_Typo</ability>
      <abilityName>字词错误</abilityName>
      <candidateList>
        <item>提供</item>
      </candidateList>
      <explain/>
      <paraID>5AB4AE8D</paraID>
      <start>13</start>
      <end>14</end>
      <status>unmodified</status>
      <modifiedWord/>
      <trackRevisions>false</trackRevisions>
    </reviewItem>
    <reviewItem>
      <errorID>df0b0ab3-0619-45b7-9b96-75e57bf1dbeb</errorID>
      <errorWord>件</errorWord>
      <group>L1_Word</group>
      <groupName>字词问题</groupName>
      <ability>L2_Typo</ability>
      <abilityName>字词错误</abilityName>
      <candidateList>
        <item>件中</item>
      </candidateList>
      <explain/>
      <paraID>6C56BA4A</paraID>
      <start>10</start>
      <end>11</end>
      <status>unmodified</status>
      <modifiedWord/>
      <trackRevisions>false</trackRevisions>
    </reviewItem>
    <reviewItem>
      <errorID>45c67e3d-5e0b-4ae5-a364-f20b34a1bf5a</errorID>
      <errorWord>(</errorWord>
      <group>L1_Format</group>
      <groupName>格式问题</groupName>
      <ability>L2_HalfPunc</ability>
      <abilityName>全半角检查</abilityName>
      <candidateList>
        <item>（</item>
      </candidateList>
      <explain>文本全半角错误。</explain>
      <paraID> 1386C92</paraID>
      <start>10</start>
      <end>11</end>
      <status>unmodified</status>
      <modifiedWord/>
      <trackRevisions>false</trackRevisions>
    </reviewItem>
    <reviewItem>
      <errorID>ffae4782-71ff-4b1c-bcd3-9de23eb36e0e</errorID>
      <errorWord>)</errorWord>
      <group>L1_Format</group>
      <groupName>格式问题</groupName>
      <ability>L2_HalfPunc</ability>
      <abilityName>全半角检查</abilityName>
      <candidateList>
        <item>）</item>
      </candidateList>
      <explain>文本全半角错误。</explain>
      <paraID> 1386C92</paraID>
      <start>19</start>
      <end>20</end>
      <status>unmodified</status>
      <modifiedWord/>
      <trackRevisions>false</trackRevisions>
    </reviewItem>
    <reviewItem>
      <errorID>bfdf84e1-02b9-4198-a87f-6823dc532fb4</errorID>
      <errorWord>股东大会</errorWord>
      <group>L1_Word</group>
      <groupName>字词问题</groupName>
      <ability>L2_Typo</ability>
      <abilityName>字词错误</abilityName>
      <candidateList>
        <item>股东会</item>
      </candidateList>
      <explain/>
      <paraID>5946CD7D</paraID>
      <start>113</start>
      <end>117</end>
      <status>unmodified</status>
      <modifiedWord/>
      <trackRevisions>false</trackRevisions>
    </reviewItem>
    <reviewItem>
      <errorID>6d2430b6-2867-4e63-8294-3006e84b488c</errorID>
      <errorWord>:</errorWord>
      <group>L1_Format</group>
      <groupName>格式问题</groupName>
      <ability>L2_HalfPunc</ability>
      <abilityName>全半角检查</abilityName>
      <candidateList>
        <item>：</item>
      </candidateList>
      <explain>文本全半角错误。</explain>
      <paraID>4071E55B</paraID>
      <start>1</start>
      <end>2</end>
      <status>unmodified</status>
      <modifiedWord/>
      <trackRevisions>false</trackRevisions>
    </reviewItem>
    <reviewItem>
      <errorID>f53601b8-3c25-4e53-9a27-b29e0c4a9d21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340B86FC</paraID>
      <start>37</start>
      <end>40</end>
      <status>unmodified</status>
      <modifiedWord/>
      <trackRevisions>false</trackRevisions>
    </reviewItem>
    <reviewItem>
      <errorID>800ae73d-5b4b-4338-b2ac-23f96af40e64</errorID>
      <errorWord>,</errorWord>
      <group>L1_Format</group>
      <groupName>格式问题</groupName>
      <ability>L2_HalfPunc</ability>
      <abilityName>全半角检查</abilityName>
      <candidateList>
        <item>，</item>
      </candidateList>
      <explain>文本全半角错误。</explain>
      <paraID>3830D97B</paraID>
      <start>61</start>
      <end>62</end>
      <status>unmodified</status>
      <modifiedWord/>
      <trackRevisions>false</trackRevisions>
    </reviewItem>
    <reviewItem>
      <errorID>e14be887-d7c1-483d-bb34-e38b6e16e274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1D2461B</paraID>
      <start>40</start>
      <end>43</end>
      <status>unmodified</status>
      <modifiedWord/>
      <trackRevisions>false</trackRevisions>
    </reviewItem>
    <reviewItem>
      <errorID>e6efccf3-2ec8-4244-8077-d7b5fc2ddb1e</errorID>
      <errorWord>提出质疑</errorWord>
      <group>L1_Grammar</group>
      <groupName>语法问题</groupName>
      <ability>L2_Grammar</ability>
      <abilityName>语法错误</abilityName>
      <candidateList>
        <item>质疑</item>
      </candidateList>
      <explain>〈动〉提出疑问：～问难。</explain>
      <paraID>53402DFC</paraID>
      <start>53</start>
      <end>57</end>
      <status>unmodified</status>
      <modifiedWord/>
      <trackRevisions>false</trackRevisions>
    </reviewItem>
    <reviewItem>
      <errorID>685296e7-2954-4956-94b5-f0aba89c9934</errorID>
      <errorWord>法律、法规</errorWord>
      <group>L1_Word</group>
      <groupName>字词问题</groupName>
      <ability>L2_Typo</ability>
      <abilityName>字词错误</abilityName>
      <candidateList>
        <item>法律法规</item>
      </candidateList>
      <explain/>
      <paraID>3EAD8254</paraID>
      <start>29</start>
      <end>34</end>
      <status>unmodified</status>
      <modifiedWord/>
      <trackRevisions>false</trackRevisions>
    </reviewItem>
    <reviewItem>
      <errorID>507ad85f-30be-41a1-bd10-321d4d6d3f45</errorID>
      <errorWord>进行实施</errorWord>
      <group>L1_Word</group>
      <groupName>字词问题</groupName>
      <ability>L2_Typo</ability>
      <abilityName>字词错误</abilityName>
      <candidateList>
        <item>实施</item>
      </candidateList>
      <explain>〈动〉实行（法令、政策等）：付诸～｜～细则｜～新的办法。</explain>
      <paraID>77339B1F</paraID>
      <start>27</start>
      <end>31</end>
      <status>unmodified</status>
      <modifiedWord/>
      <trackRevisions>false</trackRevisions>
    </reviewItem>
    <reviewItem>
      <errorID>1cc336cb-1d74-4159-8977-40c009dab971</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6ACA02F4</paraID>
      <start>48</start>
      <end>49</end>
      <status>unmodified</status>
      <modifiedWord/>
      <trackRevisions>false</trackRevisions>
    </reviewItem>
    <reviewItem>
      <errorID>19e1b381-a870-4acd-a092-d9b2c810771a</errorID>
      <errorWord>签</errorWord>
      <group>L1_Word</group>
      <groupName>字词问题</groupName>
      <ability>L2_Typo</ability>
      <abilityName>字词错误</abilityName>
      <candidateList>
        <item>签订</item>
      </candidateList>
      <explain>〈动〉订立条约或合同并签字：两国～了贸易议定书和支付协定。</explain>
      <paraID>2C303B4D</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a8f6c9-afda-435c-9537-56e07dec0bbc}">
  <ds:schemaRefs/>
</ds:datastoreItem>
</file>

<file path=docProps/app.xml><?xml version="1.0" encoding="utf-8"?>
<Properties xmlns="http://schemas.openxmlformats.org/officeDocument/2006/extended-properties" xmlns:vt="http://schemas.openxmlformats.org/officeDocument/2006/docPropsVTypes">
  <Template>Nor</Template>
  <Company>Sky12</Company>
  <Pages>72</Pages>
  <Words>14476</Words>
  <Characters>15556</Characters>
  <Lines>74</Lines>
  <Paragraphs>81</Paragraphs>
  <TotalTime>15</TotalTime>
  <ScaleCrop>false</ScaleCrop>
  <LinksUpToDate>false</LinksUpToDate>
  <CharactersWithSpaces>15815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2025-07-17T23:31:00Z</dcterms:created>
  <dc:creator>唐</dc:creator>
  <cp:lastModifiedBy>AUV</cp:lastModifiedBy>
  <dcterms:modified xsi:type="dcterms:W3CDTF">2026-04-01T02:41:42Z</dcterms:modified>
  <dc:title>竞争性谈判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eyJoZGlkIjoiMzcwYmY3NzgyYjRlOGI4N2Q1OWEzYjdkMGY1MzQ5NTAiLCJ1c2VySWQiOiIzODM0MjA1OTEifQ==</vt:lpwstr>
  </property>
  <property fmtid="{D5CDD505-2E9C-101B-9397-08002B2CF9AE}" pid="3" name="KSOProductBuildVer">
    <vt:lpwstr>2052-12.1.0.24034</vt:lpwstr>
  </property>
  <property fmtid="{D5CDD505-2E9C-101B-9397-08002B2CF9AE}" pid="4" name="ICV">
    <vt:lpwstr>D97574A9F7114AB39FDDAAD48797C34C_13</vt:lpwstr>
  </property>
</Properties>
</file>