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p>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b/>
                <w:color w:val="auto"/>
                <w:sz w:val="32"/>
                <w:szCs w:val="32"/>
                <w:highlight w:val="none"/>
              </w:rPr>
            </w:pPr>
            <w:r>
              <w:rPr>
                <w:b/>
                <w:color w:val="auto"/>
                <w:sz w:val="32"/>
                <w:szCs w:val="32"/>
                <w:highlight w:val="none"/>
              </w:rPr>
              <w:t>项目名称：</w:t>
            </w:r>
          </w:p>
        </w:tc>
        <w:tc>
          <w:tcPr>
            <w:tcW w:w="5433" w:type="dxa"/>
            <w:noWrap w:val="0"/>
            <w:vAlign w:val="center"/>
          </w:tcPr>
          <w:p>
            <w:pPr>
              <w:rPr>
                <w:rFonts w:hint="eastAsia" w:eastAsia="宋体"/>
                <w:b/>
                <w:color w:val="auto"/>
                <w:sz w:val="32"/>
                <w:szCs w:val="32"/>
                <w:highlight w:val="none"/>
                <w:lang w:eastAsia="zh-CN"/>
              </w:rPr>
            </w:pPr>
            <w:r>
              <w:rPr>
                <w:rFonts w:hint="eastAsia"/>
                <w:b/>
                <w:color w:val="auto"/>
                <w:sz w:val="32"/>
                <w:szCs w:val="32"/>
                <w:highlight w:val="none"/>
                <w:lang w:eastAsia="zh-CN"/>
              </w:rPr>
              <w:t>2026-2027年水电木日常维修保障材料供应服务采购（重）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b/>
                <w:color w:val="auto"/>
                <w:sz w:val="32"/>
                <w:szCs w:val="32"/>
                <w:highlight w:val="none"/>
              </w:rPr>
            </w:pPr>
            <w:r>
              <w:rPr>
                <w:b/>
                <w:color w:val="auto"/>
                <w:sz w:val="32"/>
                <w:szCs w:val="32"/>
                <w:highlight w:val="none"/>
              </w:rPr>
              <w:t>项目编号：</w:t>
            </w:r>
          </w:p>
        </w:tc>
        <w:tc>
          <w:tcPr>
            <w:tcW w:w="5433" w:type="dxa"/>
            <w:noWrap w:val="0"/>
            <w:vAlign w:val="center"/>
          </w:tcPr>
          <w:p>
            <w:pPr>
              <w:rPr>
                <w:rFonts w:hint="eastAsia" w:eastAsia="宋体"/>
                <w:b/>
                <w:color w:val="auto"/>
                <w:sz w:val="32"/>
                <w:szCs w:val="32"/>
                <w:highlight w:val="none"/>
                <w:lang w:eastAsia="zh-CN"/>
              </w:rPr>
            </w:pPr>
            <w:r>
              <w:rPr>
                <w:rFonts w:hint="eastAsia"/>
                <w:b/>
                <w:color w:val="auto"/>
                <w:sz w:val="32"/>
                <w:szCs w:val="32"/>
                <w:highlight w:val="none"/>
                <w:lang w:eastAsia="zh-CN"/>
              </w:rPr>
              <w:t>GXZC2026-C3-000840-JDZB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b/>
                <w:color w:val="auto"/>
                <w:sz w:val="32"/>
                <w:szCs w:val="32"/>
                <w:highlight w:val="none"/>
              </w:rPr>
            </w:pPr>
            <w:r>
              <w:rPr>
                <w:b/>
                <w:color w:val="auto"/>
                <w:sz w:val="32"/>
                <w:szCs w:val="32"/>
                <w:highlight w:val="none"/>
              </w:rPr>
              <w:t>联系电话：</w:t>
            </w:r>
          </w:p>
        </w:tc>
        <w:tc>
          <w:tcPr>
            <w:tcW w:w="5433" w:type="dxa"/>
            <w:noWrap w:val="0"/>
            <w:vAlign w:val="center"/>
          </w:tcPr>
          <w:p>
            <w:pPr>
              <w:rPr>
                <w:rFonts w:hint="eastAsia" w:eastAsia="宋体"/>
                <w:b/>
                <w:color w:val="auto"/>
                <w:sz w:val="32"/>
                <w:szCs w:val="32"/>
                <w:highlight w:val="none"/>
                <w:lang w:eastAsia="zh-CN"/>
              </w:rPr>
            </w:pPr>
            <w:r>
              <w:rPr>
                <w:rFonts w:hint="eastAsia"/>
                <w:b/>
                <w:color w:val="auto"/>
                <w:sz w:val="32"/>
                <w:szCs w:val="32"/>
                <w:highlight w:val="none"/>
                <w:lang w:eastAsia="zh-CN"/>
              </w:rPr>
              <w:t>0773-3696789转2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pPr>
              <w:rPr>
                <w:b/>
                <w:color w:val="auto"/>
                <w:sz w:val="32"/>
                <w:szCs w:val="32"/>
                <w:highlight w:val="none"/>
              </w:rPr>
            </w:pPr>
            <w:r>
              <w:rPr>
                <w:rFonts w:hint="eastAsia"/>
                <w:b/>
                <w:color w:val="auto"/>
                <w:sz w:val="32"/>
                <w:szCs w:val="32"/>
                <w:highlight w:val="none"/>
              </w:rPr>
              <w:t>竞争性磋商</w:t>
            </w:r>
          </w:p>
        </w:tc>
      </w:tr>
    </w:tbl>
    <w:p>
      <w:pPr>
        <w:tabs>
          <w:tab w:val="left" w:pos="1710"/>
        </w:tabs>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noWrap w:val="0"/>
            <w:vAlign w:val="center"/>
          </w:tcPr>
          <w:p>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桂林航天工业学院</w:t>
            </w:r>
          </w:p>
        </w:tc>
      </w:tr>
      <w:tr>
        <w:tblPrEx>
          <w:tblCellMar>
            <w:top w:w="0" w:type="dxa"/>
            <w:left w:w="108" w:type="dxa"/>
            <w:bottom w:w="0" w:type="dxa"/>
            <w:right w:w="108" w:type="dxa"/>
          </w:tblCellMar>
        </w:tblPrEx>
        <w:trPr>
          <w:trHeight w:val="703" w:hRule="atLeast"/>
          <w:jc w:val="center"/>
        </w:trPr>
        <w:tc>
          <w:tcPr>
            <w:tcW w:w="2713" w:type="dxa"/>
            <w:gridSpan w:val="2"/>
            <w:noWrap w:val="0"/>
            <w:vAlign w:val="top"/>
          </w:tcPr>
          <w:p>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pPr>
        <w:rPr>
          <w:color w:val="auto"/>
          <w:highlight w:val="none"/>
        </w:rPr>
      </w:pPr>
    </w:p>
    <w:p>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4</w:t>
      </w:r>
      <w:r>
        <w:rPr>
          <w:b/>
          <w:color w:val="auto"/>
          <w:sz w:val="32"/>
          <w:szCs w:val="32"/>
          <w:highlight w:val="none"/>
        </w:rPr>
        <w:t>月</w:t>
      </w:r>
    </w:p>
    <w:p>
      <w:pPr>
        <w:rPr>
          <w:color w:val="auto"/>
          <w:sz w:val="32"/>
          <w:szCs w:val="32"/>
          <w:highlight w:val="none"/>
        </w:rPr>
      </w:pPr>
    </w:p>
    <w:p>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14683"/>
      <w:r>
        <w:rPr>
          <w:rFonts w:ascii="Times New Roman" w:hAnsi="Times New Roman" w:cs="Times New Roman"/>
          <w:color w:val="auto"/>
          <w:sz w:val="32"/>
          <w:szCs w:val="32"/>
          <w:highlight w:val="none"/>
        </w:rPr>
        <w:t>目    录</w:t>
      </w:r>
      <w:bookmarkEnd w:id="2"/>
      <w:bookmarkEnd w:id="3"/>
    </w:p>
    <w:p>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_Toc3771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_Toc3771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_Toc31218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_Toc31218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_Toc636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_Toc636 \h </w:instrText>
      </w:r>
      <w:r>
        <w:rPr>
          <w:color w:val="auto"/>
          <w:highlight w:val="none"/>
        </w:rPr>
        <w:fldChar w:fldCharType="separate"/>
      </w:r>
      <w:r>
        <w:rPr>
          <w:color w:val="auto"/>
          <w:highlight w:val="none"/>
        </w:rPr>
        <w:t>73</w:t>
      </w:r>
      <w:r>
        <w:rPr>
          <w:color w:val="auto"/>
          <w:highlight w:val="none"/>
        </w:rPr>
        <w:fldChar w:fldCharType="end"/>
      </w:r>
      <w:r>
        <w:rPr>
          <w:rFonts w:ascii="Times New Roman" w:hAnsi="Times New Roman"/>
          <w:color w:val="auto"/>
          <w:szCs w:val="28"/>
          <w:highlight w:val="none"/>
        </w:rPr>
        <w:fldChar w:fldCharType="end"/>
      </w:r>
    </w:p>
    <w:p>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_Toc9661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_Toc9661 \h </w:instrText>
      </w:r>
      <w:r>
        <w:rPr>
          <w:color w:val="auto"/>
          <w:highlight w:val="none"/>
        </w:rPr>
        <w:fldChar w:fldCharType="separate"/>
      </w:r>
      <w:r>
        <w:rPr>
          <w:color w:val="auto"/>
          <w:highlight w:val="none"/>
        </w:rPr>
        <w:t>93</w:t>
      </w:r>
      <w:r>
        <w:rPr>
          <w:color w:val="auto"/>
          <w:highlight w:val="none"/>
        </w:rPr>
        <w:fldChar w:fldCharType="end"/>
      </w:r>
      <w:r>
        <w:rPr>
          <w:rFonts w:ascii="Times New Roman" w:hAnsi="Times New Roman"/>
          <w:color w:val="auto"/>
          <w:szCs w:val="28"/>
          <w:highlight w:val="none"/>
        </w:rPr>
        <w:fldChar w:fldCharType="end"/>
      </w:r>
    </w:p>
    <w:p>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_Toc29453 </w:instrText>
      </w:r>
      <w:r>
        <w:rPr>
          <w:rFonts w:ascii="Times New Roman" w:hAnsi="Times New Roman"/>
          <w:color w:val="auto"/>
          <w:szCs w:val="28"/>
          <w:highlight w:val="none"/>
        </w:rPr>
        <w:fldChar w:fldCharType="separate"/>
      </w:r>
      <w:r>
        <w:rPr>
          <w:rFonts w:ascii="Times New Roman" w:hAnsi="Times New Roman" w:eastAsia="宋体"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_Toc29453 \h </w:instrText>
      </w:r>
      <w:r>
        <w:rPr>
          <w:color w:val="auto"/>
          <w:highlight w:val="none"/>
        </w:rPr>
        <w:fldChar w:fldCharType="separate"/>
      </w:r>
      <w:r>
        <w:rPr>
          <w:color w:val="auto"/>
          <w:highlight w:val="none"/>
        </w:rPr>
        <w:t>99</w:t>
      </w:r>
      <w:r>
        <w:rPr>
          <w:color w:val="auto"/>
          <w:highlight w:val="none"/>
        </w:rPr>
        <w:fldChar w:fldCharType="end"/>
      </w:r>
      <w:r>
        <w:rPr>
          <w:rFonts w:ascii="Times New Roman" w:hAnsi="Times New Roman"/>
          <w:color w:val="auto"/>
          <w:szCs w:val="28"/>
          <w:highlight w:val="none"/>
        </w:rPr>
        <w:fldChar w:fldCharType="end"/>
      </w:r>
    </w:p>
    <w:p>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_Toc23769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_Toc23769 \h </w:instrText>
      </w:r>
      <w:r>
        <w:rPr>
          <w:color w:val="auto"/>
          <w:highlight w:val="none"/>
        </w:rPr>
        <w:fldChar w:fldCharType="separate"/>
      </w:r>
      <w:r>
        <w:rPr>
          <w:color w:val="auto"/>
          <w:highlight w:val="none"/>
        </w:rPr>
        <w:t>106</w:t>
      </w:r>
      <w:r>
        <w:rPr>
          <w:color w:val="auto"/>
          <w:highlight w:val="none"/>
        </w:rPr>
        <w:fldChar w:fldCharType="end"/>
      </w:r>
      <w:r>
        <w:rPr>
          <w:rFonts w:ascii="Times New Roman" w:hAnsi="Times New Roman"/>
          <w:color w:val="auto"/>
          <w:szCs w:val="28"/>
          <w:highlight w:val="none"/>
        </w:rPr>
        <w:fldChar w:fldCharType="end"/>
      </w:r>
    </w:p>
    <w:p>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pPr>
        <w:spacing w:before="120" w:beforeLines="50" w:line="480" w:lineRule="exact"/>
        <w:rPr>
          <w:color w:val="auto"/>
          <w:sz w:val="28"/>
          <w:szCs w:val="28"/>
          <w:highlight w:val="none"/>
        </w:rPr>
      </w:pPr>
    </w:p>
    <w:p>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pPr>
        <w:rPr>
          <w:color w:val="auto"/>
          <w:highlight w:val="none"/>
        </w:rPr>
      </w:pPr>
      <w:bookmarkStart w:id="4" w:name="_Toc254970630"/>
      <w:bookmarkStart w:id="5" w:name="_Toc254970489"/>
    </w:p>
    <w:p>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3771"/>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pPr>
        <w:spacing w:line="400" w:lineRule="exact"/>
        <w:jc w:val="center"/>
        <w:rPr>
          <w:color w:val="auto"/>
          <w:kern w:val="0"/>
          <w:sz w:val="24"/>
          <w:highlight w:val="none"/>
        </w:rPr>
      </w:pPr>
      <w:bookmarkStart w:id="123" w:name="_GoBack"/>
      <w:r>
        <w:rPr>
          <w:color w:val="auto"/>
          <w:kern w:val="0"/>
          <w:sz w:val="24"/>
          <w:highlight w:val="none"/>
        </w:rPr>
        <w:t>广西机电设备招标有限公司关于</w:t>
      </w:r>
      <w:r>
        <w:rPr>
          <w:rFonts w:hint="eastAsia"/>
          <w:color w:val="auto"/>
          <w:kern w:val="0"/>
          <w:sz w:val="24"/>
          <w:highlight w:val="none"/>
          <w:lang w:eastAsia="zh-CN"/>
        </w:rPr>
        <w:t>2026-2027年水电木日常维修保障材料供应服务采购（重）</w:t>
      </w:r>
      <w:r>
        <w:rPr>
          <w:color w:val="auto"/>
          <w:sz w:val="24"/>
          <w:highlight w:val="none"/>
        </w:rPr>
        <w:t>(</w:t>
      </w:r>
      <w:r>
        <w:rPr>
          <w:rFonts w:hint="eastAsia"/>
          <w:color w:val="auto"/>
          <w:sz w:val="24"/>
          <w:highlight w:val="none"/>
          <w:lang w:eastAsia="zh-CN"/>
        </w:rPr>
        <w:t>GXZC2026-C3-000840-JDZB</w:t>
      </w:r>
      <w:r>
        <w:rPr>
          <w:color w:val="auto"/>
          <w:sz w:val="24"/>
          <w:highlight w:val="none"/>
        </w:rPr>
        <w:t>)</w:t>
      </w:r>
      <w:r>
        <w:rPr>
          <w:color w:val="auto"/>
          <w:kern w:val="0"/>
          <w:sz w:val="24"/>
          <w:highlight w:val="none"/>
        </w:rPr>
        <w:t>竞争性磋商公告</w:t>
      </w:r>
    </w:p>
    <w:p>
      <w:pPr>
        <w:spacing w:line="312" w:lineRule="auto"/>
        <w:jc w:val="left"/>
        <w:rPr>
          <w:rFonts w:hint="eastAsia"/>
          <w:b/>
          <w:bCs/>
          <w:color w:val="auto"/>
          <w:kern w:val="0"/>
          <w:sz w:val="22"/>
          <w:szCs w:val="22"/>
          <w:highlight w:val="none"/>
        </w:rPr>
      </w:pPr>
    </w:p>
    <w:p>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2026-2027年水电木日常维修保障材料供应服务采购（重）</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7</w:t>
      </w:r>
      <w:r>
        <w:rPr>
          <w:rFonts w:hint="eastAsia"/>
          <w:color w:val="auto"/>
          <w:szCs w:val="21"/>
          <w:highlight w:val="none"/>
        </w:rPr>
        <w:t>日 09:30（北京时间）前提交响应文件。</w:t>
      </w:r>
      <w:bookmarkEnd w:id="7"/>
    </w:p>
    <w:p>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GXZC2026-C3-000840-JDZB</w:t>
      </w:r>
    </w:p>
    <w:p>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2026-2027年水电木日常维修保障材料供应服务采购（重）</w:t>
      </w:r>
    </w:p>
    <w:p>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p>
    <w:p>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szCs w:val="21"/>
          <w:highlight w:val="none"/>
          <w:lang w:eastAsia="zh-CN"/>
        </w:rPr>
        <w:t>2026-2027年水电木日常维修保障材料供应服务采购（重）</w:t>
      </w:r>
    </w:p>
    <w:p>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1540000</w:t>
      </w:r>
    </w:p>
    <w:p>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简要规格描述或项目基本概况介绍、用途：桂林航天工业学院2026-2027年（两年）水电木日常维修保障材料供应服务，</w:t>
      </w:r>
      <w:r>
        <w:rPr>
          <w:rFonts w:hint="eastAsia"/>
          <w:color w:val="auto"/>
          <w:kern w:val="0"/>
          <w:szCs w:val="21"/>
          <w:highlight w:val="none"/>
          <w:lang w:val="en-US" w:eastAsia="zh-CN"/>
        </w:rPr>
        <w:t>本项目最高限价（最高综合折扣率）为100%，在供应期限内结算方式为：“后勤水电木日常维修材料供应清单”内供应的某材料结算金额=“后勤水电木日常维修材料供应清单”中某材料所列单价×实际供应数量×成交综合折扣率（%）；“后勤水电木日常维修材料供应清单”外供应的某材料，由成交供应商提交报价单，经采购人与成交供应商双方协商一致后，按双方确认的最终报价结算。本项目最终结算的合同总价款不得超出预算金额。</w:t>
      </w:r>
      <w:r>
        <w:rPr>
          <w:rFonts w:hint="eastAsia"/>
          <w:color w:val="auto"/>
          <w:kern w:val="0"/>
          <w:szCs w:val="21"/>
          <w:highlight w:val="none"/>
        </w:rPr>
        <w:t>具体技术需求或服务要求等内容详见采购需求。</w:t>
      </w:r>
    </w:p>
    <w:p>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最高限价（如有）：</w:t>
      </w:r>
      <w:r>
        <w:rPr>
          <w:rFonts w:hint="eastAsia"/>
          <w:color w:val="auto"/>
          <w:kern w:val="0"/>
          <w:szCs w:val="21"/>
          <w:highlight w:val="none"/>
          <w:lang w:val="en-US" w:eastAsia="zh-CN"/>
        </w:rPr>
        <w:t>/</w:t>
      </w:r>
    </w:p>
    <w:p>
      <w:pPr>
        <w:spacing w:line="312" w:lineRule="auto"/>
        <w:ind w:firstLine="735" w:firstLineChars="350"/>
        <w:jc w:val="left"/>
        <w:rPr>
          <w:rFonts w:hint="default" w:cs="宋体"/>
          <w:color w:val="auto"/>
          <w:szCs w:val="21"/>
          <w:highlight w:val="none"/>
          <w:lang w:val="en-US"/>
        </w:rPr>
      </w:pPr>
      <w:r>
        <w:rPr>
          <w:rFonts w:hint="eastAsia"/>
          <w:color w:val="auto"/>
          <w:kern w:val="0"/>
          <w:szCs w:val="21"/>
          <w:highlight w:val="none"/>
        </w:rPr>
        <w:t>合同履约期限：</w:t>
      </w:r>
      <w:r>
        <w:rPr>
          <w:rFonts w:hint="default" w:cs="宋体"/>
          <w:color w:val="auto"/>
          <w:szCs w:val="21"/>
          <w:highlight w:val="none"/>
          <w:lang w:val="en-US"/>
        </w:rPr>
        <w:t>自签订合同之日起至202</w:t>
      </w:r>
      <w:r>
        <w:rPr>
          <w:rFonts w:hint="eastAsia" w:cs="宋体"/>
          <w:color w:val="auto"/>
          <w:szCs w:val="21"/>
          <w:highlight w:val="none"/>
          <w:lang w:val="en-US" w:eastAsia="zh-CN"/>
        </w:rPr>
        <w:t>7</w:t>
      </w:r>
      <w:r>
        <w:rPr>
          <w:rFonts w:hint="default" w:cs="宋体"/>
          <w:color w:val="auto"/>
          <w:szCs w:val="21"/>
          <w:highlight w:val="none"/>
          <w:lang w:val="en-US"/>
        </w:rPr>
        <w:t>年12月31日止。</w:t>
      </w:r>
    </w:p>
    <w:p>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pPr>
        <w:spacing w:line="312" w:lineRule="auto"/>
        <w:ind w:firstLine="420" w:firstLineChars="200"/>
        <w:jc w:val="left"/>
        <w:rPr>
          <w:rFonts w:hint="eastAsia" w:eastAsia="宋体"/>
          <w:color w:val="auto"/>
          <w:kern w:val="0"/>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本项目为专门面向小微企业采购，供应商为小微企业或残疾人福利企业或监狱企业</w:t>
      </w:r>
    </w:p>
    <w:p>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pPr>
        <w:spacing w:line="312" w:lineRule="auto"/>
        <w:ind w:firstLine="420" w:firstLineChars="200"/>
        <w:jc w:val="left"/>
        <w:rPr>
          <w:color w:val="auto"/>
          <w:kern w:val="0"/>
          <w:szCs w:val="21"/>
          <w:highlight w:val="none"/>
        </w:rPr>
      </w:pPr>
      <w:r>
        <w:rPr>
          <w:color w:val="auto"/>
          <w:kern w:val="0"/>
          <w:szCs w:val="21"/>
          <w:highlight w:val="none"/>
        </w:rPr>
        <w:t>（1）资质要求：无。</w:t>
      </w:r>
    </w:p>
    <w:p>
      <w:pPr>
        <w:spacing w:line="312" w:lineRule="auto"/>
        <w:ind w:firstLine="420" w:firstLineChars="200"/>
        <w:jc w:val="left"/>
        <w:rPr>
          <w:color w:val="auto"/>
          <w:kern w:val="0"/>
          <w:szCs w:val="21"/>
          <w:highlight w:val="none"/>
        </w:rPr>
      </w:pPr>
      <w:r>
        <w:rPr>
          <w:color w:val="auto"/>
          <w:kern w:val="0"/>
          <w:szCs w:val="21"/>
          <w:highlight w:val="none"/>
        </w:rPr>
        <w:t>（2）业绩要求：无。</w:t>
      </w:r>
    </w:p>
    <w:p>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w:t>
      </w:r>
      <w:r>
        <w:rPr>
          <w:rFonts w:hint="eastAsia"/>
          <w:color w:val="auto"/>
          <w:kern w:val="0"/>
          <w:szCs w:val="21"/>
          <w:highlight w:val="none"/>
          <w:lang w:val="en-US" w:eastAsia="zh-CN"/>
        </w:rPr>
        <w:t>不</w:t>
      </w:r>
      <w:r>
        <w:rPr>
          <w:rFonts w:hint="eastAsia"/>
          <w:color w:val="auto"/>
          <w:kern w:val="0"/>
          <w:szCs w:val="21"/>
          <w:highlight w:val="none"/>
        </w:rPr>
        <w:t>允许分包。</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21</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28</w:t>
      </w:r>
      <w:r>
        <w:rPr>
          <w:rFonts w:hint="eastAsia"/>
          <w:color w:val="auto"/>
          <w:highlight w:val="none"/>
          <w:u w:val="single"/>
        </w:rPr>
        <w:t>日</w:t>
      </w:r>
      <w:r>
        <w:rPr>
          <w:rFonts w:hint="eastAsia"/>
          <w:color w:val="auto"/>
          <w:highlight w:val="none"/>
        </w:rPr>
        <w:t>，每天上午</w:t>
      </w:r>
      <w:r>
        <w:rPr>
          <w:rFonts w:hint="eastAsia"/>
          <w:color w:val="auto"/>
          <w:highlight w:val="none"/>
          <w:u w:val="single"/>
          <w:lang w:val="en-US" w:eastAsia="zh-CN"/>
        </w:rPr>
        <w:t>8：30</w:t>
      </w:r>
      <w:r>
        <w:rPr>
          <w:rFonts w:hint="eastAsia"/>
          <w:color w:val="auto"/>
          <w:highlight w:val="none"/>
          <w:u w:val="single"/>
        </w:rPr>
        <w:t>至</w:t>
      </w:r>
      <w:r>
        <w:rPr>
          <w:rFonts w:hint="eastAsia"/>
          <w:color w:val="auto"/>
          <w:highlight w:val="none"/>
          <w:u w:val="single"/>
          <w:lang w:val="en-US" w:eastAsia="zh-CN"/>
        </w:rPr>
        <w:t>12：00</w:t>
      </w:r>
      <w:r>
        <w:rPr>
          <w:rFonts w:hint="eastAsia"/>
          <w:color w:val="auto"/>
          <w:highlight w:val="none"/>
          <w:u w:val="single"/>
        </w:rPr>
        <w:t>，下午</w:t>
      </w:r>
      <w:r>
        <w:rPr>
          <w:rFonts w:hint="eastAsia"/>
          <w:color w:val="auto"/>
          <w:highlight w:val="none"/>
          <w:u w:val="single"/>
          <w:lang w:val="en-US" w:eastAsia="zh-CN"/>
        </w:rPr>
        <w:t>15：00</w:t>
      </w:r>
      <w:r>
        <w:rPr>
          <w:rFonts w:hint="eastAsia"/>
          <w:color w:val="auto"/>
          <w:highlight w:val="none"/>
          <w:u w:val="single"/>
        </w:rPr>
        <w:t>至</w:t>
      </w:r>
      <w:r>
        <w:rPr>
          <w:rFonts w:hint="eastAsia"/>
          <w:color w:val="auto"/>
          <w:highlight w:val="none"/>
          <w:u w:val="single"/>
          <w:lang w:val="en-US" w:eastAsia="zh-CN"/>
        </w:rPr>
        <w:t>17：30</w:t>
      </w:r>
      <w:r>
        <w:rPr>
          <w:rFonts w:hint="eastAsia"/>
          <w:color w:val="auto"/>
          <w:highlight w:val="none"/>
        </w:rPr>
        <w:t>（北京时间，法定节假日除外）。</w:t>
      </w:r>
    </w:p>
    <w:p>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7</w:t>
      </w:r>
      <w:r>
        <w:rPr>
          <w:color w:val="auto"/>
          <w:kern w:val="0"/>
          <w:szCs w:val="21"/>
          <w:highlight w:val="none"/>
          <w:u w:val="single"/>
        </w:rPr>
        <w:t>日</w:t>
      </w:r>
      <w:r>
        <w:rPr>
          <w:rFonts w:hint="eastAsia"/>
          <w:color w:val="auto"/>
          <w:kern w:val="0"/>
          <w:szCs w:val="21"/>
          <w:highlight w:val="none"/>
          <w:u w:val="single"/>
          <w:lang w:val="en-US" w:eastAsia="zh-CN"/>
        </w:rPr>
        <w:t>9时30分</w:t>
      </w:r>
      <w:r>
        <w:rPr>
          <w:rFonts w:hint="eastAsia"/>
          <w:color w:val="auto"/>
          <w:kern w:val="0"/>
          <w:szCs w:val="21"/>
          <w:highlight w:val="none"/>
        </w:rPr>
        <w:t>（北京时间）</w:t>
      </w:r>
    </w:p>
    <w:p>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b w:val="0"/>
          <w:bCs w:val="0"/>
          <w:color w:val="auto"/>
          <w:kern w:val="0"/>
          <w:sz w:val="22"/>
          <w:szCs w:val="22"/>
          <w:highlight w:val="none"/>
        </w:rPr>
        <w:t>2026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7</w:t>
      </w:r>
      <w:r>
        <w:rPr>
          <w:color w:val="auto"/>
          <w:kern w:val="0"/>
          <w:szCs w:val="21"/>
          <w:highlight w:val="none"/>
        </w:rPr>
        <w:t>日</w:t>
      </w:r>
      <w:r>
        <w:rPr>
          <w:rFonts w:hint="eastAsia"/>
          <w:color w:val="auto"/>
          <w:kern w:val="0"/>
          <w:szCs w:val="21"/>
          <w:highlight w:val="none"/>
        </w:rPr>
        <w:t>9时30分（北京时间）</w:t>
      </w:r>
    </w:p>
    <w:p>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pPr>
        <w:spacing w:line="312" w:lineRule="auto"/>
        <w:ind w:firstLine="420" w:firstLineChars="200"/>
        <w:jc w:val="left"/>
        <w:rPr>
          <w:rFonts w:hint="eastAsia"/>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桂林航天工业学院</w:t>
      </w:r>
    </w:p>
    <w:p>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桂林市金鸡路2号</w:t>
      </w:r>
    </w:p>
    <w:p>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邓老师</w:t>
      </w:r>
    </w:p>
    <w:p>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 xml:space="preserve"> </w:t>
      </w:r>
      <w:r>
        <w:rPr>
          <w:rFonts w:hint="eastAsia"/>
          <w:color w:val="auto"/>
          <w:kern w:val="0"/>
          <w:szCs w:val="21"/>
          <w:highlight w:val="none"/>
          <w:u w:val="single"/>
        </w:rPr>
        <w:t>0773-6796677</w:t>
      </w:r>
    </w:p>
    <w:p>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广西桂林市七星区骖鸾路31号湘商大厦603</w:t>
      </w:r>
    </w:p>
    <w:bookmarkEnd w:id="10"/>
    <w:p>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曾昭卉、栗晓奇、罗杨</w:t>
      </w:r>
    </w:p>
    <w:p>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lang w:eastAsia="zh-CN"/>
        </w:rPr>
        <w:t>0773-3696789转2</w:t>
      </w:r>
      <w:r>
        <w:rPr>
          <w:color w:val="auto"/>
          <w:kern w:val="0"/>
          <w:szCs w:val="21"/>
          <w:highlight w:val="none"/>
          <w:u w:val="single"/>
        </w:rPr>
        <w:t xml:space="preserve">  </w:t>
      </w:r>
    </w:p>
    <w:p>
      <w:pPr>
        <w:spacing w:line="312" w:lineRule="auto"/>
        <w:ind w:firstLine="420" w:firstLineChars="200"/>
        <w:jc w:val="right"/>
        <w:rPr>
          <w:color w:val="auto"/>
          <w:kern w:val="0"/>
          <w:szCs w:val="21"/>
          <w:highlight w:val="none"/>
        </w:rPr>
      </w:pPr>
    </w:p>
    <w:p>
      <w:pPr>
        <w:spacing w:line="312" w:lineRule="auto"/>
        <w:ind w:firstLine="420" w:firstLineChars="200"/>
        <w:jc w:val="right"/>
        <w:rPr>
          <w:color w:val="auto"/>
          <w:kern w:val="0"/>
          <w:szCs w:val="21"/>
          <w:highlight w:val="none"/>
        </w:rPr>
      </w:pPr>
    </w:p>
    <w:p>
      <w:pPr>
        <w:spacing w:line="312" w:lineRule="auto"/>
        <w:ind w:firstLine="420" w:firstLineChars="200"/>
        <w:jc w:val="right"/>
        <w:rPr>
          <w:color w:val="auto"/>
          <w:kern w:val="0"/>
          <w:szCs w:val="21"/>
          <w:highlight w:val="none"/>
        </w:rPr>
      </w:pPr>
    </w:p>
    <w:p>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21</w:t>
      </w:r>
      <w:r>
        <w:rPr>
          <w:color w:val="auto"/>
          <w:kern w:val="0"/>
          <w:szCs w:val="21"/>
          <w:highlight w:val="none"/>
        </w:rPr>
        <w:t>日</w:t>
      </w:r>
    </w:p>
    <w:bookmarkEnd w:id="123"/>
    <w:p>
      <w:pPr>
        <w:ind w:firstLine="409" w:firstLineChars="195"/>
        <w:jc w:val="left"/>
        <w:rPr>
          <w:color w:val="auto"/>
          <w:kern w:val="0"/>
          <w:szCs w:val="21"/>
          <w:highlight w:val="none"/>
        </w:rPr>
      </w:pPr>
    </w:p>
    <w:p>
      <w:pPr>
        <w:spacing w:line="312" w:lineRule="auto"/>
        <w:ind w:right="105" w:firstLine="360" w:firstLineChars="200"/>
        <w:jc w:val="right"/>
        <w:rPr>
          <w:rFonts w:hint="eastAsia"/>
          <w:color w:val="auto"/>
          <w:kern w:val="0"/>
          <w:sz w:val="18"/>
          <w:szCs w:val="18"/>
          <w:highlight w:val="none"/>
        </w:rPr>
      </w:pPr>
    </w:p>
    <w:p>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pPr>
        <w:rPr>
          <w:color w:val="auto"/>
          <w:highlight w:val="none"/>
        </w:rPr>
      </w:pPr>
    </w:p>
    <w:p>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1" w:name="_Toc31218"/>
      <w:r>
        <w:rPr>
          <w:rFonts w:ascii="Times New Roman" w:hAnsi="Times New Roman" w:cs="Times New Roman"/>
          <w:color w:val="auto"/>
          <w:sz w:val="32"/>
          <w:szCs w:val="32"/>
          <w:highlight w:val="none"/>
        </w:rPr>
        <w:t>第二章  采购需求</w:t>
      </w:r>
      <w:bookmarkEnd w:id="11"/>
    </w:p>
    <w:p>
      <w:pPr>
        <w:spacing w:line="360" w:lineRule="auto"/>
        <w:rPr>
          <w:rFonts w:ascii="黑体" w:hAnsi="黑体" w:eastAsia="黑体" w:cs="Arial"/>
          <w:b/>
          <w:color w:val="auto"/>
          <w:kern w:val="0"/>
          <w:sz w:val="28"/>
          <w:szCs w:val="28"/>
          <w:highlight w:val="none"/>
        </w:rPr>
      </w:pPr>
      <w:bookmarkStart w:id="12" w:name="_Toc254970631"/>
      <w:bookmarkStart w:id="13" w:name="_Toc254970490"/>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pPr>
        <w:spacing w:line="360" w:lineRule="auto"/>
        <w:rPr>
          <w:color w:val="auto"/>
          <w:szCs w:val="21"/>
          <w:highlight w:val="none"/>
        </w:rPr>
      </w:pPr>
      <w:r>
        <w:rPr>
          <w:rFonts w:hint="eastAsia"/>
          <w:color w:val="auto"/>
          <w:szCs w:val="21"/>
          <w:highlight w:val="none"/>
        </w:rPr>
        <w:t>1.需实现的功能、目标及应用场景</w:t>
      </w:r>
    </w:p>
    <w:p>
      <w:pPr>
        <w:spacing w:line="360" w:lineRule="auto"/>
        <w:rPr>
          <w:rFonts w:hint="eastAsia"/>
          <w:color w:val="auto"/>
          <w:szCs w:val="21"/>
          <w:highlight w:val="none"/>
        </w:rPr>
      </w:pPr>
      <w:r>
        <w:rPr>
          <w:rFonts w:hint="eastAsia"/>
          <w:color w:val="auto"/>
          <w:szCs w:val="21"/>
          <w:highlight w:val="none"/>
        </w:rPr>
        <w:t>满足采购文件要求，验收达到合格标准。</w:t>
      </w:r>
    </w:p>
    <w:p>
      <w:pPr>
        <w:spacing w:line="360" w:lineRule="auto"/>
        <w:rPr>
          <w:color w:val="auto"/>
          <w:szCs w:val="21"/>
          <w:highlight w:val="none"/>
        </w:rPr>
      </w:pPr>
      <w:r>
        <w:rPr>
          <w:rFonts w:hint="eastAsia"/>
          <w:color w:val="auto"/>
          <w:szCs w:val="21"/>
          <w:highlight w:val="none"/>
        </w:rPr>
        <w:t>2.是否接受进口产品：否</w:t>
      </w:r>
    </w:p>
    <w:p>
      <w:pPr>
        <w:spacing w:line="360" w:lineRule="auto"/>
        <w:rPr>
          <w:color w:val="auto"/>
          <w:szCs w:val="21"/>
          <w:highlight w:val="none"/>
        </w:rPr>
      </w:pPr>
      <w:bookmarkStart w:id="14"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color w:val="auto"/>
          <w:szCs w:val="21"/>
          <w:highlight w:val="none"/>
          <w:u w:val="single"/>
        </w:rPr>
        <w:t>详见技术指标要求</w:t>
      </w:r>
    </w:p>
    <w:p>
      <w:pPr>
        <w:spacing w:line="360" w:lineRule="auto"/>
        <w:rPr>
          <w:rFonts w:hint="eastAsia"/>
          <w:color w:val="auto"/>
          <w:szCs w:val="21"/>
          <w:highlight w:val="none"/>
          <w:u w:val="single"/>
        </w:rPr>
      </w:pPr>
      <w:r>
        <w:rPr>
          <w:rFonts w:hint="eastAsia"/>
          <w:color w:val="auto"/>
          <w:szCs w:val="21"/>
          <w:highlight w:val="none"/>
        </w:rPr>
        <w:t>【备注：查询网址：国标</w:t>
      </w:r>
      <w:r>
        <w:rPr>
          <w:color w:val="auto"/>
          <w:highlight w:val="none"/>
        </w:rPr>
        <w:fldChar w:fldCharType="begin"/>
      </w:r>
      <w:r>
        <w:rPr>
          <w:color w:val="auto"/>
          <w:highlight w:val="none"/>
        </w:rPr>
        <w:instrText xml:space="preserve"> HYPERLINK "https://openstd.samr.gov.cn/bzgk/gb/index" </w:instrText>
      </w:r>
      <w:r>
        <w:rPr>
          <w:color w:val="auto"/>
          <w:highlight w:val="none"/>
        </w:rPr>
        <w:fldChar w:fldCharType="separate"/>
      </w:r>
      <w:r>
        <w:rPr>
          <w:rStyle w:val="58"/>
          <w:color w:val="auto"/>
          <w:szCs w:val="21"/>
          <w:highlight w:val="none"/>
        </w:rPr>
        <w:t>https://openstd.samr.gov.cn/bzgk/gb/index</w:t>
      </w:r>
      <w:r>
        <w:rPr>
          <w:rStyle w:val="58"/>
          <w:color w:val="auto"/>
          <w:szCs w:val="21"/>
          <w:highlight w:val="none"/>
        </w:rPr>
        <w:fldChar w:fldCharType="end"/>
      </w:r>
      <w:r>
        <w:rPr>
          <w:rFonts w:hint="eastAsia"/>
          <w:color w:val="auto"/>
          <w:szCs w:val="21"/>
          <w:highlight w:val="none"/>
        </w:rPr>
        <w:t>，行标</w:t>
      </w:r>
      <w:r>
        <w:rPr>
          <w:color w:val="auto"/>
          <w:highlight w:val="none"/>
        </w:rPr>
        <w:fldChar w:fldCharType="begin"/>
      </w:r>
      <w:r>
        <w:rPr>
          <w:color w:val="auto"/>
          <w:highlight w:val="none"/>
        </w:rPr>
        <w:instrText xml:space="preserve"> HYPERLINK "https://hbba.sacinfo.org.cn/" </w:instrText>
      </w:r>
      <w:r>
        <w:rPr>
          <w:color w:val="auto"/>
          <w:highlight w:val="none"/>
        </w:rPr>
        <w:fldChar w:fldCharType="separate"/>
      </w:r>
      <w:r>
        <w:rPr>
          <w:rStyle w:val="58"/>
          <w:color w:val="auto"/>
          <w:szCs w:val="21"/>
          <w:highlight w:val="none"/>
        </w:rPr>
        <w:t>https://hbba.sacinfo.org.cn/</w:t>
      </w:r>
      <w:r>
        <w:rPr>
          <w:rStyle w:val="58"/>
          <w:color w:val="auto"/>
          <w:szCs w:val="21"/>
          <w:highlight w:val="none"/>
        </w:rPr>
        <w:fldChar w:fldCharType="end"/>
      </w:r>
      <w:r>
        <w:rPr>
          <w:rStyle w:val="58"/>
          <w:rFonts w:hint="eastAsia"/>
          <w:color w:val="auto"/>
          <w:szCs w:val="21"/>
          <w:highlight w:val="none"/>
        </w:rPr>
        <w:t>】</w:t>
      </w:r>
    </w:p>
    <w:bookmarkEnd w:id="14"/>
    <w:p>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w:t>
      </w:r>
      <w:r>
        <w:rPr>
          <w:rFonts w:hint="default" w:ascii="Arial" w:hAnsi="Arial" w:cs="Arial"/>
          <w:b/>
          <w:color w:val="auto"/>
          <w:szCs w:val="21"/>
          <w:highlight w:val="none"/>
        </w:rPr>
        <w:t>批发业</w:t>
      </w:r>
    </w:p>
    <w:p>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p>
    <w:p>
      <w:pPr>
        <w:spacing w:line="360" w:lineRule="auto"/>
        <w:rPr>
          <w:color w:val="auto"/>
          <w:szCs w:val="21"/>
          <w:highlight w:val="none"/>
        </w:rPr>
      </w:pPr>
      <w:r>
        <w:rPr>
          <w:rFonts w:hint="eastAsia"/>
          <w:color w:val="auto"/>
          <w:szCs w:val="21"/>
          <w:highlight w:val="none"/>
        </w:rPr>
        <w:t>本项目为服务项目，不适用核心产品规定。</w:t>
      </w:r>
    </w:p>
    <w:p>
      <w:pPr>
        <w:spacing w:line="360" w:lineRule="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.服务内容和标准</w:t>
      </w:r>
    </w:p>
    <w:tbl>
      <w:tblPr>
        <w:tblStyle w:val="52"/>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068"/>
        <w:gridCol w:w="5070"/>
        <w:gridCol w:w="96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86" w:type="dxa"/>
            <w:shd w:val="clear" w:color="auto" w:fill="8DB3E2" w:themeFill="text2" w:themeFillTint="66"/>
            <w:noWrap w:val="0"/>
            <w:vAlign w:val="center"/>
          </w:tcPr>
          <w:p>
            <w:pPr>
              <w:keepNext w:val="0"/>
              <w:keepLines w:val="0"/>
              <w:pageBreakBefore w:val="0"/>
              <w:kinsoku/>
              <w:wordWrap/>
              <w:overflowPunct/>
              <w:topLinePunct w:val="0"/>
              <w:autoSpaceDE/>
              <w:autoSpaceDN/>
              <w:bidi w:val="0"/>
              <w:adjustRightInd/>
              <w:snapToGrid/>
              <w:spacing w:line="380" w:lineRule="exact"/>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项号</w:t>
            </w:r>
          </w:p>
        </w:tc>
        <w:tc>
          <w:tcPr>
            <w:tcW w:w="2068" w:type="dxa"/>
            <w:shd w:val="clear" w:color="auto" w:fill="8DB3E2" w:themeFill="text2" w:themeFillTint="66"/>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cs="宋体"/>
                <w:b/>
                <w:color w:val="auto"/>
                <w:sz w:val="21"/>
                <w:szCs w:val="21"/>
                <w:highlight w:val="none"/>
                <w:lang w:val="en-US" w:eastAsia="zh-CN"/>
              </w:rPr>
              <w:t>标的名称</w:t>
            </w:r>
          </w:p>
        </w:tc>
        <w:tc>
          <w:tcPr>
            <w:tcW w:w="5070" w:type="dxa"/>
            <w:shd w:val="clear" w:color="auto" w:fill="8DB3E2" w:themeFill="text2" w:themeFillTint="66"/>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bCs/>
                <w:color w:val="auto"/>
                <w:sz w:val="21"/>
                <w:szCs w:val="21"/>
                <w:highlight w:val="none"/>
              </w:rPr>
              <w:t>需求（技术参数、性能、配置等要求）</w:t>
            </w:r>
          </w:p>
        </w:tc>
        <w:tc>
          <w:tcPr>
            <w:tcW w:w="960" w:type="dxa"/>
            <w:shd w:val="clear" w:color="auto" w:fill="8DB3E2" w:themeFill="text2" w:themeFillTint="66"/>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数量</w:t>
            </w:r>
          </w:p>
        </w:tc>
        <w:tc>
          <w:tcPr>
            <w:tcW w:w="1008" w:type="dxa"/>
            <w:shd w:val="clear" w:color="auto" w:fill="8DB3E2" w:themeFill="text2" w:themeFillTint="66"/>
            <w:noWrap w:val="0"/>
            <w:vAlign w:val="center"/>
          </w:tcPr>
          <w:p>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eastAsia="zh-CN"/>
              </w:rPr>
            </w:pPr>
            <w:r>
              <w:rPr>
                <w:rFonts w:hint="eastAsia"/>
                <w:color w:val="auto"/>
                <w:szCs w:val="21"/>
                <w:highlight w:val="none"/>
                <w:lang w:eastAsia="zh-CN"/>
              </w:rPr>
              <w:t>2026-2027年水电木日常维修保障材料供应服务采购（重）</w:t>
            </w:r>
          </w:p>
        </w:tc>
        <w:tc>
          <w:tcPr>
            <w:tcW w:w="5070"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一、项目基本要求</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（一）采购内容：桂林航天工业学院2026-2027年（两年）水电木日常维修保障材料供应服务1项。</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b w:val="0"/>
                <w:bCs w:val="0"/>
                <w:color w:val="auto"/>
                <w:sz w:val="21"/>
                <w:szCs w:val="21"/>
                <w:highlight w:val="none"/>
              </w:rPr>
              <w:t>（二）供应期限</w:t>
            </w:r>
            <w:r>
              <w:rPr>
                <w:rFonts w:hint="eastAsia" w:ascii="Times New Roman" w:hAnsi="Times New Roman"/>
                <w:b w:val="0"/>
                <w:bCs w:val="0"/>
                <w:color w:val="auto"/>
                <w:sz w:val="21"/>
                <w:szCs w:val="21"/>
                <w:highlight w:val="none"/>
                <w:lang w:eastAsia="zh-CN"/>
              </w:rPr>
              <w:t>（服务期限）</w:t>
            </w:r>
            <w:r>
              <w:rPr>
                <w:rFonts w:hint="eastAsia" w:ascii="Times New Roman" w:hAnsi="Times New Roman"/>
                <w:b w:val="0"/>
                <w:bCs w:val="0"/>
                <w:color w:val="auto"/>
                <w:sz w:val="21"/>
                <w:szCs w:val="21"/>
                <w:highlight w:val="none"/>
              </w:rPr>
              <w:t>：</w:t>
            </w:r>
            <w:r>
              <w:rPr>
                <w:rFonts w:hint="default" w:cs="宋体"/>
                <w:color w:val="auto"/>
                <w:szCs w:val="21"/>
                <w:highlight w:val="none"/>
                <w:lang w:val="en-US"/>
              </w:rPr>
              <w:t>自签订合同之日起至202</w:t>
            </w:r>
            <w:r>
              <w:rPr>
                <w:rFonts w:hint="eastAsia" w:cs="宋体"/>
                <w:color w:val="auto"/>
                <w:szCs w:val="21"/>
                <w:highlight w:val="none"/>
                <w:lang w:val="en-US" w:eastAsia="zh-CN"/>
              </w:rPr>
              <w:t>7</w:t>
            </w:r>
            <w:r>
              <w:rPr>
                <w:rFonts w:hint="default" w:cs="宋体"/>
                <w:color w:val="auto"/>
                <w:szCs w:val="21"/>
                <w:highlight w:val="none"/>
                <w:lang w:val="en-US"/>
              </w:rPr>
              <w:t>年12月31日止</w:t>
            </w:r>
            <w:r>
              <w:rPr>
                <w:rFonts w:hint="default"/>
                <w:b w:val="0"/>
                <w:bCs w:val="0"/>
                <w:color w:val="auto"/>
                <w:sz w:val="21"/>
                <w:szCs w:val="21"/>
                <w:highlight w:val="none"/>
                <w:lang w:val="en-US"/>
              </w:rPr>
              <w:t>。</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（三）供货时间：本项目采购范围内的材料按采购人要求分批分期进行供应，每批材料供货时间为自接到采购人通知之日起24小时内，</w:t>
            </w:r>
            <w:r>
              <w:rPr>
                <w:rFonts w:hint="eastAsia" w:ascii="Times New Roman" w:hAnsi="Times New Roman" w:cs="宋体"/>
                <w:b w:val="0"/>
                <w:bCs w:val="0"/>
                <w:color w:val="auto"/>
                <w:sz w:val="21"/>
                <w:szCs w:val="21"/>
                <w:highlight w:val="none"/>
              </w:rPr>
              <w:t>如遇采购人急需的维修材料必须保证6小时内及时到货。</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（四）供货地点：广西桂林市内采购人指定地点。</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eastAsia="宋体" w:cs="宋体"/>
                <w:b w:val="0"/>
                <w:bCs w:val="0"/>
                <w:color w:val="auto"/>
                <w:kern w:val="0"/>
                <w:sz w:val="21"/>
                <w:szCs w:val="21"/>
                <w:highlight w:val="none"/>
                <w:lang w:eastAsia="zh-CN"/>
              </w:rPr>
            </w:pPr>
            <w:r>
              <w:rPr>
                <w:rFonts w:hint="eastAsia" w:ascii="Times New Roman" w:hAnsi="Times New Roman" w:cs="宋体"/>
                <w:b w:val="0"/>
                <w:bCs w:val="0"/>
                <w:color w:val="auto"/>
                <w:sz w:val="21"/>
                <w:szCs w:val="21"/>
                <w:highlight w:val="none"/>
              </w:rPr>
              <w:t>（五）本项目采购预算：人民币</w:t>
            </w:r>
            <w:r>
              <w:rPr>
                <w:rFonts w:hint="eastAsia" w:ascii="Times New Roman" w:hAnsi="Times New Roman" w:cs="宋体"/>
                <w:b w:val="0"/>
                <w:bCs w:val="0"/>
                <w:color w:val="auto"/>
                <w:sz w:val="21"/>
                <w:szCs w:val="21"/>
                <w:highlight w:val="none"/>
                <w:lang w:eastAsia="zh-CN"/>
              </w:rPr>
              <w:t>壹佰伍拾肆万元整（￥1540000.00）</w:t>
            </w:r>
            <w:r>
              <w:rPr>
                <w:rFonts w:hint="eastAsia" w:ascii="Times New Roman" w:hAnsi="Times New Roman" w:cs="宋体"/>
                <w:b w:val="0"/>
                <w:bCs w:val="0"/>
                <w:color w:val="auto"/>
                <w:sz w:val="21"/>
                <w:szCs w:val="21"/>
                <w:highlight w:val="none"/>
              </w:rPr>
              <w:t>（</w:t>
            </w:r>
            <w:r>
              <w:rPr>
                <w:rFonts w:hint="eastAsia" w:ascii="Times New Roman" w:hAnsi="Times New Roman" w:cs="宋体"/>
                <w:b w:val="0"/>
                <w:bCs w:val="0"/>
                <w:color w:val="auto"/>
                <w:sz w:val="21"/>
                <w:szCs w:val="21"/>
                <w:highlight w:val="none"/>
                <w:lang w:val="en-US" w:eastAsia="zh-CN"/>
              </w:rPr>
              <w:t>即：每年度预算金额为人民币77万元整，</w:t>
            </w:r>
            <w:r>
              <w:rPr>
                <w:rFonts w:hint="eastAsia" w:ascii="Times New Roman" w:hAnsi="Times New Roman" w:cs="宋体"/>
                <w:b w:val="0"/>
                <w:bCs w:val="0"/>
                <w:color w:val="auto"/>
                <w:sz w:val="21"/>
                <w:szCs w:val="21"/>
                <w:highlight w:val="none"/>
              </w:rPr>
              <w:t>采购人最终结算的合同总价款不得超出本项目采购预算金额）</w:t>
            </w:r>
            <w:r>
              <w:rPr>
                <w:rFonts w:hint="eastAsia" w:ascii="Times New Roman" w:hAnsi="Times New Roman" w:cs="宋体"/>
                <w:b w:val="0"/>
                <w:bCs w:val="0"/>
                <w:color w:val="auto"/>
                <w:kern w:val="0"/>
                <w:sz w:val="21"/>
                <w:szCs w:val="21"/>
                <w:highlight w:val="none"/>
              </w:rPr>
              <w:t>。</w:t>
            </w:r>
          </w:p>
          <w:p>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cs="宋体"/>
                <w:b w:val="0"/>
                <w:bCs w:val="0"/>
                <w:color w:val="auto"/>
                <w:kern w:val="0"/>
                <w:sz w:val="21"/>
                <w:szCs w:val="21"/>
                <w:highlight w:val="none"/>
              </w:rPr>
              <w:t>（六）本项目</w:t>
            </w:r>
            <w:r>
              <w:rPr>
                <w:rFonts w:hint="eastAsia" w:ascii="Times New Roman" w:hAnsi="Times New Roman" w:cs="宋体"/>
                <w:b w:val="0"/>
                <w:bCs w:val="0"/>
                <w:color w:val="auto"/>
                <w:kern w:val="0"/>
                <w:sz w:val="21"/>
                <w:szCs w:val="21"/>
                <w:highlight w:val="none"/>
                <w:lang w:eastAsia="zh-CN"/>
              </w:rPr>
              <w:t>最高限价（最高综合折扣率）</w:t>
            </w:r>
            <w:r>
              <w:rPr>
                <w:rFonts w:hint="eastAsia" w:ascii="Times New Roman" w:hAnsi="Times New Roman" w:cs="宋体"/>
                <w:b w:val="0"/>
                <w:bCs w:val="0"/>
                <w:color w:val="auto"/>
                <w:kern w:val="0"/>
                <w:sz w:val="21"/>
                <w:szCs w:val="21"/>
                <w:highlight w:val="none"/>
              </w:rPr>
              <w:t>为100%，供应商的</w:t>
            </w:r>
            <w:r>
              <w:rPr>
                <w:rFonts w:hint="eastAsia" w:ascii="Times New Roman" w:hAnsi="Times New Roman" w:cs="宋体"/>
                <w:b w:val="0"/>
                <w:bCs w:val="0"/>
                <w:color w:val="auto"/>
                <w:kern w:val="0"/>
                <w:sz w:val="21"/>
                <w:szCs w:val="21"/>
                <w:highlight w:val="none"/>
                <w:lang w:eastAsia="zh-CN"/>
              </w:rPr>
              <w:t>响应报价</w:t>
            </w:r>
            <w:r>
              <w:rPr>
                <w:rFonts w:hint="eastAsia" w:ascii="Times New Roman" w:hAnsi="Times New Roman" w:cs="宋体"/>
                <w:b w:val="0"/>
                <w:bCs w:val="0"/>
                <w:color w:val="auto"/>
                <w:kern w:val="0"/>
                <w:sz w:val="21"/>
                <w:szCs w:val="21"/>
                <w:highlight w:val="none"/>
              </w:rPr>
              <w:t>（综合折扣率）＞100%的，响应文件作无效处理。</w:t>
            </w:r>
          </w:p>
          <w:p>
            <w:pPr>
              <w:keepNext w:val="0"/>
              <w:keepLines w:val="0"/>
              <w:pageBreakBefore w:val="0"/>
              <w:kinsoku/>
              <w:wordWrap/>
              <w:overflowPunct/>
              <w:topLinePunct w:val="0"/>
              <w:autoSpaceDE/>
              <w:autoSpaceDN/>
              <w:bidi w:val="0"/>
              <w:adjustRightInd/>
              <w:snapToGrid/>
              <w:spacing w:line="380" w:lineRule="exact"/>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二、服务要求</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（一）服务要求</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1.材料质保期：供应商所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必须按国家有关产品“三包”规定执行“三包”，材料质保期不得少于1年（从验收合格之日起计算）。</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2.供应商必须保证所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均为正规厂家生产全新原装产品，并完全符合国家有关产品质量、服务和环保标准，非贴牌产品，非长期积压的污损货品。</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3.供应商须根据采购人的通知要求，送货上门、安装调试，供应商须向采购人提供固定送货和维修人员电话，接质量问题通知，2小时内到达现场。</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4.供应商必须提供退换服务，并协助解决调剂、退换。</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5.如遇采购人急需的维修材料必须保证6小时内及时到货，以满足采购人紧急需要；如无相关维修材料现货的，须及时联系调货，并保证按时到货。</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6.因相关维修材料停产或暂时无货，需临时更换其他品牌的，需征得采购人同意更换，其质量不能低于所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的质量。</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7.所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须符合国家有关标准。若所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出现质量问题，采购人有权要求成交供应商在1个工作日整改，并发出书面警告通知，所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再次出现质量问题</w:t>
            </w:r>
            <w:r>
              <w:rPr>
                <w:rFonts w:hint="eastAsia" w:ascii="Times New Roman" w:hAnsi="Times New Roman" w:cs="宋体"/>
                <w:b w:val="0"/>
                <w:bCs w:val="0"/>
                <w:color w:val="auto"/>
                <w:sz w:val="21"/>
                <w:szCs w:val="21"/>
                <w:highlight w:val="none"/>
                <w:lang w:eastAsia="zh-CN"/>
              </w:rPr>
              <w:t>及</w:t>
            </w:r>
            <w:r>
              <w:rPr>
                <w:rFonts w:hint="eastAsia" w:ascii="Times New Roman" w:hAnsi="Times New Roman" w:cs="宋体"/>
                <w:b w:val="0"/>
                <w:bCs w:val="0"/>
                <w:color w:val="auto"/>
                <w:kern w:val="0"/>
                <w:sz w:val="21"/>
                <w:szCs w:val="21"/>
                <w:highlight w:val="none"/>
                <w:lang w:val="en-US" w:eastAsia="zh-CN"/>
              </w:rPr>
              <w:t>年度内所提供的材料因产品质量原因，损坏率超过10%（含）的，</w:t>
            </w:r>
            <w:r>
              <w:rPr>
                <w:rFonts w:hint="eastAsia" w:ascii="Times New Roman" w:hAnsi="Times New Roman" w:cs="宋体"/>
                <w:b w:val="0"/>
                <w:bCs w:val="0"/>
                <w:color w:val="auto"/>
                <w:sz w:val="21"/>
                <w:szCs w:val="21"/>
                <w:highlight w:val="none"/>
              </w:rPr>
              <w:t>采购人有权取消其成交资格，一切损失由成交供应商负责。</w:t>
            </w:r>
          </w:p>
          <w:p>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8.因所提供的产品自身存在缺陷或产品载体故障（如主电机、定时器、电子板设备故障、操作失误等情况），成交供应商须提供维护服务恢复正常使用。</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color w:val="auto"/>
                <w:highlight w:val="none"/>
              </w:rPr>
            </w:pPr>
            <w:r>
              <w:rPr>
                <w:rFonts w:hint="eastAsia" w:ascii="宋体" w:hAnsi="宋体"/>
                <w:b/>
                <w:color w:val="auto"/>
                <w:szCs w:val="21"/>
                <w:highlight w:val="none"/>
                <w:lang w:val="en-US" w:eastAsia="zh-CN"/>
              </w:rPr>
              <w:t>9.如遇采购人保障应急性物资采购，采购人可根据单位需求另行采购。</w:t>
            </w:r>
          </w:p>
          <w:p>
            <w:pPr>
              <w:keepNext w:val="0"/>
              <w:keepLines w:val="0"/>
              <w:pageBreakBefore w:val="0"/>
              <w:kinsoku/>
              <w:wordWrap/>
              <w:overflowPunct/>
              <w:topLinePunct w:val="0"/>
              <w:autoSpaceDE/>
              <w:autoSpaceDN/>
              <w:bidi w:val="0"/>
              <w:adjustRightInd/>
              <w:snapToGrid/>
              <w:spacing w:line="380" w:lineRule="exact"/>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三、材料供应要求</w:t>
            </w:r>
          </w:p>
          <w:p>
            <w:pPr>
              <w:keepNext w:val="0"/>
              <w:keepLines w:val="0"/>
              <w:pageBreakBefore w:val="0"/>
              <w:kinsoku/>
              <w:wordWrap/>
              <w:overflowPunct/>
              <w:topLinePunct w:val="0"/>
              <w:autoSpaceDE/>
              <w:autoSpaceDN/>
              <w:bidi w:val="0"/>
              <w:adjustRightInd/>
              <w:snapToGrid/>
              <w:spacing w:line="380" w:lineRule="exact"/>
              <w:ind w:firstLine="422"/>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b w:val="0"/>
                <w:bCs w:val="0"/>
                <w:color w:val="auto"/>
                <w:sz w:val="21"/>
                <w:szCs w:val="21"/>
                <w:highlight w:val="none"/>
              </w:rPr>
              <w:t>1.本项目供应材料需求详见</w:t>
            </w:r>
            <w:r>
              <w:rPr>
                <w:rFonts w:hint="eastAsia"/>
                <w:b w:val="0"/>
                <w:bCs w:val="0"/>
                <w:color w:val="auto"/>
                <w:sz w:val="21"/>
                <w:szCs w:val="21"/>
                <w:highlight w:val="none"/>
                <w:lang w:eastAsia="zh-CN"/>
              </w:rPr>
              <w:t>附件</w:t>
            </w:r>
            <w:r>
              <w:rPr>
                <w:rFonts w:hint="eastAsia" w:ascii="Times New Roman" w:hAnsi="Times New Roman"/>
                <w:b w:val="0"/>
                <w:bCs w:val="0"/>
                <w:color w:val="auto"/>
                <w:sz w:val="21"/>
                <w:szCs w:val="21"/>
                <w:highlight w:val="none"/>
              </w:rPr>
              <w:t>“</w:t>
            </w:r>
            <w:r>
              <w:rPr>
                <w:rFonts w:hint="eastAsia" w:ascii="Times New Roman" w:hAnsi="Times New Roman" w:cs="宋体"/>
                <w:b w:val="0"/>
                <w:bCs w:val="0"/>
                <w:color w:val="auto"/>
                <w:sz w:val="21"/>
                <w:szCs w:val="21"/>
                <w:highlight w:val="none"/>
              </w:rPr>
              <w:t>后勤水电木日常维修材料供应清单</w:t>
            </w:r>
            <w:r>
              <w:rPr>
                <w:rFonts w:hint="eastAsia" w:ascii="Times New Roman" w:hAnsi="Times New Roman"/>
                <w:b w:val="0"/>
                <w:bCs w:val="0"/>
                <w:color w:val="auto"/>
                <w:sz w:val="21"/>
                <w:szCs w:val="21"/>
                <w:highlight w:val="none"/>
              </w:rPr>
              <w:t>”，采购人原则上根据实际需求供应商根据清单</w:t>
            </w:r>
            <w:r>
              <w:rPr>
                <w:rFonts w:hint="eastAsia" w:ascii="Times New Roman" w:hAnsi="Times New Roman" w:eastAsia="宋体" w:cs="宋体"/>
                <w:b w:val="0"/>
                <w:bCs w:val="0"/>
                <w:color w:val="auto"/>
                <w:kern w:val="0"/>
                <w:sz w:val="21"/>
                <w:szCs w:val="21"/>
                <w:highlight w:val="none"/>
              </w:rPr>
              <w:t>内容</w:t>
            </w:r>
            <w:r>
              <w:rPr>
                <w:rFonts w:hint="eastAsia" w:ascii="Times New Roman" w:hAnsi="Times New Roman"/>
                <w:b w:val="0"/>
                <w:bCs w:val="0"/>
                <w:color w:val="auto"/>
                <w:sz w:val="21"/>
                <w:szCs w:val="21"/>
                <w:highlight w:val="none"/>
              </w:rPr>
              <w:t>不定时不定量的供应相应的材料，若采购人实际维修所需要的</w:t>
            </w:r>
            <w:r>
              <w:rPr>
                <w:rFonts w:hint="eastAsia" w:ascii="Times New Roman" w:hAnsi="Times New Roman" w:cs="宋体"/>
                <w:b w:val="0"/>
                <w:bCs w:val="0"/>
                <w:color w:val="auto"/>
                <w:sz w:val="21"/>
                <w:szCs w:val="21"/>
                <w:highlight w:val="none"/>
              </w:rPr>
              <w:t>材料在“后勤水电木日常维修材料供应清单”中未列明的，采购人可以要求供应商根据采购人实际维修需要供应</w:t>
            </w:r>
            <w:r>
              <w:rPr>
                <w:rFonts w:hint="eastAsia" w:ascii="Times New Roman" w:hAnsi="Times New Roman"/>
                <w:b w:val="0"/>
                <w:bCs w:val="0"/>
                <w:color w:val="auto"/>
                <w:sz w:val="21"/>
                <w:szCs w:val="21"/>
                <w:highlight w:val="none"/>
              </w:rPr>
              <w:t>“</w:t>
            </w:r>
            <w:r>
              <w:rPr>
                <w:rFonts w:hint="eastAsia" w:ascii="Times New Roman" w:hAnsi="Times New Roman" w:cs="宋体"/>
                <w:b w:val="0"/>
                <w:bCs w:val="0"/>
                <w:color w:val="auto"/>
                <w:sz w:val="21"/>
                <w:szCs w:val="21"/>
                <w:highlight w:val="none"/>
              </w:rPr>
              <w:t>后勤水电木日常维修材料供应清单”外的材料，材料单价由采购人与成交供应商根据市场询价情况双方协商确定。</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0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项</w:t>
            </w: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jc w:val="both"/>
        <w:textAlignment w:val="auto"/>
        <w:outlineLvl w:val="1"/>
        <w:rPr>
          <w:rFonts w:hint="eastAsia" w:ascii="黑体" w:hAnsi="黑体" w:eastAsia="黑体" w:cs="黑体"/>
          <w:b w:val="0"/>
          <w:bCs w:val="0"/>
          <w:color w:val="auto"/>
          <w:sz w:val="30"/>
          <w:szCs w:val="30"/>
          <w:highlight w:val="none"/>
          <w:lang w:eastAsia="zh-CN"/>
        </w:rPr>
      </w:pPr>
      <w:r>
        <w:rPr>
          <w:rFonts w:hint="eastAsia"/>
          <w:color w:val="auto"/>
          <w:szCs w:val="21"/>
          <w:highlight w:val="none"/>
        </w:rPr>
        <w:br w:type="page"/>
      </w:r>
      <w:bookmarkStart w:id="15" w:name="_Toc17320"/>
      <w:r>
        <w:rPr>
          <w:rFonts w:hint="eastAsia" w:ascii="黑体" w:hAnsi="黑体" w:eastAsia="黑体" w:cs="黑体"/>
          <w:b w:val="0"/>
          <w:bCs w:val="0"/>
          <w:color w:val="auto"/>
          <w:sz w:val="30"/>
          <w:szCs w:val="30"/>
          <w:highlight w:val="none"/>
          <w:lang w:eastAsia="zh-CN"/>
        </w:rPr>
        <w:t>附件：</w:t>
      </w:r>
      <w:bookmarkEnd w:id="15"/>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606" w:firstLineChars="202"/>
        <w:jc w:val="center"/>
        <w:textAlignment w:val="auto"/>
        <w:outlineLvl w:val="1"/>
        <w:rPr>
          <w:rFonts w:hint="eastAsia" w:ascii="黑体" w:hAnsi="黑体" w:eastAsia="黑体" w:cs="黑体"/>
          <w:b w:val="0"/>
          <w:bCs w:val="0"/>
          <w:color w:val="auto"/>
          <w:sz w:val="30"/>
          <w:szCs w:val="30"/>
          <w:highlight w:val="none"/>
          <w:lang w:eastAsia="zh-CN"/>
        </w:rPr>
      </w:pPr>
      <w:bookmarkStart w:id="16" w:name="_Toc5337"/>
      <w:r>
        <w:rPr>
          <w:rFonts w:hint="eastAsia" w:ascii="黑体" w:hAnsi="黑体" w:eastAsia="黑体" w:cs="黑体"/>
          <w:b w:val="0"/>
          <w:bCs w:val="0"/>
          <w:color w:val="auto"/>
          <w:sz w:val="30"/>
          <w:szCs w:val="30"/>
          <w:highlight w:val="none"/>
        </w:rPr>
        <w:t>后勤水电木日常维修材料供应清单</w:t>
      </w:r>
      <w:bookmarkEnd w:id="16"/>
    </w:p>
    <w:p>
      <w:pPr>
        <w:rPr>
          <w:rFonts w:hint="eastAsia"/>
          <w:color w:val="auto"/>
          <w:szCs w:val="21"/>
          <w:highlight w:val="none"/>
        </w:rPr>
      </w:pPr>
    </w:p>
    <w:tbl>
      <w:tblPr>
        <w:tblStyle w:val="52"/>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50"/>
        <w:gridCol w:w="912"/>
        <w:gridCol w:w="2450"/>
        <w:gridCol w:w="2250"/>
        <w:gridCol w:w="1225"/>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供应材料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单位</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参考品牌、型号规格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技术规格参数要求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单价控制价（元）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明二位单控，符合国标标准。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明二位双控，符合国标标准。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明四位单控，符合国标标准。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明四位双控，符合国标标准。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暗一位单控，符合国标标准。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暗一位双控，符合国标标准。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暗二位单控，符合国标标准。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暗二位双控，符合国标标准。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暗四位单控，符合国标标准。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暗四位双控，符合国标标准。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门铃开关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暗装电铃开关，符合国标标准。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延时开关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声光控延时开关，符合国标标准。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暗七孔，符合国标标准。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明七孔，符合国标标准。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明三孔，空调插座，符合国标标准.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暗三孔，空调插座，符合国标标准.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明十孔，符合国标标准.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明一开五孔，符合国标标准。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三相（1.5-6A）互感式，符合国标标准。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三相（5-20A），符合国标标准。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三相（5</w:t>
            </w:r>
            <w:r>
              <w:rPr>
                <w:rStyle w:val="180"/>
                <w:rFonts w:hint="default" w:ascii="Arial" w:hAnsi="Arial" w:eastAsia="宋体" w:cs="Arial"/>
                <w:color w:val="auto"/>
                <w:sz w:val="21"/>
                <w:szCs w:val="21"/>
                <w:highlight w:val="none"/>
                <w:lang w:val="en-US" w:eastAsia="zh-CN" w:bidi="ar"/>
              </w:rPr>
              <w:t>-60A</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三相（20-80A），符合国标标准。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CDM3-150A，符合国标标准。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CDM3-200A，符合国标标准。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CDM1-100A/3300，符合国标标准。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CDM1-200A/3300，符合国标标准。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CDM1-250A/3300，符合国标标准。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CDM1-250A/4300，符合国标标准。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CDM1-225L/3300，符合国标标准。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CDM1-400L/3300，符合国标标准。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DZ15-4901-100A，符合国标标准。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单相(5-20A），符合国标标准。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单相(15-60A)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单相(20-80A)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单相(30-100A)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CJX2-1210，符合国标标准。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CJX2-1810，符合国标标准。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CJX2-2510，符合国标标准。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CJX2-3210，符合国标标准。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CJX2-6511，符合国标标准。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GMC-65，符合国标标准。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规格LC1N3810-380V-38A，符合国标标准。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3P+N-315A，符合国标标准。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4P+N-315A，符合国标标准。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30*40基业箱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40*50基业箱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300*400配电箱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400*500配电箱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500*600配电箱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规格，50CM*60CM，符合国标标准。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600*800配电箱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800*900配电箱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规格，80CM*90CM，符合国标标准。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600*800配电箱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挂墙式基业箱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规格，加木板，符合国标标准。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塑料电表盒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规格，单相，符合国标标准。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规格16W，符合国际标准。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规格16W，符合国际标准。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消防应急灯管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T8紫外线消毒灯管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带灯头灯罩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规格1*16W，符合国标标准。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支架灯座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支架灯座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规格T8型，符合国标标准。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≥6500K，50W，符合国标标准。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≥6500K，100W，符合国标标准。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≥6500K，200W，符合国标标准。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LED轨道射灯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灯体：黑色，色温：4000K，20W，符合国标标准。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LED轨道射灯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灯体：白色，色温：4000K，20W，符合国标标准。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LED射灯轨道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球型灯罩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直径250MM，符合国标标准。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马路弯灯罩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300*300-38W，符合国标标准。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300*600-36W，符合国标标准。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600*600-60W，符合国标标准。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规格39*19，符合国标标准。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规格59*22，符合国标标准。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规格99*27，符合国标标准。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规格29*10，符合国标标准。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规格39*13，符合国标标准。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规格49*15，符合国标标准。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规格59*16，符合国标标准。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PVC穿线弯管弹簧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PVC穿线弯管弹簧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规格6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规格10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规格16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规格2×1.5mm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规格3×1.5mm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规格3×2.5+1mm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规格3×4+1mm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规格3×6+1mm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手按冲洗阀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大便脚踏冲洗阀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大便脚踏冲洗阀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小便冲洗阀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医用脚踏阀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内外直通阀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参考或相当于：新柳城、特雷西、方太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规格内外直通阀9315，符合国标标准。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冲水箱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冲洗阀按压盖螺帽弹簧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冲洗阀按压弹簧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B14、B3、B17，符合国标标准。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哈夫接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规格ø50带法兰，符合国标标准。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洗手盆水嘴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规格单冷，符合国标标准。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塑料洗衣机水嘴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全铜高杆快开水龙头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参考或相当于：新柳城、特雷西、方太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规格全铜高杆快开水龙头，符合国标标准。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单冷水龙头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冷热水龙头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立式水龙头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加长水龙头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规格150公分，符合国标标准。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花洒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不锈钢花洒软管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不锈钢花洒支架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防污器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规格32*45，符合国标标准。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小便阀感应器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规格红外线感应，符合国标标准。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水龙头感应器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规格感应水龙头专用，红外线感应，符合国标标准。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直角电磁阀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规格脉冲DC-6V，符合国标标准。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带锁龙头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感应器电池盒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规格正副通用，符合国标标准。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不带头下水管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带头下水管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波纹下水管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规格7号，符合国标标准。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碳性电池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陶瓷路灯灯头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塑料平灯头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控制普通白炽灯，符合国标标准。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控制LED及节能灯，符合国标标准。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数显电笔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参考或相当于：法拉、宏达、火炬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规格1.5UF，符合国标标准。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参考或相当于：法拉、宏达、火炬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 UF，符合国标标准。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规格铜插片，符合国标标准。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二插头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规格铜插片，符合国标标准。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电工包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高压绝缘鞋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规格25KV，符合国标标准。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绝缘手套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规格12KV，符合国标标准。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绝缘胶布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规格长18米，符合国标标准。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接线端子（白色）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参考或相当于：曼科、飞雕、公元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规格二进二出，符合国标标准。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接线端子（双色）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参考或相当于：曼科、飞雕、公元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规格二进二出，符合国标标准。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全铜鼻子16mm2，符合国标标准。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全铜鼻子25mm2，符合国标标准。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全铜鼻子35mm2，符合国标标准。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全铜鼻子70mm2,符合国标标准。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全铜鼻子95mm2,符合国标标准。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全铜鼻子120mm2，符合国标标准。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全铜鼻子185mm2，符合国标标准。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全铜鼻子240mm2，符合国标标准。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规格紫铜管10mm2，符合国标标准。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规格紫铜管16mm2，符合国标标准。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规格紫铜管25mm2，符合国标标准。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规格紫铜管35mm2，符合国标标准。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生料带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规格长20米，符合国标标准。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纱手套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参考或相当于：星宇、双安、军手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胶手套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参考或相当于：星宇、双安、军手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规格大号，符合国标标准。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泡棉胶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参考或相当于：3M、星宇、瑞龙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规格长20米宽3厘米，符合国标标准。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参考或相当于：瑞龙、一联、蓝帆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规格6厘，符合国标标准。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参考或相当于：瑞龙、一联、蓝帆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规格8厘，符合国标标准。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枪钉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钢排钉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规格4*15mm，符合国标标准。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规格4.2*32mm，符合国标标准。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规格4.2*15.5mm，符合国标标准。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法兰螺母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规格M4\M5\M6\M8\M10，符合国标标准。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十字螺杆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规格M4\M5\M6\M8\M10，符合国标标准。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规格，668型，重300克，符合国标标准。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规格668瓷白玻璃胶，符合国标标准。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规格668透明玻璃胶，符合国标标准。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结构胶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规格，995型，重590ML，符合国标标准。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发泡胶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规格，重750ML，符合国标标准。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规格，长70CM,铜材质，AB锁芯，符合国标标准。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规格，长90CM,铜材质，AB锁芯，符合国标标准。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规格，长105CM,铜材质，AB锁芯，符合国标标准。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钢BK球形锁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球形锁长锁舌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球形锁中长锁舌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球形锁中锁舌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碰锁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参考或相当于：安得利、固力、坚士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通用型6201，符合国标标准。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牛头锁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参考或相当于：牛头牌、桂林、金牛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弹子门锁，符合国标标准。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防盗门锁碰锁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参考或相当于：金点原子、安得利，玥玛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C级防盗，符合国标标准。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不锈钢装甲面板锁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规格防盗门锁68型，符合国标标准。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规格防盗门锁D-65，符合国标标准。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规格24cm，单钉，符合国标标准。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规格24cm，双钉，符合国标标准。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阳台插芯执手锁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PAOB防盗门70锁芯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PAOB防盗门90锁芯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PAOB防盗门105锁芯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十字防盗门锁芯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月牙防盗门锁芯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防火门通道锁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伟童通锁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规格挂锁20mm，符合国标标准。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厕所门锁扣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规格不锈钢有人/无人，符合国标标准。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卷帘门锁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规格卷帘门锁，符合国标标准。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规格玻璃门锁，符合国标标准。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链条锁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规格链条锁1000mm，符合国标标准。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单舌执手锁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U型锁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智能锁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（猫眼.远程.指纹密码），符合国标标准。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外装门锁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白钢拉手门锁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不带锁球形锁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执手锁执手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执手锁小锁体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125锁体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黑色拉手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规格33cm，按照加工工艺加工，符合国标标准。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规格150镀鉻，符合国标标准。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防火门拉手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规格防火门拉手，按照加工工艺加工，符合国标标准。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规格拉手（铁皮），按照加工工艺加工，符合国标标准。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规格不锈钢玻璃门拉手孔距110，按照加工工艺加工，符合国标标准。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规格不锈钢玻璃门拉手孔距80，按照加工工艺加工，符合国标标准。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规格不锈钢玻璃门拉手孔距60，按照加工工艺加工，符合国标标准。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参考或相当于：安惠、科泰、三联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规格上夹+下夹，符合国标标准。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电焊面罩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规格电焊面罩40，符合国标标准。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电焊防护目镜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规格电焊防护目镜，符合国标标准。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电焊机手套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参考或相当于：晶棱、大桥、沪工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规格2.5*300mm（5KG)，符合国标标准。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参考或相当于：晶棱、大桥、沪工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规格3.2*350mm（5KG），符合国标标准。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规格氩氟焊气12L，符合国标标准。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规格氩氟焊气阀门25，符合国标标准。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规格氩氟焊气管1000mm，符合国标标准。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规格，加厚4米，符合国标标准。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规格，加厚1.5米，符合国标标准。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规格，加厚4米，符合国标标准。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单竹梯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规格，加厚6米，符合国标标准。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加厚伸缩节铝梯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规格，白色3KG，符合国标标准。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规格，黑色3KG，符合国标标准。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规格，中蓝色17KG，符合国标标准。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曲面合页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不锈钢平开合页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黑色合页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飞机合页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塑钢大合页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左开门厕所合页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规格3号不锈钢扣皮，符合国标标准。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规格冷扎钢板125mm/75mm扣皮，符合国标标准。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规格冷扎钢板65型，符合国标标准。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铝实心塑钢执手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短插销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加长插销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规格，1米长，符合国标标准。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蝶形加热管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4KV加热管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2500W加热盘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老虎钳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尖嘴钳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尖嘴钳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规格钢丝钳200mm，符合国标标准。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剥线钳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规格强力起子4×150mm，符合国标标准。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规格橡胶手柄6×200mm，符合国标标准。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规格橡胶手柄8×200mm，符合国标标准。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规格橡胶手柄10×200mm，符合国标标准。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规格橡胶手柄12×200mm，符合国标标准。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钳形表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参考或相当于：德力西、优利德、胜利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参考或相当于：德力西、优利德、胜利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打钉器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钉枪撞针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兆欧摇表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堵漏王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参考或相当于：德高、牛元、立邦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疏通剂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参考或相当于：德高、牛元、立邦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球头多功能内六角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规格，扳手9件套，符合国标标准。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羊角锤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规格，0.5kg，符合国标标准。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温控开关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感应式智能测电笔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规格，智能，符合国标标准。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警示牌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规格，维修警示，符合国标标准。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拖把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规格，棉布，符合国标标准。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除锈剂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参考或相当于：得力、三和、保赐利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规格，450ML，符合国标标准。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规格，开孔150*150mm百叶扇，符合国标标准。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规格，开孔200*200mm百叶扇，符合国标标准。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规格，开孔240*240mm百叶扇，符合国标标准。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规格，开孔250*250mm百叶扇，符合国标标准。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规格，开孔290*290mm百叶扇，符合国标标准。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圆排风扇（4寸）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开圆孔100-110mm,符合国标标准。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圆排风扇（6寸）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开圆孔150-160mm,符合国标标准。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圆排风扇（8寸）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开圆孔180-200mm,符合国标标准。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36*36排风扇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6寸百叶扇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规格，开孔290*290mm百叶扇，符合国标标准。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工业风扇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规格，15CM*15CM，符合国标标准。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规格，20CM*20CM，符合国标标准。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强力工业风扇电机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规格，铜芯电机，符合国标标准。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参考或相当于：艾美特（FL4007）、金羚（FD-40）、格力（FSL-40）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1.功率：50W（±10W）；2.电机材料：纯铜线圈电机；3.扇面直径：≥400mm；4.铁扇叶；5.其它功能：360度旋转送风，调控器控制3挡风速，电机超温自动保护。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吊扇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参考或相当于：艾美特（FW4035T2）、金羚（FC-30X）、格力（FC-1401）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1.功率：70W（±10W）；2.电机材料：纯铜线圈电机；3.扇面直径：≥1400mm；4.大机头；5.其它功能：左右摇头，调控器控制5挡风速，电机超温自动保护。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壁扇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参考或相当于：艾美特（FZ5612）、金羚（FB-40B）、格力（FB-4005-WG）</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1.功率：60W（±10W）；2.电机材料：纯铜线圈电机；3.扇面直径：≥400mm；4.铁扇叶；5.其它功能：左右摇头，调控器控制3挡风速，电机超温自动保护。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落地扇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参考或相当于：艾美特（FZ5612）、金羚（FB-40B）、格力（FB-4005-WG）</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1.功率：60W（±10W）；2.电机材料：纯铜线圈电机；3.扇面直径：≥400mm；4.铁扇叶；5.其它功能：左右摇头，调控器控制3挡风速，电机超温自动保护。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吊扇调速器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参考或相当于：新风、绿岛风、家来宝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规格86型暗装五档吊扇调速器，符合国标标准。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泡沫填缝剂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参考或相当于：快事达、比高、668上档次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电锤防尘罩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参考或相当于：得力、博世、东成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规格不锈钢19，符合国标标准。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窗帘杆（配件）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窗帘滚轮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规格窗帘滚轮，符合国标标准。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快速取水阀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规格D341X-10CDN250，符合国标标准。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规格5*200mm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规格5*250mm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规格10-12开口，符合国标标准。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规格12-14开口，符合国标标准。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规格14-17开口，符合国标标准。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规格17-19开口，符合国标标准。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规格21-23开口，符合国标标准。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规格6寸，150mm，符合国标标准。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规格8寸，200mm，符合国标标准。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规格10寸，250mm，符合国标标准。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规格12寸，300mm，符合国标标准。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规格15寸，375mm，符合国标标准。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规格18寸，450mm，符合国标标准。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规格6-8mm，符合国标标准。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规格8-9mm，符合国标标准。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规格10-11mm，符合国标标准。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规格12-13mm，符合国标标准。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规格13-15mm，符合国标标准。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规格镀锌铁丝￠8￠10￠16，符合国标标准。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时控开关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规格KG316T，符合国标标准。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规格T8 20W-40w，符合国标标准。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环形灯电子镇流器32W/40W，符合国标标准。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1*28W，符合国标标准。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2*28W，符合国标标准。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1*14W，符合国标标准。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2*14W，符合国标标准。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电子触发器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规格CD-2，符合国标标准。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电子触发器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规格CD-7，符合国标标准。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LED灯带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规格180珠，符合国标标准。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灯带插头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规格灯带插头，符合国标标准。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灯带卡子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规格灯带卡子，符合国标标准。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格栅灯盘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规格格栅灯盘3*14W，符合国标标准。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格栅灯盘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规格格栅灯盘3*28W，符合国标标准。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浮球控制开关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规格电缆线浮球3米线-不锈钢浮球6分，符合国标标准。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时间继电器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规格220V时间继电器，符合国标标准。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规格JR36-63  40-63A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胶泥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规格电力电缆胶泥2公斤，符合国标标准。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规格保险管10*38 500V，符合国标标准。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规格陶瓷保险管10A  4×38，符合国标标准。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规格陶瓷保险管2A  5×25，符合国标标准。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齿轮黄油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规格桶装500g工艺及质量，符合国标标准。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高速黄油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规格桶装500g工艺及质量，符合国标标准。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钳型万用表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参考或相当于：胜利、优利特、人民电器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规格钳型万用表210E，符合国标标准。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液压钳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规格液压钳240mm，符合国标标准。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防水胶布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参考或相当于：永乐、德力西、3米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规格电缆线防水胶布22㎜，符合国标标准。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高级海绵胶带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参考或相当于：科冠.德力西、永乐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规格30mm*22m，符合国标标准。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参考或相当于：巨力、坚逸、明哲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规格Ф5不锈钢，符合国标标准。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轴承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参考或相当于：上海、洛轴、哈轴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规格6202轴承，符合国标标准。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轴承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参考或相当于：上海、洛轴、哈轴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规格6312轴承，符合国标标准。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规格铁质规格DN32*1，符合国标标准。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规格铁质规格DN20*1/2，符合国标标准。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规格水泵水带接头规格DN100，符合国标标准。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规格水泵水带接头规格DN32，符合国标标准。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规格水泵水带管卡规格DN100，符合国标标准。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规格水泵水带规格Ф32，符合国标标准。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抽屉轨道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规格固特30型，符合国标标准。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抽屉导轨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规格普通10寸按照加工工艺加工，符合国标标准。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键盘导轨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规格35*2.7CM，符合国标标准。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直片角铁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规格不锈钢四孔，符合国标标准。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直片角铁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规格不锈钢七字五孔，符合国标标准。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规格不锈钢30*1.5mm，4孔，符合国标标准。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规格不锈钢36*1.5mm，6孔，符合国标标准。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规格不锈钢36*1.5mm，2孔，符合国标标准。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参考或相当于：星昱、八桂、上海庆通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规格角钢40*40,6米/根，符合国标标准。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参考或相当于：星昱、八桂、上海庆通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规格角钢30*30。6米/根，符合国标标准。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规格砂纸400号，符合国标标准。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规格砂纸320号，符合国标标准。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规格砂纸200号，符合国标标准。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规格32件/套，符合国标标准。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规格套筒12,13,14,17，符合国标标准。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规格套筒19,24,27，符合国标标准。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规格GWS900-100，符合国标标准。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电动式手电钻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规格220V手电钻，符合国标标准。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规格充电式手电钻12V，符合国标标准。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规格手电钻25V，符合国标标准。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规格手电钻48V，符合国标标准。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充电式角磨机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规格充电式角磨机21V，符合国标标准。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充电式套筒扳手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充电式往复锯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规格充电式往复锯，符合国标标准。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接触器辅助触点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规格LANN11N，符合国标标准。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热过载继电器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规格LRN35N 30-38A，符合国标标准。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液位继电器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规格JYB714-AC220V，符合国标标准。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万能转换开关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规格LW51A-164D0081/1，符合国标标准。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LED蜂鸣器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规格ND16-22FS，符合国标标准。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LED信号灯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规格（红、黄、绿、白色），符合国标标准。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按钮开关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规格LAY16(LB)，符合国标标准。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中间继电器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规格NJX-13FW/4ZS(带灯)，符合国标标准。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液位浮球开关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低温启动液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不锈钢浮球阀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参考或相当于：埃美柯、杰克龙、上海凯利科，材质为304不锈钢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规格15（304），符合国标标准。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不锈钢浮球阀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参考或相当于：埃美柯、杰克龙、上海凯利科，材质为304不锈钢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规格25（304），符合国标标准。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玻璃门面板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参考或相当于：南玻、信义玻璃、金晶科技，材质为钢化安全玻璃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规格61X41CM，符合国标标准。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玻璃门面板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参考或相当于：南玻、信义玻璃、金晶科技，材质为钢化安全玻璃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规格47X33CM，符合国标标准。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花篮螺栓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参考或相当于：豪达、柳华、城信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镀锌螺母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规格M8螺母，符合国标标准。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规格螺杆螺帽M4.6.8.10.12.14，符合国标标准。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规格M14*70，符合国标标准。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规格M20*90，符合国标标准。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规格M20*100，符合国标标准。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规格M8.10.12.14㎜螺帽、平垫片、弹簧垫片，符合国标标准。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规格不锈钢螺杆螺帽M10*50，符合国标标准。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对锁螺杆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规格M6*8、M6*12，符合国标标准。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十字倒边螺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规格M6*30，符合国标标准。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十字倒边螺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规格M8×60mm膨胀螺栓，符合国标标准。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规格M8×100mm膨胀螺栓，符合国标标准。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规格M10×80mm膨胀螺栓，符合国标标准。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规格M10×100mm膨胀螺栓，符合国标标准。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规格M12×80mm膨胀螺栓，符合国标标准。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规格M12×120mm膨胀螺栓，符合国标标准。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硅钙板钉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规格F4*25mm按照加工工艺加工，符合国标标准。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30细铁钉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参考或相当于：新东方、波斯、捷科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水泥钉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规格100mm、80mm、50mm、30mm，符合国标标准。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消防管钉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U型钉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参考或相当于：方太、新柳城、金牛牌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参考或相当于：方太、新柳城、金牛牌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闭门器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规格闭门器小号，符合国标标准。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规格10mm/2.5m，符合国标标准。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规格长68CM，粗10mm，尖头，符合国标标准。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lang w:val="en-US"/>
              </w:rPr>
            </w:pPr>
            <w:r>
              <w:rPr>
                <w:rFonts w:hint="default" w:ascii="Arial" w:hAnsi="Arial" w:eastAsia="宋体" w:cs="Arial"/>
                <w:i w:val="0"/>
                <w:iCs w:val="0"/>
                <w:color w:val="auto"/>
                <w:kern w:val="0"/>
                <w:sz w:val="21"/>
                <w:szCs w:val="21"/>
                <w:highlight w:val="none"/>
                <w:u w:val="none"/>
                <w:lang w:val="en-US" w:eastAsia="zh-CN" w:bidi="ar"/>
              </w:rPr>
              <w:t>参考或相当于：</w:t>
            </w:r>
            <w:r>
              <w:rPr>
                <w:rFonts w:hint="eastAsia" w:ascii="Arial" w:hAnsi="Arial" w:cs="Arial"/>
                <w:i w:val="0"/>
                <w:iCs w:val="0"/>
                <w:color w:val="auto"/>
                <w:kern w:val="0"/>
                <w:sz w:val="21"/>
                <w:szCs w:val="21"/>
                <w:highlight w:val="none"/>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规格长118CM，粗10mm，尖头，符合国标标准。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auto"/>
                <w:sz w:val="21"/>
                <w:szCs w:val="21"/>
                <w:highlight w:val="none"/>
                <w:u w:val="none"/>
                <w:lang w:val="en-US" w:eastAsia="zh-CN"/>
              </w:rPr>
            </w:pPr>
            <w:r>
              <w:rPr>
                <w:rFonts w:hint="default" w:ascii="Arial" w:hAnsi="Arial" w:eastAsia="宋体" w:cs="Arial"/>
                <w:i w:val="0"/>
                <w:iCs w:val="0"/>
                <w:color w:val="auto"/>
                <w:kern w:val="0"/>
                <w:sz w:val="21"/>
                <w:szCs w:val="21"/>
                <w:highlight w:val="none"/>
                <w:u w:val="none"/>
                <w:lang w:val="en-US" w:eastAsia="zh-CN" w:bidi="ar"/>
              </w:rPr>
              <w:t>参考或相当于：</w:t>
            </w:r>
            <w:r>
              <w:rPr>
                <w:rFonts w:hint="eastAsia"/>
                <w:color w:val="auto"/>
                <w:highlight w:val="none"/>
                <w:lang w:val="en-US" w:eastAsia="zh-CN"/>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规格长138CM，粗10mm，尖头，符合国标标准。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参考或相当于：海螺，云燕，圣德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规格水泥325，符合国标标准。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白水泥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参考或相当于：卓创、嘉尼斯、拓维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规格白水泥，符合国标标准。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不锈钢圆管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规格不锈钢圆管Ф38，6米/根，符合国标标准。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规格不锈钢方管38*38，6米/根，符合国标标准。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规格不锈钢圆管Ф20，6米/根，符合国标标准。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规格304不锈钢管Ф30，6米/根，符合国标标准。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铁链条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参考或相当于：千吉、晶日、富阳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规格铁链条Ф8，符合国标标准。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扁锉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圆锉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规格规格（mm）5.8.10，符合国标标准。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半圆锉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规格规格（mm）8.16，符合国标标准。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三角锉小号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规格三角锉小号，符合国标标准。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三角锉中号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规格三角锉中号，符合国标标准。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水平仪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规格规格Φ20，符合国标标准。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规格板牙架45，符合国标标准。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规格管钳350，符合国标标准。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规格管钳400，符合国标标准。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规格管钳450，符合国标标准。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棕扫把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规格规格大号，符合国标标准。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地扫把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PVC管胶水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美工刀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参考或相当于：田岛、捷科、沪工上档次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美工刀片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参考或相当于：田岛、捷科、沪工上档次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规格切割片400*3.2mm；，符合国标标准。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规格直径100×1.2mm，符合国标标准。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规格直径100×1.0mm，符合国标标准。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规格木切割片110，符合国标标准。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角磨机砂轮片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规格角磨机片100*6，符合国标标准。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垃圾夹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免钉胶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参考或相当于：快事达、比高、669上档次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规格补瓷砖用410g/支，符合国标标准。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电力马桶疏通器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橡胶头疏通器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规格1400W，符合国标标准。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腰锯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规格270mm，符合国标标准。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规格16寸/2200W，符合国标标准。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手锯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规格手锯 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规格225*0.9，符合国标标准。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规格钢锯片300*16*0.8，符合国标标准。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手弓钢锯片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参考或相当于：新东方、波斯、捷科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规格粗细齿，符合国标标准。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电锯锯片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规格电锯300mm，符合国标标准。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电锯锯片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规格木锯片300mm，符合国标标准。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铆钉枪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规格铆钉枪 600mm，符合国标标准。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电钻夹头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规格电钻夹头 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开孔钻头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规格开孔钻头 Ф35mm，符合国标标准。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高速开孔器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规格Ф25，符合国标标准。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充电LED手电筒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规格充电LED手电筒（含电池），符合国标标准。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充电LED头灯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规格充电LED头灯（含电池），符合国标标准。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角磨机充电电池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参考或相当于：德国锰克、捷科、田岛上档次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规格42V/5000mAH，符合国标标准。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规格角磨机电池18V，符合国标标准。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规格25V/2000mAH，符合国标标准。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三轮车快充充电器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参考或相当于：金彭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参考或相当于：田岛、沪工、捷科、鹰头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不锈钢钢丝绳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规格不锈钢钢丝6㎜，符合国标标准。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不锈钢钢丝绳锁卡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规格不锈钢钢丝绳锁6㎜，符合国标标准。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高空作业绳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规格带钢丝，粗12㎜，符合国标标准。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高空作业绳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规格带钢丝，粗18㎜，符合国标标准。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马桶按钮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参考或相当于：方太、金牛、康益力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规格内径55mm,高40mm，符合国标标准。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马桶进出水阀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参考或相当于：鱼峰牌、三和、三棵树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规格通用型，符合国标标准。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LED路灯驱动器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规格（HEC-50PC-50)，符合国标标准。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马桶法兰密封圈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参考或相当于：鱼峰牌、三和、三棵树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规格通用型，符合国标标准。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1"/>
                <w:szCs w:val="21"/>
                <w:highlight w:val="none"/>
                <w:u w:val="none"/>
              </w:rPr>
            </w:pPr>
          </w:p>
        </w:tc>
      </w:tr>
    </w:tbl>
    <w:p>
      <w:pPr>
        <w:rPr>
          <w:rFonts w:hint="eastAsia"/>
          <w:color w:val="auto"/>
          <w:szCs w:val="21"/>
          <w:highlight w:val="none"/>
        </w:rPr>
      </w:pPr>
    </w:p>
    <w:p>
      <w:pPr>
        <w:spacing w:line="360" w:lineRule="auto"/>
        <w:rPr>
          <w:rFonts w:hint="eastAsia"/>
          <w:color w:val="auto"/>
          <w:szCs w:val="21"/>
          <w:highlight w:val="none"/>
        </w:rPr>
      </w:pPr>
    </w:p>
    <w:p>
      <w:pPr>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484" w:firstLineChars="202"/>
        <w:jc w:val="left"/>
        <w:textAlignment w:val="auto"/>
        <w:outlineLvl w:val="1"/>
        <w:rPr>
          <w:rFonts w:hint="eastAsia" w:ascii="黑体" w:hAnsi="黑体" w:eastAsia="黑体" w:cs="黑体"/>
          <w:b w:val="0"/>
          <w:bCs w:val="0"/>
          <w:color w:val="auto"/>
          <w:sz w:val="32"/>
          <w:szCs w:val="32"/>
          <w:highlight w:val="none"/>
          <w:lang w:eastAsia="zh-CN"/>
        </w:rPr>
      </w:pPr>
      <w:bookmarkStart w:id="17" w:name="_Toc26293"/>
      <w:r>
        <w:rPr>
          <w:rFonts w:hint="eastAsia" w:ascii="Times New Roman" w:hAnsi="Times New Roman" w:eastAsia="宋体" w:cs="Times New Roman"/>
          <w:color w:val="auto"/>
          <w:sz w:val="24"/>
          <w:szCs w:val="24"/>
          <w:highlight w:val="none"/>
        </w:rPr>
        <w:t>▲</w:t>
      </w:r>
      <w:r>
        <w:rPr>
          <w:rFonts w:hint="eastAsia" w:ascii="黑体" w:hAnsi="黑体" w:eastAsia="黑体" w:cs="黑体"/>
          <w:b w:val="0"/>
          <w:bCs w:val="0"/>
          <w:color w:val="auto"/>
          <w:sz w:val="32"/>
          <w:szCs w:val="32"/>
          <w:highlight w:val="none"/>
          <w:lang w:eastAsia="zh-CN"/>
        </w:rPr>
        <w:t>三、商务要求</w:t>
      </w:r>
      <w:bookmarkEnd w:id="17"/>
    </w:p>
    <w:p>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ascii="Times New Roman" w:hAnsi="Times New Roman" w:eastAsia="宋体" w:cs="Times New Roman"/>
          <w:b/>
          <w:color w:val="auto"/>
          <w:kern w:val="2"/>
          <w:sz w:val="32"/>
          <w:szCs w:val="20"/>
          <w:highlight w:val="none"/>
          <w:lang w:val="en-US" w:eastAsia="zh-CN" w:bidi="ar-SA"/>
        </w:rPr>
      </w:pPr>
    </w:p>
    <w:p>
      <w:pPr>
        <w:widowControl w:val="0"/>
        <w:spacing w:line="20" w:lineRule="exact"/>
        <w:ind w:firstLine="643" w:firstLineChars="200"/>
        <w:jc w:val="both"/>
        <w:rPr>
          <w:rFonts w:ascii="Times New Roman" w:hAnsi="Times New Roman" w:eastAsia="宋体" w:cs="Times New Roman"/>
          <w:b/>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ascii="Times New Roman" w:hAnsi="Times New Roman" w:eastAsia="宋体" w:cs="Times New Roman"/>
          <w:b/>
          <w:color w:val="auto"/>
          <w:kern w:val="2"/>
          <w:sz w:val="18"/>
          <w:szCs w:val="18"/>
          <w:highlight w:val="none"/>
          <w:lang w:val="en-US" w:eastAsia="zh-CN" w:bidi="ar-SA"/>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810" w:type="dxa"/>
            <w:gridSpan w:val="2"/>
            <w:shd w:val="clear" w:color="auto" w:fill="8DB3E2" w:themeFill="text2" w:themeFillTint="66"/>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auto"/>
              <w:ind w:leftChars="0" w:right="-38" w:rightChars="-18"/>
              <w:textAlignment w:val="auto"/>
              <w:rPr>
                <w:rFonts w:hint="eastAsia" w:ascii="Times New Roman" w:hAnsi="Times New Roman" w:eastAsia="宋体" w:cs="宋体"/>
                <w:b/>
                <w:bCs/>
                <w:color w:val="auto"/>
                <w:szCs w:val="21"/>
                <w:highlight w:val="none"/>
                <w:lang w:eastAsia="zh-CN"/>
              </w:rPr>
            </w:pPr>
            <w:r>
              <w:rPr>
                <w:rFonts w:hint="eastAsia" w:cs="宋体"/>
                <w:b/>
                <w:bCs/>
                <w:color w:val="auto"/>
                <w:szCs w:val="21"/>
                <w:highlight w:val="none"/>
                <w:lang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b w:val="0"/>
                <w:bCs w:val="0"/>
                <w:color w:val="auto"/>
                <w:highlight w:val="none"/>
              </w:rPr>
              <w:t>（一）报价要求</w:t>
            </w:r>
          </w:p>
        </w:tc>
        <w:tc>
          <w:tcPr>
            <w:tcW w:w="77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spacing w:line="400" w:lineRule="exact"/>
              <w:ind w:left="0" w:leftChars="0" w:right="-38" w:rightChars="-18" w:firstLine="0" w:firstLineChars="0"/>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lang w:eastAsia="zh-CN"/>
              </w:rPr>
              <w:t>响应报价（综合折扣率）：本项目按综合折扣率（%）方式进行报价，综合折扣率（%）应综合考虑到完成本项目水电木日常维修材料供应服务的全部费用（包括水电木日常维修材料价款、包装、运输、装卸、送货到位、服务保障、税金、利润及其他所有成本费用）以及参与本项目磋商一切费用的基础上，就“项目需求”的服务内容作完整唯一综合折扣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shd w:val="clear" w:color="auto" w:fill="auto"/>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（二）售后服务、保修期</w:t>
            </w:r>
          </w:p>
        </w:tc>
        <w:tc>
          <w:tcPr>
            <w:tcW w:w="7770" w:type="dxa"/>
            <w:shd w:val="clear" w:color="auto" w:fill="auto"/>
            <w:noWrap w:val="0"/>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Times New Roman" w:hAnsi="Times New Roman" w:eastAsia="宋体" w:cs="宋体"/>
                <w:color w:val="auto"/>
                <w:szCs w:val="21"/>
                <w:highlight w:val="none"/>
                <w:lang w:eastAsia="zh-CN"/>
              </w:rPr>
              <w:t>1.</w:t>
            </w:r>
            <w:r>
              <w:rPr>
                <w:rFonts w:hint="eastAsia" w:cs="宋体"/>
                <w:color w:val="auto"/>
                <w:szCs w:val="21"/>
                <w:highlight w:val="none"/>
                <w:lang w:eastAsia="zh-CN"/>
              </w:rPr>
              <w:t>成交供应商</w:t>
            </w:r>
            <w:r>
              <w:rPr>
                <w:rFonts w:hint="eastAsia" w:ascii="Times New Roman" w:hAnsi="Times New Roman" w:eastAsia="宋体" w:cs="宋体"/>
                <w:color w:val="auto"/>
                <w:szCs w:val="21"/>
                <w:highlight w:val="none"/>
                <w:lang w:eastAsia="zh-CN"/>
              </w:rPr>
              <w:t>应按磋商文件规定及响应文件承诺的货物性能、技术要求、质量标准向</w:t>
            </w:r>
            <w:r>
              <w:rPr>
                <w:rFonts w:hint="eastAsia" w:cs="宋体"/>
                <w:color w:val="auto"/>
                <w:szCs w:val="21"/>
                <w:highlight w:val="none"/>
                <w:lang w:eastAsia="zh-CN"/>
              </w:rPr>
              <w:t>采购人</w:t>
            </w:r>
            <w:r>
              <w:rPr>
                <w:rFonts w:hint="eastAsia" w:ascii="Times New Roman" w:hAnsi="Times New Roman" w:eastAsia="宋体" w:cs="宋体"/>
                <w:color w:val="auto"/>
                <w:szCs w:val="21"/>
                <w:highlight w:val="none"/>
                <w:lang w:eastAsia="zh-CN"/>
              </w:rPr>
              <w:t>提供未经使用的全新产品。</w:t>
            </w:r>
            <w:r>
              <w:rPr>
                <w:rFonts w:hint="eastAsia" w:cs="宋体"/>
                <w:color w:val="auto"/>
                <w:szCs w:val="21"/>
                <w:highlight w:val="none"/>
                <w:lang w:eastAsia="zh-CN"/>
              </w:rPr>
              <w:t>成交供应商</w:t>
            </w:r>
            <w:r>
              <w:rPr>
                <w:rFonts w:hint="eastAsia" w:ascii="Times New Roman" w:hAnsi="Times New Roman" w:eastAsia="宋体" w:cs="宋体"/>
                <w:color w:val="auto"/>
                <w:szCs w:val="21"/>
                <w:highlight w:val="none"/>
                <w:lang w:eastAsia="zh-CN"/>
              </w:rPr>
              <w:t>提供货物的质量保证期按交货验收合格</w:t>
            </w:r>
            <w:r>
              <w:rPr>
                <w:rFonts w:hint="eastAsia" w:ascii="宋体" w:hAnsi="宋体" w:cs="宋体"/>
                <w:b w:val="0"/>
                <w:bCs w:val="0"/>
                <w:color w:val="auto"/>
                <w:highlight w:val="none"/>
                <w:lang w:eastAsia="zh-CN"/>
              </w:rPr>
              <w:t>之日起计。在保证期内因货物本身的质量问题发生故障，成交供应商应负责免费修理和更换零部件；如是装修问题引起的质量问题，成交供应商应免费进行修补或维修或更换新材料。</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2.如在使用过程中发生质量问题，成交供应商在接到采购人通知后在</w:t>
            </w:r>
            <w:r>
              <w:rPr>
                <w:rFonts w:hint="eastAsia" w:ascii="宋体" w:hAnsi="宋体" w:cs="宋体"/>
                <w:b w:val="0"/>
                <w:bCs w:val="0"/>
                <w:color w:val="auto"/>
                <w:highlight w:val="none"/>
                <w:lang w:val="en-US" w:eastAsia="zh-CN"/>
              </w:rPr>
              <w:t>2</w:t>
            </w:r>
            <w:r>
              <w:rPr>
                <w:rFonts w:hint="eastAsia" w:ascii="宋体" w:hAnsi="宋体" w:cs="宋体"/>
                <w:b w:val="0"/>
                <w:bCs w:val="0"/>
                <w:color w:val="auto"/>
                <w:highlight w:val="none"/>
                <w:lang w:eastAsia="zh-CN"/>
              </w:rPr>
              <w:t>小时内到达采购人现场。</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3.在质保期内，成交供应商应对货物出现的质量及安全问题负责处理解决并承担一切费用。</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4.供货货物免费保修期（质保期）最少为</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lang w:eastAsia="zh-CN"/>
              </w:rPr>
              <w:t>年（自验收合格之日起计算）。超过保修期的材料设备，终生维修，维修时只收部件成本费。</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5.免费送货上门，免费安装、免费调试，免费提供现场技术培训，保证使用人员正常操作设备的各种功能；若设备自带软件，则在保修期内免费升级；其余按磋商供应商承诺进行。</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6.提供售后服务联系电话及联系人，免费保修期（质保期）内，如果需要更换配件的，要求更换的配件应跟被更换的品牌、类型相一致或者是同类同档次的替代品，后者需征得用户方管理人员同意。</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color w:val="auto"/>
                <w:szCs w:val="21"/>
                <w:highlight w:val="none"/>
                <w:lang w:eastAsia="zh-CN"/>
              </w:rPr>
            </w:pPr>
            <w:r>
              <w:rPr>
                <w:rFonts w:hint="eastAsia" w:ascii="宋体" w:hAnsi="宋体" w:cs="宋体"/>
                <w:b/>
                <w:bCs/>
                <w:color w:val="auto"/>
                <w:highlight w:val="none"/>
                <w:lang w:eastAsia="zh-CN"/>
              </w:rPr>
              <w:t>7.提供保修期外零配件优惠供应方案。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三</w:t>
            </w:r>
            <w:r>
              <w:rPr>
                <w:rFonts w:hint="eastAsia" w:ascii="宋体" w:hAnsi="宋体" w:cs="宋体"/>
                <w:b w:val="0"/>
                <w:bCs w:val="0"/>
                <w:color w:val="auto"/>
                <w:highlight w:val="none"/>
              </w:rPr>
              <w:t>）付款方式、时间和条件</w:t>
            </w:r>
          </w:p>
        </w:tc>
        <w:tc>
          <w:tcPr>
            <w:tcW w:w="7770" w:type="dxa"/>
            <w:noWrap w:val="0"/>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本项目根据采购人实际需求分批、分期供货，采购人以实际</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按月进行结算；成交供应商须向采购人开具与当月结算金额相应正规发票，同时提供与当月发票金额相应的材料明细及送货单，采购人于收到上述材料之日起15个工作日内一次性支付成交供应商当月相应金额的费用（无息，采购人在支付每批材料款前，成交供应商必须向采购人提供相应增值税专用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）验收标准</w:t>
            </w:r>
          </w:p>
        </w:tc>
        <w:tc>
          <w:tcPr>
            <w:tcW w:w="7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80"/>
                <w:tab w:val="left" w:pos="1620"/>
              </w:tabs>
              <w:kinsoku/>
              <w:wordWrap/>
              <w:overflowPunct/>
              <w:topLinePunct w:val="0"/>
              <w:autoSpaceDE/>
              <w:autoSpaceDN/>
              <w:bidi w:val="0"/>
              <w:spacing w:line="400" w:lineRule="exact"/>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1.质量标准：成交供应商在供应期限内所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质量符合采购人要求及国家标准，且必须是按厂家出厂标准配置提供的整套全新，具备正规合法经销渠道，符合国家各项有关质量标准的合格产品。相关部件及服务须满足竞争性</w:t>
            </w:r>
            <w:r>
              <w:rPr>
                <w:rFonts w:hint="eastAsia" w:ascii="宋体" w:hAnsi="宋体" w:cs="宋体"/>
                <w:b w:val="0"/>
                <w:bCs w:val="0"/>
                <w:color w:val="auto"/>
                <w:highlight w:val="none"/>
                <w:lang w:eastAsia="zh-CN"/>
              </w:rPr>
              <w:t>磋商文件</w:t>
            </w:r>
            <w:r>
              <w:rPr>
                <w:rFonts w:hint="eastAsia" w:ascii="宋体" w:hAnsi="宋体" w:cs="宋体"/>
                <w:b w:val="0"/>
                <w:bCs w:val="0"/>
                <w:color w:val="auto"/>
                <w:highlight w:val="none"/>
              </w:rPr>
              <w:t>的各项要求。所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除满足竞争性</w:t>
            </w:r>
            <w:r>
              <w:rPr>
                <w:rFonts w:hint="eastAsia" w:ascii="宋体" w:hAnsi="宋体" w:cs="宋体"/>
                <w:b w:val="0"/>
                <w:bCs w:val="0"/>
                <w:color w:val="auto"/>
                <w:highlight w:val="none"/>
                <w:lang w:eastAsia="zh-CN"/>
              </w:rPr>
              <w:t>磋商文件</w:t>
            </w:r>
            <w:r>
              <w:rPr>
                <w:rFonts w:hint="eastAsia" w:ascii="宋体" w:hAnsi="宋体" w:cs="宋体"/>
                <w:b w:val="0"/>
                <w:bCs w:val="0"/>
                <w:color w:val="auto"/>
                <w:highlight w:val="none"/>
              </w:rPr>
              <w:t>的技术参数和配置外，其余均按国家标准及生产厂家出厂标准配置，若所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在运输过程中损坏须无偿调换同样材料。</w:t>
            </w:r>
          </w:p>
          <w:p>
            <w:pPr>
              <w:keepNext w:val="0"/>
              <w:keepLines w:val="0"/>
              <w:pageBreakBefore w:val="0"/>
              <w:widowControl w:val="0"/>
              <w:numPr>
                <w:ilvl w:val="0"/>
                <w:numId w:val="0"/>
              </w:numPr>
              <w:kinsoku/>
              <w:wordWrap/>
              <w:overflowPunct/>
              <w:topLinePunct w:val="0"/>
              <w:autoSpaceDE/>
              <w:autoSpaceDN/>
              <w:bidi w:val="0"/>
              <w:spacing w:line="400" w:lineRule="exact"/>
              <w:jc w:val="left"/>
              <w:textAlignment w:val="auto"/>
              <w:rPr>
                <w:rFonts w:hint="eastAsia" w:ascii="Times New Roman" w:hAnsi="Times New Roman" w:eastAsia="宋体" w:cs="宋体"/>
                <w:color w:val="auto"/>
                <w:szCs w:val="21"/>
                <w:highlight w:val="none"/>
              </w:rPr>
            </w:pPr>
            <w:r>
              <w:rPr>
                <w:rFonts w:hint="eastAsia" w:ascii="宋体" w:hAnsi="宋体" w:cs="宋体"/>
                <w:b w:val="0"/>
                <w:bCs w:val="0"/>
                <w:color w:val="auto"/>
                <w:highlight w:val="none"/>
              </w:rPr>
              <w:t>2.成交供应商在供应期限内所供应材料须保证涉及到的知识产权和所提供的相关技术资料是合法取得，并享有完整的知识产权，不会因为采购人的使用而被责令停止使用、追偿或要求赔偿损失。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宋体"/>
                <w:color w:val="auto"/>
                <w:szCs w:val="21"/>
                <w:highlight w:val="none"/>
                <w:lang w:eastAsia="zh-CN"/>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五</w:t>
            </w:r>
            <w:r>
              <w:rPr>
                <w:rFonts w:hint="eastAsia" w:ascii="宋体" w:hAnsi="宋体" w:cs="宋体"/>
                <w:b w:val="0"/>
                <w:bCs w:val="0"/>
                <w:color w:val="auto"/>
                <w:highlight w:val="none"/>
              </w:rPr>
              <w:t>）结算方式</w:t>
            </w:r>
          </w:p>
        </w:tc>
        <w:tc>
          <w:tcPr>
            <w:tcW w:w="7770"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1.本项目按综合折扣率（</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）方式进行报价。在供应期限内结算方式为：“后勤水电木日常维修材料供应清单”内供应的某材料结算金额</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“后勤水电木日常维修材料供应清单”中某材料所列单价×实际供应数量×成交综合折扣率（</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w:t>
            </w:r>
            <w:r>
              <w:rPr>
                <w:rFonts w:hint="eastAsia"/>
                <w:color w:val="auto"/>
                <w:kern w:val="0"/>
                <w:szCs w:val="21"/>
                <w:highlight w:val="none"/>
                <w:lang w:val="en-US" w:eastAsia="zh-CN"/>
              </w:rPr>
              <w:t>“后勤水电木日常维修材料供应清单”外供应的某材料，由成交供应商提交报价单，经采购人与成交供应商双方协商一致后，按双方确认的最终报价结算。</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2.本项目最终结算的合同总价款不得超出预算金额</w:t>
            </w:r>
            <w:r>
              <w:rPr>
                <w:rFonts w:hint="eastAsia" w:cs="宋体"/>
                <w:color w:val="auto"/>
                <w:szCs w:val="21"/>
                <w:highlight w:val="none"/>
                <w:lang w:eastAsia="zh-CN"/>
              </w:rPr>
              <w:t>。</w:t>
            </w:r>
          </w:p>
        </w:tc>
      </w:tr>
    </w:tbl>
    <w:p>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Z＜300</w:t>
            </w:r>
          </w:p>
        </w:tc>
      </w:tr>
      <w:tr>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X＜20</w:t>
            </w:r>
          </w:p>
        </w:tc>
      </w:tr>
      <w:tr>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X＜100</w:t>
            </w:r>
          </w:p>
        </w:tc>
      </w:tr>
      <w:tr>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pPr>
              <w:widowControl/>
              <w:jc w:val="left"/>
              <w:rPr>
                <w:color w:val="auto"/>
                <w:szCs w:val="21"/>
                <w:highlight w:val="none"/>
              </w:rPr>
            </w:pPr>
            <w:r>
              <w:rPr>
                <w:rFonts w:hint="eastAsia"/>
                <w:color w:val="auto"/>
                <w:szCs w:val="21"/>
                <w:highlight w:val="none"/>
              </w:rPr>
              <w:t>X＜10</w:t>
            </w:r>
          </w:p>
        </w:tc>
      </w:tr>
    </w:tbl>
    <w:p>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2"/>
    <w:bookmarkEnd w:id="13"/>
    <w:p>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636"/>
      <w:r>
        <w:rPr>
          <w:rFonts w:ascii="Times New Roman" w:hAnsi="Times New Roman" w:cs="Times New Roman"/>
          <w:color w:val="auto"/>
          <w:sz w:val="32"/>
          <w:szCs w:val="32"/>
          <w:highlight w:val="none"/>
        </w:rPr>
        <w:t>第三章  供应商须知</w:t>
      </w:r>
      <w:bookmarkEnd w:id="18"/>
      <w:bookmarkStart w:id="19" w:name="_Toc254970526"/>
      <w:bookmarkStart w:id="20" w:name="_Toc254970667"/>
    </w:p>
    <w:p>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jc w:val="center"/>
              <w:rPr>
                <w:b/>
                <w:color w:val="auto"/>
                <w:szCs w:val="21"/>
                <w:highlight w:val="none"/>
              </w:rPr>
            </w:pPr>
            <w:r>
              <w:rPr>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2026-2027年水电木日常维修保障材料供应服务采购（重）</w:t>
            </w:r>
          </w:p>
          <w:p>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GXZC2026-C3-000840-JDZB</w:t>
            </w:r>
          </w:p>
          <w:p>
            <w:pPr>
              <w:spacing w:line="300" w:lineRule="exact"/>
              <w:jc w:val="left"/>
              <w:rPr>
                <w:color w:val="auto"/>
                <w:szCs w:val="21"/>
                <w:highlight w:val="none"/>
              </w:rPr>
            </w:pPr>
            <w:r>
              <w:rPr>
                <w:rFonts w:hint="eastAsia"/>
                <w:color w:val="auto"/>
                <w:szCs w:val="21"/>
                <w:highlight w:val="none"/>
              </w:rPr>
              <w:t>采购计划号：广西政采[2026]5046号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本项目专门面向小微企业采购。</w:t>
            </w:r>
          </w:p>
          <w:p>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w:t>
            </w:r>
            <w:r>
              <w:rPr>
                <w:rFonts w:hint="eastAsia"/>
                <w:color w:val="auto"/>
                <w:szCs w:val="21"/>
                <w:highlight w:val="none"/>
                <w:lang w:val="en-US" w:eastAsia="zh-CN"/>
              </w:rPr>
              <w:t>服务商</w:t>
            </w:r>
            <w:r>
              <w:rPr>
                <w:rFonts w:hint="eastAsia"/>
                <w:color w:val="auto"/>
                <w:szCs w:val="21"/>
                <w:highlight w:val="none"/>
              </w:rPr>
              <w:t>应均为小型或微型企业。如磋商公告接受联合体或分包时，供应商以联合体形式响应的，还须提供《联合体协议书》，《联合体协议书》中填报的小微企业承接的比例为1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%；供应商以合同分包形式参与响应的，还须提供《分包意向协议书》，《分包意向协议书》中填报的小微企业承接的比例为1</w:t>
            </w:r>
            <w:r>
              <w:rPr>
                <w:color w:val="auto"/>
                <w:szCs w:val="21"/>
                <w:highlight w:val="none"/>
              </w:rPr>
              <w:t>00</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pPr>
              <w:spacing w:line="300" w:lineRule="exact"/>
              <w:jc w:val="center"/>
              <w:rPr>
                <w:b/>
                <w:color w:val="auto"/>
                <w:szCs w:val="21"/>
                <w:highlight w:val="none"/>
              </w:rPr>
            </w:pPr>
            <w:bookmarkStart w:id="23"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是否接受联合体详见磋商公告</w:t>
            </w:r>
          </w:p>
        </w:tc>
      </w:tr>
      <w:bookmarkEnd w:id="23"/>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pStyle w:val="18"/>
              <w:rPr>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是否接受分包详见磋商公告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color w:val="auto"/>
                <w:szCs w:val="21"/>
                <w:highlight w:val="none"/>
              </w:rPr>
              <w:t>响应截止之日起90天。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壹</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p>
          <w:p>
            <w:pPr>
              <w:spacing w:line="300" w:lineRule="exact"/>
              <w:jc w:val="left"/>
              <w:rPr>
                <w:color w:val="auto"/>
                <w:szCs w:val="21"/>
                <w:highlight w:val="none"/>
              </w:rPr>
            </w:pPr>
            <w:r>
              <w:rPr>
                <w:rFonts w:hint="eastAsia"/>
                <w:color w:val="auto"/>
                <w:szCs w:val="21"/>
                <w:highlight w:val="none"/>
              </w:rPr>
              <w:t>1、缴纳方式一：</w:t>
            </w:r>
          </w:p>
          <w:p>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纳至本项目对应的专用虚拟账号，所交纳的磋商保证金仅限当次项目有效，不得重复替代使用。本项目磋商保证金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pPr>
              <w:spacing w:line="300" w:lineRule="exact"/>
              <w:jc w:val="left"/>
              <w:rPr>
                <w:color w:val="auto"/>
                <w:szCs w:val="21"/>
                <w:highlight w:val="none"/>
              </w:rPr>
            </w:pPr>
            <w:r>
              <w:rPr>
                <w:rFonts w:hint="eastAsia"/>
                <w:color w:val="auto"/>
                <w:szCs w:val="21"/>
                <w:highlight w:val="none"/>
              </w:rPr>
              <w:t>开户名称：广西机电设备招标有限公司</w:t>
            </w:r>
          </w:p>
          <w:p>
            <w:pPr>
              <w:spacing w:line="300" w:lineRule="exact"/>
              <w:jc w:val="left"/>
              <w:rPr>
                <w:color w:val="auto"/>
                <w:szCs w:val="21"/>
                <w:highlight w:val="none"/>
              </w:rPr>
            </w:pPr>
            <w:r>
              <w:rPr>
                <w:rFonts w:hint="eastAsia"/>
                <w:color w:val="auto"/>
                <w:szCs w:val="21"/>
                <w:highlight w:val="none"/>
              </w:rPr>
              <w:t>开户银行：</w:t>
            </w:r>
            <w:r>
              <w:rPr>
                <w:color w:val="auto"/>
                <w:szCs w:val="21"/>
                <w:highlight w:val="none"/>
              </w:rPr>
              <w:t xml:space="preserve"> </w:t>
            </w:r>
            <w:r>
              <w:rPr>
                <w:rFonts w:hint="eastAsia"/>
                <w:color w:val="auto"/>
                <w:szCs w:val="21"/>
                <w:highlight w:val="none"/>
              </w:rPr>
              <w:t>平安银行南宁分行营业部</w:t>
            </w:r>
          </w:p>
          <w:p>
            <w:pPr>
              <w:spacing w:line="300" w:lineRule="exact"/>
              <w:jc w:val="left"/>
              <w:rPr>
                <w:rFonts w:hint="eastAsia" w:eastAsia="宋体"/>
                <w:color w:val="auto"/>
                <w:szCs w:val="21"/>
                <w:highlight w:val="none"/>
                <w:lang w:eastAsia="zh-CN"/>
              </w:rPr>
            </w:pPr>
            <w:r>
              <w:rPr>
                <w:rFonts w:hint="eastAsia"/>
                <w:color w:val="auto"/>
                <w:szCs w:val="21"/>
                <w:highlight w:val="none"/>
              </w:rPr>
              <w:t>银行账号：</w:t>
            </w:r>
            <w:r>
              <w:rPr>
                <w:rFonts w:hint="eastAsia"/>
                <w:color w:val="auto"/>
                <w:szCs w:val="21"/>
                <w:highlight w:val="none"/>
                <w:lang w:eastAsia="zh-CN"/>
              </w:rPr>
              <w:t>30210485938381</w:t>
            </w:r>
          </w:p>
          <w:p>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pPr>
              <w:spacing w:line="300" w:lineRule="exact"/>
              <w:jc w:val="left"/>
              <w:rPr>
                <w:color w:val="auto"/>
                <w:szCs w:val="21"/>
                <w:highlight w:val="none"/>
              </w:rPr>
            </w:pPr>
            <w:r>
              <w:rPr>
                <w:rFonts w:hint="eastAsia"/>
                <w:color w:val="auto"/>
                <w:szCs w:val="21"/>
                <w:highlight w:val="none"/>
              </w:rPr>
              <w:t>2、缴纳方式二：</w:t>
            </w:r>
          </w:p>
          <w:p>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pPr>
              <w:spacing w:line="300" w:lineRule="exact"/>
              <w:jc w:val="left"/>
              <w:rPr>
                <w:rFonts w:hint="eastAsia"/>
                <w:color w:val="auto"/>
                <w:szCs w:val="21"/>
                <w:highlight w:val="none"/>
              </w:rPr>
            </w:pPr>
            <w:r>
              <w:rPr>
                <w:rFonts w:hint="eastAsia"/>
                <w:color w:val="auto"/>
                <w:szCs w:val="21"/>
                <w:highlight w:val="none"/>
              </w:rPr>
              <w:t>（3）保函有效期低于响应有效期的；</w:t>
            </w:r>
          </w:p>
          <w:p>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pPr>
              <w:spacing w:line="300" w:lineRule="exact"/>
              <w:jc w:val="left"/>
              <w:rPr>
                <w:color w:val="auto"/>
                <w:szCs w:val="21"/>
                <w:highlight w:val="none"/>
              </w:rPr>
            </w:pPr>
            <w:r>
              <w:rPr>
                <w:rFonts w:hint="eastAsia"/>
                <w:color w:val="auto"/>
                <w:szCs w:val="21"/>
                <w:highlight w:val="none"/>
              </w:rPr>
              <w:t>4、财务部联系电话：0771-2821398</w:t>
            </w:r>
          </w:p>
          <w:p>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 xml:space="preserve">接受 </w:t>
            </w:r>
            <w:r>
              <w:rPr>
                <w:rFonts w:hint="eastAsia" w:ascii="宋体" w:hAnsi="宋体"/>
                <w:color w:val="auto"/>
                <w:szCs w:val="21"/>
                <w:highlight w:val="none"/>
              </w:rPr>
              <w:t>备份响应文件</w:t>
            </w:r>
          </w:p>
          <w:p>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b/>
                <w:color w:val="auto"/>
                <w:szCs w:val="21"/>
                <w:highlight w:val="none"/>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szCs w:val="20"/>
                <w:highlight w:val="none"/>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pPr>
              <w:snapToGrid w:val="0"/>
              <w:spacing w:line="380" w:lineRule="exact"/>
              <w:rPr>
                <w:color w:val="auto"/>
                <w:sz w:val="24"/>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pPr>
              <w:pStyle w:val="20"/>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pPr>
              <w:pStyle w:val="20"/>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pPr>
              <w:pStyle w:val="20"/>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pPr>
              <w:pStyle w:val="20"/>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pPr>
              <w:spacing w:line="276" w:lineRule="auto"/>
              <w:rPr>
                <w:color w:val="auto"/>
                <w:kern w:val="2"/>
                <w:sz w:val="22"/>
                <w:szCs w:val="22"/>
                <w:highlight w:val="none"/>
                <w:lang w:val="en-US" w:eastAsia="zh-CN" w:bidi="ar-SA"/>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rPr>
                <w:rFonts w:hint="eastAsia" w:ascii="Arial" w:hAnsi="Arial" w:eastAsia="宋体" w:cs="Arial"/>
                <w:color w:val="auto"/>
                <w:kern w:val="2"/>
                <w:sz w:val="21"/>
                <w:szCs w:val="21"/>
                <w:highlight w:val="none"/>
                <w:lang w:val="en-US" w:eastAsia="zh-CN" w:bidi="ar-SA"/>
              </w:rPr>
            </w:pPr>
            <w:r>
              <w:rPr>
                <w:rFonts w:hint="default" w:ascii="Arial" w:hAnsi="Arial" w:cs="Arial"/>
                <w:color w:val="auto"/>
                <w:szCs w:val="21"/>
                <w:highlight w:val="none"/>
              </w:rPr>
              <w:t>本项目代理服务费由成交供应商在领取成交通知书前，按国家发展计划委员会文件计价格（2002）1980号“国家计委关于印发《招标代理服务收费管理暂行办法》的通知”的“服务类”收费标准下浮50 %向采购代理机构缴纳，不足5000元按5000元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pPr>
        <w:rPr>
          <w:rFonts w:hint="eastAsia"/>
          <w:color w:val="auto"/>
          <w:highlight w:val="none"/>
        </w:rPr>
      </w:pPr>
    </w:p>
    <w:bookmarkEnd w:id="22"/>
    <w:p>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pPr>
        <w:spacing w:before="120" w:line="320" w:lineRule="atLeast"/>
        <w:ind w:firstLine="422" w:firstLineChars="200"/>
        <w:outlineLvl w:val="2"/>
        <w:rPr>
          <w:b/>
          <w:bCs/>
          <w:color w:val="auto"/>
          <w:kern w:val="0"/>
          <w:szCs w:val="21"/>
          <w:highlight w:val="none"/>
        </w:rPr>
      </w:pPr>
      <w:bookmarkStart w:id="26" w:name="_Toc254970669"/>
      <w:bookmarkStart w:id="27" w:name="_Toc254970528"/>
      <w:r>
        <w:rPr>
          <w:b/>
          <w:bCs/>
          <w:color w:val="auto"/>
          <w:kern w:val="0"/>
          <w:szCs w:val="21"/>
          <w:highlight w:val="none"/>
        </w:rPr>
        <w:t>1.2定义</w:t>
      </w:r>
      <w:bookmarkEnd w:id="26"/>
      <w:bookmarkEnd w:id="27"/>
    </w:p>
    <w:p>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color w:val="auto"/>
          <w:szCs w:val="21"/>
          <w:highlight w:val="none"/>
        </w:rPr>
      </w:pPr>
      <w:bookmarkStart w:id="28"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8"/>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pPr>
        <w:spacing w:before="120" w:line="320" w:lineRule="atLeast"/>
        <w:ind w:firstLine="420" w:firstLineChars="200"/>
        <w:rPr>
          <w:color w:val="auto"/>
          <w:szCs w:val="21"/>
          <w:highlight w:val="none"/>
        </w:rPr>
      </w:pPr>
      <w:r>
        <w:rPr>
          <w:color w:val="auto"/>
          <w:szCs w:val="21"/>
          <w:highlight w:val="none"/>
        </w:rPr>
        <w:t>1.5.2按照磋商公告的规定获得采购文件。</w:t>
      </w:r>
    </w:p>
    <w:p>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pPr>
        <w:spacing w:before="120" w:line="320" w:lineRule="atLeast"/>
        <w:ind w:firstLine="422" w:firstLineChars="200"/>
        <w:outlineLvl w:val="2"/>
        <w:rPr>
          <w:b/>
          <w:bCs/>
          <w:color w:val="auto"/>
          <w:kern w:val="0"/>
          <w:szCs w:val="21"/>
          <w:highlight w:val="none"/>
        </w:rPr>
      </w:pPr>
      <w:bookmarkStart w:id="29" w:name="_Toc254970531"/>
      <w:bookmarkStart w:id="30" w:name="_Toc254970672"/>
      <w:r>
        <w:rPr>
          <w:b/>
          <w:bCs/>
          <w:color w:val="auto"/>
          <w:kern w:val="0"/>
          <w:szCs w:val="21"/>
          <w:highlight w:val="none"/>
        </w:rPr>
        <w:t>1.6现场踏勘及响应费用</w:t>
      </w:r>
      <w:bookmarkEnd w:id="29"/>
      <w:bookmarkEnd w:id="30"/>
    </w:p>
    <w:p>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pPr>
        <w:spacing w:before="120" w:line="276" w:lineRule="auto"/>
        <w:ind w:firstLine="422" w:firstLineChars="200"/>
        <w:outlineLvl w:val="2"/>
        <w:rPr>
          <w:b/>
          <w:bCs/>
          <w:color w:val="auto"/>
          <w:kern w:val="0"/>
          <w:szCs w:val="21"/>
          <w:highlight w:val="none"/>
        </w:rPr>
      </w:pPr>
      <w:bookmarkStart w:id="31" w:name="_Toc254970673"/>
      <w:bookmarkStart w:id="32" w:name="_Toc254970532"/>
      <w:r>
        <w:rPr>
          <w:b/>
          <w:bCs/>
          <w:color w:val="auto"/>
          <w:kern w:val="0"/>
          <w:szCs w:val="21"/>
          <w:highlight w:val="none"/>
        </w:rPr>
        <w:t>1.8特别说明</w:t>
      </w:r>
      <w:bookmarkEnd w:id="31"/>
      <w:bookmarkEnd w:id="32"/>
    </w:p>
    <w:p>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ascii="Times New Roman" w:eastAsia="宋体"/>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pPr>
        <w:pStyle w:val="20"/>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spacing w:before="120" w:line="320" w:lineRule="atLeast"/>
        <w:ind w:left="2" w:leftChars="1" w:firstLine="422" w:firstLineChars="200"/>
        <w:outlineLvl w:val="1"/>
        <w:rPr>
          <w:b/>
          <w:bCs/>
          <w:color w:val="auto"/>
          <w:kern w:val="0"/>
          <w:szCs w:val="21"/>
          <w:highlight w:val="none"/>
        </w:rPr>
      </w:pPr>
      <w:bookmarkStart w:id="33" w:name="_Toc254970534"/>
      <w:bookmarkStart w:id="34" w:name="_Toc254970675"/>
      <w:r>
        <w:rPr>
          <w:b/>
          <w:bCs/>
          <w:color w:val="auto"/>
          <w:kern w:val="0"/>
          <w:szCs w:val="21"/>
          <w:highlight w:val="none"/>
        </w:rPr>
        <w:t>2．采购文件</w:t>
      </w:r>
      <w:bookmarkEnd w:id="33"/>
      <w:bookmarkEnd w:id="34"/>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pPr>
        <w:spacing w:before="120" w:line="320" w:lineRule="atLeast"/>
        <w:ind w:firstLine="420" w:firstLineChars="200"/>
        <w:rPr>
          <w:color w:val="auto"/>
          <w:szCs w:val="21"/>
          <w:highlight w:val="none"/>
        </w:rPr>
      </w:pPr>
      <w:r>
        <w:rPr>
          <w:color w:val="auto"/>
          <w:szCs w:val="21"/>
          <w:highlight w:val="none"/>
        </w:rPr>
        <w:t>第一章 磋商公告</w:t>
      </w:r>
    </w:p>
    <w:p>
      <w:pPr>
        <w:spacing w:before="120" w:line="320" w:lineRule="atLeast"/>
        <w:ind w:firstLine="420" w:firstLineChars="200"/>
        <w:rPr>
          <w:color w:val="auto"/>
          <w:szCs w:val="21"/>
          <w:highlight w:val="none"/>
        </w:rPr>
      </w:pPr>
      <w:r>
        <w:rPr>
          <w:color w:val="auto"/>
          <w:szCs w:val="21"/>
          <w:highlight w:val="none"/>
        </w:rPr>
        <w:t>第二章 采购需求</w:t>
      </w:r>
    </w:p>
    <w:p>
      <w:pPr>
        <w:spacing w:before="120" w:line="320" w:lineRule="atLeast"/>
        <w:ind w:firstLine="420" w:firstLineChars="200"/>
        <w:rPr>
          <w:color w:val="auto"/>
          <w:szCs w:val="21"/>
          <w:highlight w:val="none"/>
        </w:rPr>
      </w:pPr>
      <w:r>
        <w:rPr>
          <w:color w:val="auto"/>
          <w:szCs w:val="21"/>
          <w:highlight w:val="none"/>
        </w:rPr>
        <w:t>第三章 供应商须知</w:t>
      </w:r>
    </w:p>
    <w:p>
      <w:pPr>
        <w:spacing w:before="120" w:line="320" w:lineRule="atLeast"/>
        <w:ind w:firstLine="420" w:firstLineChars="200"/>
        <w:rPr>
          <w:color w:val="auto"/>
          <w:szCs w:val="21"/>
          <w:highlight w:val="none"/>
        </w:rPr>
      </w:pPr>
      <w:r>
        <w:rPr>
          <w:color w:val="auto"/>
          <w:szCs w:val="21"/>
          <w:highlight w:val="none"/>
        </w:rPr>
        <w:t>第四章 评审方法及标准</w:t>
      </w:r>
    </w:p>
    <w:p>
      <w:pPr>
        <w:spacing w:before="120" w:line="320" w:lineRule="atLeast"/>
        <w:ind w:firstLine="420" w:firstLineChars="200"/>
        <w:rPr>
          <w:color w:val="auto"/>
          <w:szCs w:val="21"/>
          <w:highlight w:val="none"/>
        </w:rPr>
      </w:pPr>
      <w:r>
        <w:rPr>
          <w:color w:val="auto"/>
          <w:szCs w:val="21"/>
          <w:highlight w:val="none"/>
        </w:rPr>
        <w:t>第五章 合同主要条款格式</w:t>
      </w:r>
    </w:p>
    <w:p>
      <w:pPr>
        <w:spacing w:before="120" w:line="320" w:lineRule="atLeast"/>
        <w:ind w:firstLine="420" w:firstLineChars="200"/>
        <w:rPr>
          <w:color w:val="auto"/>
          <w:szCs w:val="21"/>
          <w:highlight w:val="none"/>
        </w:rPr>
      </w:pPr>
      <w:r>
        <w:rPr>
          <w:color w:val="auto"/>
          <w:szCs w:val="21"/>
          <w:highlight w:val="none"/>
        </w:rPr>
        <w:t>第六章 响应文件格式</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pPr>
        <w:spacing w:before="120" w:line="320" w:lineRule="atLeast"/>
        <w:ind w:left="2" w:leftChars="1" w:firstLine="422" w:firstLineChars="200"/>
        <w:outlineLvl w:val="1"/>
        <w:rPr>
          <w:b/>
          <w:bCs/>
          <w:color w:val="auto"/>
          <w:kern w:val="0"/>
          <w:szCs w:val="21"/>
          <w:highlight w:val="none"/>
        </w:rPr>
      </w:pPr>
      <w:bookmarkStart w:id="35" w:name="_Toc254970535"/>
      <w:bookmarkStart w:id="36" w:name="_Toc254970676"/>
      <w:r>
        <w:rPr>
          <w:b/>
          <w:bCs/>
          <w:color w:val="auto"/>
          <w:kern w:val="0"/>
          <w:szCs w:val="21"/>
          <w:highlight w:val="none"/>
        </w:rPr>
        <w:t>3．响应文件</w:t>
      </w:r>
      <w:bookmarkEnd w:id="35"/>
      <w:bookmarkEnd w:id="36"/>
    </w:p>
    <w:p>
      <w:pPr>
        <w:spacing w:before="120" w:line="320" w:lineRule="atLeast"/>
        <w:ind w:firstLine="422" w:firstLineChars="200"/>
        <w:outlineLvl w:val="2"/>
        <w:rPr>
          <w:b/>
          <w:bCs/>
          <w:color w:val="auto"/>
          <w:kern w:val="0"/>
          <w:szCs w:val="21"/>
          <w:highlight w:val="none"/>
        </w:rPr>
      </w:pPr>
      <w:bookmarkStart w:id="37" w:name="_Toc254970677"/>
      <w:bookmarkStart w:id="38" w:name="_Toc254970536"/>
      <w:r>
        <w:rPr>
          <w:b/>
          <w:bCs/>
          <w:color w:val="auto"/>
          <w:kern w:val="0"/>
          <w:szCs w:val="21"/>
          <w:highlight w:val="none"/>
        </w:rPr>
        <w:t>3.1响应文件的组成</w:t>
      </w:r>
      <w:bookmarkEnd w:id="37"/>
      <w:bookmarkEnd w:id="38"/>
    </w:p>
    <w:p>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pPr>
        <w:spacing w:before="120" w:line="320" w:lineRule="atLeast"/>
        <w:ind w:firstLine="422" w:firstLineChars="200"/>
        <w:outlineLvl w:val="2"/>
        <w:rPr>
          <w:b/>
          <w:bCs/>
          <w:color w:val="auto"/>
          <w:kern w:val="0"/>
          <w:szCs w:val="21"/>
          <w:highlight w:val="none"/>
        </w:rPr>
      </w:pPr>
      <w:bookmarkStart w:id="39" w:name="_Toc254970537"/>
      <w:bookmarkStart w:id="40" w:name="_Toc254970678"/>
      <w:r>
        <w:rPr>
          <w:b/>
          <w:color w:val="auto"/>
          <w:szCs w:val="21"/>
          <w:highlight w:val="none"/>
        </w:rPr>
        <w:t>3.2</w:t>
      </w:r>
      <w:r>
        <w:rPr>
          <w:b/>
          <w:bCs/>
          <w:color w:val="auto"/>
          <w:kern w:val="0"/>
          <w:szCs w:val="21"/>
          <w:highlight w:val="none"/>
        </w:rPr>
        <w:t>响应文件的语言及计量</w:t>
      </w:r>
      <w:bookmarkEnd w:id="39"/>
      <w:bookmarkEnd w:id="40"/>
    </w:p>
    <w:p>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pPr>
        <w:spacing w:before="120" w:line="320" w:lineRule="atLeast"/>
        <w:ind w:firstLine="422" w:firstLineChars="200"/>
        <w:outlineLvl w:val="2"/>
        <w:rPr>
          <w:b/>
          <w:bCs/>
          <w:color w:val="auto"/>
          <w:kern w:val="0"/>
          <w:szCs w:val="21"/>
          <w:highlight w:val="none"/>
        </w:rPr>
      </w:pPr>
      <w:bookmarkStart w:id="41" w:name="_Toc254970538"/>
      <w:bookmarkStart w:id="42" w:name="_Toc254970679"/>
      <w:r>
        <w:rPr>
          <w:b/>
          <w:bCs/>
          <w:color w:val="auto"/>
          <w:kern w:val="0"/>
          <w:szCs w:val="21"/>
          <w:highlight w:val="none"/>
        </w:rPr>
        <w:t>3.3响应报价</w:t>
      </w:r>
      <w:bookmarkEnd w:id="41"/>
      <w:bookmarkEnd w:id="42"/>
    </w:p>
    <w:p>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pPr>
        <w:spacing w:before="120" w:line="320" w:lineRule="atLeast"/>
        <w:ind w:firstLine="422" w:firstLineChars="200"/>
        <w:outlineLvl w:val="2"/>
        <w:rPr>
          <w:b/>
          <w:bCs/>
          <w:color w:val="auto"/>
          <w:kern w:val="0"/>
          <w:szCs w:val="21"/>
          <w:highlight w:val="none"/>
        </w:rPr>
      </w:pPr>
      <w:bookmarkStart w:id="43" w:name="_Toc254970682"/>
      <w:bookmarkStart w:id="44" w:name="_Toc254970541"/>
      <w:r>
        <w:rPr>
          <w:b/>
          <w:bCs/>
          <w:color w:val="auto"/>
          <w:kern w:val="0"/>
          <w:szCs w:val="21"/>
          <w:highlight w:val="none"/>
        </w:rPr>
        <w:t>3.5磋商保证金</w:t>
      </w:r>
      <w:bookmarkEnd w:id="43"/>
      <w:bookmarkEnd w:id="44"/>
    </w:p>
    <w:p>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pPr>
        <w:numPr>
          <w:ilvl w:val="0"/>
          <w:numId w:val="1"/>
        </w:numPr>
        <w:spacing w:before="120" w:line="320" w:lineRule="atLeast"/>
        <w:rPr>
          <w:color w:val="auto"/>
          <w:szCs w:val="21"/>
          <w:highlight w:val="none"/>
        </w:rPr>
      </w:pPr>
      <w:r>
        <w:rPr>
          <w:color w:val="auto"/>
          <w:szCs w:val="21"/>
          <w:highlight w:val="none"/>
        </w:rPr>
        <w:t>拒绝履行合同义务的；</w:t>
      </w:r>
    </w:p>
    <w:p>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pPr>
        <w:spacing w:before="120" w:line="320" w:lineRule="atLeast"/>
        <w:ind w:firstLine="422" w:firstLineChars="200"/>
        <w:outlineLvl w:val="2"/>
        <w:rPr>
          <w:b/>
          <w:bCs/>
          <w:color w:val="auto"/>
          <w:kern w:val="0"/>
          <w:szCs w:val="21"/>
          <w:highlight w:val="none"/>
        </w:rPr>
      </w:pPr>
      <w:bookmarkStart w:id="45" w:name="_Toc254970683"/>
      <w:bookmarkStart w:id="46" w:name="_Toc254970542"/>
      <w:r>
        <w:rPr>
          <w:b/>
          <w:bCs/>
          <w:color w:val="auto"/>
          <w:kern w:val="0"/>
          <w:szCs w:val="21"/>
          <w:highlight w:val="none"/>
        </w:rPr>
        <w:t>3.6响应文件的</w:t>
      </w:r>
      <w:bookmarkEnd w:id="45"/>
      <w:bookmarkEnd w:id="46"/>
      <w:r>
        <w:rPr>
          <w:b/>
          <w:bCs/>
          <w:color w:val="auto"/>
          <w:kern w:val="0"/>
          <w:szCs w:val="21"/>
          <w:highlight w:val="none"/>
        </w:rPr>
        <w:t>编制要求</w:t>
      </w:r>
    </w:p>
    <w:p>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pPr>
        <w:spacing w:before="120" w:line="320" w:lineRule="atLeast"/>
        <w:ind w:left="2" w:leftChars="1" w:firstLine="420" w:firstLineChars="200"/>
        <w:rPr>
          <w:color w:val="auto"/>
          <w:szCs w:val="21"/>
          <w:highlight w:val="none"/>
        </w:rPr>
      </w:pPr>
      <w:bookmarkStart w:id="47" w:name="_Toc254970685"/>
      <w:bookmarkStart w:id="48"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pPr>
        <w:spacing w:before="120" w:line="320" w:lineRule="atLeast"/>
        <w:ind w:left="2" w:leftChars="1" w:firstLine="420" w:firstLineChars="200"/>
        <w:rPr>
          <w:rFonts w:hint="eastAsia"/>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0"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0"/>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auto"/>
          <w:highlight w:val="none"/>
        </w:rPr>
        <w:t>通知后供应商仍未在上述规定时间内解密响应文件</w:t>
      </w:r>
      <w:bookmarkEnd w:id="51"/>
      <w:r>
        <w:rPr>
          <w:rFonts w:hint="eastAsia"/>
          <w:color w:val="auto"/>
          <w:szCs w:val="21"/>
          <w:highlight w:val="none"/>
        </w:rPr>
        <w:t>，或者供应商没预留联系方式或预留联系方式无效导致代理机构无法联系到供应商进行解密的，均视为无效响应。</w:t>
      </w:r>
    </w:p>
    <w:p>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2"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pPr>
        <w:spacing w:before="120" w:line="320" w:lineRule="atLeast"/>
        <w:ind w:firstLine="420" w:firstLineChars="200"/>
        <w:rPr>
          <w:color w:val="auto"/>
          <w:szCs w:val="21"/>
          <w:highlight w:val="none"/>
        </w:rPr>
      </w:pPr>
      <w:r>
        <w:rPr>
          <w:color w:val="auto"/>
          <w:szCs w:val="21"/>
          <w:highlight w:val="none"/>
        </w:rPr>
        <w:t>4.2.5截标结束。</w:t>
      </w:r>
    </w:p>
    <w:p>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pPr>
        <w:spacing w:before="120" w:line="320" w:lineRule="atLeast"/>
        <w:ind w:firstLine="422" w:firstLineChars="200"/>
        <w:outlineLvl w:val="2"/>
        <w:rPr>
          <w:color w:val="auto"/>
          <w:szCs w:val="21"/>
          <w:highlight w:val="none"/>
        </w:rPr>
      </w:pPr>
      <w:r>
        <w:rPr>
          <w:b/>
          <w:bCs/>
          <w:color w:val="auto"/>
          <w:kern w:val="0"/>
          <w:szCs w:val="21"/>
          <w:highlight w:val="none"/>
        </w:rPr>
        <w:t>4.4样品</w:t>
      </w:r>
    </w:p>
    <w:p>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pPr>
        <w:spacing w:before="120" w:line="320" w:lineRule="atLeast"/>
        <w:ind w:firstLine="420" w:firstLineChars="200"/>
        <w:rPr>
          <w:color w:val="auto"/>
          <w:szCs w:val="21"/>
          <w:highlight w:val="none"/>
        </w:rPr>
      </w:pPr>
      <w:bookmarkStart w:id="53" w:name="_Toc254970686"/>
      <w:bookmarkStart w:id="54" w:name="_Toc254970545"/>
      <w:r>
        <w:rPr>
          <w:color w:val="auto"/>
          <w:szCs w:val="21"/>
          <w:highlight w:val="none"/>
        </w:rPr>
        <w:t>4.4.3样品封存或退还的说明请见第六章响应文件格式所附样品递交表。</w:t>
      </w:r>
    </w:p>
    <w:p>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color w:val="auto"/>
          <w:szCs w:val="21"/>
          <w:highlight w:val="none"/>
        </w:rPr>
        <w:t>（注：其中信用查询规则见“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3"/>
    <w:bookmarkEnd w:id="54"/>
    <w:p>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pPr>
        <w:spacing w:before="120" w:line="320" w:lineRule="atLeast"/>
        <w:ind w:firstLine="420" w:firstLineChars="200"/>
        <w:rPr>
          <w:color w:val="auto"/>
          <w:highlight w:val="none"/>
        </w:rPr>
      </w:pPr>
      <w:r>
        <w:rPr>
          <w:color w:val="auto"/>
          <w:highlight w:val="none"/>
        </w:rPr>
        <w:t>6.</w:t>
      </w:r>
      <w:bookmarkStart w:id="55" w:name="_Hlk19175507"/>
      <w:bookmarkStart w:id="56" w:name="_Hlk80956880"/>
      <w:r>
        <w:rPr>
          <w:color w:val="auto"/>
          <w:highlight w:val="none"/>
        </w:rPr>
        <w:t>3.1</w:t>
      </w:r>
      <w:r>
        <w:rPr>
          <w:rFonts w:hint="eastAsia"/>
          <w:color w:val="auto"/>
          <w:highlight w:val="none"/>
        </w:rPr>
        <w:t>符合性审查</w:t>
      </w:r>
    </w:p>
    <w:p>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5"/>
    <w:bookmarkEnd w:id="56"/>
    <w:p>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pPr>
        <w:suppressAutoHyphens/>
        <w:spacing w:before="120" w:line="320" w:lineRule="atLeast"/>
        <w:ind w:firstLine="422" w:firstLineChars="201"/>
        <w:rPr>
          <w:color w:val="auto"/>
          <w:szCs w:val="21"/>
          <w:highlight w:val="none"/>
        </w:rPr>
      </w:pPr>
      <w:bookmarkStart w:id="57" w:name="_Hlk47714684"/>
      <w:r>
        <w:rPr>
          <w:rFonts w:hint="eastAsia"/>
          <w:color w:val="auto"/>
          <w:szCs w:val="21"/>
          <w:highlight w:val="none"/>
        </w:rPr>
        <w:t>（1）</w:t>
      </w:r>
      <w:bookmarkEnd w:id="5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pPr>
        <w:spacing w:before="120" w:line="276" w:lineRule="auto"/>
        <w:ind w:firstLine="420" w:firstLineChars="200"/>
        <w:rPr>
          <w:color w:val="auto"/>
          <w:szCs w:val="21"/>
          <w:highlight w:val="none"/>
        </w:rPr>
      </w:pPr>
      <w:bookmarkStart w:id="58"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pPr>
        <w:spacing w:before="120" w:line="320" w:lineRule="atLeast"/>
        <w:ind w:firstLine="420" w:firstLineChars="200"/>
        <w:rPr>
          <w:color w:val="auto"/>
          <w:highlight w:val="none"/>
        </w:rPr>
      </w:pPr>
      <w:r>
        <w:rPr>
          <w:color w:val="auto"/>
          <w:highlight w:val="none"/>
        </w:rPr>
        <w:t>6.3.3澄清、说明或补正</w:t>
      </w:r>
    </w:p>
    <w:p>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p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8"/>
    <w:p>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pPr>
        <w:spacing w:before="120" w:line="320" w:lineRule="atLeast"/>
        <w:ind w:firstLine="420" w:firstLineChars="200"/>
        <w:rPr>
          <w:color w:val="auto"/>
          <w:szCs w:val="21"/>
          <w:highlight w:val="none"/>
        </w:rPr>
      </w:pPr>
      <w:bookmarkStart w:id="59" w:name="_Hlk19122026"/>
      <w:r>
        <w:rPr>
          <w:rFonts w:hint="eastAsia"/>
          <w:color w:val="auto"/>
          <w:szCs w:val="21"/>
          <w:highlight w:val="none"/>
        </w:rPr>
        <w:t>（1）</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pPr>
        <w:spacing w:before="120" w:line="320" w:lineRule="atLeast"/>
        <w:ind w:firstLine="420" w:firstLineChars="200"/>
        <w:rPr>
          <w:color w:val="auto"/>
          <w:szCs w:val="21"/>
          <w:highlight w:val="none"/>
        </w:rPr>
      </w:pPr>
      <w:bookmarkStart w:id="6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0"/>
    <w:p>
      <w:pPr>
        <w:spacing w:before="120" w:line="320" w:lineRule="atLeast"/>
        <w:ind w:firstLine="420" w:firstLineChars="200"/>
        <w:rPr>
          <w:color w:val="auto"/>
          <w:szCs w:val="21"/>
          <w:highlight w:val="none"/>
        </w:rPr>
      </w:pPr>
      <w:bookmarkStart w:id="61" w:name="_Hlk19122058"/>
      <w:r>
        <w:rPr>
          <w:rFonts w:hint="eastAsia"/>
          <w:color w:val="auto"/>
          <w:szCs w:val="21"/>
          <w:highlight w:val="none"/>
        </w:rPr>
        <w:t>（2）</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pPr>
        <w:spacing w:before="120" w:line="320" w:lineRule="atLeast"/>
        <w:ind w:firstLine="420" w:firstLineChars="200"/>
        <w:rPr>
          <w:color w:val="auto"/>
          <w:szCs w:val="21"/>
          <w:highlight w:val="none"/>
        </w:rPr>
      </w:pPr>
      <w:bookmarkStart w:id="62"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2"/>
    <w:p>
      <w:pPr>
        <w:spacing w:before="120" w:line="320" w:lineRule="atLeast"/>
        <w:ind w:firstLine="420" w:firstLineChars="200"/>
        <w:rPr>
          <w:color w:val="auto"/>
          <w:szCs w:val="21"/>
          <w:highlight w:val="none"/>
        </w:rPr>
      </w:pPr>
      <w:bookmarkStart w:id="63" w:name="_Hlk19122102"/>
      <w:r>
        <w:rPr>
          <w:rFonts w:hint="eastAsia"/>
          <w:color w:val="auto"/>
          <w:szCs w:val="21"/>
          <w:highlight w:val="none"/>
        </w:rPr>
        <w:t>（3）</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pPr>
        <w:spacing w:before="120" w:line="320" w:lineRule="atLeast"/>
        <w:ind w:firstLine="420" w:firstLineChars="200"/>
        <w:rPr>
          <w:color w:val="auto"/>
          <w:szCs w:val="21"/>
          <w:highlight w:val="none"/>
        </w:rPr>
      </w:pPr>
      <w:bookmarkStart w:id="6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4"/>
    <w:p>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pPr>
        <w:spacing w:before="120" w:line="320" w:lineRule="atLeast"/>
        <w:ind w:firstLine="420" w:firstLineChars="200"/>
        <w:rPr>
          <w:color w:val="auto"/>
          <w:szCs w:val="21"/>
          <w:highlight w:val="none"/>
        </w:rPr>
      </w:pPr>
      <w:bookmarkStart w:id="66"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6"/>
    <w:p>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pPr>
        <w:spacing w:before="120" w:line="320" w:lineRule="atLeast"/>
        <w:ind w:firstLine="420" w:firstLineChars="200"/>
        <w:rPr>
          <w:rFonts w:hint="eastAsia"/>
          <w:color w:val="auto"/>
          <w:szCs w:val="21"/>
          <w:highlight w:val="none"/>
        </w:rPr>
      </w:pPr>
      <w:bookmarkStart w:id="67"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7"/>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hint="eastAsia"/>
          <w:color w:val="auto"/>
          <w:szCs w:val="21"/>
          <w:highlight w:val="none"/>
        </w:rPr>
      </w:pPr>
      <w:bookmarkStart w:id="68"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pPr>
        <w:spacing w:before="120" w:line="320" w:lineRule="atLeast"/>
        <w:ind w:firstLine="420" w:firstLineChars="200"/>
        <w:rPr>
          <w:color w:val="auto"/>
          <w:szCs w:val="21"/>
          <w:highlight w:val="none"/>
        </w:rPr>
      </w:pPr>
      <w:bookmarkStart w:id="69" w:name="_Toc308164814"/>
      <w:bookmarkStart w:id="70"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9"/>
      <w:bookmarkEnd w:id="70"/>
    </w:p>
    <w:p>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pPr>
        <w:spacing w:before="120" w:line="320" w:lineRule="atLeast"/>
        <w:ind w:left="2" w:leftChars="1" w:firstLine="422" w:firstLineChars="200"/>
        <w:outlineLvl w:val="1"/>
        <w:rPr>
          <w:b/>
          <w:bCs/>
          <w:color w:val="auto"/>
          <w:kern w:val="0"/>
          <w:szCs w:val="21"/>
          <w:highlight w:val="none"/>
        </w:rPr>
      </w:pPr>
      <w:bookmarkStart w:id="71" w:name="_Toc254970533"/>
      <w:bookmarkStart w:id="72" w:name="_Toc254970674"/>
      <w:r>
        <w:rPr>
          <w:b/>
          <w:bCs/>
          <w:color w:val="auto"/>
          <w:kern w:val="0"/>
          <w:szCs w:val="21"/>
          <w:highlight w:val="none"/>
        </w:rPr>
        <w:t>8．质疑和投诉</w:t>
      </w:r>
      <w:bookmarkEnd w:id="71"/>
      <w:bookmarkEnd w:id="72"/>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pPr>
        <w:spacing w:before="120" w:line="320" w:lineRule="atLeast"/>
        <w:ind w:firstLine="420" w:firstLineChars="200"/>
        <w:rPr>
          <w:color w:val="auto"/>
          <w:szCs w:val="21"/>
          <w:highlight w:val="none"/>
        </w:rPr>
      </w:pPr>
      <w:r>
        <w:rPr>
          <w:color w:val="auto"/>
          <w:szCs w:val="21"/>
          <w:highlight w:val="none"/>
        </w:rPr>
        <w:t>8.1.1质疑内容、时限</w:t>
      </w:r>
    </w:p>
    <w:p>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pPr>
        <w:spacing w:before="120" w:line="320" w:lineRule="atLeast"/>
        <w:ind w:firstLine="420" w:firstLineChars="200"/>
        <w:rPr>
          <w:color w:val="auto"/>
          <w:szCs w:val="21"/>
          <w:highlight w:val="none"/>
        </w:rPr>
      </w:pPr>
      <w:r>
        <w:rPr>
          <w:color w:val="auto"/>
          <w:szCs w:val="21"/>
          <w:highlight w:val="none"/>
        </w:rPr>
        <w:t>8.1.2质疑形式</w:t>
      </w:r>
    </w:p>
    <w:p>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3" w:name="_Toc9661"/>
      <w:bookmarkStart w:id="74" w:name="_Toc254970690"/>
      <w:bookmarkStart w:id="75" w:name="_Toc254970549"/>
      <w:r>
        <w:rPr>
          <w:rFonts w:ascii="Times New Roman" w:hAnsi="Times New Roman" w:cs="Times New Roman"/>
          <w:color w:val="auto"/>
          <w:sz w:val="32"/>
          <w:szCs w:val="32"/>
          <w:highlight w:val="none"/>
        </w:rPr>
        <w:t>第四章  评审方法及标准</w:t>
      </w:r>
      <w:bookmarkEnd w:id="73"/>
    </w:p>
    <w:p>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6" w:name="_Hlk160525103"/>
      <w:r>
        <w:rPr>
          <w:rFonts w:hint="eastAsia"/>
          <w:b/>
          <w:bCs/>
          <w:color w:val="auto"/>
          <w:kern w:val="0"/>
          <w:szCs w:val="21"/>
          <w:highlight w:val="none"/>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pPr>
              <w:spacing w:line="240" w:lineRule="exact"/>
              <w:jc w:val="center"/>
              <w:rPr>
                <w:b/>
                <w:color w:val="auto"/>
                <w:kern w:val="0"/>
                <w:szCs w:val="21"/>
                <w:highlight w:val="none"/>
              </w:rPr>
            </w:pPr>
            <w:r>
              <w:rPr>
                <w:rFonts w:hint="eastAsia"/>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lang w:val="zh-CN"/>
              </w:rPr>
            </w:pPr>
          </w:p>
        </w:tc>
        <w:tc>
          <w:tcPr>
            <w:tcW w:w="1843" w:type="dxa"/>
            <w:noWrap w:val="0"/>
            <w:vAlign w:val="center"/>
          </w:tcPr>
          <w:p>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lang w:val="zh-CN"/>
              </w:rPr>
            </w:pPr>
          </w:p>
        </w:tc>
        <w:tc>
          <w:tcPr>
            <w:tcW w:w="1843" w:type="dxa"/>
            <w:noWrap w:val="0"/>
            <w:vAlign w:val="center"/>
          </w:tcPr>
          <w:p>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lang w:val="zh-CN"/>
              </w:rPr>
            </w:pPr>
          </w:p>
        </w:tc>
        <w:tc>
          <w:tcPr>
            <w:tcW w:w="1843" w:type="dxa"/>
            <w:noWrap w:val="0"/>
            <w:vAlign w:val="center"/>
          </w:tcPr>
          <w:p>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lang w:val="zh-CN"/>
              </w:rPr>
            </w:pPr>
          </w:p>
        </w:tc>
        <w:tc>
          <w:tcPr>
            <w:tcW w:w="1843" w:type="dxa"/>
            <w:noWrap w:val="0"/>
            <w:vAlign w:val="center"/>
          </w:tcPr>
          <w:p>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lang w:val="zh-CN"/>
              </w:rPr>
            </w:pPr>
          </w:p>
        </w:tc>
        <w:tc>
          <w:tcPr>
            <w:tcW w:w="1843" w:type="dxa"/>
            <w:noWrap w:val="0"/>
            <w:vAlign w:val="center"/>
          </w:tcPr>
          <w:p>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pPr>
              <w:spacing w:line="240" w:lineRule="exact"/>
              <w:jc w:val="left"/>
              <w:rPr>
                <w:color w:val="auto"/>
                <w:szCs w:val="21"/>
                <w:highlight w:val="none"/>
              </w:rPr>
            </w:pPr>
            <w:r>
              <w:rPr>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pPr>
              <w:spacing w:line="240" w:lineRule="exact"/>
              <w:jc w:val="left"/>
              <w:rPr>
                <w:color w:val="auto"/>
                <w:szCs w:val="21"/>
                <w:highlight w:val="none"/>
              </w:rPr>
            </w:pPr>
            <w:r>
              <w:rPr>
                <w:rFonts w:hint="eastAsia" w:ascii="宋体" w:hAnsi="宋体" w:cs="宋体"/>
                <w:color w:val="auto"/>
                <w:szCs w:val="21"/>
                <w:highlight w:val="none"/>
              </w:rPr>
              <w:t>供应商独立响应：提供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w:t>
            </w:r>
            <w:r>
              <w:rPr>
                <w:rFonts w:hint="eastAsia"/>
                <w:color w:val="auto"/>
                <w:szCs w:val="21"/>
                <w:highlight w:val="none"/>
                <w:lang w:val="en-US" w:eastAsia="zh-CN"/>
              </w:rPr>
              <w:t>服务商</w:t>
            </w:r>
            <w:r>
              <w:rPr>
                <w:rFonts w:hint="eastAsia"/>
                <w:color w:val="auto"/>
                <w:szCs w:val="21"/>
                <w:highlight w:val="none"/>
              </w:rPr>
              <w:t>应全部为小型或微型企业</w:t>
            </w:r>
            <w:r>
              <w:rPr>
                <w:rFonts w:hint="eastAsia" w:ascii="宋体" w:hAnsi="宋体" w:cs="宋体"/>
                <w:color w:val="auto"/>
                <w:szCs w:val="21"/>
                <w:highlight w:val="none"/>
              </w:rPr>
              <w:t>的条件</w:t>
            </w:r>
            <w:r>
              <w:rPr>
                <w:rFonts w:hint="eastAsia"/>
                <w:color w:val="auto"/>
                <w:szCs w:val="21"/>
                <w:highlight w:val="none"/>
              </w:rPr>
              <w:t>。</w:t>
            </w:r>
          </w:p>
          <w:p>
            <w:pPr>
              <w:spacing w:line="240" w:lineRule="exact"/>
              <w:jc w:val="left"/>
              <w:rPr>
                <w:rFonts w:hint="eastAsia"/>
                <w:color w:val="auto"/>
                <w:szCs w:val="21"/>
                <w:highlight w:val="none"/>
              </w:rPr>
            </w:pPr>
            <w:r>
              <w:rPr>
                <w:rFonts w:hint="eastAsia"/>
                <w:color w:val="auto"/>
                <w:szCs w:val="21"/>
                <w:highlight w:val="none"/>
              </w:rPr>
              <w:t>注：1、符合监狱企业出具监狱企业证明文件的、符合残疾人福利性单位出具《残疾人福利性单位声明函》的视同小微企业。</w:t>
            </w:r>
          </w:p>
          <w:p>
            <w:pPr>
              <w:spacing w:line="240" w:lineRule="exact"/>
              <w:jc w:val="left"/>
              <w:rPr>
                <w:color w:val="auto"/>
                <w:szCs w:val="21"/>
                <w:highlight w:val="none"/>
              </w:rPr>
            </w:pPr>
            <w:r>
              <w:rPr>
                <w:rFonts w:hint="eastAsia"/>
                <w:color w:val="auto"/>
                <w:szCs w:val="21"/>
                <w:highlight w:val="none"/>
              </w:rPr>
              <w:t>2、律师事务所、司法鉴定机构不适用《中小企业划型标准规定》，不享受中小企业发展政策。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pPr>
              <w:spacing w:line="240" w:lineRule="exact"/>
              <w:rPr>
                <w:color w:val="auto"/>
                <w:szCs w:val="21"/>
                <w:highlight w:val="none"/>
              </w:rPr>
            </w:pPr>
          </w:p>
        </w:tc>
        <w:tc>
          <w:tcPr>
            <w:tcW w:w="1843" w:type="dxa"/>
            <w:noWrap w:val="0"/>
            <w:vAlign w:val="center"/>
          </w:tcPr>
          <w:p>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pPr>
              <w:spacing w:line="240" w:lineRule="exact"/>
              <w:jc w:val="left"/>
              <w:rPr>
                <w:color w:val="auto"/>
                <w:szCs w:val="21"/>
                <w:highlight w:val="none"/>
              </w:rPr>
            </w:pPr>
          </w:p>
        </w:tc>
        <w:tc>
          <w:tcPr>
            <w:tcW w:w="1843" w:type="dxa"/>
            <w:noWrap w:val="0"/>
            <w:vAlign w:val="center"/>
          </w:tcPr>
          <w:p>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color w:val="auto"/>
                <w:kern w:val="0"/>
                <w:szCs w:val="21"/>
                <w:highlight w:val="none"/>
              </w:rPr>
            </w:pPr>
          </w:p>
        </w:tc>
        <w:tc>
          <w:tcPr>
            <w:tcW w:w="1843" w:type="dxa"/>
            <w:noWrap w:val="0"/>
            <w:vAlign w:val="center"/>
          </w:tcPr>
          <w:p>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color w:val="auto"/>
                <w:kern w:val="0"/>
                <w:szCs w:val="21"/>
                <w:highlight w:val="none"/>
              </w:rPr>
            </w:pPr>
          </w:p>
        </w:tc>
        <w:tc>
          <w:tcPr>
            <w:tcW w:w="1843" w:type="dxa"/>
            <w:noWrap w:val="0"/>
            <w:vAlign w:val="center"/>
          </w:tcPr>
          <w:p>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color w:val="auto"/>
                <w:kern w:val="0"/>
                <w:szCs w:val="21"/>
                <w:highlight w:val="none"/>
              </w:rPr>
            </w:pPr>
          </w:p>
        </w:tc>
        <w:tc>
          <w:tcPr>
            <w:tcW w:w="1843" w:type="dxa"/>
            <w:noWrap w:val="0"/>
            <w:vAlign w:val="center"/>
          </w:tcPr>
          <w:p>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color w:val="auto"/>
                <w:kern w:val="0"/>
                <w:szCs w:val="21"/>
                <w:highlight w:val="none"/>
              </w:rPr>
            </w:pPr>
          </w:p>
        </w:tc>
        <w:tc>
          <w:tcPr>
            <w:tcW w:w="1843" w:type="dxa"/>
            <w:noWrap w:val="0"/>
            <w:vAlign w:val="center"/>
          </w:tcPr>
          <w:p>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pPr>
              <w:spacing w:line="240" w:lineRule="exact"/>
              <w:rPr>
                <w:rFonts w:hint="eastAsia"/>
                <w:color w:val="auto"/>
                <w:szCs w:val="21"/>
                <w:highlight w:val="none"/>
              </w:rPr>
            </w:pPr>
            <w:r>
              <w:rPr>
                <w:rFonts w:hint="eastAsia"/>
                <w:color w:val="auto"/>
                <w:szCs w:val="21"/>
                <w:highlight w:val="none"/>
                <w:lang w:val="zh-CN"/>
              </w:rPr>
              <w:t>须符合“磋商公告”的要求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pPr>
              <w:spacing w:line="240" w:lineRule="exact"/>
              <w:jc w:val="left"/>
              <w:rPr>
                <w:color w:val="auto"/>
                <w:kern w:val="0"/>
                <w:szCs w:val="21"/>
                <w:highlight w:val="none"/>
              </w:rPr>
            </w:pPr>
          </w:p>
        </w:tc>
        <w:tc>
          <w:tcPr>
            <w:tcW w:w="1843" w:type="dxa"/>
            <w:noWrap w:val="0"/>
            <w:vAlign w:val="center"/>
          </w:tcPr>
          <w:p>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pPr>
              <w:spacing w:line="240" w:lineRule="exact"/>
              <w:jc w:val="center"/>
              <w:rPr>
                <w:b/>
                <w:color w:val="auto"/>
                <w:kern w:val="0"/>
                <w:szCs w:val="21"/>
                <w:highlight w:val="none"/>
              </w:rPr>
            </w:pPr>
            <w:bookmarkStart w:id="77" w:name="_Hlk20388968"/>
            <w:bookmarkStart w:id="78" w:name="_Hlk48146640"/>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pPr>
              <w:spacing w:line="240" w:lineRule="exact"/>
              <w:jc w:val="center"/>
              <w:rPr>
                <w:b/>
                <w:color w:val="auto"/>
                <w:kern w:val="0"/>
                <w:szCs w:val="21"/>
                <w:highlight w:val="none"/>
              </w:rPr>
            </w:pPr>
          </w:p>
          <w:p>
            <w:pPr>
              <w:spacing w:line="240" w:lineRule="exact"/>
              <w:jc w:val="center"/>
              <w:rPr>
                <w:b/>
                <w:color w:val="auto"/>
                <w:kern w:val="0"/>
                <w:szCs w:val="21"/>
                <w:highlight w:val="none"/>
              </w:rPr>
            </w:pPr>
            <w:r>
              <w:rPr>
                <w:rFonts w:hint="eastAsia"/>
                <w:b/>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pPr>
              <w:spacing w:line="240" w:lineRule="exact"/>
              <w:rPr>
                <w:color w:val="auto"/>
                <w:highlight w:val="none"/>
              </w:rPr>
            </w:pPr>
            <w:r>
              <w:rPr>
                <w:rFonts w:ascii="宋体" w:hAnsi="宋体"/>
                <w:color w:val="auto"/>
                <w:szCs w:val="21"/>
                <w:highlight w:val="none"/>
              </w:rPr>
              <w:t>格式及附件见第六章响应文件格式要求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pPr>
              <w:spacing w:line="240" w:lineRule="exact"/>
              <w:rPr>
                <w:rFonts w:hint="default" w:eastAsia="宋体"/>
                <w:bCs/>
                <w:color w:val="auto"/>
                <w:kern w:val="0"/>
                <w:szCs w:val="21"/>
                <w:highlight w:val="none"/>
                <w:lang w:val="en-US" w:eastAsia="zh-CN"/>
              </w:rPr>
            </w:pPr>
            <w:r>
              <w:rPr>
                <w:rFonts w:hint="eastAsia"/>
                <w:color w:val="auto"/>
                <w:highlight w:val="none"/>
              </w:rPr>
              <w:t>报价未超出采购预算金额（含分项预算金额），也未超出最高限价（如有）</w:t>
            </w:r>
            <w:r>
              <w:rPr>
                <w:rFonts w:hint="eastAsia"/>
                <w:color w:val="auto"/>
                <w:highlight w:val="none"/>
                <w:lang w:val="en-US" w:eastAsia="zh-CN"/>
              </w:rPr>
              <w:t>及综合折扣率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rFonts w:hint="eastAsia"/>
                <w:bCs/>
                <w:color w:val="auto"/>
                <w:kern w:val="0"/>
                <w:szCs w:val="21"/>
                <w:highlight w:val="none"/>
              </w:rPr>
            </w:pPr>
            <w:r>
              <w:rPr>
                <w:rFonts w:hint="eastAsia"/>
                <w:color w:val="auto"/>
                <w:szCs w:val="21"/>
                <w:highlight w:val="none"/>
                <w:lang w:val="zh-CN"/>
              </w:rPr>
              <w:t>过低报价合理性</w:t>
            </w:r>
          </w:p>
        </w:tc>
        <w:tc>
          <w:tcPr>
            <w:tcW w:w="5085" w:type="dxa"/>
            <w:noWrap w:val="0"/>
            <w:vAlign w:val="center"/>
          </w:tcPr>
          <w:p>
            <w:pPr>
              <w:spacing w:line="240" w:lineRule="exact"/>
              <w:rPr>
                <w:rFonts w:hint="eastAsia" w:ascii="宋体" w:hAnsi="宋体"/>
                <w:color w:val="auto"/>
                <w:szCs w:val="21"/>
                <w:highlight w:val="none"/>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pPr>
              <w:spacing w:line="240" w:lineRule="exact"/>
              <w:jc w:val="center"/>
              <w:rPr>
                <w:color w:val="auto"/>
                <w:kern w:val="0"/>
                <w:szCs w:val="21"/>
                <w:highlight w:val="none"/>
              </w:rPr>
            </w:pPr>
          </w:p>
        </w:tc>
        <w:tc>
          <w:tcPr>
            <w:tcW w:w="2333" w:type="dxa"/>
            <w:noWrap w:val="0"/>
            <w:vAlign w:val="center"/>
          </w:tcPr>
          <w:p>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pPr>
              <w:spacing w:line="240" w:lineRule="exact"/>
              <w:rPr>
                <w:color w:val="auto"/>
                <w:szCs w:val="21"/>
                <w:highlight w:val="none"/>
              </w:rPr>
            </w:pPr>
            <w:r>
              <w:rPr>
                <w:rFonts w:hint="eastAsia" w:ascii="宋体" w:hAnsi="宋体"/>
                <w:color w:val="auto"/>
                <w:szCs w:val="21"/>
                <w:highlight w:val="none"/>
              </w:rPr>
              <w:t>满足采购文件规定</w:t>
            </w:r>
          </w:p>
        </w:tc>
      </w:tr>
      <w:bookmarkEnd w:id="77"/>
      <w:bookmarkEnd w:id="78"/>
    </w:tbl>
    <w:p>
      <w:pPr>
        <w:spacing w:before="120" w:line="320" w:lineRule="atLeast"/>
        <w:rPr>
          <w:rFonts w:hint="eastAsia"/>
          <w:color w:val="auto"/>
          <w:highlight w:val="none"/>
        </w:rPr>
      </w:pPr>
    </w:p>
    <w:p>
      <w:pPr>
        <w:spacing w:before="120" w:line="320" w:lineRule="atLeast"/>
        <w:rPr>
          <w:rFonts w:hint="eastAsia"/>
          <w:color w:val="auto"/>
          <w:highlight w:val="none"/>
        </w:rPr>
      </w:pPr>
    </w:p>
    <w:p>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pPr>
        <w:ind w:firstLine="420" w:firstLineChars="200"/>
        <w:rPr>
          <w:color w:val="auto"/>
          <w:highlight w:val="none"/>
        </w:rPr>
      </w:pPr>
      <w:r>
        <w:rPr>
          <w:rFonts w:hint="eastAsia"/>
          <w:color w:val="auto"/>
          <w:highlight w:val="none"/>
        </w:rPr>
        <w:t>（1）技术及商务资信分</w:t>
      </w:r>
    </w:p>
    <w:tbl>
      <w:tblPr>
        <w:tblStyle w:val="5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76"/>
        <w:gridCol w:w="1017"/>
        <w:gridCol w:w="918"/>
        <w:gridCol w:w="5174"/>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29" w:type="dxa"/>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693" w:type="dxa"/>
            <w:gridSpan w:val="2"/>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评审因素及分值</w:t>
            </w:r>
          </w:p>
        </w:tc>
        <w:tc>
          <w:tcPr>
            <w:tcW w:w="918" w:type="dxa"/>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分值</w:t>
            </w:r>
          </w:p>
          <w:p>
            <w:pPr>
              <w:jc w:val="center"/>
              <w:rPr>
                <w:rFonts w:hint="default" w:ascii="Arial" w:hAnsi="Arial" w:cs="Arial"/>
                <w:b/>
                <w:color w:val="auto"/>
                <w:szCs w:val="21"/>
                <w:highlight w:val="none"/>
              </w:rPr>
            </w:pPr>
            <w:r>
              <w:rPr>
                <w:rFonts w:hint="default" w:ascii="Arial" w:hAnsi="Arial" w:cs="Arial"/>
                <w:b/>
                <w:color w:val="auto"/>
                <w:szCs w:val="21"/>
                <w:highlight w:val="none"/>
              </w:rPr>
              <w:t>属性</w:t>
            </w:r>
          </w:p>
        </w:tc>
        <w:tc>
          <w:tcPr>
            <w:tcW w:w="5174" w:type="dxa"/>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评审标准</w:t>
            </w:r>
          </w:p>
        </w:tc>
        <w:tc>
          <w:tcPr>
            <w:tcW w:w="1703" w:type="dxa"/>
            <w:noWrap w:val="0"/>
            <w:vAlign w:val="center"/>
          </w:tcPr>
          <w:p>
            <w:pPr>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jc w:val="center"/>
        </w:trPr>
        <w:tc>
          <w:tcPr>
            <w:tcW w:w="429" w:type="dxa"/>
            <w:vMerge w:val="restart"/>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693" w:type="dxa"/>
            <w:gridSpan w:val="2"/>
            <w:vMerge w:val="restart"/>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商务部分</w:t>
            </w:r>
          </w:p>
          <w:p>
            <w:pPr>
              <w:jc w:val="center"/>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30</w:t>
            </w:r>
            <w:r>
              <w:rPr>
                <w:rFonts w:hint="default" w:ascii="Arial" w:hAnsi="Arial" w:cs="Arial"/>
                <w:color w:val="auto"/>
                <w:szCs w:val="21"/>
                <w:highlight w:val="none"/>
              </w:rPr>
              <w:t>分）</w:t>
            </w:r>
          </w:p>
        </w:tc>
        <w:tc>
          <w:tcPr>
            <w:tcW w:w="918"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供应商拟投入本项目的配送车辆（车辆产权为供应商自有的，于响应文件中提供车辆登记证书或行驶证复印件；车辆为租赁的，于响应文件中提供车辆租赁合同复印件。以上材料加盖供应商电子签章），每有一辆得1分，最多得</w:t>
            </w:r>
            <w:r>
              <w:rPr>
                <w:rFonts w:hint="eastAsia" w:ascii="Arial" w:hAnsi="Arial" w:cs="Arial"/>
                <w:color w:val="auto"/>
                <w:szCs w:val="21"/>
                <w:highlight w:val="none"/>
                <w:lang w:val="en-US" w:eastAsia="zh-CN"/>
              </w:rPr>
              <w:t>10</w:t>
            </w:r>
            <w:r>
              <w:rPr>
                <w:rFonts w:hint="default" w:ascii="Arial" w:hAnsi="Arial" w:cs="Arial"/>
                <w:color w:val="auto"/>
                <w:szCs w:val="21"/>
                <w:highlight w:val="none"/>
                <w:lang w:eastAsia="zh-CN"/>
              </w:rPr>
              <w:t>分。</w:t>
            </w:r>
          </w:p>
        </w:tc>
        <w:tc>
          <w:tcPr>
            <w:tcW w:w="1703" w:type="dxa"/>
            <w:vMerge w:val="restart"/>
            <w:noWrap w:val="0"/>
            <w:vAlign w:val="center"/>
          </w:tcPr>
          <w:p>
            <w:pPr>
              <w:rPr>
                <w:rFonts w:hint="default" w:ascii="Arial" w:hAnsi="Arial" w:cs="Arial"/>
                <w:color w:val="auto"/>
                <w:szCs w:val="21"/>
                <w:highlight w:val="none"/>
              </w:rPr>
            </w:pPr>
            <w:r>
              <w:rPr>
                <w:rFonts w:hint="default" w:ascii="Arial" w:hAnsi="Arial" w:cs="Arial"/>
                <w:color w:val="auto"/>
                <w:szCs w:val="21"/>
                <w:highlight w:val="none"/>
              </w:rPr>
              <w:t>必须提供证明材料。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429" w:type="dxa"/>
            <w:vMerge w:val="continue"/>
            <w:noWrap w:val="0"/>
            <w:vAlign w:val="center"/>
          </w:tcPr>
          <w:p>
            <w:pPr>
              <w:jc w:val="center"/>
              <w:rPr>
                <w:rFonts w:hint="default" w:ascii="Arial" w:hAnsi="Arial" w:cs="Arial"/>
                <w:color w:val="auto"/>
                <w:szCs w:val="21"/>
                <w:highlight w:val="none"/>
              </w:rPr>
            </w:pPr>
          </w:p>
        </w:tc>
        <w:tc>
          <w:tcPr>
            <w:tcW w:w="1693" w:type="dxa"/>
            <w:gridSpan w:val="2"/>
            <w:vMerge w:val="continue"/>
            <w:noWrap w:val="0"/>
            <w:vAlign w:val="center"/>
          </w:tcPr>
          <w:p>
            <w:pPr>
              <w:jc w:val="center"/>
              <w:rPr>
                <w:rFonts w:hint="default" w:ascii="Arial" w:hAnsi="Arial" w:cs="Arial"/>
                <w:color w:val="auto"/>
                <w:szCs w:val="21"/>
                <w:highlight w:val="none"/>
              </w:rPr>
            </w:pPr>
          </w:p>
        </w:tc>
        <w:tc>
          <w:tcPr>
            <w:tcW w:w="918"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rPr>
              <w:t>供应商20</w:t>
            </w:r>
            <w:r>
              <w:rPr>
                <w:rFonts w:hint="default" w:ascii="Arial" w:hAnsi="Arial" w:cs="Arial"/>
                <w:color w:val="auto"/>
                <w:szCs w:val="21"/>
                <w:highlight w:val="none"/>
                <w:lang w:val="en-US" w:eastAsia="zh-CN"/>
              </w:rPr>
              <w:t>2</w:t>
            </w:r>
            <w:r>
              <w:rPr>
                <w:rFonts w:hint="eastAsia" w:ascii="Arial" w:hAnsi="Arial" w:cs="Arial"/>
                <w:color w:val="auto"/>
                <w:szCs w:val="21"/>
                <w:highlight w:val="none"/>
                <w:lang w:val="en-US" w:eastAsia="zh-CN"/>
              </w:rPr>
              <w:t>2</w:t>
            </w:r>
            <w:r>
              <w:rPr>
                <w:rFonts w:hint="default" w:ascii="Arial" w:hAnsi="Arial" w:cs="Arial"/>
                <w:color w:val="auto"/>
                <w:szCs w:val="21"/>
                <w:highlight w:val="none"/>
              </w:rPr>
              <w:t>年以来具备同类项目业绩（供应商于响应文件中提供以下证明材料复印件并加盖供应商电子签章：①合同复印件；②相应合同需方联系人及联系电话）③增值税发票，每提供1个业绩得1分，最多得</w:t>
            </w:r>
            <w:r>
              <w:rPr>
                <w:rFonts w:hint="eastAsia" w:ascii="Arial" w:hAnsi="Arial" w:cs="Arial"/>
                <w:color w:val="auto"/>
                <w:szCs w:val="21"/>
                <w:highlight w:val="none"/>
                <w:lang w:val="en-US" w:eastAsia="zh-CN"/>
              </w:rPr>
              <w:t>5</w:t>
            </w:r>
            <w:r>
              <w:rPr>
                <w:rFonts w:hint="default" w:ascii="Arial" w:hAnsi="Arial" w:cs="Arial"/>
                <w:color w:val="auto"/>
                <w:szCs w:val="21"/>
                <w:highlight w:val="none"/>
              </w:rPr>
              <w:t>分。</w:t>
            </w:r>
          </w:p>
        </w:tc>
        <w:tc>
          <w:tcPr>
            <w:tcW w:w="1703" w:type="dxa"/>
            <w:vMerge w:val="continue"/>
            <w:noWrap w:val="0"/>
            <w:vAlign w:val="center"/>
          </w:tcPr>
          <w:p>
            <w:pP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jc w:val="center"/>
        </w:trPr>
        <w:tc>
          <w:tcPr>
            <w:tcW w:w="429" w:type="dxa"/>
            <w:vMerge w:val="continue"/>
            <w:noWrap w:val="0"/>
            <w:vAlign w:val="center"/>
          </w:tcPr>
          <w:p>
            <w:pPr>
              <w:jc w:val="center"/>
              <w:rPr>
                <w:rFonts w:hint="default" w:ascii="Arial" w:hAnsi="Arial" w:cs="Arial"/>
                <w:color w:val="auto"/>
                <w:szCs w:val="21"/>
                <w:highlight w:val="none"/>
              </w:rPr>
            </w:pPr>
          </w:p>
        </w:tc>
        <w:tc>
          <w:tcPr>
            <w:tcW w:w="1693" w:type="dxa"/>
            <w:gridSpan w:val="2"/>
            <w:vMerge w:val="continue"/>
            <w:noWrap w:val="0"/>
            <w:vAlign w:val="center"/>
          </w:tcPr>
          <w:p>
            <w:pPr>
              <w:jc w:val="center"/>
              <w:rPr>
                <w:rFonts w:hint="default" w:ascii="Arial" w:hAnsi="Arial" w:cs="Arial"/>
                <w:color w:val="auto"/>
                <w:szCs w:val="21"/>
                <w:highlight w:val="none"/>
              </w:rPr>
            </w:pPr>
          </w:p>
        </w:tc>
        <w:tc>
          <w:tcPr>
            <w:tcW w:w="918"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供应商具备“后勤水电木日常维修材料供应清单”中产品生产厂家出具的授权代理资格的（供应商于响应文件中提供相应授权书复印件，并加盖供应商电子签章），每有一个产品得1分，最多得</w:t>
            </w:r>
            <w:r>
              <w:rPr>
                <w:rFonts w:hint="eastAsia" w:ascii="Arial" w:hAnsi="Arial" w:cs="Arial"/>
                <w:color w:val="auto"/>
                <w:szCs w:val="21"/>
                <w:highlight w:val="none"/>
                <w:lang w:val="en-US" w:eastAsia="zh-CN"/>
              </w:rPr>
              <w:t>6</w:t>
            </w:r>
            <w:r>
              <w:rPr>
                <w:rFonts w:hint="default" w:ascii="Arial" w:hAnsi="Arial" w:cs="Arial"/>
                <w:color w:val="auto"/>
                <w:szCs w:val="21"/>
                <w:highlight w:val="none"/>
                <w:lang w:eastAsia="zh-CN"/>
              </w:rPr>
              <w:t>分。</w:t>
            </w:r>
          </w:p>
        </w:tc>
        <w:tc>
          <w:tcPr>
            <w:tcW w:w="1703" w:type="dxa"/>
            <w:vMerge w:val="continue"/>
            <w:noWrap w:val="0"/>
            <w:vAlign w:val="center"/>
          </w:tcPr>
          <w:p>
            <w:pP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429" w:type="dxa"/>
            <w:vMerge w:val="continue"/>
            <w:noWrap w:val="0"/>
            <w:vAlign w:val="center"/>
          </w:tcPr>
          <w:p>
            <w:pPr>
              <w:jc w:val="center"/>
              <w:rPr>
                <w:rFonts w:hint="default" w:ascii="Arial" w:hAnsi="Arial" w:cs="Arial"/>
                <w:color w:val="auto"/>
                <w:szCs w:val="21"/>
                <w:highlight w:val="none"/>
              </w:rPr>
            </w:pPr>
          </w:p>
        </w:tc>
        <w:tc>
          <w:tcPr>
            <w:tcW w:w="1693" w:type="dxa"/>
            <w:gridSpan w:val="2"/>
            <w:vMerge w:val="continue"/>
            <w:noWrap w:val="0"/>
            <w:vAlign w:val="center"/>
          </w:tcPr>
          <w:p>
            <w:pPr>
              <w:jc w:val="center"/>
              <w:rPr>
                <w:rFonts w:hint="default" w:ascii="Arial" w:hAnsi="Arial" w:cs="Arial"/>
                <w:color w:val="auto"/>
                <w:szCs w:val="21"/>
                <w:highlight w:val="none"/>
              </w:rPr>
            </w:pPr>
          </w:p>
        </w:tc>
        <w:tc>
          <w:tcPr>
            <w:tcW w:w="918"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供应商</w:t>
            </w:r>
            <w:r>
              <w:rPr>
                <w:rFonts w:hint="eastAsia" w:ascii="Arial" w:hAnsi="Arial" w:cs="Arial"/>
                <w:color w:val="auto"/>
                <w:szCs w:val="21"/>
                <w:highlight w:val="none"/>
                <w:lang w:val="en-US" w:eastAsia="zh-CN"/>
              </w:rPr>
              <w:t>提供的</w:t>
            </w:r>
            <w:r>
              <w:rPr>
                <w:rFonts w:hint="default" w:ascii="Arial" w:hAnsi="Arial" w:cs="Arial"/>
                <w:color w:val="auto"/>
                <w:szCs w:val="21"/>
                <w:highlight w:val="none"/>
              </w:rPr>
              <w:t>“后勤水电木日常维修材料供应清单”中的产品具备国家认可的第三方检测机构出具的合格有效检测报告复印件的（供应商于响应文件中提供相应检测报告复印件，并加盖供应商电子签章），每提供1个产品得0.5分，最多得</w:t>
            </w:r>
            <w:r>
              <w:rPr>
                <w:rFonts w:hint="eastAsia" w:ascii="Arial" w:hAnsi="Arial" w:cs="Arial"/>
                <w:color w:val="auto"/>
                <w:szCs w:val="21"/>
                <w:highlight w:val="none"/>
                <w:lang w:val="en-US" w:eastAsia="zh-CN"/>
              </w:rPr>
              <w:t>9</w:t>
            </w:r>
            <w:r>
              <w:rPr>
                <w:rFonts w:hint="default" w:ascii="Arial" w:hAnsi="Arial" w:cs="Arial"/>
                <w:color w:val="auto"/>
                <w:szCs w:val="21"/>
                <w:highlight w:val="none"/>
              </w:rPr>
              <w:t>分。</w:t>
            </w:r>
          </w:p>
        </w:tc>
        <w:tc>
          <w:tcPr>
            <w:tcW w:w="1703" w:type="dxa"/>
            <w:vMerge w:val="continue"/>
            <w:noWrap w:val="0"/>
            <w:vAlign w:val="center"/>
          </w:tcPr>
          <w:p>
            <w:pPr>
              <w:rPr>
                <w:rFonts w:hint="default"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6" w:hRule="atLeast"/>
          <w:jc w:val="center"/>
        </w:trPr>
        <w:tc>
          <w:tcPr>
            <w:tcW w:w="429" w:type="dxa"/>
            <w:vMerge w:val="restart"/>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676" w:type="dxa"/>
            <w:vMerge w:val="restart"/>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技术部分（</w:t>
            </w:r>
            <w:r>
              <w:rPr>
                <w:rFonts w:hint="eastAsia" w:ascii="Arial" w:hAnsi="Arial" w:cs="Arial"/>
                <w:color w:val="auto"/>
                <w:szCs w:val="21"/>
                <w:highlight w:val="none"/>
                <w:lang w:val="en-US" w:eastAsia="zh-CN"/>
              </w:rPr>
              <w:t>4</w:t>
            </w:r>
            <w:r>
              <w:rPr>
                <w:rFonts w:hint="default" w:ascii="Arial" w:hAnsi="Arial" w:cs="Arial"/>
                <w:color w:val="auto"/>
                <w:szCs w:val="21"/>
                <w:highlight w:val="none"/>
                <w:lang w:val="en-US" w:eastAsia="zh-CN"/>
              </w:rPr>
              <w:t>0</w:t>
            </w:r>
            <w:r>
              <w:rPr>
                <w:rFonts w:hint="default" w:ascii="Arial" w:hAnsi="Arial" w:cs="Arial"/>
                <w:color w:val="auto"/>
                <w:szCs w:val="21"/>
                <w:highlight w:val="none"/>
              </w:rPr>
              <w:t>）</w:t>
            </w:r>
          </w:p>
        </w:tc>
        <w:tc>
          <w:tcPr>
            <w:tcW w:w="1017"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项目实施方案（</w:t>
            </w:r>
            <w:r>
              <w:rPr>
                <w:rFonts w:hint="eastAsia" w:ascii="Arial" w:hAnsi="Arial" w:cs="Arial"/>
                <w:color w:val="auto"/>
                <w:szCs w:val="21"/>
                <w:highlight w:val="none"/>
                <w:lang w:val="en-US" w:eastAsia="zh-CN"/>
              </w:rPr>
              <w:t>20</w:t>
            </w:r>
            <w:r>
              <w:rPr>
                <w:rFonts w:hint="default" w:ascii="Arial" w:hAnsi="Arial" w:cs="Arial"/>
                <w:color w:val="auto"/>
                <w:szCs w:val="21"/>
                <w:highlight w:val="none"/>
              </w:rPr>
              <w:t>分）</w:t>
            </w:r>
          </w:p>
        </w:tc>
        <w:tc>
          <w:tcPr>
            <w:tcW w:w="918" w:type="dxa"/>
            <w:tcBorders>
              <w:top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主观分</w:t>
            </w:r>
          </w:p>
        </w:tc>
        <w:tc>
          <w:tcPr>
            <w:tcW w:w="5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评委对供应商提供的“项目实施方案【包含：①项目实施计划；②服务团队配备方案（供应商于响应文件中提供服务团队人员名单以及由社保经办机构出具的供应商为其缴纳的202</w:t>
            </w:r>
            <w:r>
              <w:rPr>
                <w:rFonts w:hint="eastAsia" w:ascii="Arial" w:hAnsi="Arial" w:cs="Arial"/>
                <w:color w:val="auto"/>
                <w:szCs w:val="21"/>
                <w:highlight w:val="none"/>
                <w:lang w:val="en-US" w:eastAsia="zh-CN"/>
              </w:rPr>
              <w:t>5</w:t>
            </w:r>
            <w:r>
              <w:rPr>
                <w:rFonts w:hint="default" w:ascii="Arial" w:hAnsi="Arial" w:cs="Arial"/>
                <w:color w:val="auto"/>
                <w:szCs w:val="21"/>
                <w:highlight w:val="none"/>
                <w:lang w:eastAsia="zh-CN"/>
              </w:rPr>
              <w:t>年</w:t>
            </w:r>
            <w:r>
              <w:rPr>
                <w:rFonts w:hint="eastAsia" w:ascii="Arial" w:hAnsi="Arial" w:cs="Arial"/>
                <w:color w:val="auto"/>
                <w:szCs w:val="21"/>
                <w:highlight w:val="none"/>
                <w:lang w:val="en-US" w:eastAsia="zh-CN"/>
              </w:rPr>
              <w:t>6</w:t>
            </w:r>
            <w:r>
              <w:rPr>
                <w:rFonts w:hint="default" w:ascii="Arial" w:hAnsi="Arial" w:cs="Arial"/>
                <w:color w:val="auto"/>
                <w:szCs w:val="21"/>
                <w:highlight w:val="none"/>
              </w:rPr>
              <w:t>月</w:t>
            </w:r>
            <w:r>
              <w:rPr>
                <w:rFonts w:hint="default" w:ascii="Arial" w:hAnsi="Arial" w:cs="Arial"/>
                <w:color w:val="auto"/>
                <w:szCs w:val="21"/>
                <w:highlight w:val="none"/>
                <w:lang w:eastAsia="zh-CN"/>
              </w:rPr>
              <w:t>以来任意</w:t>
            </w:r>
            <w:r>
              <w:rPr>
                <w:rFonts w:hint="eastAsia" w:ascii="Arial" w:hAnsi="Arial" w:cs="Arial"/>
                <w:color w:val="auto"/>
                <w:szCs w:val="21"/>
                <w:highlight w:val="none"/>
                <w:lang w:val="en-US" w:eastAsia="zh-CN"/>
              </w:rPr>
              <w:t>1</w:t>
            </w:r>
            <w:r>
              <w:rPr>
                <w:rFonts w:hint="default" w:ascii="Arial" w:hAnsi="Arial" w:cs="Arial"/>
                <w:color w:val="auto"/>
                <w:szCs w:val="21"/>
                <w:highlight w:val="none"/>
                <w:lang w:eastAsia="zh-CN"/>
              </w:rPr>
              <w:t>个月的社保证明复印件，并加盖供应商电子签章）；③配送工作方案；④服务质量保障措施；⑤应急预案】”内容进行独立评审并独立打分：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一档（</w:t>
            </w:r>
            <w:r>
              <w:rPr>
                <w:rFonts w:hint="eastAsia" w:ascii="Arial" w:hAnsi="Arial" w:cs="Arial"/>
                <w:color w:val="auto"/>
                <w:szCs w:val="21"/>
                <w:highlight w:val="none"/>
                <w:lang w:val="en-US" w:eastAsia="zh-CN"/>
              </w:rPr>
              <w:t>4</w:t>
            </w:r>
            <w:r>
              <w:rPr>
                <w:rFonts w:hint="default" w:ascii="Arial" w:hAnsi="Arial" w:cs="Arial"/>
                <w:color w:val="auto"/>
                <w:szCs w:val="21"/>
                <w:highlight w:val="none"/>
                <w:lang w:eastAsia="zh-CN"/>
              </w:rPr>
              <w:t>分）：上述五项评审因素有一项内容经评审合理、可行的。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二档（</w:t>
            </w:r>
            <w:r>
              <w:rPr>
                <w:rFonts w:hint="eastAsia" w:ascii="Arial" w:hAnsi="Arial" w:cs="Arial"/>
                <w:color w:val="auto"/>
                <w:szCs w:val="21"/>
                <w:highlight w:val="none"/>
                <w:lang w:val="en-US" w:eastAsia="zh-CN"/>
              </w:rPr>
              <w:t>8</w:t>
            </w:r>
            <w:r>
              <w:rPr>
                <w:rFonts w:hint="default" w:ascii="Arial" w:hAnsi="Arial" w:cs="Arial"/>
                <w:color w:val="auto"/>
                <w:szCs w:val="21"/>
                <w:highlight w:val="none"/>
                <w:lang w:eastAsia="zh-CN"/>
              </w:rPr>
              <w:t>分）：上述五项评审因素有二项内容经评审合理、可行的。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三档（</w:t>
            </w:r>
            <w:r>
              <w:rPr>
                <w:rFonts w:hint="eastAsia" w:ascii="Arial" w:hAnsi="Arial" w:cs="Arial"/>
                <w:color w:val="auto"/>
                <w:szCs w:val="21"/>
                <w:highlight w:val="none"/>
                <w:lang w:val="en-US" w:eastAsia="zh-CN"/>
              </w:rPr>
              <w:t>12</w:t>
            </w:r>
            <w:r>
              <w:rPr>
                <w:rFonts w:hint="default" w:ascii="Arial" w:hAnsi="Arial" w:cs="Arial"/>
                <w:color w:val="auto"/>
                <w:szCs w:val="21"/>
                <w:highlight w:val="none"/>
                <w:lang w:eastAsia="zh-CN"/>
              </w:rPr>
              <w:t>分）：上述五项评审因素有三项内容经评审合理、可行的。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四档（</w:t>
            </w:r>
            <w:r>
              <w:rPr>
                <w:rFonts w:hint="eastAsia" w:ascii="Arial" w:hAnsi="Arial" w:cs="Arial"/>
                <w:color w:val="auto"/>
                <w:szCs w:val="21"/>
                <w:highlight w:val="none"/>
                <w:lang w:val="en-US" w:eastAsia="zh-CN"/>
              </w:rPr>
              <w:t>16</w:t>
            </w:r>
            <w:r>
              <w:rPr>
                <w:rFonts w:hint="default" w:ascii="Arial" w:hAnsi="Arial" w:cs="Arial"/>
                <w:color w:val="auto"/>
                <w:szCs w:val="21"/>
                <w:highlight w:val="none"/>
                <w:lang w:eastAsia="zh-CN"/>
              </w:rPr>
              <w:t>分）：上述五项评审因素有四项内容经评审合理、可行的。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五档（</w:t>
            </w:r>
            <w:r>
              <w:rPr>
                <w:rFonts w:hint="eastAsia" w:ascii="Arial" w:hAnsi="Arial" w:cs="Arial"/>
                <w:color w:val="auto"/>
                <w:szCs w:val="21"/>
                <w:highlight w:val="none"/>
                <w:lang w:val="en-US" w:eastAsia="zh-CN"/>
              </w:rPr>
              <w:t>20</w:t>
            </w:r>
            <w:r>
              <w:rPr>
                <w:rFonts w:hint="default" w:ascii="Arial" w:hAnsi="Arial" w:cs="Arial"/>
                <w:color w:val="auto"/>
                <w:szCs w:val="21"/>
                <w:highlight w:val="none"/>
                <w:lang w:eastAsia="zh-CN"/>
              </w:rPr>
              <w:t>分）：上述五项评审因素经评审均合理、可行的。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b/>
                <w:bCs/>
                <w:color w:val="auto"/>
                <w:szCs w:val="21"/>
                <w:highlight w:val="none"/>
                <w:lang w:eastAsia="zh-CN"/>
              </w:rPr>
              <w:t>注：供应商提供的项目实施方案未达相应评审档次全部标准的, 相应降低一个档次；未达一档标准的，相应不予得分。</w:t>
            </w:r>
          </w:p>
        </w:tc>
        <w:tc>
          <w:tcPr>
            <w:tcW w:w="1703" w:type="dxa"/>
            <w:vMerge w:val="restart"/>
            <w:tcBorders>
              <w:top w:val="single" w:color="auto" w:sz="4" w:space="0"/>
              <w:left w:val="single" w:color="auto" w:sz="4" w:space="0"/>
              <w:right w:val="single" w:color="auto" w:sz="4" w:space="0"/>
            </w:tcBorders>
            <w:noWrap w:val="0"/>
            <w:vAlign w:val="center"/>
          </w:tcPr>
          <w:p>
            <w:pPr>
              <w:rPr>
                <w:rFonts w:hint="default" w:ascii="Arial" w:hAnsi="Arial" w:cs="Arial"/>
                <w:color w:val="auto"/>
                <w:highlight w:val="none"/>
              </w:rPr>
            </w:pPr>
            <w:r>
              <w:rPr>
                <w:rFonts w:hint="default" w:ascii="Arial" w:hAnsi="Arial" w:cs="Arial"/>
                <w:color w:val="auto"/>
                <w:highlight w:val="none"/>
              </w:rPr>
              <w:t>由磋商小组根据各供应商的技术方案确定各供应商所属档次以及评定说明内容，在相应档次内独立打分。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429" w:type="dxa"/>
            <w:vMerge w:val="continue"/>
            <w:noWrap w:val="0"/>
            <w:vAlign w:val="center"/>
          </w:tcPr>
          <w:p>
            <w:pPr>
              <w:jc w:val="center"/>
              <w:rPr>
                <w:rFonts w:hint="default" w:ascii="Arial" w:hAnsi="Arial" w:cs="Arial"/>
                <w:color w:val="auto"/>
                <w:szCs w:val="21"/>
                <w:highlight w:val="none"/>
              </w:rPr>
            </w:pPr>
          </w:p>
        </w:tc>
        <w:tc>
          <w:tcPr>
            <w:tcW w:w="676" w:type="dxa"/>
            <w:vMerge w:val="continue"/>
            <w:noWrap w:val="0"/>
            <w:vAlign w:val="center"/>
          </w:tcPr>
          <w:p>
            <w:pPr>
              <w:jc w:val="center"/>
              <w:rPr>
                <w:rFonts w:hint="default" w:ascii="Arial" w:hAnsi="Arial" w:cs="Arial"/>
                <w:color w:val="auto"/>
                <w:szCs w:val="21"/>
                <w:highlight w:val="none"/>
              </w:rPr>
            </w:pPr>
          </w:p>
        </w:tc>
        <w:tc>
          <w:tcPr>
            <w:tcW w:w="1017" w:type="dxa"/>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售后服务（</w:t>
            </w:r>
            <w:r>
              <w:rPr>
                <w:rFonts w:hint="eastAsia" w:ascii="Arial" w:hAnsi="Arial" w:cs="Arial"/>
                <w:color w:val="auto"/>
                <w:szCs w:val="21"/>
                <w:highlight w:val="none"/>
                <w:lang w:val="en-US" w:eastAsia="zh-CN"/>
              </w:rPr>
              <w:t>20</w:t>
            </w:r>
            <w:r>
              <w:rPr>
                <w:rFonts w:hint="default" w:ascii="Arial" w:hAnsi="Arial" w:cs="Arial"/>
                <w:color w:val="auto"/>
                <w:szCs w:val="21"/>
                <w:highlight w:val="none"/>
              </w:rPr>
              <w:t>分）</w:t>
            </w:r>
          </w:p>
        </w:tc>
        <w:tc>
          <w:tcPr>
            <w:tcW w:w="918" w:type="dxa"/>
            <w:noWrap w:val="0"/>
            <w:vAlign w:val="center"/>
          </w:tcPr>
          <w:p>
            <w:pPr>
              <w:rPr>
                <w:rFonts w:hint="default" w:ascii="Arial" w:hAnsi="Arial" w:cs="Arial"/>
                <w:color w:val="auto"/>
                <w:szCs w:val="21"/>
                <w:highlight w:val="none"/>
              </w:rPr>
            </w:pPr>
            <w:r>
              <w:rPr>
                <w:rFonts w:hint="default" w:ascii="Arial" w:hAnsi="Arial" w:cs="Arial"/>
                <w:color w:val="auto"/>
                <w:szCs w:val="21"/>
                <w:highlight w:val="none"/>
              </w:rPr>
              <w:t>主观分</w:t>
            </w:r>
          </w:p>
        </w:tc>
        <w:tc>
          <w:tcPr>
            <w:tcW w:w="51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评委对供应商提供的“售后服务方案【包含：①培训方案及回访措施；②售后服务机制；③维修保养措施；④质保期外材料优惠供应方案；⑤其他增值售后服务或实质性优惠措施】”内容进行独立评审并独立打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一档（</w:t>
            </w:r>
            <w:r>
              <w:rPr>
                <w:rFonts w:hint="eastAsia" w:ascii="Arial" w:hAnsi="Arial" w:cs="Arial"/>
                <w:color w:val="auto"/>
                <w:szCs w:val="21"/>
                <w:highlight w:val="none"/>
                <w:lang w:val="en-US" w:eastAsia="zh-CN"/>
              </w:rPr>
              <w:t>4</w:t>
            </w:r>
            <w:r>
              <w:rPr>
                <w:rFonts w:hint="default" w:ascii="Arial" w:hAnsi="Arial" w:cs="Arial"/>
                <w:color w:val="auto"/>
                <w:szCs w:val="21"/>
                <w:highlight w:val="none"/>
                <w:lang w:eastAsia="zh-CN"/>
              </w:rPr>
              <w:t>分）：上述五项评审因素有一项内容经评审合理、可行的。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二档（</w:t>
            </w:r>
            <w:r>
              <w:rPr>
                <w:rFonts w:hint="eastAsia" w:ascii="Arial" w:hAnsi="Arial" w:cs="Arial"/>
                <w:color w:val="auto"/>
                <w:szCs w:val="21"/>
                <w:highlight w:val="none"/>
                <w:lang w:val="en-US" w:eastAsia="zh-CN"/>
              </w:rPr>
              <w:t>8</w:t>
            </w:r>
            <w:r>
              <w:rPr>
                <w:rFonts w:hint="default" w:ascii="Arial" w:hAnsi="Arial" w:cs="Arial"/>
                <w:color w:val="auto"/>
                <w:szCs w:val="21"/>
                <w:highlight w:val="none"/>
                <w:lang w:eastAsia="zh-CN"/>
              </w:rPr>
              <w:t>分）：上述五项评审因素有二项内容经评审合理、可行的。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三档（</w:t>
            </w:r>
            <w:r>
              <w:rPr>
                <w:rFonts w:hint="eastAsia" w:ascii="Arial" w:hAnsi="Arial" w:cs="Arial"/>
                <w:color w:val="auto"/>
                <w:szCs w:val="21"/>
                <w:highlight w:val="none"/>
                <w:lang w:val="en-US" w:eastAsia="zh-CN"/>
              </w:rPr>
              <w:t>12</w:t>
            </w:r>
            <w:r>
              <w:rPr>
                <w:rFonts w:hint="default" w:ascii="Arial" w:hAnsi="Arial" w:cs="Arial"/>
                <w:color w:val="auto"/>
                <w:szCs w:val="21"/>
                <w:highlight w:val="none"/>
                <w:lang w:eastAsia="zh-CN"/>
              </w:rPr>
              <w:t>分）：上述五项评审因素有三项内容经评审合理、可行的。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四档（1</w:t>
            </w:r>
            <w:r>
              <w:rPr>
                <w:rFonts w:hint="eastAsia" w:ascii="Arial" w:hAnsi="Arial" w:cs="Arial"/>
                <w:color w:val="auto"/>
                <w:szCs w:val="21"/>
                <w:highlight w:val="none"/>
                <w:lang w:val="en-US" w:eastAsia="zh-CN"/>
              </w:rPr>
              <w:t>6</w:t>
            </w:r>
            <w:r>
              <w:rPr>
                <w:rFonts w:hint="default" w:ascii="Arial" w:hAnsi="Arial" w:cs="Arial"/>
                <w:color w:val="auto"/>
                <w:szCs w:val="21"/>
                <w:highlight w:val="none"/>
                <w:lang w:eastAsia="zh-CN"/>
              </w:rPr>
              <w:t>分）：上述五项评审因素有四项内容经评审合理、可行的。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五档（</w:t>
            </w:r>
            <w:r>
              <w:rPr>
                <w:rFonts w:hint="eastAsia" w:ascii="Arial" w:hAnsi="Arial" w:cs="Arial"/>
                <w:color w:val="auto"/>
                <w:szCs w:val="21"/>
                <w:highlight w:val="none"/>
                <w:lang w:val="en-US" w:eastAsia="zh-CN"/>
              </w:rPr>
              <w:t>20</w:t>
            </w:r>
            <w:r>
              <w:rPr>
                <w:rFonts w:hint="default" w:ascii="Arial" w:hAnsi="Arial" w:cs="Arial"/>
                <w:color w:val="auto"/>
                <w:szCs w:val="21"/>
                <w:highlight w:val="none"/>
                <w:lang w:eastAsia="zh-CN"/>
              </w:rPr>
              <w:t>分）：上述五项评审因素经评审均合理、可行的。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b/>
                <w:bCs/>
                <w:color w:val="auto"/>
                <w:szCs w:val="21"/>
                <w:highlight w:val="none"/>
                <w:lang w:eastAsia="zh-CN"/>
              </w:rPr>
              <w:t>注：供应商提供的售后服务方案未达相应评审档次全部标准的, 相应降低一个档次；未达一档标准的，相应不予得分。</w:t>
            </w:r>
          </w:p>
        </w:tc>
        <w:tc>
          <w:tcPr>
            <w:tcW w:w="1703" w:type="dxa"/>
            <w:vMerge w:val="continue"/>
            <w:tcBorders>
              <w:left w:val="single" w:color="auto" w:sz="4" w:space="0"/>
              <w:right w:val="single" w:color="auto" w:sz="4" w:space="0"/>
            </w:tcBorders>
            <w:noWrap w:val="0"/>
            <w:vAlign w:val="center"/>
          </w:tcPr>
          <w:p>
            <w:pPr>
              <w:rPr>
                <w:rFonts w:hint="default" w:ascii="Arial" w:hAnsi="Arial" w:cs="Arial"/>
                <w:color w:val="auto"/>
                <w:szCs w:val="21"/>
                <w:highlight w:val="none"/>
              </w:rPr>
            </w:pPr>
          </w:p>
        </w:tc>
      </w:tr>
    </w:tbl>
    <w:p>
      <w:pPr>
        <w:ind w:firstLine="315" w:firstLineChars="150"/>
        <w:rPr>
          <w:rFonts w:hint="eastAsia"/>
          <w:color w:val="auto"/>
          <w:highlight w:val="none"/>
          <w:lang w:val="zh-CN"/>
        </w:rPr>
      </w:pPr>
    </w:p>
    <w:p>
      <w:pPr>
        <w:ind w:firstLine="315" w:firstLineChars="150"/>
        <w:rPr>
          <w:rFonts w:hint="eastAsia"/>
          <w:color w:val="auto"/>
          <w:highlight w:val="none"/>
          <w:lang w:val="zh-CN"/>
        </w:rPr>
      </w:pPr>
    </w:p>
    <w:p>
      <w:pPr>
        <w:ind w:firstLine="315" w:firstLineChars="150"/>
        <w:rPr>
          <w:rFonts w:hint="eastAsia"/>
          <w:color w:val="auto"/>
          <w:highlight w:val="none"/>
          <w:lang w:val="zh-CN"/>
        </w:rPr>
      </w:pPr>
    </w:p>
    <w:p>
      <w:pPr>
        <w:ind w:firstLine="315" w:firstLineChars="150"/>
        <w:rPr>
          <w:color w:val="auto"/>
          <w:highlight w:val="none"/>
          <w:lang w:val="zh-CN"/>
        </w:rPr>
      </w:pPr>
      <w:r>
        <w:rPr>
          <w:rFonts w:hint="eastAsia"/>
          <w:color w:val="auto"/>
          <w:highlight w:val="none"/>
          <w:lang w:val="zh-CN"/>
        </w:rPr>
        <w:t>（2）最后报价分</w:t>
      </w:r>
    </w:p>
    <w:tbl>
      <w:tblPr>
        <w:tblStyle w:val="52"/>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pPr>
              <w:jc w:val="center"/>
              <w:rPr>
                <w:b/>
                <w:color w:val="auto"/>
                <w:szCs w:val="21"/>
                <w:highlight w:val="none"/>
              </w:rPr>
            </w:pPr>
            <w:r>
              <w:rPr>
                <w:b/>
                <w:color w:val="auto"/>
                <w:szCs w:val="21"/>
                <w:highlight w:val="none"/>
              </w:rPr>
              <w:t>序号</w:t>
            </w:r>
          </w:p>
        </w:tc>
        <w:tc>
          <w:tcPr>
            <w:tcW w:w="1839" w:type="dxa"/>
            <w:noWrap w:val="0"/>
            <w:vAlign w:val="center"/>
          </w:tcPr>
          <w:p>
            <w:pPr>
              <w:jc w:val="center"/>
              <w:rPr>
                <w:b/>
                <w:color w:val="auto"/>
                <w:szCs w:val="21"/>
                <w:highlight w:val="none"/>
              </w:rPr>
            </w:pPr>
            <w:r>
              <w:rPr>
                <w:rFonts w:hint="eastAsia"/>
                <w:b/>
                <w:color w:val="auto"/>
                <w:szCs w:val="21"/>
                <w:highlight w:val="none"/>
              </w:rPr>
              <w:t>类型</w:t>
            </w:r>
          </w:p>
        </w:tc>
        <w:tc>
          <w:tcPr>
            <w:tcW w:w="3119" w:type="dxa"/>
            <w:noWrap w:val="0"/>
            <w:vAlign w:val="center"/>
          </w:tcPr>
          <w:p>
            <w:pPr>
              <w:jc w:val="center"/>
              <w:rPr>
                <w:b/>
                <w:color w:val="auto"/>
                <w:szCs w:val="21"/>
                <w:highlight w:val="none"/>
              </w:rPr>
            </w:pPr>
            <w:r>
              <w:rPr>
                <w:rFonts w:hint="eastAsia"/>
                <w:b/>
                <w:color w:val="auto"/>
                <w:szCs w:val="21"/>
                <w:highlight w:val="none"/>
              </w:rPr>
              <w:t>评分标准</w:t>
            </w:r>
          </w:p>
        </w:tc>
        <w:tc>
          <w:tcPr>
            <w:tcW w:w="708" w:type="dxa"/>
            <w:noWrap w:val="0"/>
            <w:vAlign w:val="center"/>
          </w:tcPr>
          <w:p>
            <w:pPr>
              <w:jc w:val="center"/>
              <w:rPr>
                <w:b/>
                <w:color w:val="auto"/>
                <w:szCs w:val="21"/>
                <w:highlight w:val="none"/>
              </w:rPr>
            </w:pPr>
            <w:r>
              <w:rPr>
                <w:rFonts w:hint="eastAsia"/>
                <w:b/>
                <w:color w:val="auto"/>
                <w:szCs w:val="21"/>
                <w:highlight w:val="none"/>
              </w:rPr>
              <w:t>分值权重</w:t>
            </w:r>
          </w:p>
        </w:tc>
        <w:tc>
          <w:tcPr>
            <w:tcW w:w="1907" w:type="dxa"/>
            <w:noWrap w:val="0"/>
            <w:vAlign w:val="center"/>
          </w:tcPr>
          <w:p>
            <w:pPr>
              <w:jc w:val="center"/>
              <w:rPr>
                <w:b/>
                <w:color w:val="auto"/>
                <w:szCs w:val="21"/>
                <w:highlight w:val="none"/>
              </w:rPr>
            </w:pPr>
            <w:r>
              <w:rPr>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pPr>
              <w:jc w:val="center"/>
              <w:rPr>
                <w:b/>
                <w:color w:val="auto"/>
                <w:szCs w:val="21"/>
                <w:highlight w:val="none"/>
              </w:rPr>
            </w:pPr>
            <w:r>
              <w:rPr>
                <w:rFonts w:hint="eastAsia"/>
                <w:b/>
                <w:color w:val="auto"/>
                <w:szCs w:val="21"/>
                <w:highlight w:val="none"/>
              </w:rPr>
              <w:t>1</w:t>
            </w:r>
          </w:p>
        </w:tc>
        <w:tc>
          <w:tcPr>
            <w:tcW w:w="1839" w:type="dxa"/>
            <w:noWrap w:val="0"/>
            <w:vAlign w:val="center"/>
          </w:tcPr>
          <w:p>
            <w:pPr>
              <w:rPr>
                <w:color w:val="auto"/>
                <w:szCs w:val="21"/>
                <w:highlight w:val="none"/>
              </w:rPr>
            </w:pPr>
            <w:r>
              <w:rPr>
                <w:rFonts w:hint="eastAsia"/>
                <w:color w:val="auto"/>
                <w:szCs w:val="21"/>
                <w:highlight w:val="none"/>
              </w:rPr>
              <w:t>响应报价分</w:t>
            </w:r>
          </w:p>
        </w:tc>
        <w:tc>
          <w:tcPr>
            <w:tcW w:w="3119" w:type="dxa"/>
            <w:noWrap w:val="0"/>
            <w:vAlign w:val="center"/>
          </w:tcPr>
          <w:p>
            <w:pPr>
              <w:rPr>
                <w:color w:val="auto"/>
                <w:szCs w:val="21"/>
                <w:highlight w:val="none"/>
              </w:rPr>
            </w:pPr>
            <w:r>
              <w:rPr>
                <w:rFonts w:hint="eastAsia"/>
                <w:color w:val="auto"/>
                <w:szCs w:val="21"/>
                <w:highlight w:val="none"/>
              </w:rPr>
              <w:t>以满足采购文件要求且响应价格最低</w:t>
            </w:r>
            <w:r>
              <w:rPr>
                <w:rFonts w:hint="eastAsia"/>
                <w:color w:val="auto"/>
                <w:szCs w:val="21"/>
                <w:highlight w:val="none"/>
                <w:lang w:eastAsia="zh-CN"/>
              </w:rPr>
              <w:t>（</w:t>
            </w:r>
            <w:r>
              <w:rPr>
                <w:rFonts w:hint="eastAsia"/>
                <w:color w:val="auto"/>
                <w:szCs w:val="21"/>
                <w:highlight w:val="none"/>
                <w:lang w:val="en-US" w:eastAsia="zh-CN"/>
              </w:rPr>
              <w:t>折扣率最低</w:t>
            </w:r>
            <w:r>
              <w:rPr>
                <w:rFonts w:hint="eastAsia"/>
                <w:color w:val="auto"/>
                <w:szCs w:val="21"/>
                <w:highlight w:val="none"/>
                <w:lang w:eastAsia="zh-CN"/>
              </w:rPr>
              <w:t>）</w:t>
            </w:r>
            <w:r>
              <w:rPr>
                <w:rFonts w:hint="eastAsia"/>
                <w:color w:val="auto"/>
                <w:szCs w:val="21"/>
                <w:highlight w:val="none"/>
              </w:rPr>
              <w:t>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07" w:type="dxa"/>
            <w:noWrap w:val="0"/>
            <w:vAlign w:val="center"/>
          </w:tcPr>
          <w:p>
            <w:pPr>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pPr>
        <w:spacing w:before="120" w:line="320" w:lineRule="atLeast"/>
        <w:ind w:firstLine="316" w:firstLineChars="150"/>
        <w:rPr>
          <w:color w:val="auto"/>
          <w:highlight w:val="none"/>
        </w:rPr>
      </w:pPr>
      <w:r>
        <w:rPr>
          <w:rFonts w:hint="eastAsia" w:ascii="Times New Roman" w:hAnsi="Times New Roman" w:eastAsia="宋体" w:cs="Times New Roman"/>
          <w:b/>
          <w:bCs/>
          <w:color w:val="auto"/>
          <w:kern w:val="0"/>
          <w:szCs w:val="21"/>
          <w:highlight w:val="none"/>
        </w:rPr>
        <w:t>注：涉及政府采购价格评审优惠政策叠加的，按照相关政策要求统一从对应报价的基础上进行价格扣除，用</w:t>
      </w:r>
      <w:r>
        <w:rPr>
          <w:rFonts w:hint="eastAsia" w:ascii="Times New Roman" w:hAnsi="Times New Roman" w:eastAsia="宋体" w:cs="Times New Roman"/>
          <w:b/>
          <w:bCs/>
          <w:color w:val="auto"/>
          <w:kern w:val="0"/>
          <w:szCs w:val="21"/>
          <w:highlight w:val="none"/>
          <w:lang w:eastAsia="zh-CN"/>
        </w:rPr>
        <w:t>响应</w:t>
      </w:r>
      <w:r>
        <w:rPr>
          <w:rFonts w:hint="eastAsia" w:ascii="Times New Roman" w:hAnsi="Times New Roman" w:eastAsia="宋体" w:cs="Times New Roman"/>
          <w:b/>
          <w:bCs/>
          <w:color w:val="auto"/>
          <w:kern w:val="0"/>
          <w:szCs w:val="21"/>
          <w:highlight w:val="none"/>
        </w:rPr>
        <w:t>总价减去扣除金额之和的价格参加评审。</w:t>
      </w:r>
    </w:p>
    <w:p>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pPr>
        <w:spacing w:before="120" w:line="320" w:lineRule="atLeast"/>
        <w:ind w:firstLine="315" w:firstLineChars="150"/>
        <w:rPr>
          <w:color w:val="auto"/>
          <w:szCs w:val="21"/>
          <w:highlight w:val="none"/>
        </w:rPr>
      </w:pPr>
      <w:r>
        <w:rPr>
          <w:rFonts w:hint="eastAsia"/>
          <w:color w:val="auto"/>
          <w:szCs w:val="21"/>
          <w:highlight w:val="none"/>
          <w:lang w:val="en-US" w:eastAsia="zh-CN"/>
        </w:rPr>
        <w:t>1）</w:t>
      </w:r>
      <w:r>
        <w:rPr>
          <w:rFonts w:hint="eastAsia"/>
          <w:color w:val="auto"/>
          <w:szCs w:val="21"/>
          <w:highlight w:val="none"/>
        </w:rPr>
        <w:t>本项</w:t>
      </w:r>
      <w:r>
        <w:rPr>
          <w:rFonts w:hint="eastAsia"/>
          <w:color w:val="auto"/>
          <w:szCs w:val="21"/>
          <w:highlight w:val="none"/>
          <w:lang w:val="en-US" w:eastAsia="zh-CN"/>
        </w:rPr>
        <w:t>目为专门面向小微企业采购，不涉及</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w:t>
      </w:r>
    </w:p>
    <w:p>
      <w:pPr>
        <w:rPr>
          <w:color w:val="auto"/>
          <w:highlight w:val="none"/>
        </w:rPr>
      </w:pPr>
    </w:p>
    <w:p>
      <w:pPr>
        <w:ind w:firstLine="420" w:firstLineChars="200"/>
        <w:rPr>
          <w:rFonts w:hint="eastAsia" w:eastAsia="楷体_GB2312"/>
          <w:b/>
          <w:color w:val="auto"/>
          <w:sz w:val="24"/>
          <w:highlight w:val="none"/>
        </w:rPr>
      </w:pPr>
      <w:r>
        <w:rPr>
          <w:rFonts w:hint="eastAsia"/>
          <w:color w:val="auto"/>
          <w:highlight w:val="none"/>
          <w:lang w:val="en-US" w:eastAsia="zh-CN"/>
        </w:rPr>
        <w:t>2）</w:t>
      </w:r>
      <w:r>
        <w:rPr>
          <w:rFonts w:hint="eastAsia" w:ascii="Times New Roman" w:eastAsia="宋体"/>
          <w:color w:val="auto"/>
          <w:highlight w:val="none"/>
          <w:lang w:val="en-US" w:eastAsia="zh-CN"/>
        </w:rPr>
        <w:t>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p>
      <w:pPr>
        <w:ind w:firstLine="420" w:firstLineChars="200"/>
        <w:rPr>
          <w:color w:val="auto"/>
          <w:highlight w:val="none"/>
        </w:rPr>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pPr>
              <w:ind w:firstLine="420" w:firstLineChars="20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30" w:type="dxa"/>
            <w:gridSpan w:val="3"/>
            <w:shd w:val="clear" w:color="auto" w:fill="auto"/>
            <w:noWrap w:val="0"/>
            <w:vAlign w:val="top"/>
          </w:tcPr>
          <w:p>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pPr>
        <w:ind w:firstLine="420" w:firstLineChars="200"/>
        <w:rPr>
          <w:color w:val="auto"/>
          <w:highlight w:val="none"/>
        </w:rPr>
      </w:pPr>
    </w:p>
    <w:p>
      <w:pPr>
        <w:ind w:firstLine="420" w:firstLineChars="200"/>
        <w:rPr>
          <w:rFonts w:hint="eastAsia" w:eastAsia="楷体_GB2312"/>
          <w:b/>
          <w:color w:val="auto"/>
          <w:sz w:val="24"/>
          <w:highlight w:val="none"/>
        </w:rPr>
      </w:pPr>
      <w:r>
        <w:rPr>
          <w:rFonts w:hint="eastAsia"/>
          <w:color w:val="auto"/>
          <w:highlight w:val="none"/>
          <w:lang w:val="en-US" w:eastAsia="zh-CN"/>
        </w:rPr>
        <w:t>3）</w:t>
      </w:r>
      <w:r>
        <w:rPr>
          <w:rFonts w:hint="eastAsia" w:ascii="Times New Roman" w:eastAsia="宋体"/>
          <w:color w:val="auto"/>
          <w:highlight w:val="none"/>
          <w:lang w:val="en-US" w:eastAsia="zh-CN"/>
        </w:rPr>
        <w:t>评审报价计算</w:t>
      </w:r>
    </w:p>
    <w:p>
      <w:pPr>
        <w:ind w:firstLine="42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供应商若符合本国产品支持政策的要求，计算公式具体为：评审报价＝投标总报价－（全部产品报价*20%）</w:t>
      </w:r>
    </w:p>
    <w:p>
      <w:pPr>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br w:type="page"/>
      </w:r>
    </w:p>
    <w:p>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pPr>
              <w:jc w:val="center"/>
              <w:rPr>
                <w:b/>
                <w:color w:val="auto"/>
                <w:szCs w:val="21"/>
                <w:highlight w:val="none"/>
              </w:rPr>
            </w:pPr>
            <w:r>
              <w:rPr>
                <w:rFonts w:hint="eastAsia"/>
                <w:b/>
                <w:color w:val="auto"/>
                <w:szCs w:val="21"/>
                <w:highlight w:val="none"/>
              </w:rPr>
              <w:t>分项</w:t>
            </w:r>
          </w:p>
        </w:tc>
        <w:tc>
          <w:tcPr>
            <w:tcW w:w="2693" w:type="dxa"/>
            <w:noWrap w:val="0"/>
            <w:vAlign w:val="center"/>
          </w:tcPr>
          <w:p>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pPr>
              <w:jc w:val="center"/>
              <w:rPr>
                <w:b/>
                <w:color w:val="auto"/>
                <w:szCs w:val="21"/>
                <w:highlight w:val="none"/>
              </w:rPr>
            </w:pPr>
            <w:r>
              <w:rPr>
                <w:rFonts w:hint="eastAsia"/>
                <w:b/>
                <w:color w:val="auto"/>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pPr>
              <w:jc w:val="center"/>
              <w:rPr>
                <w:b/>
                <w:color w:val="auto"/>
                <w:szCs w:val="21"/>
                <w:highlight w:val="none"/>
              </w:rPr>
            </w:pPr>
            <w:r>
              <w:rPr>
                <w:rFonts w:hint="eastAsia"/>
                <w:b/>
                <w:color w:val="auto"/>
                <w:szCs w:val="21"/>
                <w:highlight w:val="none"/>
              </w:rPr>
              <w:t>分值</w:t>
            </w:r>
          </w:p>
        </w:tc>
        <w:tc>
          <w:tcPr>
            <w:tcW w:w="2693"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pPr>
        <w:rPr>
          <w:rFonts w:hint="eastAsia"/>
          <w:bCs/>
          <w:color w:val="auto"/>
          <w:kern w:val="0"/>
          <w:szCs w:val="21"/>
          <w:highlight w:val="none"/>
        </w:rPr>
      </w:pPr>
    </w:p>
    <w:p>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9" w:name="_Toc29453"/>
      <w:r>
        <w:rPr>
          <w:rFonts w:ascii="Times New Roman" w:hAnsi="Times New Roman" w:eastAsia="宋体" w:cs="Times New Roman"/>
          <w:color w:val="auto"/>
          <w:sz w:val="32"/>
          <w:szCs w:val="32"/>
          <w:highlight w:val="none"/>
        </w:rPr>
        <w:t>第五章  合同主要条款格式</w:t>
      </w:r>
      <w:bookmarkEnd w:id="79"/>
    </w:p>
    <w:p>
      <w:pPr>
        <w:spacing w:before="120" w:line="320" w:lineRule="atLeast"/>
        <w:rPr>
          <w:rFonts w:hint="eastAsia"/>
          <w:color w:val="auto"/>
          <w:szCs w:val="21"/>
          <w:highlight w:val="none"/>
        </w:rPr>
      </w:pPr>
    </w:p>
    <w:p>
      <w:pPr>
        <w:snapToGrid w:val="0"/>
        <w:spacing w:line="360" w:lineRule="auto"/>
        <w:ind w:firstLine="7140" w:firstLineChars="3400"/>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t>合同编号：</w:t>
      </w:r>
    </w:p>
    <w:p>
      <w:pPr>
        <w:snapToGrid w:val="0"/>
        <w:spacing w:line="360" w:lineRule="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rPr>
        <w:t>采购人（甲方）：</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p>
    <w:p>
      <w:pPr>
        <w:snapToGrid w:val="0"/>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供应商（乙方）：</w:t>
      </w:r>
      <w:r>
        <w:rPr>
          <w:rFonts w:hint="eastAsia" w:ascii="宋体" w:hAnsi="宋体" w:eastAsia="宋体" w:cs="宋体"/>
          <w:b/>
          <w:bCs/>
          <w:color w:val="auto"/>
          <w:sz w:val="21"/>
          <w:szCs w:val="21"/>
          <w:highlight w:val="none"/>
          <w:u w:val="single"/>
        </w:rPr>
        <w:t xml:space="preserve">                          </w:t>
      </w:r>
    </w:p>
    <w:p>
      <w:pPr>
        <w:snapToGrid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项目编号：</w:t>
      </w:r>
      <w:r>
        <w:rPr>
          <w:rFonts w:hint="eastAsia" w:ascii="宋体" w:hAnsi="宋体" w:eastAsia="宋体" w:cs="宋体"/>
          <w:b/>
          <w:bCs/>
          <w:color w:val="auto"/>
          <w:sz w:val="21"/>
          <w:szCs w:val="21"/>
          <w:highlight w:val="none"/>
          <w:u w:val="single"/>
        </w:rPr>
        <w:t xml:space="preserve">                          </w:t>
      </w:r>
    </w:p>
    <w:p>
      <w:pPr>
        <w:snapToGrid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签订地点：</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签订时间：</w:t>
      </w:r>
      <w:r>
        <w:rPr>
          <w:rFonts w:hint="eastAsia" w:ascii="宋体" w:hAnsi="宋体" w:eastAsia="宋体" w:cs="宋体"/>
          <w:b/>
          <w:bCs/>
          <w:color w:val="auto"/>
          <w:sz w:val="21"/>
          <w:szCs w:val="21"/>
          <w:highlight w:val="none"/>
          <w:u w:val="single"/>
        </w:rPr>
        <w:t xml:space="preserve">                          </w:t>
      </w:r>
    </w:p>
    <w:p>
      <w:pPr>
        <w:keepNext w:val="0"/>
        <w:keepLines w:val="0"/>
        <w:pageBreakBefore w:val="0"/>
        <w:wordWrap/>
        <w:overflowPunct/>
        <w:topLinePunct w:val="0"/>
        <w:bidi w:val="0"/>
        <w:spacing w:line="360" w:lineRule="auto"/>
        <w:jc w:val="both"/>
        <w:rPr>
          <w:rFonts w:hint="eastAsia" w:ascii="宋体" w:hAnsi="宋体" w:eastAsia="宋体" w:cs="宋体"/>
          <w:color w:val="auto"/>
          <w:sz w:val="21"/>
          <w:szCs w:val="21"/>
          <w:highlight w:val="none"/>
          <w:lang w:eastAsia="zh-CN"/>
        </w:rPr>
      </w:pPr>
    </w:p>
    <w:p>
      <w:pPr>
        <w:snapToGrid w:val="0"/>
        <w:spacing w:line="38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根据《中华人民共和国政府采购法》、《中华人民共和国民法典》等法律、法规规定，按照竞争性</w:t>
      </w:r>
      <w:r>
        <w:rPr>
          <w:rFonts w:hint="eastAsia" w:ascii="宋体" w:hAnsi="宋体"/>
          <w:color w:val="auto"/>
          <w:szCs w:val="21"/>
          <w:highlight w:val="none"/>
          <w:lang w:eastAsia="zh-CN"/>
        </w:rPr>
        <w:t>磋商文件</w:t>
      </w:r>
      <w:r>
        <w:rPr>
          <w:rFonts w:hint="eastAsia" w:ascii="宋体" w:hAnsi="宋体"/>
          <w:color w:val="auto"/>
          <w:szCs w:val="21"/>
          <w:highlight w:val="none"/>
        </w:rPr>
        <w:t>（以下简称“</w:t>
      </w:r>
      <w:r>
        <w:rPr>
          <w:rFonts w:hint="eastAsia" w:ascii="宋体" w:hAnsi="宋体"/>
          <w:color w:val="auto"/>
          <w:szCs w:val="21"/>
          <w:highlight w:val="none"/>
          <w:lang w:eastAsia="zh-CN"/>
        </w:rPr>
        <w:t>磋商文件</w:t>
      </w:r>
      <w:r>
        <w:rPr>
          <w:rFonts w:hint="eastAsia" w:ascii="宋体" w:hAnsi="宋体"/>
          <w:color w:val="auto"/>
          <w:szCs w:val="21"/>
          <w:highlight w:val="none"/>
        </w:rPr>
        <w:t>”）规定条款和成交供应商响应文件（以下简称“响应文件”）及其承诺，甲乙双方签订本合同。</w:t>
      </w:r>
    </w:p>
    <w:p>
      <w:pPr>
        <w:snapToGrid w:val="0"/>
        <w:spacing w:line="380" w:lineRule="exact"/>
        <w:ind w:firstLine="422" w:firstLineChars="200"/>
        <w:jc w:val="both"/>
        <w:outlineLvl w:val="1"/>
        <w:rPr>
          <w:rFonts w:hint="eastAsia" w:ascii="宋体" w:hAnsi="宋体"/>
          <w:b/>
          <w:color w:val="auto"/>
          <w:szCs w:val="21"/>
          <w:highlight w:val="none"/>
        </w:rPr>
      </w:pPr>
      <w:bookmarkStart w:id="80" w:name="_Toc21914"/>
      <w:r>
        <w:rPr>
          <w:rFonts w:hint="eastAsia" w:ascii="宋体" w:hAnsi="宋体"/>
          <w:b/>
          <w:color w:val="auto"/>
          <w:szCs w:val="21"/>
          <w:highlight w:val="none"/>
        </w:rPr>
        <w:t>第一条　合同标的</w:t>
      </w:r>
      <w:bookmarkEnd w:id="80"/>
    </w:p>
    <w:p>
      <w:pPr>
        <w:snapToGrid w:val="0"/>
        <w:spacing w:line="38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1.合同标的及合同金额</w:t>
      </w:r>
    </w:p>
    <w:tbl>
      <w:tblPr>
        <w:tblStyle w:val="52"/>
        <w:tblW w:w="98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36"/>
        <w:gridCol w:w="832"/>
        <w:gridCol w:w="833"/>
        <w:gridCol w:w="35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4636"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pPr>
              <w:spacing w:line="300" w:lineRule="exact"/>
              <w:jc w:val="center"/>
              <w:rPr>
                <w:rFonts w:hint="eastAsia" w:ascii="Arial" w:hAnsi="Arial" w:eastAsia="宋体" w:cs="Arial"/>
                <w:b/>
                <w:bCs/>
                <w:color w:val="auto"/>
                <w:kern w:val="0"/>
                <w:sz w:val="21"/>
                <w:szCs w:val="21"/>
                <w:highlight w:val="none"/>
                <w:lang w:eastAsia="zh-CN"/>
              </w:rPr>
            </w:pPr>
            <w:r>
              <w:rPr>
                <w:rFonts w:hint="eastAsia" w:ascii="Arial" w:hAnsi="Arial" w:cs="Arial"/>
                <w:b/>
                <w:bCs/>
                <w:color w:val="auto"/>
                <w:kern w:val="0"/>
                <w:sz w:val="21"/>
                <w:szCs w:val="21"/>
                <w:highlight w:val="none"/>
                <w:lang w:eastAsia="zh-CN"/>
              </w:rPr>
              <w:t>标的名称</w:t>
            </w:r>
          </w:p>
        </w:tc>
        <w:tc>
          <w:tcPr>
            <w:tcW w:w="832"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pPr>
              <w:spacing w:line="300" w:lineRule="exact"/>
              <w:ind w:firstLine="0" w:firstLineChars="0"/>
              <w:jc w:val="center"/>
              <w:rPr>
                <w:rFonts w:ascii="Arial" w:hAnsi="Arial" w:cs="Arial"/>
                <w:b/>
                <w:bCs/>
                <w:color w:val="auto"/>
                <w:kern w:val="0"/>
                <w:sz w:val="21"/>
                <w:szCs w:val="21"/>
                <w:highlight w:val="none"/>
              </w:rPr>
            </w:pPr>
            <w:r>
              <w:rPr>
                <w:rFonts w:ascii="Arial" w:hAnsi="Arial" w:cs="Arial"/>
                <w:b/>
                <w:bCs/>
                <w:color w:val="auto"/>
                <w:kern w:val="0"/>
                <w:sz w:val="21"/>
                <w:szCs w:val="21"/>
                <w:highlight w:val="none"/>
              </w:rPr>
              <w:t>数量</w:t>
            </w:r>
          </w:p>
        </w:tc>
        <w:tc>
          <w:tcPr>
            <w:tcW w:w="833" w:type="dxa"/>
            <w:tcBorders>
              <w:top w:val="single" w:color="auto" w:sz="4" w:space="0"/>
              <w:left w:val="single" w:color="auto" w:sz="4" w:space="0"/>
              <w:bottom w:val="single" w:color="auto" w:sz="4" w:space="0"/>
            </w:tcBorders>
            <w:shd w:val="clear" w:color="auto" w:fill="8DB3E2" w:themeFill="text2" w:themeFillTint="66"/>
            <w:noWrap w:val="0"/>
            <w:vAlign w:val="center"/>
          </w:tcPr>
          <w:p>
            <w:pPr>
              <w:spacing w:line="300" w:lineRule="exact"/>
              <w:ind w:firstLine="0" w:firstLineChars="0"/>
              <w:jc w:val="center"/>
              <w:rPr>
                <w:rFonts w:ascii="Arial" w:hAnsi="Arial" w:cs="Arial"/>
                <w:b/>
                <w:bCs/>
                <w:color w:val="auto"/>
                <w:kern w:val="0"/>
                <w:sz w:val="21"/>
                <w:szCs w:val="21"/>
                <w:highlight w:val="none"/>
              </w:rPr>
            </w:pPr>
            <w:r>
              <w:rPr>
                <w:rFonts w:ascii="Arial" w:hAnsi="Arial" w:cs="Arial"/>
                <w:b/>
                <w:bCs/>
                <w:color w:val="auto"/>
                <w:kern w:val="0"/>
                <w:sz w:val="21"/>
                <w:szCs w:val="21"/>
                <w:highlight w:val="none"/>
              </w:rPr>
              <w:t>单位</w:t>
            </w:r>
          </w:p>
        </w:tc>
        <w:tc>
          <w:tcPr>
            <w:tcW w:w="3510" w:type="dxa"/>
            <w:tcBorders>
              <w:top w:val="single" w:color="auto" w:sz="4" w:space="0"/>
              <w:left w:val="single" w:color="auto" w:sz="4" w:space="0"/>
              <w:bottom w:val="single" w:color="auto" w:sz="4" w:space="0"/>
            </w:tcBorders>
            <w:shd w:val="clear" w:color="auto" w:fill="8DB3E2" w:themeFill="text2" w:themeFillTint="66"/>
            <w:noWrap w:val="0"/>
            <w:vAlign w:val="center"/>
          </w:tcPr>
          <w:p>
            <w:pPr>
              <w:spacing w:line="300" w:lineRule="exact"/>
              <w:ind w:firstLine="0" w:firstLineChars="0"/>
              <w:jc w:val="center"/>
              <w:rPr>
                <w:rFonts w:hint="eastAsia" w:ascii="Arial" w:hAnsi="Arial" w:eastAsia="宋体" w:cs="Arial"/>
                <w:b/>
                <w:bCs/>
                <w:color w:val="auto"/>
                <w:kern w:val="0"/>
                <w:sz w:val="21"/>
                <w:szCs w:val="21"/>
                <w:highlight w:val="none"/>
                <w:lang w:eastAsia="zh-CN"/>
              </w:rPr>
            </w:pPr>
            <w:r>
              <w:rPr>
                <w:rFonts w:hint="eastAsia" w:ascii="Arial" w:hAnsi="Arial" w:cs="Arial"/>
                <w:b/>
                <w:bCs/>
                <w:color w:val="auto"/>
                <w:sz w:val="21"/>
                <w:szCs w:val="21"/>
                <w:highlight w:val="none"/>
                <w:lang w:eastAsia="zh-CN"/>
              </w:rPr>
              <w:t>成交</w:t>
            </w:r>
            <w:r>
              <w:rPr>
                <w:rFonts w:hint="eastAsia" w:cs="Times New Roman"/>
                <w:b/>
                <w:bCs/>
                <w:color w:val="auto"/>
                <w:kern w:val="2"/>
                <w:sz w:val="21"/>
                <w:szCs w:val="20"/>
                <w:highlight w:val="none"/>
                <w:lang w:val="en-US" w:eastAsia="zh-CN" w:bidi="ar-SA"/>
              </w:rPr>
              <w:t>报价（综合折扣率）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2" w:hRule="atLeast"/>
        </w:trPr>
        <w:tc>
          <w:tcPr>
            <w:tcW w:w="46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eastAsia" w:ascii="Arial" w:hAnsi="Arial" w:eastAsia="宋体" w:cs="Arial"/>
                <w:bCs/>
                <w:color w:val="auto"/>
                <w:kern w:val="0"/>
                <w:sz w:val="21"/>
                <w:szCs w:val="21"/>
                <w:highlight w:val="none"/>
                <w:lang w:eastAsia="zh-CN"/>
              </w:rPr>
            </w:pPr>
            <w:r>
              <w:rPr>
                <w:rFonts w:hint="eastAsia" w:ascii="Arial" w:hAnsi="Arial" w:cs="Arial"/>
                <w:bCs/>
                <w:color w:val="auto"/>
                <w:kern w:val="0"/>
                <w:sz w:val="21"/>
                <w:szCs w:val="21"/>
                <w:highlight w:val="none"/>
                <w:lang w:eastAsia="zh-CN"/>
              </w:rPr>
              <w:t>2026-2027年水电木日常维修保障材料供应服务采购（重）</w:t>
            </w:r>
          </w:p>
        </w:tc>
        <w:tc>
          <w:tcPr>
            <w:tcW w:w="8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ascii="Arial" w:hAnsi="Arial" w:cs="Arial"/>
                <w:bCs/>
                <w:color w:val="auto"/>
                <w:kern w:val="0"/>
                <w:sz w:val="21"/>
                <w:szCs w:val="21"/>
                <w:highlight w:val="none"/>
              </w:rPr>
            </w:pPr>
            <w:r>
              <w:rPr>
                <w:rFonts w:ascii="Arial" w:hAnsi="Arial" w:cs="Arial"/>
                <w:bCs/>
                <w:color w:val="auto"/>
                <w:kern w:val="0"/>
                <w:sz w:val="21"/>
                <w:szCs w:val="21"/>
                <w:highlight w:val="none"/>
              </w:rPr>
              <w:t>1</w:t>
            </w:r>
          </w:p>
        </w:tc>
        <w:tc>
          <w:tcPr>
            <w:tcW w:w="833" w:type="dxa"/>
            <w:tcBorders>
              <w:top w:val="single" w:color="auto" w:sz="4" w:space="0"/>
              <w:left w:val="single" w:color="auto" w:sz="4" w:space="0"/>
              <w:bottom w:val="single" w:color="auto" w:sz="4" w:space="0"/>
            </w:tcBorders>
            <w:noWrap w:val="0"/>
            <w:vAlign w:val="center"/>
          </w:tcPr>
          <w:p>
            <w:pPr>
              <w:spacing w:line="300" w:lineRule="exact"/>
              <w:ind w:firstLine="0" w:firstLineChars="0"/>
              <w:jc w:val="center"/>
              <w:rPr>
                <w:rFonts w:ascii="Arial" w:hAnsi="Arial" w:cs="Arial"/>
                <w:b/>
                <w:bCs/>
                <w:color w:val="auto"/>
                <w:kern w:val="0"/>
                <w:sz w:val="21"/>
                <w:szCs w:val="21"/>
                <w:highlight w:val="none"/>
              </w:rPr>
            </w:pPr>
            <w:r>
              <w:rPr>
                <w:rFonts w:ascii="Arial" w:hAnsi="Arial" w:cs="Arial"/>
                <w:bCs/>
                <w:color w:val="auto"/>
                <w:kern w:val="0"/>
                <w:sz w:val="21"/>
                <w:szCs w:val="21"/>
                <w:highlight w:val="none"/>
              </w:rPr>
              <w:t>项</w:t>
            </w:r>
          </w:p>
        </w:tc>
        <w:tc>
          <w:tcPr>
            <w:tcW w:w="3510" w:type="dxa"/>
            <w:tcBorders>
              <w:top w:val="single" w:color="auto" w:sz="4" w:space="0"/>
              <w:left w:val="single" w:color="auto" w:sz="4" w:space="0"/>
              <w:bottom w:val="single" w:color="auto" w:sz="4" w:space="0"/>
            </w:tcBorders>
            <w:noWrap w:val="0"/>
            <w:vAlign w:val="center"/>
          </w:tcPr>
          <w:p>
            <w:pPr>
              <w:numPr>
                <w:ilvl w:val="0"/>
                <w:numId w:val="0"/>
              </w:numPr>
              <w:spacing w:line="300" w:lineRule="exact"/>
              <w:jc w:val="center"/>
              <w:rPr>
                <w:rFonts w:ascii="Arial" w:hAnsi="Arial" w:cs="Arial"/>
                <w:bCs/>
                <w:color w:val="auto"/>
                <w:kern w:val="0"/>
                <w:sz w:val="21"/>
                <w:szCs w:val="21"/>
                <w:highlight w:val="none"/>
              </w:rPr>
            </w:pPr>
            <w:r>
              <w:rPr>
                <w:rFonts w:hint="eastAsia" w:ascii="宋体" w:hAnsi="Courier New" w:eastAsia="宋体" w:cs="Times New Roman"/>
                <w:color w:val="auto"/>
                <w:szCs w:val="20"/>
                <w:highlight w:val="none"/>
                <w:u w:val="single"/>
                <w:lang w:val="en-US" w:eastAsia="zh-CN"/>
              </w:rPr>
              <w:t xml:space="preserve">        </w:t>
            </w:r>
            <w:r>
              <w:rPr>
                <w:rFonts w:hint="eastAsia" w:ascii="宋体" w:hAnsi="Courier New" w:eastAsia="宋体" w:cs="Times New Roman"/>
                <w:color w:val="auto"/>
                <w:szCs w:val="20"/>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9811" w:type="dxa"/>
            <w:gridSpan w:val="4"/>
            <w:tcBorders>
              <w:top w:val="single" w:color="auto" w:sz="4" w:space="0"/>
              <w:left w:val="single" w:color="auto" w:sz="4" w:space="0"/>
              <w:bottom w:val="single" w:color="auto" w:sz="4" w:space="0"/>
            </w:tcBorders>
            <w:noWrap w:val="0"/>
            <w:vAlign w:val="center"/>
          </w:tcPr>
          <w:p>
            <w:pPr>
              <w:spacing w:line="380" w:lineRule="exact"/>
              <w:jc w:val="both"/>
              <w:rPr>
                <w:rFonts w:ascii="Arial" w:hAnsi="Arial" w:cs="Arial"/>
                <w:bCs/>
                <w:color w:val="auto"/>
                <w:kern w:val="0"/>
                <w:sz w:val="21"/>
                <w:szCs w:val="21"/>
                <w:highlight w:val="none"/>
              </w:rPr>
            </w:pPr>
            <w:r>
              <w:rPr>
                <w:rFonts w:hint="eastAsia" w:ascii="宋体" w:hAnsi="宋体" w:cs="宋体"/>
                <w:color w:val="auto"/>
                <w:szCs w:val="21"/>
                <w:highlight w:val="none"/>
              </w:rPr>
              <w:t>供应期限</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9811" w:type="dxa"/>
            <w:gridSpan w:val="4"/>
            <w:tcBorders>
              <w:top w:val="single" w:color="auto" w:sz="4" w:space="0"/>
              <w:left w:val="single" w:color="auto" w:sz="4" w:space="0"/>
              <w:bottom w:val="single" w:color="auto" w:sz="4" w:space="0"/>
            </w:tcBorders>
            <w:noWrap w:val="0"/>
            <w:vAlign w:val="center"/>
          </w:tcPr>
          <w:p>
            <w:pPr>
              <w:pStyle w:val="144"/>
              <w:spacing w:line="400" w:lineRule="exact"/>
              <w:jc w:val="both"/>
              <w:rPr>
                <w:color w:val="auto"/>
                <w:highlight w:val="none"/>
              </w:rPr>
            </w:pPr>
            <w:r>
              <w:rPr>
                <w:color w:val="auto"/>
                <w:highlight w:val="none"/>
              </w:rPr>
              <w:t>说明：</w:t>
            </w:r>
            <w:r>
              <w:rPr>
                <w:rFonts w:hint="eastAsia" w:ascii="宋体" w:hAnsi="宋体"/>
                <w:color w:val="auto"/>
                <w:szCs w:val="21"/>
                <w:highlight w:val="none"/>
                <w:lang w:eastAsia="zh-CN"/>
              </w:rPr>
              <w:t>成交</w:t>
            </w:r>
            <w:r>
              <w:rPr>
                <w:rFonts w:hint="eastAsia" w:ascii="宋体" w:hAnsi="宋体"/>
                <w:color w:val="auto"/>
                <w:szCs w:val="21"/>
                <w:highlight w:val="none"/>
              </w:rPr>
              <w:t>报价</w:t>
            </w:r>
            <w:r>
              <w:rPr>
                <w:rFonts w:hint="eastAsia" w:ascii="宋体" w:hAnsi="宋体"/>
                <w:color w:val="auto"/>
                <w:szCs w:val="21"/>
                <w:highlight w:val="none"/>
                <w:lang w:val="en-US" w:eastAsia="zh-CN"/>
              </w:rPr>
              <w:t>（综合折扣率）</w:t>
            </w:r>
            <w:r>
              <w:rPr>
                <w:rFonts w:hint="eastAsia" w:ascii="宋体" w:hAnsi="宋体"/>
                <w:color w:val="auto"/>
                <w:szCs w:val="21"/>
                <w:highlight w:val="none"/>
              </w:rPr>
              <w:t>包括完成本项目水电木日常维修材料供应服务的全部费用（包括水电木日常维修材料价款、包装、运输、装卸、送货到位、服务保障、税金、利润及其他所有成本费用）以及参与本项目</w:t>
            </w:r>
            <w:r>
              <w:rPr>
                <w:rFonts w:hint="eastAsia" w:ascii="宋体" w:hAnsi="宋体"/>
                <w:color w:val="auto"/>
                <w:szCs w:val="21"/>
                <w:highlight w:val="none"/>
                <w:lang w:eastAsia="zh-CN"/>
              </w:rPr>
              <w:t>磋商一切费用</w:t>
            </w:r>
            <w:r>
              <w:rPr>
                <w:rFonts w:hint="eastAsia" w:ascii="宋体" w:hAnsi="宋体"/>
                <w:color w:val="auto"/>
                <w:szCs w:val="21"/>
                <w:highlight w:val="none"/>
              </w:rPr>
              <w:t>，</w:t>
            </w:r>
            <w:r>
              <w:rPr>
                <w:rFonts w:hint="eastAsia" w:ascii="宋体" w:hAnsi="宋体"/>
                <w:color w:val="auto"/>
                <w:szCs w:val="21"/>
                <w:highlight w:val="none"/>
                <w:lang w:eastAsia="zh-CN"/>
              </w:rPr>
              <w:t>乙方已</w:t>
            </w:r>
            <w:r>
              <w:rPr>
                <w:rFonts w:hint="eastAsia" w:ascii="宋体" w:hAnsi="宋体"/>
                <w:color w:val="auto"/>
                <w:szCs w:val="21"/>
                <w:highlight w:val="none"/>
              </w:rPr>
              <w:t>综合考虑在报价中。对于本文件中未列明，而</w:t>
            </w:r>
            <w:r>
              <w:rPr>
                <w:rFonts w:hint="eastAsia" w:ascii="宋体" w:hAnsi="宋体"/>
                <w:color w:val="auto"/>
                <w:szCs w:val="21"/>
                <w:highlight w:val="none"/>
                <w:lang w:eastAsia="zh-CN"/>
              </w:rPr>
              <w:t>乙方</w:t>
            </w:r>
            <w:r>
              <w:rPr>
                <w:rFonts w:hint="eastAsia" w:ascii="宋体" w:hAnsi="宋体"/>
                <w:color w:val="auto"/>
                <w:szCs w:val="21"/>
                <w:highlight w:val="none"/>
              </w:rPr>
              <w:t>认为必需的费用也</w:t>
            </w:r>
            <w:r>
              <w:rPr>
                <w:rFonts w:hint="eastAsia" w:ascii="宋体" w:hAnsi="宋体"/>
                <w:color w:val="auto"/>
                <w:szCs w:val="21"/>
                <w:highlight w:val="none"/>
                <w:lang w:eastAsia="zh-CN"/>
              </w:rPr>
              <w:t>已</w:t>
            </w:r>
            <w:r>
              <w:rPr>
                <w:rFonts w:hint="eastAsia" w:ascii="宋体" w:hAnsi="宋体"/>
                <w:color w:val="auto"/>
                <w:szCs w:val="21"/>
                <w:highlight w:val="none"/>
              </w:rPr>
              <w:t>列入报价</w:t>
            </w:r>
            <w:r>
              <w:rPr>
                <w:rFonts w:hint="eastAsia" w:ascii="宋体" w:hAnsi="宋体"/>
                <w:color w:val="auto"/>
                <w:szCs w:val="21"/>
                <w:highlight w:val="none"/>
                <w:lang w:eastAsia="zh-CN"/>
              </w:rPr>
              <w:t>中</w:t>
            </w:r>
            <w:r>
              <w:rPr>
                <w:rFonts w:hint="eastAsia" w:ascii="宋体" w:hAnsi="宋体"/>
                <w:color w:val="auto"/>
                <w:szCs w:val="21"/>
                <w:highlight w:val="none"/>
              </w:rPr>
              <w:t>。在合同实施时，</w:t>
            </w:r>
            <w:r>
              <w:rPr>
                <w:rFonts w:hint="eastAsia" w:ascii="宋体" w:hAnsi="宋体"/>
                <w:color w:val="auto"/>
                <w:szCs w:val="21"/>
                <w:highlight w:val="none"/>
                <w:lang w:eastAsia="zh-CN"/>
              </w:rPr>
              <w:t>甲方</w:t>
            </w:r>
            <w:r>
              <w:rPr>
                <w:rFonts w:hint="eastAsia" w:ascii="宋体" w:hAnsi="宋体"/>
                <w:color w:val="auto"/>
                <w:szCs w:val="21"/>
                <w:highlight w:val="none"/>
              </w:rPr>
              <w:t>将不予支付</w:t>
            </w:r>
            <w:r>
              <w:rPr>
                <w:rFonts w:hint="eastAsia" w:ascii="宋体" w:hAnsi="宋体"/>
                <w:color w:val="auto"/>
                <w:szCs w:val="21"/>
                <w:highlight w:val="none"/>
                <w:lang w:eastAsia="zh-CN"/>
              </w:rPr>
              <w:t>乙方</w:t>
            </w:r>
            <w:r>
              <w:rPr>
                <w:rFonts w:hint="eastAsia" w:ascii="宋体" w:hAnsi="宋体"/>
                <w:color w:val="auto"/>
                <w:szCs w:val="21"/>
                <w:highlight w:val="none"/>
              </w:rPr>
              <w:t>没有列入的项目费用，并认为此项目的费用已包括在报价中。</w:t>
            </w:r>
          </w:p>
        </w:tc>
      </w:tr>
    </w:tbl>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s="宋体"/>
          <w:b/>
          <w:color w:val="auto"/>
          <w:highlight w:val="none"/>
        </w:rPr>
      </w:pPr>
      <w:bookmarkStart w:id="81" w:name="_Toc12945"/>
      <w:r>
        <w:rPr>
          <w:rFonts w:hint="eastAsia" w:ascii="宋体" w:hAnsi="宋体"/>
          <w:b/>
          <w:color w:val="auto"/>
          <w:szCs w:val="21"/>
          <w:highlight w:val="none"/>
        </w:rPr>
        <w:t>第二条　</w:t>
      </w:r>
      <w:r>
        <w:rPr>
          <w:rFonts w:hint="eastAsia" w:ascii="宋体" w:hAnsi="宋体" w:cs="宋体"/>
          <w:b/>
          <w:color w:val="auto"/>
          <w:highlight w:val="none"/>
        </w:rPr>
        <w:t>服务要求</w:t>
      </w:r>
      <w:bookmarkEnd w:id="81"/>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1.材料质保期：</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所供应的材料</w:t>
      </w:r>
      <w:r>
        <w:rPr>
          <w:rFonts w:hint="eastAsia" w:ascii="宋体" w:hAnsi="宋体" w:cs="宋体"/>
          <w:b w:val="0"/>
          <w:bCs/>
          <w:color w:val="auto"/>
          <w:highlight w:val="none"/>
          <w:lang w:eastAsia="zh-CN"/>
        </w:rPr>
        <w:t>设备</w:t>
      </w:r>
      <w:r>
        <w:rPr>
          <w:rFonts w:hint="eastAsia" w:ascii="宋体" w:hAnsi="宋体" w:cs="宋体"/>
          <w:b w:val="0"/>
          <w:bCs/>
          <w:color w:val="auto"/>
          <w:highlight w:val="none"/>
        </w:rPr>
        <w:t>必须按国家有关产品“三包”规定执行“三包”，按国家有关产品“三包”规定执行“三包”，材料质保期</w:t>
      </w:r>
      <w:r>
        <w:rPr>
          <w:rFonts w:hint="eastAsia" w:ascii="宋体" w:hAnsi="宋体" w:cs="宋体"/>
          <w:b w:val="0"/>
          <w:bCs/>
          <w:color w:val="auto"/>
          <w:highlight w:val="none"/>
          <w:lang w:eastAsia="zh-CN"/>
        </w:rPr>
        <w:t>为</w:t>
      </w:r>
      <w:r>
        <w:rPr>
          <w:rFonts w:hint="eastAsia" w:ascii="宋体" w:hAnsi="宋体" w:cs="宋体"/>
          <w:b w:val="0"/>
          <w:bCs/>
          <w:color w:val="auto"/>
          <w:highlight w:val="none"/>
          <w:u w:val="single"/>
          <w:lang w:val="en-US" w:eastAsia="zh-CN"/>
        </w:rPr>
        <w:t xml:space="preserve">           </w:t>
      </w:r>
      <w:r>
        <w:rPr>
          <w:rFonts w:hint="eastAsia" w:ascii="宋体" w:hAnsi="宋体" w:cs="宋体"/>
          <w:b w:val="0"/>
          <w:bCs/>
          <w:color w:val="auto"/>
          <w:highlight w:val="none"/>
          <w:u w:val="none"/>
          <w:lang w:val="en-US" w:eastAsia="zh-CN"/>
        </w:rPr>
        <w:t>年</w:t>
      </w:r>
      <w:r>
        <w:rPr>
          <w:rFonts w:hint="eastAsia" w:ascii="宋体" w:hAnsi="宋体" w:cs="宋体"/>
          <w:b w:val="0"/>
          <w:bCs/>
          <w:color w:val="auto"/>
          <w:highlight w:val="none"/>
        </w:rPr>
        <w:t>（从验收合格之日起计算）。</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2.</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必须保证所供应的材料</w:t>
      </w:r>
      <w:r>
        <w:rPr>
          <w:rFonts w:hint="eastAsia" w:ascii="宋体" w:hAnsi="宋体" w:cs="宋体"/>
          <w:b w:val="0"/>
          <w:bCs/>
          <w:color w:val="auto"/>
          <w:highlight w:val="none"/>
          <w:lang w:eastAsia="zh-CN"/>
        </w:rPr>
        <w:t>设备</w:t>
      </w:r>
      <w:r>
        <w:rPr>
          <w:rFonts w:hint="eastAsia" w:ascii="宋体" w:hAnsi="宋体" w:cs="宋体"/>
          <w:b w:val="0"/>
          <w:bCs/>
          <w:color w:val="auto"/>
          <w:highlight w:val="none"/>
        </w:rPr>
        <w:t>均为正规厂家生产全新原装产品，并完全符合国家有关产品质量、服务和环保标准，非贴牌产品，非长期积压的污损货品。</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3.</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须根据</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的通知要求，送货上门、安装调试，供应商须向</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提供固定送货和维修人员电话，接质量问题通知，2小时内到达现场。</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4.</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必须提供退换服务，并协助解决调剂、退换。</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5.如遇</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急需的维修材料必须保证6小时内及时到货，以满足</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紧急需要；如无相关维修材料现货的，须及时联系调货，并保证按时到货。</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6.因相关维修材料停产或暂时无货，需临时更换其他品牌的，需征得</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同意更换，其质量不能低于所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的质量。</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7.所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须符合国家有关标准。若所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出现质量问题，</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有权要求</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在1个工作日整改，并发出书面警告通知，所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再次出现质量问题</w:t>
      </w:r>
      <w:r>
        <w:rPr>
          <w:rFonts w:hint="eastAsia" w:ascii="宋体" w:hAnsi="宋体" w:cs="宋体"/>
          <w:b w:val="0"/>
          <w:bCs/>
          <w:color w:val="auto"/>
          <w:highlight w:val="none"/>
          <w:lang w:eastAsia="zh-CN"/>
        </w:rPr>
        <w:t>及</w:t>
      </w:r>
      <w:r>
        <w:rPr>
          <w:rFonts w:hint="eastAsia" w:ascii="宋体" w:hAnsi="宋体" w:cs="宋体"/>
          <w:b w:val="0"/>
          <w:bCs/>
          <w:color w:val="auto"/>
          <w:kern w:val="0"/>
          <w:highlight w:val="none"/>
          <w:lang w:val="en-US" w:eastAsia="zh-CN"/>
        </w:rPr>
        <w:t>年度内所提供的材料(含单项材料）因产品质量原因，当月单次采购损坏率超过10%（含）的，</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有权取消其成交资格，一切损失由</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b w:val="0"/>
          <w:bCs/>
          <w:color w:val="auto"/>
          <w:szCs w:val="21"/>
          <w:highlight w:val="none"/>
        </w:rPr>
      </w:pPr>
      <w:r>
        <w:rPr>
          <w:rFonts w:hint="eastAsia" w:ascii="宋体" w:hAnsi="宋体" w:cs="宋体"/>
          <w:b w:val="0"/>
          <w:bCs/>
          <w:color w:val="auto"/>
          <w:kern w:val="0"/>
          <w:highlight w:val="none"/>
        </w:rPr>
        <w:t>8.因所提供的产品自身存在缺陷或产品载体故障（如主电机、定时器、电子板设备故障、操作失误等情况），</w:t>
      </w:r>
      <w:r>
        <w:rPr>
          <w:rFonts w:hint="eastAsia" w:ascii="宋体" w:hAnsi="宋体" w:cs="宋体"/>
          <w:b w:val="0"/>
          <w:bCs/>
          <w:color w:val="auto"/>
          <w:kern w:val="0"/>
          <w:highlight w:val="none"/>
          <w:lang w:eastAsia="zh-CN"/>
        </w:rPr>
        <w:t>乙方</w:t>
      </w:r>
      <w:r>
        <w:rPr>
          <w:rFonts w:hint="eastAsia" w:ascii="宋体" w:hAnsi="宋体" w:cs="宋体"/>
          <w:b w:val="0"/>
          <w:bCs/>
          <w:color w:val="auto"/>
          <w:kern w:val="0"/>
          <w:highlight w:val="none"/>
        </w:rPr>
        <w:t>须提供维护服务恢复正常使用。</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2" w:name="_Toc22474"/>
      <w:r>
        <w:rPr>
          <w:rFonts w:hint="eastAsia" w:ascii="宋体" w:hAnsi="宋体"/>
          <w:b/>
          <w:color w:val="auto"/>
          <w:szCs w:val="21"/>
          <w:highlight w:val="none"/>
        </w:rPr>
        <w:t>第三条　权利保证</w:t>
      </w:r>
      <w:bookmarkEnd w:id="8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1.乙方应保证所提供货物在使用时不会侵犯任何第三方的专利权、商标权、工业设计权或其他权利。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2.乙方应按</w:t>
      </w:r>
      <w:r>
        <w:rPr>
          <w:rFonts w:hint="eastAsia" w:ascii="宋体" w:hAnsi="宋体"/>
          <w:color w:val="auto"/>
          <w:szCs w:val="21"/>
          <w:highlight w:val="none"/>
          <w:lang w:eastAsia="zh-CN"/>
        </w:rPr>
        <w:t>磋商文件</w:t>
      </w:r>
      <w:r>
        <w:rPr>
          <w:rFonts w:hint="eastAsia" w:ascii="宋体" w:hAnsi="宋体"/>
          <w:color w:val="auto"/>
          <w:szCs w:val="21"/>
          <w:highlight w:val="none"/>
        </w:rPr>
        <w:t>规定的时间或响应文件承诺的时间向甲方提供使用货物的有关技术资料。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3" w:name="_Toc13235"/>
      <w:r>
        <w:rPr>
          <w:rFonts w:hint="eastAsia" w:ascii="宋体" w:hAnsi="宋体"/>
          <w:b/>
          <w:color w:val="auto"/>
          <w:szCs w:val="21"/>
          <w:highlight w:val="none"/>
        </w:rPr>
        <w:t>第四条　包装和运输</w:t>
      </w:r>
      <w:bookmarkEnd w:id="83"/>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1.乙方提供的货物均应按</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、响应文件要求的包装材料、包装标准、包装方式进行包装，每一包装单元内应附详细的装箱单和质量合格证。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3.乙方应在货物发运前对其进行满足运输距离、防潮、防震、防锈和防破损装卸等要求包装，以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保证货物安全运达甲方指定地点。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4.货物的运输方式：</w:t>
      </w:r>
      <w:r>
        <w:rPr>
          <w:rFonts w:hint="eastAsia" w:ascii="宋体" w:hAnsi="宋体"/>
          <w:color w:val="auto"/>
          <w:szCs w:val="21"/>
          <w:highlight w:val="none"/>
          <w:u w:val="single"/>
        </w:rPr>
        <w:t>不限。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5.乙方负责货物运输，货物运输合理损耗及计算方法：</w:t>
      </w:r>
      <w:r>
        <w:rPr>
          <w:rFonts w:hint="eastAsia" w:ascii="宋体" w:hAnsi="宋体"/>
          <w:color w:val="auto"/>
          <w:szCs w:val="21"/>
          <w:highlight w:val="none"/>
          <w:u w:val="single"/>
        </w:rPr>
        <w:t>本合同交付产品不接受损耗，由乙方自行为其产品运输办理相关保险。</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6.乙方在货物发运手续办理完毕后二十四小时内或货到甲方四十八小时前通知甲方，以准备接货。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7.货物在交付甲方前发生的风险均由乙方负责。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8.货物在规定的交付期限内由乙方送达甲方指定的地点视为交付，乙方同时需通知甲方货物已送达。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4" w:name="_Toc32112"/>
      <w:r>
        <w:rPr>
          <w:rFonts w:hint="eastAsia" w:ascii="宋体" w:hAnsi="宋体"/>
          <w:b/>
          <w:color w:val="auto"/>
          <w:szCs w:val="21"/>
          <w:highlight w:val="none"/>
        </w:rPr>
        <w:t>第五条　</w:t>
      </w:r>
      <w:r>
        <w:rPr>
          <w:rFonts w:hint="eastAsia" w:ascii="宋体" w:hAnsi="宋体" w:cs="宋体"/>
          <w:b/>
          <w:color w:val="auto"/>
          <w:highlight w:val="none"/>
        </w:rPr>
        <w:t>供货</w:t>
      </w:r>
      <w:bookmarkEnd w:id="84"/>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1.供货时间：本项目采购范围内的材料按</w:t>
      </w:r>
      <w:r>
        <w:rPr>
          <w:rFonts w:hint="eastAsia" w:ascii="宋体" w:hAnsi="宋体"/>
          <w:color w:val="auto"/>
          <w:szCs w:val="21"/>
          <w:highlight w:val="none"/>
          <w:lang w:eastAsia="zh-CN"/>
        </w:rPr>
        <w:t>甲方</w:t>
      </w:r>
      <w:r>
        <w:rPr>
          <w:rFonts w:hint="eastAsia" w:ascii="宋体" w:hAnsi="宋体"/>
          <w:color w:val="auto"/>
          <w:szCs w:val="21"/>
          <w:highlight w:val="none"/>
        </w:rPr>
        <w:t>要求分批分期进行供应，每批材料供货时间为自接到</w:t>
      </w:r>
      <w:r>
        <w:rPr>
          <w:rFonts w:hint="eastAsia" w:ascii="宋体" w:hAnsi="宋体"/>
          <w:color w:val="auto"/>
          <w:szCs w:val="21"/>
          <w:highlight w:val="none"/>
          <w:lang w:eastAsia="zh-CN"/>
        </w:rPr>
        <w:t>甲方</w:t>
      </w:r>
      <w:r>
        <w:rPr>
          <w:rFonts w:hint="eastAsia" w:ascii="宋体" w:hAnsi="宋体"/>
          <w:color w:val="auto"/>
          <w:szCs w:val="21"/>
          <w:highlight w:val="none"/>
        </w:rPr>
        <w:t>通知之日起24小时内，如遇</w:t>
      </w:r>
      <w:r>
        <w:rPr>
          <w:rFonts w:hint="eastAsia" w:ascii="宋体" w:hAnsi="宋体"/>
          <w:color w:val="auto"/>
          <w:szCs w:val="21"/>
          <w:highlight w:val="none"/>
          <w:lang w:eastAsia="zh-CN"/>
        </w:rPr>
        <w:t>甲方</w:t>
      </w:r>
      <w:r>
        <w:rPr>
          <w:rFonts w:hint="eastAsia" w:ascii="宋体" w:hAnsi="宋体"/>
          <w:color w:val="auto"/>
          <w:szCs w:val="21"/>
          <w:highlight w:val="none"/>
        </w:rPr>
        <w:t>急需的维修材料必须保证6小时内及时到货。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none"/>
        </w:rPr>
      </w:pPr>
      <w:r>
        <w:rPr>
          <w:rFonts w:hint="eastAsia" w:ascii="宋体" w:hAnsi="宋体"/>
          <w:color w:val="auto"/>
          <w:szCs w:val="21"/>
          <w:highlight w:val="none"/>
          <w:u w:val="none"/>
        </w:rPr>
        <w:t>供货地点：</w:t>
      </w:r>
      <w:r>
        <w:rPr>
          <w:rFonts w:hint="eastAsia" w:ascii="宋体" w:hAnsi="宋体"/>
          <w:color w:val="auto"/>
          <w:szCs w:val="21"/>
          <w:highlight w:val="none"/>
          <w:u w:val="single"/>
        </w:rPr>
        <w:t>广西桂林市内</w:t>
      </w:r>
      <w:r>
        <w:rPr>
          <w:rFonts w:hint="eastAsia" w:ascii="宋体" w:hAnsi="宋体"/>
          <w:color w:val="auto"/>
          <w:szCs w:val="21"/>
          <w:highlight w:val="none"/>
          <w:u w:val="single"/>
          <w:lang w:eastAsia="zh-CN"/>
        </w:rPr>
        <w:t>甲方</w:t>
      </w:r>
      <w:r>
        <w:rPr>
          <w:rFonts w:hint="eastAsia" w:ascii="宋体" w:hAnsi="宋体"/>
          <w:color w:val="auto"/>
          <w:szCs w:val="21"/>
          <w:highlight w:val="none"/>
          <w:u w:val="single"/>
        </w:rPr>
        <w:t>指定地点</w:t>
      </w:r>
      <w:r>
        <w:rPr>
          <w:rFonts w:hint="eastAsia" w:ascii="宋体" w:hAnsi="宋体"/>
          <w:color w:val="auto"/>
          <w:szCs w:val="21"/>
          <w:highlight w:val="none"/>
          <w:u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eastAsia="宋体"/>
          <w:color w:val="auto"/>
          <w:highlight w:val="none"/>
          <w:lang w:val="en-US" w:eastAsia="zh-CN"/>
        </w:rPr>
      </w:pPr>
      <w:r>
        <w:rPr>
          <w:rFonts w:hint="eastAsia" w:ascii="宋体" w:hAnsi="宋体"/>
          <w:color w:val="auto"/>
          <w:szCs w:val="21"/>
          <w:highlight w:val="none"/>
          <w:lang w:val="en-US" w:eastAsia="zh-CN"/>
        </w:rPr>
        <w:t>2.供应期限：</w:t>
      </w:r>
      <w:r>
        <w:rPr>
          <w:rFonts w:hint="eastAsia" w:ascii="宋体" w:hAnsi="宋体"/>
          <w:color w:val="auto"/>
          <w:szCs w:val="21"/>
          <w:highlight w:val="none"/>
          <w:u w:val="single"/>
          <w:lang w:val="en-US" w:eastAsia="zh-CN"/>
        </w:rPr>
        <w:t>自签订合同之日起至2027年12月31日止</w:t>
      </w:r>
      <w:r>
        <w:rPr>
          <w:rFonts w:hint="eastAsia" w:ascii="宋体" w:hAnsi="宋体"/>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.乙方提供不符合</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、响应文件和本合同规定的货物或装修，甲方有权拒绝接受。</w:t>
      </w:r>
      <w:r>
        <w:rPr>
          <w:rFonts w:hint="eastAsia" w:ascii="宋体" w:hAnsi="宋体"/>
          <w:color w:val="auto"/>
          <w:szCs w:val="21"/>
          <w:highlight w:val="none"/>
          <w:lang w:eastAsia="zh-CN"/>
        </w:rPr>
        <w:t>乙方按照所响应的“后勤水电木日常维修材料供应清单”中所列举品牌供货，以确保货物技术参数配置满足采购需求。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.乙方应将所提供货物的装箱清单、用户手册、原厂保修卡、随机资料、工具和备品、备件等交付给甲方，如有缺失应及时补齐，否则视为逾期交货。</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default" w:ascii="宋体" w:hAnsi="宋体" w:eastAsia="宋体"/>
          <w:b/>
          <w:color w:val="auto"/>
          <w:szCs w:val="21"/>
          <w:highlight w:val="none"/>
          <w:lang w:val="en-US" w:eastAsia="zh-CN"/>
        </w:rPr>
      </w:pPr>
      <w:bookmarkStart w:id="85" w:name="_Toc1854"/>
      <w:r>
        <w:rPr>
          <w:rFonts w:hint="eastAsia" w:ascii="宋体" w:hAnsi="宋体"/>
          <w:b/>
          <w:color w:val="auto"/>
          <w:szCs w:val="21"/>
          <w:highlight w:val="none"/>
          <w:lang w:val="en-US" w:eastAsia="zh-CN"/>
        </w:rPr>
        <w:t>5.如遇甲方保障应急性物资采购，甲方可根据单位需求另行采购。</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r>
        <w:rPr>
          <w:rFonts w:hint="eastAsia" w:ascii="宋体" w:hAnsi="宋体"/>
          <w:b/>
          <w:color w:val="auto"/>
          <w:szCs w:val="21"/>
          <w:highlight w:val="none"/>
        </w:rPr>
        <w:t>第六条　安装和培训</w:t>
      </w:r>
      <w:bookmarkEnd w:id="8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甲方</w:t>
      </w:r>
      <w:r>
        <w:rPr>
          <w:rFonts w:hint="eastAsia" w:ascii="宋体" w:hAnsi="宋体"/>
          <w:color w:val="auto"/>
          <w:szCs w:val="21"/>
          <w:highlight w:val="none"/>
          <w:u w:val="single"/>
        </w:rPr>
        <w:t>指定地点  。</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6" w:name="_Toc30325"/>
      <w:r>
        <w:rPr>
          <w:rFonts w:hint="eastAsia" w:ascii="宋体" w:hAnsi="宋体"/>
          <w:b/>
          <w:color w:val="auto"/>
          <w:szCs w:val="21"/>
          <w:highlight w:val="none"/>
        </w:rPr>
        <w:t xml:space="preserve">第七条  </w:t>
      </w:r>
      <w:r>
        <w:rPr>
          <w:rFonts w:hint="eastAsia" w:ascii="宋体" w:hAnsi="宋体" w:cs="宋体"/>
          <w:b/>
          <w:color w:val="auto"/>
          <w:highlight w:val="none"/>
        </w:rPr>
        <w:t>售后服务</w:t>
      </w:r>
      <w:r>
        <w:rPr>
          <w:rFonts w:hint="eastAsia" w:ascii="宋体" w:hAnsi="宋体"/>
          <w:b/>
          <w:color w:val="auto"/>
          <w:szCs w:val="21"/>
          <w:highlight w:val="none"/>
        </w:rPr>
        <w:t>、保修期</w:t>
      </w:r>
      <w:bookmarkEnd w:id="8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、响应文件和本合同所附的《服务承诺》，为甲方提供售后服务。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2.免费保修期；</w:t>
      </w:r>
      <w:r>
        <w:rPr>
          <w:rFonts w:hint="eastAsia" w:ascii="宋体" w:hAnsi="宋体"/>
          <w:color w:val="auto"/>
          <w:szCs w:val="21"/>
          <w:highlight w:val="none"/>
          <w:u w:val="single"/>
        </w:rPr>
        <w:t xml:space="preserve"> 按乙方响应文件中承诺的不少于采购要求的免费保修期限。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7" w:name="_Toc32219"/>
      <w:r>
        <w:rPr>
          <w:rFonts w:hint="eastAsia" w:ascii="宋体" w:hAnsi="宋体"/>
          <w:b/>
          <w:color w:val="auto"/>
          <w:szCs w:val="21"/>
          <w:highlight w:val="none"/>
        </w:rPr>
        <w:t>第八条　付款方式</w:t>
      </w:r>
      <w:r>
        <w:rPr>
          <w:rFonts w:hint="eastAsia" w:ascii="宋体" w:hAnsi="宋体"/>
          <w:b/>
          <w:color w:val="auto"/>
          <w:szCs w:val="21"/>
          <w:highlight w:val="none"/>
          <w:lang w:eastAsia="zh-CN"/>
        </w:rPr>
        <w:t>、结算方式</w:t>
      </w:r>
      <w:r>
        <w:rPr>
          <w:rFonts w:hint="eastAsia" w:ascii="宋体" w:hAnsi="宋体"/>
          <w:b/>
          <w:color w:val="auto"/>
          <w:szCs w:val="21"/>
          <w:highlight w:val="none"/>
        </w:rPr>
        <w:t>和履约保证金</w:t>
      </w:r>
      <w:bookmarkEnd w:id="87"/>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highlight w:val="none"/>
        </w:rPr>
      </w:pPr>
      <w:r>
        <w:rPr>
          <w:rFonts w:hint="eastAsia" w:ascii="宋体" w:hAnsi="宋体"/>
          <w:color w:val="auto"/>
          <w:highlight w:val="none"/>
        </w:rPr>
        <w:t>1.资金性质：</w:t>
      </w:r>
      <w:r>
        <w:rPr>
          <w:rFonts w:hint="eastAsia" w:ascii="宋体" w:hAnsi="宋体"/>
          <w:color w:val="auto"/>
          <w:highlight w:val="none"/>
          <w:u w:val="single"/>
        </w:rPr>
        <w:t xml:space="preserve">  财政性资金    </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olor w:val="auto"/>
          <w:highlight w:val="none"/>
        </w:rPr>
        <w:t>2.付款方式：</w:t>
      </w:r>
      <w:r>
        <w:rPr>
          <w:rFonts w:hint="eastAsia" w:ascii="宋体" w:hAnsi="宋体" w:cs="宋体"/>
          <w:color w:val="auto"/>
          <w:szCs w:val="21"/>
          <w:highlight w:val="none"/>
        </w:rPr>
        <w:t>本项目根据</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实际需求分批、分期供货，</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以实际</w:t>
      </w:r>
      <w:r>
        <w:rPr>
          <w:rFonts w:hint="eastAsia" w:ascii="宋体" w:hAnsi="宋体" w:cs="宋体"/>
          <w:color w:val="auto"/>
          <w:szCs w:val="21"/>
          <w:highlight w:val="none"/>
          <w:lang w:eastAsia="zh-CN"/>
        </w:rPr>
        <w:t>供应的材料设备</w:t>
      </w:r>
      <w:r>
        <w:rPr>
          <w:rFonts w:hint="eastAsia" w:ascii="宋体" w:hAnsi="宋体" w:cs="宋体"/>
          <w:color w:val="auto"/>
          <w:szCs w:val="21"/>
          <w:highlight w:val="none"/>
        </w:rPr>
        <w:t>按月进行结算；</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须向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开具与当月结算金额相应正规发票，同时提供与当月发票金额相应的材料明细及送货单，</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于收到上述材料之日起15个工作日内一次性支付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当月相应金额的费用（无息，</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在支付每批材料款前，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提供相应增值税专用发票）。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3.结算方式：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①</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按综合折扣率（%）方式进行报价。在供应期限内结算方式为：“后勤水电木日常维修材料供应清单”内供应的某材料结算金额=“后勤水电木日常维修材料供应清单”中某材料所列单价×实际供应数量×成交综合折扣率（%）；“后勤水电木日常维修材料供应清单”外供应的某材料，由乙方提交报价单，经甲乙双方协商一致后，按双方确认的最终报价结算。</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highlight w:val="none"/>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.本项目最终结算的合同总价款不得超出预算金额。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 w:val="21"/>
          <w:highlight w:val="none"/>
        </w:rPr>
      </w:pPr>
      <w:r>
        <w:rPr>
          <w:rFonts w:hint="eastAsia" w:ascii="宋体" w:hAnsi="宋体"/>
          <w:color w:val="auto"/>
          <w:sz w:val="21"/>
          <w:highlight w:val="none"/>
          <w:lang w:val="en-US" w:eastAsia="zh-CN"/>
        </w:rPr>
        <w:t>4</w:t>
      </w:r>
      <w:r>
        <w:rPr>
          <w:rFonts w:hint="eastAsia" w:ascii="宋体" w:hAnsi="宋体"/>
          <w:color w:val="auto"/>
          <w:sz w:val="21"/>
          <w:highlight w:val="none"/>
        </w:rPr>
        <w:t>.履约保证金：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olor w:val="auto"/>
          <w:sz w:val="21"/>
          <w:highlight w:val="none"/>
          <w:lang w:val="en-US" w:eastAsia="zh-CN"/>
        </w:rPr>
        <w:t>履约担保的形式：银行保函、电汇（或转账、支票）。以银行保函的方式，由乙方根据签订合同内容分别出具相对应有效的银行履约函至甲方指定账户。以电汇（或转账、支票）的方式由乙方在合同签订前将履约保证金以转账、电汇形式缴入甲方指定账户（具体账户信息由甲方提供）。</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b/>
          <w:bCs/>
          <w:color w:val="auto"/>
          <w:sz w:val="21"/>
          <w:highlight w:val="none"/>
          <w:lang w:val="en-US" w:eastAsia="zh-CN"/>
        </w:rPr>
      </w:pPr>
      <w:r>
        <w:rPr>
          <w:rFonts w:hint="eastAsia" w:ascii="宋体" w:hAnsi="宋体" w:eastAsia="宋体"/>
          <w:b/>
          <w:bCs/>
          <w:color w:val="auto"/>
          <w:sz w:val="21"/>
          <w:highlight w:val="none"/>
          <w:lang w:val="en-US" w:eastAsia="zh-CN"/>
        </w:rPr>
        <w:t>履约担保的金额：</w:t>
      </w:r>
      <w:r>
        <w:rPr>
          <w:rFonts w:hint="eastAsia" w:ascii="宋体" w:hAnsi="宋体"/>
          <w:b/>
          <w:bCs/>
          <w:color w:val="auto"/>
          <w:sz w:val="21"/>
          <w:highlight w:val="none"/>
          <w:lang w:val="en-US" w:eastAsia="zh-CN"/>
        </w:rPr>
        <w:t>壹万元整（¥10000.00）</w:t>
      </w:r>
      <w:r>
        <w:rPr>
          <w:rFonts w:hint="eastAsia" w:ascii="宋体" w:hAnsi="宋体" w:eastAsia="宋体"/>
          <w:b/>
          <w:bCs/>
          <w:color w:val="auto"/>
          <w:sz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履约保证金指定帐户</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开户名称：桂林航天工业学院</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开户银行：中国建设银行股份有限公司桂林高新技术开发区支行</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账号：45001635207050507101</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（注意：请付款方注明受款人姓名及款项用途）。</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olor w:val="auto"/>
          <w:sz w:val="21"/>
          <w:highlight w:val="none"/>
          <w:lang w:val="en-US" w:eastAsia="zh-CN"/>
        </w:rPr>
        <w:t>如果乙方没能按上述（1）款规定执行，将取消该成交决定并没收其竞标保证金（如有），并有权将成交授予另一个成交候选人或重新采购。</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项目履约完成验收合格后，乙方将履约保证金退付意见书送交甲方，并办理履约保证金退款手续，甲方在十五个工作日内将履约保证金退还给乙方。如乙方不按双方签订的合同规定履约，其全部履约保证金不予退还，履约保证金不足以赔偿损失的，按实际损失赔偿。</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（4）在履约保证金到期退还前，若乙方的开户名称、基本开户银行、账号有变动的，以书面形式通知甲方，否则由此产生的后果由乙方自负。</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8" w:name="_Toc14267"/>
      <w:r>
        <w:rPr>
          <w:rFonts w:hint="eastAsia" w:ascii="宋体" w:hAnsi="宋体"/>
          <w:b/>
          <w:color w:val="auto"/>
          <w:szCs w:val="21"/>
          <w:highlight w:val="none"/>
        </w:rPr>
        <w:t>第九条  税费本合同执行中相关的一切税费均由乙方负担。</w:t>
      </w:r>
      <w:bookmarkEnd w:id="88"/>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9" w:name="_Toc27732"/>
      <w:r>
        <w:rPr>
          <w:rFonts w:hint="eastAsia" w:ascii="宋体" w:hAnsi="宋体"/>
          <w:b/>
          <w:color w:val="auto"/>
          <w:szCs w:val="21"/>
          <w:highlight w:val="none"/>
        </w:rPr>
        <w:t>第十条  质量</w:t>
      </w:r>
      <w:r>
        <w:rPr>
          <w:rFonts w:hint="eastAsia" w:ascii="宋体" w:hAnsi="宋体" w:cs="宋体"/>
          <w:b/>
          <w:color w:val="auto"/>
          <w:highlight w:val="none"/>
        </w:rPr>
        <w:t>保证</w:t>
      </w:r>
      <w:r>
        <w:rPr>
          <w:rFonts w:hint="eastAsia" w:ascii="宋体" w:hAnsi="宋体"/>
          <w:b/>
          <w:color w:val="auto"/>
          <w:szCs w:val="21"/>
          <w:highlight w:val="none"/>
        </w:rPr>
        <w:t>及售后服务</w:t>
      </w:r>
      <w:bookmarkEnd w:id="8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1.乙方应按</w:t>
      </w:r>
      <w:r>
        <w:rPr>
          <w:rFonts w:hint="eastAsia" w:ascii="宋体" w:hAnsi="宋体"/>
          <w:color w:val="auto"/>
          <w:szCs w:val="21"/>
          <w:highlight w:val="none"/>
          <w:lang w:eastAsia="zh-CN"/>
        </w:rPr>
        <w:t>磋商文件</w:t>
      </w:r>
      <w:r>
        <w:rPr>
          <w:rFonts w:hint="eastAsia" w:ascii="宋体" w:hAnsi="宋体"/>
          <w:color w:val="auto"/>
          <w:szCs w:val="21"/>
          <w:highlight w:val="none"/>
        </w:rPr>
        <w:t>规定及响应文件承诺的货物性能、技术要求、质量标准向甲方提供未经使用的全新产品。</w:t>
      </w:r>
      <w:r>
        <w:rPr>
          <w:rFonts w:hint="eastAsia" w:ascii="宋体" w:hAnsi="宋体"/>
          <w:color w:val="auto"/>
          <w:highlight w:val="none"/>
        </w:rPr>
        <w:t>乙方提供货物的质量保证期按交货验收合格之日起计。在保证期内因货物本身的质量问题发生故障，乙方应负责免费修理和更换零部件；如是装修问题引起的质量问题，乙方应免费进行修补或维修或更换新材料。对达不到技术要求者，根据实际情况，经双方协商，可按以下办法处理</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（1）更换：由乙方承担所发生的全部费用。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（2）贬值处理：由甲乙双方合议定价。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2.如在使用过程中发生质量问题，乙方在接到甲方通知后在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小时内到达甲方现场。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4.上述的货物免费保修期为 按</w:t>
      </w:r>
      <w:r>
        <w:rPr>
          <w:rFonts w:hint="eastAsia" w:ascii="宋体" w:hAnsi="宋体"/>
          <w:color w:val="auto"/>
          <w:szCs w:val="21"/>
          <w:highlight w:val="none"/>
          <w:u w:val="single"/>
        </w:rPr>
        <w:t>乙方响应文件中的承诺</w:t>
      </w:r>
      <w:r>
        <w:rPr>
          <w:rFonts w:hint="eastAsia" w:ascii="宋体" w:hAnsi="宋体"/>
          <w:color w:val="auto"/>
          <w:szCs w:val="21"/>
          <w:highlight w:val="none"/>
        </w:rPr>
        <w:t>，因人为因素出现的故障不在免费保修范围内。超过保修期的</w:t>
      </w:r>
      <w:r>
        <w:rPr>
          <w:rFonts w:hint="eastAsia" w:ascii="宋体" w:hAnsi="宋体"/>
          <w:color w:val="auto"/>
          <w:szCs w:val="21"/>
          <w:highlight w:val="none"/>
          <w:lang w:eastAsia="zh-CN"/>
        </w:rPr>
        <w:t>材料设备</w:t>
      </w:r>
      <w:r>
        <w:rPr>
          <w:rFonts w:hint="eastAsia" w:ascii="宋体" w:hAnsi="宋体"/>
          <w:color w:val="auto"/>
          <w:szCs w:val="21"/>
          <w:highlight w:val="none"/>
        </w:rPr>
        <w:t>，终生维修，维修时只收部件成本费。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rPr>
        <w:t>免费</w:t>
      </w:r>
      <w:r>
        <w:rPr>
          <w:rFonts w:hint="eastAsia" w:ascii="宋体" w:hAnsi="宋体"/>
          <w:color w:val="auto"/>
          <w:szCs w:val="21"/>
          <w:highlight w:val="none"/>
        </w:rPr>
        <w:t>送货上门，免费安装、免费调试，免费提供现场技术培训，保证使用人员正常操作设备的各种功能；若设备自带软件，</w:t>
      </w:r>
      <w:r>
        <w:rPr>
          <w:rFonts w:hint="eastAsia" w:ascii="宋体" w:hAnsi="宋体"/>
          <w:color w:val="auto"/>
          <w:szCs w:val="21"/>
          <w:highlight w:val="none"/>
          <w:lang w:eastAsia="zh-CN"/>
        </w:rPr>
        <w:t>则在保修期内免费升级</w:t>
      </w:r>
      <w:r>
        <w:rPr>
          <w:rFonts w:hint="eastAsia" w:ascii="宋体" w:hAnsi="宋体"/>
          <w:color w:val="auto"/>
          <w:szCs w:val="21"/>
          <w:highlight w:val="none"/>
        </w:rPr>
        <w:t>；其余按</w:t>
      </w:r>
      <w:r>
        <w:rPr>
          <w:rFonts w:hint="eastAsia" w:ascii="宋体" w:hAnsi="宋体"/>
          <w:color w:val="auto"/>
          <w:szCs w:val="21"/>
          <w:highlight w:val="none"/>
          <w:lang w:eastAsia="zh-CN"/>
        </w:rPr>
        <w:t>磋商供应商</w:t>
      </w:r>
      <w:r>
        <w:rPr>
          <w:rFonts w:hint="eastAsia" w:ascii="宋体" w:hAnsi="宋体"/>
          <w:color w:val="auto"/>
          <w:szCs w:val="21"/>
          <w:highlight w:val="none"/>
        </w:rPr>
        <w:t>承诺进行。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Times New Roman"/>
          <w:color w:val="auto"/>
          <w:szCs w:val="21"/>
          <w:highlight w:val="none"/>
        </w:rPr>
        <w:t>.提供</w:t>
      </w:r>
      <w:r>
        <w:rPr>
          <w:rFonts w:hint="eastAsia" w:ascii="宋体" w:hAnsi="宋体"/>
          <w:color w:val="auto"/>
          <w:szCs w:val="21"/>
          <w:highlight w:val="none"/>
        </w:rPr>
        <w:t>售后服务联系电话及联系人，</w:t>
      </w:r>
      <w:r>
        <w:rPr>
          <w:rFonts w:hint="eastAsia" w:ascii="宋体" w:hAnsi="宋体"/>
          <w:color w:val="auto"/>
          <w:szCs w:val="21"/>
          <w:highlight w:val="none"/>
          <w:lang w:eastAsia="zh-CN"/>
        </w:rPr>
        <w:t>免费保修期（质保期）内</w:t>
      </w:r>
      <w:r>
        <w:rPr>
          <w:rFonts w:hint="eastAsia" w:ascii="宋体" w:hAnsi="宋体"/>
          <w:color w:val="auto"/>
          <w:szCs w:val="21"/>
          <w:highlight w:val="none"/>
        </w:rPr>
        <w:t>，如果需要更换配件的，要求更换的配件应跟被更换的品牌、类型相一致或者是同类同档次的替代品，后者需征得用户方管理人员同意。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7.提供保修期外零配件优惠供应方案。</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s="宋体"/>
          <w:b/>
          <w:bCs/>
          <w:color w:val="auto"/>
          <w:highlight w:val="none"/>
        </w:rPr>
      </w:pPr>
      <w:bookmarkStart w:id="90" w:name="_Toc28811"/>
      <w:r>
        <w:rPr>
          <w:rFonts w:hint="eastAsia" w:ascii="宋体" w:hAnsi="宋体"/>
          <w:b/>
          <w:color w:val="auto"/>
          <w:szCs w:val="21"/>
          <w:highlight w:val="none"/>
        </w:rPr>
        <w:t xml:space="preserve">第十一条  </w:t>
      </w:r>
      <w:r>
        <w:rPr>
          <w:rFonts w:hint="eastAsia" w:ascii="宋体" w:hAnsi="宋体" w:cs="宋体"/>
          <w:b/>
          <w:bCs/>
          <w:color w:val="auto"/>
          <w:highlight w:val="none"/>
        </w:rPr>
        <w:t>验收标准：</w:t>
      </w:r>
      <w:bookmarkEnd w:id="9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1.质量标准：</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在供应期限内所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质量符合</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要求及国家标准，且必须是按厂家出厂标准配置提供的整套全新，具备正规合法经销渠道，符合国家各项有关质量标准的合格产品。相关部件及服务须满足竞争性</w:t>
      </w:r>
      <w:r>
        <w:rPr>
          <w:rFonts w:hint="eastAsia" w:ascii="宋体" w:hAnsi="宋体" w:cs="宋体"/>
          <w:b w:val="0"/>
          <w:bCs/>
          <w:color w:val="auto"/>
          <w:highlight w:val="none"/>
          <w:lang w:eastAsia="zh-CN"/>
        </w:rPr>
        <w:t>磋商文件</w:t>
      </w:r>
      <w:r>
        <w:rPr>
          <w:rFonts w:hint="eastAsia" w:ascii="宋体" w:hAnsi="宋体" w:cs="宋体"/>
          <w:b w:val="0"/>
          <w:bCs/>
          <w:color w:val="auto"/>
          <w:highlight w:val="none"/>
        </w:rPr>
        <w:t>的各项要求。所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除满足竞争性</w:t>
      </w:r>
      <w:r>
        <w:rPr>
          <w:rFonts w:hint="eastAsia" w:ascii="宋体" w:hAnsi="宋体" w:cs="宋体"/>
          <w:b w:val="0"/>
          <w:bCs/>
          <w:color w:val="auto"/>
          <w:highlight w:val="none"/>
          <w:lang w:eastAsia="zh-CN"/>
        </w:rPr>
        <w:t>磋商文件</w:t>
      </w:r>
      <w:r>
        <w:rPr>
          <w:rFonts w:hint="eastAsia" w:ascii="宋体" w:hAnsi="宋体" w:cs="宋体"/>
          <w:b w:val="0"/>
          <w:bCs/>
          <w:color w:val="auto"/>
          <w:highlight w:val="none"/>
        </w:rPr>
        <w:t>的技术参数和配置外，其余均按国家标准及生产厂家出厂标准配置，若所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在运输过程中损坏须无偿调换同样材料。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b w:val="0"/>
          <w:bCs/>
          <w:color w:val="auto"/>
          <w:szCs w:val="21"/>
          <w:highlight w:val="none"/>
        </w:rPr>
      </w:pPr>
      <w:r>
        <w:rPr>
          <w:rFonts w:hint="eastAsia" w:ascii="宋体" w:hAnsi="宋体" w:cs="宋体"/>
          <w:b w:val="0"/>
          <w:bCs/>
          <w:color w:val="auto"/>
          <w:highlight w:val="none"/>
        </w:rPr>
        <w:t>2.</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在供应期限内所供应材料须保证涉及到的知识产权和所提供的相关技术资料是合法取得，并享有完整的</w:t>
      </w:r>
      <w:r>
        <w:rPr>
          <w:rFonts w:hint="eastAsia" w:ascii="宋体" w:hAnsi="宋体" w:cs="Times New Roman"/>
          <w:color w:val="auto"/>
          <w:szCs w:val="21"/>
          <w:highlight w:val="none"/>
        </w:rPr>
        <w:t>知识</w:t>
      </w:r>
      <w:r>
        <w:rPr>
          <w:rFonts w:hint="eastAsia" w:ascii="宋体" w:hAnsi="宋体" w:cs="宋体"/>
          <w:b w:val="0"/>
          <w:bCs/>
          <w:color w:val="auto"/>
          <w:highlight w:val="none"/>
        </w:rPr>
        <w:t>产权，不会因为</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的使用而被责令停止使用、追偿或要求赔偿损失。</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1" w:name="_Toc25556"/>
      <w:r>
        <w:rPr>
          <w:rFonts w:hint="eastAsia" w:ascii="宋体" w:hAnsi="宋体"/>
          <w:b/>
          <w:color w:val="auto"/>
          <w:szCs w:val="21"/>
          <w:highlight w:val="none"/>
        </w:rPr>
        <w:t>第十二条　</w:t>
      </w:r>
      <w:r>
        <w:rPr>
          <w:rFonts w:hint="eastAsia" w:ascii="宋体" w:hAnsi="宋体" w:cs="宋体"/>
          <w:b/>
          <w:color w:val="auto"/>
          <w:highlight w:val="none"/>
        </w:rPr>
        <w:t>违约</w:t>
      </w:r>
      <w:r>
        <w:rPr>
          <w:rFonts w:hint="eastAsia" w:ascii="宋体" w:hAnsi="宋体"/>
          <w:b/>
          <w:color w:val="auto"/>
          <w:szCs w:val="21"/>
          <w:highlight w:val="none"/>
        </w:rPr>
        <w:t>责任</w:t>
      </w:r>
      <w:bookmarkEnd w:id="91"/>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乙方</w:t>
      </w:r>
      <w:r>
        <w:rPr>
          <w:rFonts w:hint="eastAsia" w:ascii="宋体" w:hAnsi="宋体"/>
          <w:color w:val="auto"/>
          <w:szCs w:val="21"/>
          <w:highlight w:val="none"/>
        </w:rPr>
        <w:t>提供的货物如侵犯了第三方合法权益而引发的任何纠纷或诉讼，均由乙方负责交涉并承担全部责任。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Times New Roman"/>
          <w:color w:val="auto"/>
          <w:szCs w:val="21"/>
          <w:highlight w:val="none"/>
        </w:rPr>
        <w:t>甲方</w:t>
      </w:r>
      <w:r>
        <w:rPr>
          <w:rFonts w:hint="eastAsia" w:ascii="宋体" w:hAnsi="宋体"/>
          <w:color w:val="auto"/>
          <w:szCs w:val="21"/>
          <w:highlight w:val="none"/>
        </w:rPr>
        <w:t>无故延期接收货物、乙方逾期交货的，每天向对方偿付违约货款额3‰违约金，但违约金累计不得超过违约货款额</w:t>
      </w:r>
      <w:r>
        <w:rPr>
          <w:rFonts w:hint="eastAsia" w:ascii="宋体" w:hAnsi="宋体"/>
          <w:color w:val="auto"/>
          <w:szCs w:val="21"/>
          <w:highlight w:val="none"/>
          <w:u w:val="single"/>
        </w:rPr>
        <w:t>5%</w:t>
      </w:r>
      <w:r>
        <w:rPr>
          <w:rFonts w:hint="eastAsia" w:ascii="宋体" w:hAnsi="宋体"/>
          <w:color w:val="auto"/>
          <w:szCs w:val="21"/>
          <w:highlight w:val="none"/>
        </w:rPr>
        <w:t>，超过</w:t>
      </w:r>
      <w:r>
        <w:rPr>
          <w:rFonts w:hint="eastAsia" w:ascii="宋体" w:hAnsi="宋体"/>
          <w:color w:val="auto"/>
          <w:szCs w:val="21"/>
          <w:highlight w:val="none"/>
          <w:u w:val="single"/>
        </w:rPr>
        <w:t xml:space="preserve"> 30  </w:t>
      </w:r>
      <w:r>
        <w:rPr>
          <w:rFonts w:hint="eastAsia" w:ascii="宋体" w:hAnsi="宋体"/>
          <w:color w:val="auto"/>
          <w:szCs w:val="21"/>
          <w:highlight w:val="none"/>
        </w:rPr>
        <w:t>天对方有权解除合同，违约方承担因此给对方造成经济损失；甲方延期付货款的，每天向乙方偿付延期货款额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滞纳金，但滞纳金累计不得超过延期货款额</w:t>
      </w:r>
      <w:r>
        <w:rPr>
          <w:rFonts w:hint="eastAsia" w:ascii="宋体" w:hAnsi="宋体"/>
          <w:color w:val="auto"/>
          <w:szCs w:val="21"/>
          <w:highlight w:val="none"/>
          <w:u w:val="single"/>
        </w:rPr>
        <w:t>5%</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rPr>
        <w:t>乙方</w:t>
      </w:r>
      <w:r>
        <w:rPr>
          <w:rFonts w:hint="eastAsia" w:ascii="宋体" w:hAnsi="宋体"/>
          <w:color w:val="auto"/>
          <w:szCs w:val="21"/>
          <w:highlight w:val="none"/>
        </w:rPr>
        <w:t>未按本合同和响应文件中规定的服务承诺提供售后服务的，乙方应按本合同合计金额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w:t>
      </w:r>
      <w:r>
        <w:rPr>
          <w:rFonts w:hint="eastAsia" w:ascii="宋体" w:hAnsi="宋体" w:cs="Times New Roman"/>
          <w:color w:val="auto"/>
          <w:szCs w:val="21"/>
          <w:highlight w:val="none"/>
        </w:rPr>
        <w:t>违约金</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6.乙方提供的货物在质量保证期内，因设计、工艺或材料的缺陷和其它质量原因造成的问题，由乙方负责，费用从履约保证金中扣除，不足另补。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.乙方提供的产品如侵犯了第三方合法权益或面临该等风险的，除须由乙方负责交涉并承担全部责任外，甲方有权解除本合同，乙方须返还甲方已支付货款，并按解除部分合同价款的20％支付违约金。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除本协议另有约定外，乙方若出现任何违约情形，且经甲方催告限期内未予整改的，每逾期一日，乙方应按合同总价款的1‰支付违约金；若逾期超过10日，甲方有权解除／部分解除本合同，乙方须返还甲方已支付货款，并按解除部分合同价款的20％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.若因乙方违约须承担违约责任的，甲方有权自履约保证金或应付货款中予以直接扣减，不足另补。</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.若任一方出现违约情形，除须依约承担相应的违约责任外，还应赔偿由此给相对方造成的律师费等合理费用损失。</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.其它违约行为按违约货款额5%收取违约金并赔偿经济损失。</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12.乙方发生违约行为，应赔偿甲方为主张权利支出的所有费用，包括但不限于诉讼费、律师费、保全费及保全担保费、公证费、评估及鉴定费、公告费、调查取证费、交通食宿费等。</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Arial" w:hAnsi="Arial" w:eastAsia="宋体" w:cs="Arial"/>
          <w:b/>
          <w:bCs/>
          <w:i w:val="0"/>
          <w:iCs w:val="0"/>
          <w:caps w:val="0"/>
          <w:color w:val="auto"/>
          <w:spacing w:val="0"/>
          <w:sz w:val="21"/>
          <w:szCs w:val="21"/>
          <w:highlight w:val="none"/>
          <w:shd w:val="clear" w:fill="FFFFFF"/>
          <w:lang w:val="en-US" w:eastAsia="zh-CN"/>
        </w:rPr>
      </w:pPr>
      <w:r>
        <w:rPr>
          <w:rFonts w:hint="eastAsia" w:ascii="宋体" w:hAnsi="宋体"/>
          <w:b/>
          <w:bCs/>
          <w:color w:val="auto"/>
          <w:szCs w:val="21"/>
          <w:highlight w:val="none"/>
          <w:lang w:val="en-US" w:eastAsia="zh-CN"/>
        </w:rPr>
        <w:t xml:space="preserve">第十三条 </w:t>
      </w:r>
      <w:r>
        <w:rPr>
          <w:rFonts w:hint="eastAsia" w:ascii="Arial" w:hAnsi="Arial" w:eastAsia="宋体" w:cs="Arial"/>
          <w:b/>
          <w:bCs/>
          <w:i w:val="0"/>
          <w:iCs w:val="0"/>
          <w:caps w:val="0"/>
          <w:color w:val="auto"/>
          <w:spacing w:val="0"/>
          <w:sz w:val="21"/>
          <w:szCs w:val="21"/>
          <w:highlight w:val="none"/>
          <w:shd w:val="clear" w:fill="FFFFFF"/>
          <w:lang w:val="en-US" w:eastAsia="zh-CN"/>
        </w:rPr>
        <w:t>退出机制</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合同期限内甲方将对乙方实行动态管理，由甲方有关部门负责对乙方的供货、服务情况和合同履约情况进行考核。</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日常考核中发现问题需要乙方整改的，乙方必须按期积极整改。如乙方在合同期限内在服务中有以下行为之一的，甲方有权立即取消乙方供货商资格：</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乙方不按合同履约被甲方约谈2次以上（含2次）的；</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服务期内供货价格发生3次（包含3次，1个品种计1次）供货价格高于当期投标报价，则取消供应商资格；</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无特殊情况中断向甲方供货或者不响应甲方发出的需求达2次以上（含2次）的；</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乙方应当按照招标文件要求响应甲方采购要求，未按要求响应达二次（包含二次）以上，取消供应商资格；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（5）甲方对乙方年度综合评价为不合格的。</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甲方有权追究乙方违约责任，由此给甲方造成的损失由乙方全部承担。</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乙方在服务期内如有下列行为之一的，乙方应按当月采购结算金额的5%向甲方支付违约金且甲方有权取消乙方本次服务资格。</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乙方提供虚假信息，误导或欺骗甲方单位，以谋取非法利益；</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乙方违反了诚实信用和响应承诺，没有严格执行相关质量、服务和收费标准，损害甲方单位的利益；</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拒绝接受相关部门监督和检查的；</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乙方出现信用危机、财务危机、经营危机甚至破产、倒闭，无法继续履行协议；</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乙方采用非法手段进行不正当竞争的，造成恶劣影响；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（6）乙方违反行业法律法规受到有关部门惩处或发生重大失误造成恶劣影响的。</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2" w:name="_Toc6238"/>
      <w:r>
        <w:rPr>
          <w:rFonts w:hint="eastAsia" w:ascii="宋体" w:hAnsi="宋体"/>
          <w:b/>
          <w:color w:val="auto"/>
          <w:szCs w:val="21"/>
          <w:highlight w:val="none"/>
        </w:rPr>
        <w:t>第十</w:t>
      </w:r>
      <w:r>
        <w:rPr>
          <w:rFonts w:hint="eastAsia" w:ascii="宋体" w:hAnsi="宋体"/>
          <w:b/>
          <w:color w:val="auto"/>
          <w:szCs w:val="21"/>
          <w:highlight w:val="none"/>
          <w:lang w:val="en-US" w:eastAsia="zh-CN"/>
        </w:rPr>
        <w:t>四</w:t>
      </w:r>
      <w:r>
        <w:rPr>
          <w:rFonts w:hint="eastAsia" w:ascii="宋体" w:hAnsi="宋体" w:cs="宋体"/>
          <w:b/>
          <w:color w:val="auto"/>
          <w:highlight w:val="none"/>
        </w:rPr>
        <w:t>条  不可抗力</w:t>
      </w:r>
      <w:r>
        <w:rPr>
          <w:rFonts w:hint="eastAsia" w:ascii="宋体" w:hAnsi="宋体"/>
          <w:b/>
          <w:color w:val="auto"/>
          <w:szCs w:val="21"/>
          <w:highlight w:val="none"/>
        </w:rPr>
        <w:t>事件处理</w:t>
      </w:r>
      <w:bookmarkEnd w:id="9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不可抗力</w:t>
      </w:r>
      <w:r>
        <w:rPr>
          <w:rFonts w:hint="eastAsia" w:ascii="宋体" w:hAnsi="宋体"/>
          <w:color w:val="auto"/>
          <w:szCs w:val="21"/>
          <w:highlight w:val="none"/>
        </w:rPr>
        <w:t>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Times New Roman"/>
          <w:color w:val="auto"/>
          <w:szCs w:val="21"/>
          <w:highlight w:val="none"/>
        </w:rPr>
        <w:t>不可抗力</w:t>
      </w:r>
      <w:r>
        <w:rPr>
          <w:rFonts w:hint="eastAsia" w:ascii="宋体" w:hAnsi="宋体"/>
          <w:color w:val="auto"/>
          <w:szCs w:val="21"/>
          <w:highlight w:val="none"/>
        </w:rPr>
        <w:t>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93" w:name="_Toc25854"/>
      <w:r>
        <w:rPr>
          <w:rFonts w:hint="eastAsia" w:ascii="宋体" w:hAnsi="宋体"/>
          <w:b/>
          <w:color w:val="auto"/>
          <w:szCs w:val="21"/>
          <w:highlight w:val="none"/>
        </w:rPr>
        <w:t>第十</w:t>
      </w:r>
      <w:r>
        <w:rPr>
          <w:rFonts w:hint="eastAsia" w:ascii="宋体" w:hAnsi="宋体"/>
          <w:b/>
          <w:color w:val="auto"/>
          <w:szCs w:val="21"/>
          <w:highlight w:val="none"/>
          <w:lang w:val="en-US" w:eastAsia="zh-CN"/>
        </w:rPr>
        <w:t>五</w:t>
      </w:r>
      <w:r>
        <w:rPr>
          <w:rFonts w:hint="eastAsia" w:ascii="宋体" w:hAnsi="宋体" w:cs="宋体"/>
          <w:b/>
          <w:color w:val="auto"/>
          <w:highlight w:val="none"/>
        </w:rPr>
        <w:t xml:space="preserve">条  </w:t>
      </w:r>
      <w:r>
        <w:rPr>
          <w:rFonts w:hint="eastAsia" w:ascii="宋体" w:hAnsi="宋体"/>
          <w:b/>
          <w:color w:val="auto"/>
          <w:szCs w:val="21"/>
          <w:highlight w:val="none"/>
        </w:rPr>
        <w:t>合同争议解决</w:t>
      </w:r>
      <w:bookmarkEnd w:id="93"/>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1.因货物质量问题发生争议的，应邀请国家认可的质量检测机构对货物质量或装修质量进行鉴定。货物或装修</w:t>
      </w:r>
      <w:r>
        <w:rPr>
          <w:rFonts w:hint="eastAsia" w:ascii="宋体" w:hAnsi="宋体" w:cs="Times New Roman"/>
          <w:color w:val="auto"/>
          <w:szCs w:val="21"/>
          <w:highlight w:val="none"/>
        </w:rPr>
        <w:t>符合</w:t>
      </w:r>
      <w:r>
        <w:rPr>
          <w:rFonts w:hint="eastAsia" w:ascii="宋体" w:hAnsi="宋体"/>
          <w:color w:val="auto"/>
          <w:szCs w:val="21"/>
          <w:highlight w:val="none"/>
        </w:rPr>
        <w:t>标准的，鉴定费由甲方承担；货物或装修不符合标准的，鉴定费由乙方承担。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向甲方所在地人民法院提起诉讼，由此发生的诉讼费、鉴定费、保全费、律师费等实现债权的费用，由违约方</w:t>
      </w:r>
      <w:r>
        <w:rPr>
          <w:rFonts w:hint="eastAsia" w:ascii="宋体" w:hAnsi="宋体" w:cs="Times New Roman"/>
          <w:color w:val="auto"/>
          <w:szCs w:val="21"/>
          <w:highlight w:val="none"/>
        </w:rPr>
        <w:t>承担</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Times New Roman"/>
          <w:color w:val="auto"/>
          <w:szCs w:val="21"/>
          <w:highlight w:val="none"/>
        </w:rPr>
        <w:t>诉讼</w:t>
      </w:r>
      <w:r>
        <w:rPr>
          <w:rFonts w:hint="eastAsia" w:ascii="宋体" w:hAnsi="宋体"/>
          <w:color w:val="auto"/>
          <w:szCs w:val="21"/>
          <w:highlight w:val="none"/>
        </w:rPr>
        <w:t>期间，本合同继续履行。</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4" w:name="_Toc16408"/>
      <w:r>
        <w:rPr>
          <w:rFonts w:hint="eastAsia" w:ascii="宋体" w:hAnsi="宋体"/>
          <w:b/>
          <w:color w:val="auto"/>
          <w:szCs w:val="21"/>
          <w:highlight w:val="none"/>
        </w:rPr>
        <w:t>第十</w:t>
      </w:r>
      <w:r>
        <w:rPr>
          <w:rFonts w:hint="eastAsia" w:ascii="宋体" w:hAnsi="宋体"/>
          <w:b/>
          <w:color w:val="auto"/>
          <w:szCs w:val="21"/>
          <w:highlight w:val="none"/>
          <w:lang w:val="en-US" w:eastAsia="zh-CN"/>
        </w:rPr>
        <w:t>六</w:t>
      </w:r>
      <w:r>
        <w:rPr>
          <w:rFonts w:hint="eastAsia" w:ascii="宋体" w:hAnsi="宋体" w:cs="宋体"/>
          <w:b/>
          <w:color w:val="auto"/>
          <w:highlight w:val="none"/>
        </w:rPr>
        <w:t xml:space="preserve">条  </w:t>
      </w:r>
      <w:r>
        <w:rPr>
          <w:rFonts w:hint="eastAsia" w:ascii="宋体" w:hAnsi="宋体"/>
          <w:b/>
          <w:color w:val="auto"/>
          <w:szCs w:val="21"/>
          <w:highlight w:val="none"/>
        </w:rPr>
        <w:t>合同生效及其它</w:t>
      </w:r>
      <w:bookmarkEnd w:id="94"/>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1.合同经双方法定代表人(负责人)或授权代表（委托代理人）签字并加盖单位公章后生效。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合同执行中涉及采购资金和采购内容修改或补充的，需经同级财政部门审批，并签订书面补充协议报同级</w:t>
      </w:r>
      <w:r>
        <w:rPr>
          <w:rFonts w:hint="eastAsia" w:ascii="宋体" w:hAnsi="宋体" w:cs="Times New Roman"/>
          <w:color w:val="auto"/>
          <w:szCs w:val="21"/>
          <w:highlight w:val="none"/>
        </w:rPr>
        <w:t>财政</w:t>
      </w:r>
      <w:r>
        <w:rPr>
          <w:rFonts w:hint="eastAsia" w:ascii="宋体" w:hAnsi="宋体" w:cs="宋体"/>
          <w:color w:val="auto"/>
          <w:szCs w:val="21"/>
          <w:highlight w:val="none"/>
        </w:rPr>
        <w:t>部门备案，方可作为主合同不可分割的一部分。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有关条文执行。</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5" w:name="_Toc11465"/>
      <w:r>
        <w:rPr>
          <w:rFonts w:hint="eastAsia" w:ascii="宋体" w:hAnsi="宋体"/>
          <w:b/>
          <w:color w:val="auto"/>
          <w:szCs w:val="21"/>
          <w:highlight w:val="none"/>
        </w:rPr>
        <w:t>第十</w:t>
      </w:r>
      <w:r>
        <w:rPr>
          <w:rFonts w:hint="eastAsia" w:ascii="宋体" w:hAnsi="宋体"/>
          <w:b/>
          <w:color w:val="auto"/>
          <w:szCs w:val="21"/>
          <w:highlight w:val="none"/>
          <w:lang w:val="en-US" w:eastAsia="zh-CN"/>
        </w:rPr>
        <w:t>七</w:t>
      </w:r>
      <w:r>
        <w:rPr>
          <w:rFonts w:hint="eastAsia" w:ascii="宋体" w:hAnsi="宋体"/>
          <w:b/>
          <w:color w:val="auto"/>
          <w:szCs w:val="21"/>
          <w:highlight w:val="none"/>
        </w:rPr>
        <w:t>条　</w:t>
      </w:r>
      <w:r>
        <w:rPr>
          <w:rFonts w:hint="eastAsia" w:ascii="宋体" w:hAnsi="宋体" w:cs="宋体"/>
          <w:b/>
          <w:color w:val="auto"/>
          <w:highlight w:val="none"/>
        </w:rPr>
        <w:t>合同</w:t>
      </w:r>
      <w:r>
        <w:rPr>
          <w:rFonts w:hint="eastAsia" w:ascii="宋体" w:hAnsi="宋体"/>
          <w:b/>
          <w:color w:val="auto"/>
          <w:szCs w:val="21"/>
          <w:highlight w:val="none"/>
        </w:rPr>
        <w:t>的变更、终止与转让</w:t>
      </w:r>
      <w:bookmarkEnd w:id="9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乙方</w:t>
      </w:r>
      <w:r>
        <w:rPr>
          <w:rFonts w:hint="eastAsia" w:ascii="宋体" w:hAnsi="宋体"/>
          <w:color w:val="auto"/>
          <w:szCs w:val="21"/>
          <w:highlight w:val="none"/>
        </w:rPr>
        <w:t>不得擅自转让（无进口资格的供应商委托进口货物除外）其应履行的合同义务。</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6" w:name="_Toc27116"/>
      <w:r>
        <w:rPr>
          <w:rFonts w:hint="eastAsia" w:ascii="宋体" w:hAnsi="宋体"/>
          <w:b/>
          <w:color w:val="auto"/>
          <w:szCs w:val="21"/>
          <w:highlight w:val="none"/>
        </w:rPr>
        <w:t>第十</w:t>
      </w:r>
      <w:r>
        <w:rPr>
          <w:rFonts w:hint="eastAsia" w:ascii="宋体" w:hAnsi="宋体"/>
          <w:b/>
          <w:color w:val="auto"/>
          <w:szCs w:val="21"/>
          <w:highlight w:val="none"/>
          <w:lang w:val="en-US" w:eastAsia="zh-CN"/>
        </w:rPr>
        <w:t>八</w:t>
      </w:r>
      <w:r>
        <w:rPr>
          <w:rFonts w:hint="eastAsia" w:ascii="宋体" w:hAnsi="宋体"/>
          <w:b/>
          <w:color w:val="auto"/>
          <w:szCs w:val="21"/>
          <w:highlight w:val="none"/>
        </w:rPr>
        <w:t>条　签订本合同依据</w:t>
      </w:r>
      <w:bookmarkEnd w:id="9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磋商文件</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2.乙方提供的响应文件；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磋商活动</w:t>
      </w:r>
      <w:r>
        <w:rPr>
          <w:rFonts w:hint="eastAsia" w:ascii="宋体" w:hAnsi="宋体"/>
          <w:color w:val="auto"/>
          <w:szCs w:val="21"/>
          <w:highlight w:val="none"/>
          <w:lang w:eastAsia="zh-CN"/>
        </w:rPr>
        <w:t>记录</w:t>
      </w:r>
      <w:r>
        <w:rPr>
          <w:rFonts w:hint="eastAsia" w:ascii="宋体" w:hAnsi="宋体"/>
          <w:color w:val="auto"/>
          <w:szCs w:val="21"/>
          <w:highlight w:val="none"/>
        </w:rPr>
        <w:t>、</w:t>
      </w:r>
      <w:r>
        <w:rPr>
          <w:rFonts w:hint="eastAsia" w:ascii="宋体" w:hAnsi="宋体"/>
          <w:color w:val="auto"/>
          <w:szCs w:val="21"/>
          <w:highlight w:val="none"/>
          <w:lang w:eastAsia="zh-CN"/>
        </w:rPr>
        <w:t>应答文件</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4.成交通知书。</w:t>
      </w:r>
    </w:p>
    <w:p>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97" w:name="_Toc29004"/>
      <w:r>
        <w:rPr>
          <w:rFonts w:hint="eastAsia" w:ascii="宋体" w:hAnsi="宋体" w:cs="宋体"/>
          <w:b/>
          <w:color w:val="auto"/>
          <w:highlight w:val="none"/>
        </w:rPr>
        <w:t>第十</w:t>
      </w:r>
      <w:r>
        <w:rPr>
          <w:rFonts w:hint="eastAsia" w:ascii="宋体" w:hAnsi="宋体" w:cs="宋体"/>
          <w:b/>
          <w:color w:val="auto"/>
          <w:highlight w:val="none"/>
          <w:lang w:val="en-US" w:eastAsia="zh-CN"/>
        </w:rPr>
        <w:t>九</w:t>
      </w:r>
      <w:r>
        <w:rPr>
          <w:rFonts w:hint="eastAsia" w:ascii="宋体" w:hAnsi="宋体"/>
          <w:b/>
          <w:color w:val="auto"/>
          <w:szCs w:val="21"/>
          <w:highlight w:val="none"/>
        </w:rPr>
        <w:t>条　</w:t>
      </w:r>
      <w:r>
        <w:rPr>
          <w:rFonts w:hint="eastAsia" w:ascii="宋体" w:hAnsi="宋体"/>
          <w:color w:val="auto"/>
          <w:szCs w:val="21"/>
          <w:highlight w:val="none"/>
        </w:rPr>
        <w:t>本合同一式伍份，具有同等法律效力，</w:t>
      </w:r>
      <w:r>
        <w:rPr>
          <w:rFonts w:hint="eastAsia" w:ascii="宋体" w:hAnsi="宋体"/>
          <w:color w:val="auto"/>
          <w:szCs w:val="21"/>
          <w:highlight w:val="none"/>
          <w:lang w:eastAsia="zh-CN"/>
        </w:rPr>
        <w:t>采购代理机构</w:t>
      </w:r>
      <w:r>
        <w:rPr>
          <w:rFonts w:hint="eastAsia" w:ascii="宋体" w:hAnsi="宋体"/>
          <w:color w:val="auto"/>
          <w:szCs w:val="21"/>
          <w:highlight w:val="none"/>
        </w:rPr>
        <w:t>一份，甲乙双方各二份（可根据需要另增加）。</w:t>
      </w:r>
      <w:bookmarkEnd w:id="97"/>
    </w:p>
    <w:p>
      <w:pPr>
        <w:pStyle w:val="7"/>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60"/>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附：</w:t>
      </w:r>
      <w:r>
        <w:rPr>
          <w:rFonts w:hint="eastAsia" w:ascii="宋体" w:hAnsi="宋体" w:eastAsia="宋体" w:cs="宋体"/>
          <w:b/>
          <w:bCs/>
          <w:color w:val="auto"/>
          <w:sz w:val="21"/>
          <w:szCs w:val="21"/>
          <w:highlight w:val="none"/>
          <w:lang w:val="en-US" w:eastAsia="zh-CN"/>
        </w:rPr>
        <w:t>《</w:t>
      </w:r>
      <w:r>
        <w:rPr>
          <w:rFonts w:hint="eastAsia" w:hAnsi="宋体"/>
          <w:b/>
          <w:bCs/>
          <w:color w:val="auto"/>
          <w:highlight w:val="none"/>
        </w:rPr>
        <w:t>后勤水电木日常维修材料供应清单</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color w:val="auto"/>
          <w:szCs w:val="21"/>
          <w:highlight w:val="none"/>
        </w:rPr>
      </w:pPr>
    </w:p>
    <w:p>
      <w:pPr>
        <w:pStyle w:val="7"/>
        <w:rPr>
          <w:rFonts w:hint="eastAsia" w:ascii="宋体" w:hAnsi="宋体"/>
          <w:color w:val="auto"/>
          <w:szCs w:val="21"/>
          <w:highlight w:val="none"/>
        </w:rPr>
      </w:pPr>
    </w:p>
    <w:p>
      <w:pPr>
        <w:pStyle w:val="7"/>
        <w:rPr>
          <w:rFonts w:hint="eastAsia" w:ascii="宋体" w:hAnsi="宋体"/>
          <w:color w:val="auto"/>
          <w:szCs w:val="21"/>
          <w:highlight w:val="none"/>
        </w:rPr>
      </w:pPr>
    </w:p>
    <w:tbl>
      <w:tblPr>
        <w:tblStyle w:val="52"/>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甲方（章）</w:t>
            </w:r>
          </w:p>
          <w:p>
            <w:pPr>
              <w:snapToGrid w:val="0"/>
              <w:spacing w:line="38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乙方（章）</w:t>
            </w:r>
          </w:p>
          <w:p>
            <w:pPr>
              <w:snapToGrid w:val="0"/>
              <w:spacing w:line="380" w:lineRule="exact"/>
              <w:jc w:val="right"/>
              <w:rPr>
                <w:rFonts w:hint="eastAsia" w:ascii="宋体" w:hAnsi="宋体"/>
                <w:color w:val="auto"/>
                <w:szCs w:val="21"/>
                <w:highlight w:val="none"/>
              </w:rPr>
            </w:pPr>
            <w:r>
              <w:rPr>
                <w:rFonts w:hint="eastAsia" w:ascii="宋体" w:hAnsi="宋体"/>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单位地址：桂林市金鸡路2号</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法定代表人：</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委托代理人：</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9033" w:type="dxa"/>
            <w:gridSpan w:val="2"/>
            <w:noWrap w:val="0"/>
            <w:vAlign w:val="top"/>
          </w:tcPr>
          <w:p>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经办人：</w:t>
            </w:r>
          </w:p>
          <w:p>
            <w:pPr>
              <w:snapToGrid w:val="0"/>
              <w:spacing w:line="380" w:lineRule="exact"/>
              <w:ind w:firstLine="630" w:firstLineChars="300"/>
              <w:jc w:val="right"/>
              <w:rPr>
                <w:rFonts w:hint="eastAsia" w:ascii="宋体" w:hAnsi="宋体"/>
                <w:color w:val="auto"/>
                <w:szCs w:val="21"/>
                <w:highlight w:val="none"/>
              </w:rPr>
            </w:pPr>
          </w:p>
          <w:p>
            <w:pPr>
              <w:snapToGrid w:val="0"/>
              <w:spacing w:line="38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pPr>
        <w:widowControl/>
        <w:jc w:val="center"/>
        <w:outlineLvl w:val="0"/>
        <w:rPr>
          <w:color w:val="auto"/>
          <w:sz w:val="32"/>
          <w:szCs w:val="32"/>
          <w:highlight w:val="none"/>
        </w:rPr>
      </w:pPr>
      <w:bookmarkStart w:id="98" w:name="_Toc23769"/>
      <w:r>
        <w:rPr>
          <w:color w:val="auto"/>
          <w:sz w:val="32"/>
          <w:szCs w:val="32"/>
          <w:highlight w:val="none"/>
        </w:rPr>
        <w:t>第六章  响应文件格式</w:t>
      </w:r>
      <w:bookmarkEnd w:id="98"/>
    </w:p>
    <w:p>
      <w:pPr>
        <w:rPr>
          <w:rFonts w:hint="eastAsia"/>
          <w:color w:val="auto"/>
          <w:sz w:val="28"/>
          <w:szCs w:val="28"/>
          <w:highlight w:val="none"/>
        </w:rPr>
      </w:pPr>
      <w:bookmarkStart w:id="99" w:name="_Toc254970556"/>
      <w:bookmarkStart w:id="100" w:name="_Toc254970697"/>
    </w:p>
    <w:bookmarkEnd w:id="99"/>
    <w:bookmarkEnd w:id="100"/>
    <w:p>
      <w:pPr>
        <w:rPr>
          <w:rFonts w:hint="eastAsia"/>
          <w:color w:val="auto"/>
          <w:sz w:val="28"/>
          <w:szCs w:val="28"/>
          <w:highlight w:val="none"/>
        </w:rPr>
      </w:pPr>
    </w:p>
    <w:p>
      <w:pPr>
        <w:spacing w:line="500" w:lineRule="exact"/>
        <w:ind w:firstLine="560" w:firstLineChars="200"/>
        <w:rPr>
          <w:rFonts w:ascii="宋体" w:hAnsi="宋体"/>
          <w:color w:val="auto"/>
          <w:sz w:val="24"/>
          <w:highlight w:val="none"/>
        </w:rPr>
      </w:pPr>
      <w:bookmarkStart w:id="101" w:name="_Hlk19199063"/>
      <w:r>
        <w:rPr>
          <w:rFonts w:hint="eastAsia"/>
          <w:color w:val="auto"/>
          <w:sz w:val="28"/>
          <w:szCs w:val="28"/>
          <w:highlight w:val="none"/>
        </w:rPr>
        <w:t>注：有签字、盖章要求的应按要求</w:t>
      </w:r>
      <w:bookmarkEnd w:id="101"/>
      <w:r>
        <w:rPr>
          <w:rFonts w:hint="eastAsia"/>
          <w:color w:val="auto"/>
          <w:sz w:val="28"/>
          <w:szCs w:val="28"/>
          <w:highlight w:val="none"/>
        </w:rPr>
        <w:t>签字（签章）、盖章（签章）。</w:t>
      </w:r>
      <w:r>
        <w:rPr>
          <w:bCs/>
          <w:color w:val="auto"/>
          <w:sz w:val="24"/>
          <w:highlight w:val="none"/>
        </w:rPr>
        <w:t xml:space="preserve"> </w:t>
      </w:r>
    </w:p>
    <w:p>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102" w:name="_Hlk92966991"/>
      <w:r>
        <w:rPr>
          <w:rFonts w:hint="eastAsia" w:ascii="Times New Roman" w:hAnsi="Times New Roman" w:eastAsia="宋体" w:cs="Times New Roman"/>
          <w:b w:val="0"/>
          <w:bCs w:val="0"/>
          <w:color w:val="auto"/>
          <w:sz w:val="24"/>
          <w:highlight w:val="none"/>
        </w:rPr>
        <w:t>（资格证明文件）</w:t>
      </w:r>
      <w:bookmarkEnd w:id="102"/>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pPr>
        <w:snapToGrid w:val="0"/>
        <w:spacing w:before="120" w:beforeLines="50" w:after="50" w:line="360" w:lineRule="exact"/>
        <w:rPr>
          <w:rFonts w:ascii="Times New Roman" w:hAnsi="Times New Roman" w:eastAsia="宋体" w:cs="Times New Roman"/>
          <w:color w:val="auto"/>
          <w:sz w:val="24"/>
          <w:highlight w:val="none"/>
        </w:rPr>
      </w:pPr>
    </w:p>
    <w:p>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103"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103"/>
    <w:p>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pPr>
        <w:snapToGrid w:val="0"/>
        <w:spacing w:before="120" w:beforeLines="50" w:after="50" w:line="360" w:lineRule="exact"/>
        <w:rPr>
          <w:rFonts w:ascii="Times New Roman" w:hAnsi="Times New Roman" w:eastAsia="宋体" w:cs="Times New Roman"/>
          <w:bCs/>
          <w:color w:val="auto"/>
          <w:sz w:val="24"/>
          <w:highlight w:val="none"/>
        </w:rPr>
      </w:pPr>
    </w:p>
    <w:p>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pPr>
        <w:snapToGrid w:val="0"/>
        <w:spacing w:before="120" w:beforeLines="50" w:after="50" w:line="360" w:lineRule="exact"/>
        <w:jc w:val="center"/>
        <w:rPr>
          <w:color w:val="auto"/>
          <w:sz w:val="24"/>
          <w:highlight w:val="none"/>
        </w:rPr>
      </w:pPr>
    </w:p>
    <w:p>
      <w:pPr>
        <w:snapToGrid w:val="0"/>
        <w:spacing w:before="120" w:beforeLines="50" w:after="50" w:line="440" w:lineRule="exact"/>
        <w:jc w:val="center"/>
        <w:outlineLvl w:val="9"/>
        <w:rPr>
          <w:b/>
          <w:bCs/>
          <w:color w:val="auto"/>
          <w:sz w:val="24"/>
          <w:highlight w:val="none"/>
        </w:rPr>
      </w:pPr>
      <w:bookmarkStart w:id="104" w:name="_Toc254970698"/>
      <w:bookmarkStart w:id="105" w:name="_Toc254970557"/>
      <w:r>
        <w:rPr>
          <w:color w:val="auto"/>
          <w:sz w:val="24"/>
          <w:highlight w:val="none"/>
        </w:rPr>
        <w:br w:type="page"/>
      </w:r>
      <w:bookmarkEnd w:id="104"/>
      <w:bookmarkEnd w:id="105"/>
    </w:p>
    <w:p>
      <w:pPr>
        <w:snapToGrid w:val="0"/>
        <w:spacing w:before="120" w:beforeLines="50" w:after="50" w:line="440" w:lineRule="exact"/>
        <w:jc w:val="center"/>
        <w:rPr>
          <w:color w:val="auto"/>
          <w:sz w:val="24"/>
          <w:highlight w:val="none"/>
        </w:rPr>
      </w:pPr>
    </w:p>
    <w:p>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pPr>
        <w:jc w:val="center"/>
        <w:rPr>
          <w:b/>
          <w:color w:val="auto"/>
          <w:sz w:val="24"/>
          <w:highlight w:val="none"/>
        </w:rPr>
      </w:pPr>
      <w:r>
        <w:rPr>
          <w:b/>
          <w:color w:val="auto"/>
          <w:sz w:val="24"/>
          <w:highlight w:val="none"/>
        </w:rPr>
        <w:t>（需有页码）</w:t>
      </w:r>
    </w:p>
    <w:p>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pPr>
        <w:snapToGrid w:val="0"/>
        <w:spacing w:before="50" w:after="120" w:afterLines="50" w:line="400" w:lineRule="exact"/>
        <w:jc w:val="left"/>
        <w:rPr>
          <w:b/>
          <w:color w:val="auto"/>
          <w:szCs w:val="21"/>
          <w:highlight w:val="none"/>
        </w:rPr>
      </w:pPr>
      <w:bookmarkStart w:id="106" w:name="_Hlk19199154"/>
    </w:p>
    <w:p>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106"/>
    </w:p>
    <w:p>
      <w:pPr>
        <w:snapToGrid w:val="0"/>
        <w:spacing w:before="120" w:beforeLines="50" w:after="50" w:line="360" w:lineRule="exact"/>
        <w:jc w:val="center"/>
        <w:rPr>
          <w:b/>
          <w:color w:val="auto"/>
          <w:szCs w:val="21"/>
          <w:highlight w:val="none"/>
        </w:rPr>
      </w:pPr>
      <w:r>
        <w:rPr>
          <w:b/>
          <w:color w:val="auto"/>
          <w:szCs w:val="21"/>
          <w:highlight w:val="none"/>
        </w:rPr>
        <w:t>响应声明书</w:t>
      </w:r>
    </w:p>
    <w:p>
      <w:pPr>
        <w:snapToGrid w:val="0"/>
        <w:spacing w:before="120" w:beforeLines="50" w:after="50" w:line="360" w:lineRule="exact"/>
        <w:jc w:val="center"/>
        <w:rPr>
          <w:color w:val="auto"/>
          <w:szCs w:val="21"/>
          <w:highlight w:val="none"/>
        </w:rPr>
      </w:pPr>
    </w:p>
    <w:p>
      <w:pPr>
        <w:snapToGrid w:val="0"/>
        <w:spacing w:before="120" w:beforeLines="50" w:after="50" w:line="360" w:lineRule="exact"/>
        <w:rPr>
          <w:color w:val="auto"/>
          <w:szCs w:val="21"/>
          <w:highlight w:val="none"/>
        </w:rPr>
      </w:pPr>
      <w:bookmarkStart w:id="107"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07"/>
    <w:p>
      <w:pPr>
        <w:snapToGrid w:val="0"/>
        <w:spacing w:before="120" w:beforeLines="50" w:line="360" w:lineRule="exact"/>
        <w:ind w:firstLine="420" w:firstLineChars="200"/>
        <w:rPr>
          <w:color w:val="auto"/>
          <w:szCs w:val="21"/>
          <w:highlight w:val="none"/>
        </w:rPr>
      </w:pPr>
    </w:p>
    <w:p>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pPr>
        <w:snapToGrid w:val="0"/>
        <w:spacing w:before="120" w:beforeLines="50" w:after="50" w:line="440" w:lineRule="exact"/>
        <w:rPr>
          <w:color w:val="auto"/>
          <w:szCs w:val="21"/>
          <w:highlight w:val="none"/>
        </w:rPr>
      </w:pPr>
    </w:p>
    <w:p>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pPr>
        <w:snapToGrid w:val="0"/>
        <w:spacing w:before="50" w:after="120" w:afterLines="50" w:line="440" w:lineRule="exact"/>
        <w:jc w:val="left"/>
        <w:rPr>
          <w:color w:val="auto"/>
          <w:szCs w:val="21"/>
          <w:highlight w:val="none"/>
        </w:rPr>
      </w:pPr>
    </w:p>
    <w:p>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pPr>
        <w:snapToGrid w:val="0"/>
        <w:spacing w:before="50" w:after="120" w:afterLines="50" w:line="440" w:lineRule="exact"/>
        <w:jc w:val="left"/>
        <w:rPr>
          <w:color w:val="auto"/>
          <w:highlight w:val="none"/>
        </w:rPr>
      </w:pPr>
    </w:p>
    <w:p>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pPr>
        <w:snapToGrid w:val="0"/>
        <w:spacing w:before="50" w:after="120" w:afterLines="50" w:line="440" w:lineRule="exact"/>
        <w:jc w:val="left"/>
        <w:rPr>
          <w:color w:val="auto"/>
          <w:szCs w:val="21"/>
          <w:highlight w:val="none"/>
        </w:rPr>
      </w:pPr>
    </w:p>
    <w:p>
      <w:pPr>
        <w:snapToGrid w:val="0"/>
        <w:spacing w:before="50" w:after="120" w:afterLines="50" w:line="440" w:lineRule="exact"/>
        <w:jc w:val="left"/>
        <w:rPr>
          <w:rFonts w:hint="eastAsia"/>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pPr>
        <w:snapToGrid/>
        <w:spacing w:before="0" w:after="0" w:afterLines="-2147483648" w:line="240" w:lineRule="auto"/>
        <w:jc w:val="left"/>
        <w:rPr>
          <w:rFonts w:hint="eastAsia"/>
          <w:b/>
          <w:color w:val="auto"/>
          <w:szCs w:val="21"/>
          <w:highlight w:val="none"/>
        </w:rPr>
      </w:pPr>
      <w:r>
        <w:rPr>
          <w:rFonts w:hint="eastAsia"/>
          <w:b/>
          <w:color w:val="auto"/>
          <w:szCs w:val="21"/>
          <w:highlight w:val="none"/>
        </w:rPr>
        <w:br w:type="page"/>
      </w:r>
    </w:p>
    <w:p>
      <w:pPr>
        <w:rPr>
          <w:color w:val="auto"/>
          <w:szCs w:val="21"/>
          <w:highlight w:val="none"/>
        </w:rPr>
      </w:pP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pPr>
        <w:spacing w:line="360" w:lineRule="auto"/>
        <w:ind w:firstLine="3584" w:firstLineChars="1700"/>
        <w:rPr>
          <w:b/>
          <w:color w:val="auto"/>
          <w:szCs w:val="21"/>
          <w:highlight w:val="none"/>
        </w:rPr>
      </w:pPr>
    </w:p>
    <w:p>
      <w:pPr>
        <w:spacing w:line="360" w:lineRule="auto"/>
        <w:ind w:firstLine="3584" w:firstLineChars="1700"/>
        <w:rPr>
          <w:b/>
          <w:color w:val="auto"/>
          <w:szCs w:val="21"/>
          <w:highlight w:val="none"/>
        </w:rPr>
      </w:pPr>
      <w:r>
        <w:rPr>
          <w:rFonts w:hint="eastAsia"/>
          <w:b/>
          <w:color w:val="auto"/>
          <w:szCs w:val="21"/>
          <w:highlight w:val="none"/>
        </w:rPr>
        <w:t>中小企业声明函（服务）</w:t>
      </w:r>
    </w:p>
    <w:p>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pPr>
        <w:spacing w:line="360" w:lineRule="auto"/>
        <w:ind w:firstLine="420"/>
        <w:rPr>
          <w:bCs/>
          <w:color w:val="auto"/>
          <w:szCs w:val="21"/>
          <w:highlight w:val="none"/>
        </w:rPr>
      </w:pPr>
      <w:r>
        <w:rPr>
          <w:rFonts w:hint="eastAsia"/>
          <w:bCs/>
          <w:color w:val="auto"/>
          <w:szCs w:val="21"/>
          <w:highlight w:val="none"/>
        </w:rPr>
        <w:t>……</w:t>
      </w:r>
    </w:p>
    <w:p>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pPr>
        <w:spacing w:line="360" w:lineRule="auto"/>
        <w:jc w:val="left"/>
        <w:rPr>
          <w:bCs/>
          <w:color w:val="auto"/>
          <w:szCs w:val="21"/>
          <w:highlight w:val="none"/>
        </w:rPr>
      </w:pPr>
      <w:r>
        <w:rPr>
          <w:rFonts w:hint="eastAsia"/>
          <w:bCs/>
          <w:color w:val="auto"/>
          <w:szCs w:val="21"/>
          <w:highlight w:val="none"/>
        </w:rPr>
        <w:t>注：</w:t>
      </w:r>
    </w:p>
    <w:p>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napToGrid w:val="0"/>
        <w:spacing w:before="50" w:after="120" w:afterLines="50"/>
        <w:jc w:val="left"/>
        <w:rPr>
          <w:color w:val="auto"/>
          <w:szCs w:val="21"/>
          <w:highlight w:val="none"/>
        </w:rPr>
      </w:pPr>
    </w:p>
    <w:p>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pPr>
        <w:snapToGrid w:val="0"/>
        <w:spacing w:before="50" w:after="120" w:afterLines="50"/>
        <w:jc w:val="left"/>
        <w:rPr>
          <w:color w:val="auto"/>
          <w:szCs w:val="21"/>
          <w:highlight w:val="none"/>
        </w:rPr>
      </w:pPr>
    </w:p>
    <w:p>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pPr>
        <w:spacing w:line="360" w:lineRule="auto"/>
        <w:jc w:val="center"/>
        <w:rPr>
          <w:b/>
          <w:color w:val="auto"/>
          <w:szCs w:val="21"/>
          <w:highlight w:val="none"/>
        </w:rPr>
      </w:pPr>
    </w:p>
    <w:p>
      <w:pPr>
        <w:spacing w:line="360" w:lineRule="auto"/>
        <w:jc w:val="center"/>
        <w:rPr>
          <w:b/>
          <w:color w:val="auto"/>
          <w:szCs w:val="21"/>
          <w:highlight w:val="none"/>
        </w:rPr>
      </w:pPr>
      <w:r>
        <w:rPr>
          <w:b/>
          <w:color w:val="auto"/>
          <w:szCs w:val="21"/>
          <w:highlight w:val="none"/>
        </w:rPr>
        <w:t>残疾人福利性单位声明函</w:t>
      </w:r>
    </w:p>
    <w:p>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color w:val="auto"/>
          <w:szCs w:val="21"/>
          <w:highlight w:val="none"/>
        </w:rPr>
      </w:pPr>
      <w:r>
        <w:rPr>
          <w:color w:val="auto"/>
          <w:szCs w:val="21"/>
          <w:highlight w:val="none"/>
        </w:rPr>
        <w:t>本单位对上述声明的真实性负责。如有虚假，将依法承担相应责任。</w:t>
      </w:r>
    </w:p>
    <w:p>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pPr>
        <w:pStyle w:val="20"/>
        <w:rPr>
          <w:rFonts w:hint="eastAsia"/>
          <w:color w:val="auto"/>
          <w:highlight w:val="none"/>
        </w:rPr>
      </w:pPr>
    </w:p>
    <w:p>
      <w:pPr>
        <w:pStyle w:val="7"/>
        <w:overflowPunct w:val="0"/>
        <w:ind w:firstLine="367" w:firstLineChars="175"/>
        <w:rPr>
          <w:color w:val="auto"/>
          <w:szCs w:val="21"/>
          <w:highlight w:val="none"/>
        </w:rPr>
      </w:pPr>
      <w:r>
        <w:rPr>
          <w:color w:val="auto"/>
          <w:highlight w:val="none"/>
        </w:rPr>
        <w:br w:type="page"/>
      </w:r>
    </w:p>
    <w:p>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pPr>
              <w:spacing w:line="360" w:lineRule="auto"/>
              <w:jc w:val="center"/>
              <w:rPr>
                <w:color w:val="auto"/>
                <w:szCs w:val="21"/>
                <w:highlight w:val="none"/>
              </w:rPr>
            </w:pPr>
          </w:p>
        </w:tc>
      </w:tr>
    </w:tbl>
    <w:p>
      <w:pPr>
        <w:snapToGrid w:val="0"/>
        <w:spacing w:line="360" w:lineRule="auto"/>
        <w:jc w:val="left"/>
        <w:rPr>
          <w:color w:val="auto"/>
          <w:szCs w:val="21"/>
          <w:highlight w:val="none"/>
        </w:rPr>
      </w:pPr>
      <w:r>
        <w:rPr>
          <w:rFonts w:hint="eastAsia"/>
          <w:color w:val="auto"/>
          <w:szCs w:val="21"/>
          <w:highlight w:val="none"/>
        </w:rPr>
        <w:t>注：</w:t>
      </w:r>
    </w:p>
    <w:p>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pPr>
        <w:snapToGrid w:val="0"/>
        <w:spacing w:line="360" w:lineRule="auto"/>
        <w:ind w:firstLine="4515" w:firstLineChars="2150"/>
        <w:rPr>
          <w:color w:val="auto"/>
          <w:szCs w:val="21"/>
          <w:highlight w:val="none"/>
        </w:rPr>
      </w:pPr>
      <w:r>
        <w:rPr>
          <w:rFonts w:hint="eastAsia"/>
          <w:color w:val="auto"/>
          <w:szCs w:val="21"/>
          <w:highlight w:val="none"/>
        </w:rPr>
        <w:t>日期：  年  月   日</w:t>
      </w:r>
    </w:p>
    <w:p>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spacing w:line="360" w:lineRule="auto"/>
              <w:jc w:val="center"/>
              <w:rPr>
                <w:color w:val="auto"/>
                <w:szCs w:val="21"/>
                <w:highlight w:val="none"/>
              </w:rPr>
            </w:pPr>
          </w:p>
        </w:tc>
      </w:tr>
    </w:tbl>
    <w:p>
      <w:pPr>
        <w:snapToGrid w:val="0"/>
        <w:spacing w:line="360" w:lineRule="auto"/>
        <w:jc w:val="left"/>
        <w:rPr>
          <w:color w:val="auto"/>
          <w:szCs w:val="21"/>
          <w:highlight w:val="none"/>
        </w:rPr>
      </w:pPr>
      <w:r>
        <w:rPr>
          <w:rFonts w:hint="eastAsia"/>
          <w:color w:val="auto"/>
          <w:szCs w:val="21"/>
          <w:highlight w:val="none"/>
        </w:rPr>
        <w:t>注：</w:t>
      </w:r>
    </w:p>
    <w:p>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jc w:val="left"/>
        <w:rPr>
          <w:color w:val="auto"/>
          <w:szCs w:val="21"/>
          <w:highlight w:val="none"/>
        </w:rPr>
      </w:pPr>
    </w:p>
    <w:p>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pPr>
        <w:snapToGrid w:val="0"/>
        <w:spacing w:line="360" w:lineRule="auto"/>
        <w:ind w:firstLine="4515" w:firstLineChars="2150"/>
        <w:rPr>
          <w:color w:val="auto"/>
          <w:szCs w:val="21"/>
          <w:highlight w:val="none"/>
        </w:rPr>
      </w:pPr>
      <w:r>
        <w:rPr>
          <w:rFonts w:hint="eastAsia"/>
          <w:color w:val="auto"/>
          <w:szCs w:val="21"/>
          <w:highlight w:val="none"/>
        </w:rPr>
        <w:t>日期：  年  月   日</w:t>
      </w:r>
    </w:p>
    <w:p>
      <w:pPr>
        <w:pStyle w:val="27"/>
        <w:tabs>
          <w:tab w:val="left" w:pos="2127"/>
        </w:tabs>
        <w:spacing w:line="340" w:lineRule="exact"/>
        <w:rPr>
          <w:rFonts w:ascii="Times New Roman" w:hAnsi="Times New Roman" w:cs="Times New Roman"/>
          <w:color w:val="auto"/>
          <w:highlight w:val="none"/>
        </w:rPr>
      </w:pPr>
    </w:p>
    <w:p>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pPr>
        <w:spacing w:line="360" w:lineRule="auto"/>
        <w:jc w:val="center"/>
        <w:rPr>
          <w:b/>
          <w:bCs/>
          <w:color w:val="auto"/>
          <w:sz w:val="28"/>
          <w:szCs w:val="36"/>
          <w:highlight w:val="none"/>
        </w:rPr>
      </w:pPr>
    </w:p>
    <w:p>
      <w:pPr>
        <w:spacing w:line="360" w:lineRule="auto"/>
        <w:jc w:val="center"/>
        <w:rPr>
          <w:b/>
          <w:bCs/>
          <w:color w:val="auto"/>
          <w:sz w:val="28"/>
          <w:szCs w:val="36"/>
          <w:highlight w:val="none"/>
        </w:rPr>
      </w:pPr>
      <w:r>
        <w:rPr>
          <w:rFonts w:hint="eastAsia"/>
          <w:b/>
          <w:bCs/>
          <w:color w:val="auto"/>
          <w:sz w:val="28"/>
          <w:szCs w:val="36"/>
          <w:highlight w:val="none"/>
        </w:rPr>
        <w:t>响应保函格式</w:t>
      </w:r>
    </w:p>
    <w:p>
      <w:pPr>
        <w:snapToGrid w:val="0"/>
        <w:spacing w:before="50" w:after="120" w:afterLines="50"/>
        <w:jc w:val="left"/>
        <w:rPr>
          <w:color w:val="auto"/>
          <w:highlight w:val="none"/>
        </w:rPr>
      </w:pPr>
      <w:r>
        <w:rPr>
          <w:rFonts w:hint="eastAsia"/>
          <w:color w:val="auto"/>
          <w:highlight w:val="none"/>
        </w:rPr>
        <w:t xml:space="preserve">编号：           </w:t>
      </w:r>
    </w:p>
    <w:p>
      <w:pPr>
        <w:snapToGrid w:val="0"/>
        <w:spacing w:before="50" w:after="120" w:afterLines="50"/>
        <w:jc w:val="left"/>
        <w:rPr>
          <w:color w:val="auto"/>
          <w:highlight w:val="none"/>
        </w:rPr>
      </w:pPr>
      <w:r>
        <w:rPr>
          <w:rFonts w:hint="eastAsia"/>
          <w:color w:val="auto"/>
          <w:highlight w:val="none"/>
        </w:rPr>
        <w:t>申请人：</w:t>
      </w:r>
    </w:p>
    <w:p>
      <w:pPr>
        <w:snapToGrid w:val="0"/>
        <w:spacing w:before="50" w:after="120" w:afterLines="50"/>
        <w:jc w:val="left"/>
        <w:rPr>
          <w:color w:val="auto"/>
          <w:highlight w:val="none"/>
        </w:rPr>
      </w:pPr>
      <w:r>
        <w:rPr>
          <w:rFonts w:hint="eastAsia"/>
          <w:color w:val="auto"/>
          <w:highlight w:val="none"/>
        </w:rPr>
        <w:t>地址：</w:t>
      </w:r>
    </w:p>
    <w:p>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pPr>
        <w:snapToGrid w:val="0"/>
        <w:spacing w:before="50" w:after="120" w:afterLines="50"/>
        <w:jc w:val="left"/>
        <w:rPr>
          <w:color w:val="auto"/>
          <w:highlight w:val="none"/>
        </w:rPr>
      </w:pPr>
      <w:r>
        <w:rPr>
          <w:rFonts w:hint="eastAsia"/>
          <w:color w:val="auto"/>
          <w:highlight w:val="none"/>
        </w:rPr>
        <w:t>地址：</w:t>
      </w:r>
    </w:p>
    <w:p>
      <w:pPr>
        <w:snapToGrid w:val="0"/>
        <w:spacing w:before="50" w:after="120" w:afterLines="50"/>
        <w:jc w:val="left"/>
        <w:rPr>
          <w:color w:val="auto"/>
          <w:highlight w:val="none"/>
        </w:rPr>
      </w:pPr>
      <w:r>
        <w:rPr>
          <w:rFonts w:hint="eastAsia"/>
          <w:color w:val="auto"/>
          <w:highlight w:val="none"/>
        </w:rPr>
        <w:t>开立人：</w:t>
      </w:r>
    </w:p>
    <w:p>
      <w:pPr>
        <w:snapToGrid w:val="0"/>
        <w:spacing w:before="50" w:after="120" w:afterLines="50"/>
        <w:jc w:val="left"/>
        <w:rPr>
          <w:color w:val="auto"/>
          <w:highlight w:val="none"/>
        </w:rPr>
      </w:pPr>
      <w:r>
        <w:rPr>
          <w:rFonts w:hint="eastAsia"/>
          <w:color w:val="auto"/>
          <w:highlight w:val="none"/>
        </w:rPr>
        <w:t>地址：</w:t>
      </w:r>
    </w:p>
    <w:p>
      <w:pPr>
        <w:snapToGrid w:val="0"/>
        <w:spacing w:before="50" w:after="120" w:afterLines="50" w:line="440" w:lineRule="exact"/>
        <w:jc w:val="left"/>
        <w:rPr>
          <w:color w:val="auto"/>
          <w:highlight w:val="none"/>
        </w:rPr>
      </w:pPr>
    </w:p>
    <w:p>
      <w:pPr>
        <w:snapToGrid w:val="0"/>
        <w:spacing w:before="50" w:after="120" w:afterLines="50" w:line="276" w:lineRule="auto"/>
        <w:jc w:val="left"/>
        <w:rPr>
          <w:color w:val="auto"/>
          <w:highlight w:val="none"/>
        </w:rPr>
      </w:pPr>
      <w:r>
        <w:rPr>
          <w:rFonts w:hint="eastAsia"/>
          <w:color w:val="auto"/>
          <w:highlight w:val="none"/>
        </w:rPr>
        <w:t>致：广西机电设备招标有限公司</w:t>
      </w:r>
    </w:p>
    <w:p>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pPr>
        <w:snapToGrid w:val="0"/>
        <w:spacing w:before="50" w:after="120" w:afterLines="50" w:line="276" w:lineRule="auto"/>
        <w:jc w:val="left"/>
        <w:rPr>
          <w:color w:val="auto"/>
          <w:highlight w:val="none"/>
        </w:rPr>
      </w:pPr>
    </w:p>
    <w:p>
      <w:pPr>
        <w:snapToGrid w:val="0"/>
        <w:spacing w:before="50" w:after="120" w:afterLines="50" w:line="276" w:lineRule="auto"/>
        <w:jc w:val="left"/>
        <w:rPr>
          <w:color w:val="auto"/>
          <w:highlight w:val="none"/>
        </w:rPr>
      </w:pPr>
      <w:r>
        <w:rPr>
          <w:rFonts w:hint="eastAsia"/>
          <w:color w:val="auto"/>
          <w:highlight w:val="none"/>
        </w:rPr>
        <w:t xml:space="preserve">开 立 人：                                                  （公章） </w:t>
      </w:r>
    </w:p>
    <w:p>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pPr>
        <w:snapToGrid w:val="0"/>
        <w:spacing w:before="50" w:after="120" w:afterLines="50" w:line="276" w:lineRule="auto"/>
        <w:jc w:val="left"/>
        <w:rPr>
          <w:color w:val="auto"/>
          <w:highlight w:val="none"/>
        </w:rPr>
      </w:pPr>
      <w:r>
        <w:rPr>
          <w:rFonts w:hint="eastAsia"/>
          <w:color w:val="auto"/>
          <w:highlight w:val="none"/>
        </w:rPr>
        <w:t xml:space="preserve">地    址：                                       </w:t>
      </w:r>
    </w:p>
    <w:p>
      <w:pPr>
        <w:snapToGrid w:val="0"/>
        <w:spacing w:before="50" w:after="120" w:afterLines="50" w:line="276" w:lineRule="auto"/>
        <w:jc w:val="left"/>
        <w:rPr>
          <w:color w:val="auto"/>
          <w:highlight w:val="none"/>
        </w:rPr>
      </w:pPr>
      <w:r>
        <w:rPr>
          <w:rFonts w:hint="eastAsia"/>
          <w:color w:val="auto"/>
          <w:highlight w:val="none"/>
        </w:rPr>
        <w:t xml:space="preserve">邮政编码：                 </w:t>
      </w:r>
    </w:p>
    <w:p>
      <w:pPr>
        <w:snapToGrid w:val="0"/>
        <w:spacing w:before="50" w:after="120" w:afterLines="50" w:line="276" w:lineRule="auto"/>
        <w:jc w:val="left"/>
        <w:rPr>
          <w:color w:val="auto"/>
          <w:highlight w:val="none"/>
        </w:rPr>
      </w:pPr>
      <w:r>
        <w:rPr>
          <w:rFonts w:hint="eastAsia"/>
          <w:color w:val="auto"/>
          <w:highlight w:val="none"/>
        </w:rPr>
        <w:t xml:space="preserve">电    话：                 </w:t>
      </w:r>
    </w:p>
    <w:p>
      <w:pPr>
        <w:snapToGrid w:val="0"/>
        <w:spacing w:before="50" w:after="120" w:afterLines="50" w:line="276" w:lineRule="auto"/>
        <w:jc w:val="left"/>
        <w:rPr>
          <w:color w:val="auto"/>
          <w:highlight w:val="none"/>
        </w:rPr>
      </w:pPr>
      <w:r>
        <w:rPr>
          <w:rFonts w:hint="eastAsia"/>
          <w:color w:val="auto"/>
          <w:highlight w:val="none"/>
        </w:rPr>
        <w:t xml:space="preserve">传    真：                 </w:t>
      </w:r>
    </w:p>
    <w:p>
      <w:pPr>
        <w:snapToGrid w:val="0"/>
        <w:spacing w:before="50" w:after="120" w:afterLines="50" w:line="276" w:lineRule="auto"/>
        <w:jc w:val="left"/>
        <w:rPr>
          <w:color w:val="auto"/>
          <w:highlight w:val="none"/>
        </w:rPr>
      </w:pPr>
      <w:r>
        <w:rPr>
          <w:rFonts w:hint="eastAsia"/>
          <w:color w:val="auto"/>
          <w:highlight w:val="none"/>
        </w:rPr>
        <w:t>开立时间：      年       月        日</w:t>
      </w:r>
    </w:p>
    <w:p>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pPr>
        <w:spacing w:line="276" w:lineRule="auto"/>
        <w:rPr>
          <w:color w:val="auto"/>
          <w:szCs w:val="21"/>
          <w:highlight w:val="none"/>
        </w:rPr>
      </w:pPr>
    </w:p>
    <w:p>
      <w:pPr>
        <w:pStyle w:val="7"/>
        <w:overflowPunct w:val="0"/>
        <w:ind w:firstLine="0"/>
        <w:rPr>
          <w:rFonts w:hint="eastAsia"/>
          <w:color w:val="auto"/>
          <w:highlight w:val="none"/>
        </w:rPr>
      </w:pPr>
    </w:p>
    <w:p>
      <w:pPr>
        <w:snapToGrid w:val="0"/>
        <w:spacing w:before="50" w:after="120" w:afterLines="50" w:line="400" w:lineRule="exact"/>
        <w:jc w:val="left"/>
        <w:rPr>
          <w:bCs/>
          <w:color w:val="auto"/>
          <w:sz w:val="24"/>
          <w:highlight w:val="none"/>
        </w:rPr>
      </w:pPr>
    </w:p>
    <w:p>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pPr>
        <w:snapToGrid w:val="0"/>
        <w:spacing w:before="120" w:beforeLines="50" w:after="50" w:line="440" w:lineRule="exact"/>
        <w:jc w:val="center"/>
        <w:rPr>
          <w:rFonts w:ascii="Times New Roman" w:hAnsi="Times New Roman" w:eastAsia="宋体" w:cs="Times New Roman"/>
          <w:color w:val="auto"/>
          <w:sz w:val="24"/>
          <w:highlight w:val="none"/>
        </w:rPr>
      </w:pPr>
    </w:p>
    <w:p>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pPr>
        <w:snapToGrid w:val="0"/>
        <w:spacing w:before="120" w:beforeLines="50" w:after="50" w:line="360" w:lineRule="exact"/>
        <w:rPr>
          <w:b/>
          <w:color w:val="auto"/>
          <w:szCs w:val="21"/>
          <w:highlight w:val="none"/>
        </w:rPr>
      </w:pPr>
      <w:bookmarkStart w:id="108"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8"/>
    <w:p>
      <w:pPr>
        <w:jc w:val="center"/>
        <w:rPr>
          <w:color w:val="auto"/>
          <w:highlight w:val="none"/>
        </w:rPr>
      </w:pPr>
      <w:bookmarkStart w:id="109" w:name="_Toc462320613"/>
      <w:bookmarkStart w:id="110" w:name="_Toc455309222"/>
      <w:bookmarkStart w:id="111" w:name="_Toc462223472"/>
    </w:p>
    <w:bookmarkEnd w:id="109"/>
    <w:bookmarkEnd w:id="110"/>
    <w:bookmarkEnd w:id="111"/>
    <w:p>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pPr>
        <w:spacing w:line="360" w:lineRule="auto"/>
        <w:rPr>
          <w:color w:val="auto"/>
          <w:highlight w:val="none"/>
        </w:rPr>
      </w:pPr>
    </w:p>
    <w:p>
      <w:pPr>
        <w:spacing w:line="360" w:lineRule="auto"/>
        <w:rPr>
          <w:color w:val="auto"/>
          <w:highlight w:val="none"/>
        </w:rPr>
      </w:pPr>
    </w:p>
    <w:p>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pPr>
        <w:spacing w:line="540" w:lineRule="exact"/>
        <w:rPr>
          <w:rFonts w:hint="eastAsia"/>
          <w:color w:val="auto"/>
          <w:szCs w:val="21"/>
          <w:highlight w:val="none"/>
        </w:rPr>
      </w:pPr>
    </w:p>
    <w:p>
      <w:pPr>
        <w:spacing w:line="540" w:lineRule="exact"/>
        <w:ind w:firstLine="420" w:firstLineChars="200"/>
        <w:rPr>
          <w:color w:val="auto"/>
          <w:szCs w:val="21"/>
          <w:highlight w:val="none"/>
        </w:rPr>
      </w:pPr>
      <w:r>
        <w:rPr>
          <w:color w:val="auto"/>
          <w:szCs w:val="21"/>
          <w:highlight w:val="none"/>
        </w:rPr>
        <w:t>特此证明。</w:t>
      </w:r>
    </w:p>
    <w:p>
      <w:pPr>
        <w:spacing w:line="540" w:lineRule="exact"/>
        <w:rPr>
          <w:rFonts w:hint="eastAsia"/>
          <w:color w:val="auto"/>
          <w:szCs w:val="21"/>
          <w:highlight w:val="none"/>
        </w:rPr>
      </w:pPr>
    </w:p>
    <w:p>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pPr>
        <w:spacing w:line="360" w:lineRule="auto"/>
        <w:rPr>
          <w:color w:val="auto"/>
          <w:szCs w:val="21"/>
          <w:highlight w:val="none"/>
        </w:rPr>
      </w:pPr>
      <w:r>
        <w:rPr>
          <w:color w:val="auto"/>
          <w:szCs w:val="21"/>
          <w:highlight w:val="none"/>
        </w:rPr>
        <w:t xml:space="preserve">                                                   年       月       日 </w:t>
      </w:r>
    </w:p>
    <w:p>
      <w:pPr>
        <w:spacing w:line="540" w:lineRule="exact"/>
        <w:rPr>
          <w:rFonts w:hint="eastAsia"/>
          <w:color w:val="auto"/>
          <w:szCs w:val="21"/>
          <w:highlight w:val="none"/>
        </w:rPr>
      </w:pPr>
    </w:p>
    <w:p>
      <w:pPr>
        <w:spacing w:line="360" w:lineRule="auto"/>
        <w:rPr>
          <w:color w:val="auto"/>
          <w:szCs w:val="21"/>
          <w:highlight w:val="none"/>
        </w:rPr>
      </w:pPr>
      <w:bookmarkStart w:id="112" w:name="_Hlk19199756"/>
      <w:r>
        <w:rPr>
          <w:color w:val="auto"/>
          <w:szCs w:val="21"/>
          <w:highlight w:val="none"/>
        </w:rPr>
        <w:t>附件：法定代表人身份证复印件</w:t>
      </w:r>
    </w:p>
    <w:p>
      <w:pPr>
        <w:spacing w:line="360" w:lineRule="auto"/>
        <w:rPr>
          <w:color w:val="auto"/>
          <w:szCs w:val="21"/>
          <w:highlight w:val="none"/>
        </w:rPr>
      </w:pPr>
    </w:p>
    <w:bookmarkEnd w:id="112"/>
    <w:p>
      <w:pPr>
        <w:snapToGrid w:val="0"/>
        <w:spacing w:before="120" w:beforeLines="50" w:after="50" w:line="360" w:lineRule="exact"/>
        <w:jc w:val="left"/>
        <w:rPr>
          <w:rFonts w:hint="eastAsia"/>
          <w:color w:val="auto"/>
          <w:highlight w:val="none"/>
        </w:rPr>
      </w:pPr>
      <w:r>
        <w:rPr>
          <w:b/>
          <w:color w:val="auto"/>
          <w:szCs w:val="21"/>
          <w:highlight w:val="none"/>
        </w:rPr>
        <w:br w:type="page"/>
      </w:r>
      <w:bookmarkStart w:id="113"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13"/>
    <w:p>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pPr>
        <w:snapToGrid w:val="0"/>
        <w:spacing w:before="120" w:beforeLines="50" w:after="50" w:line="440" w:lineRule="exact"/>
        <w:rPr>
          <w:rFonts w:hint="eastAsia"/>
          <w:color w:val="auto"/>
          <w:szCs w:val="21"/>
          <w:highlight w:val="none"/>
        </w:rPr>
      </w:pPr>
      <w:r>
        <w:rPr>
          <w:color w:val="auto"/>
          <w:szCs w:val="21"/>
          <w:highlight w:val="none"/>
        </w:rPr>
        <w:t xml:space="preserve">                                </w:t>
      </w:r>
    </w:p>
    <w:p>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pPr>
        <w:snapToGrid w:val="0"/>
        <w:spacing w:before="120" w:beforeLines="50" w:after="50" w:line="440" w:lineRule="exact"/>
        <w:jc w:val="center"/>
        <w:rPr>
          <w:color w:val="auto"/>
          <w:szCs w:val="21"/>
          <w:highlight w:val="none"/>
        </w:rPr>
      </w:pPr>
      <w:r>
        <w:rPr>
          <w:color w:val="auto"/>
          <w:szCs w:val="21"/>
          <w:highlight w:val="none"/>
        </w:rPr>
        <w:t xml:space="preserve">                                        年    月    日</w:t>
      </w:r>
    </w:p>
    <w:p>
      <w:pPr>
        <w:spacing w:line="360" w:lineRule="auto"/>
        <w:rPr>
          <w:color w:val="auto"/>
          <w:szCs w:val="21"/>
          <w:highlight w:val="none"/>
        </w:rPr>
      </w:pPr>
      <w:r>
        <w:rPr>
          <w:color w:val="auto"/>
          <w:szCs w:val="21"/>
          <w:highlight w:val="none"/>
        </w:rPr>
        <w:t>附件：法定代表人身份证复印件及授权代表身份证复印件</w:t>
      </w:r>
    </w:p>
    <w:p>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pPr>
        <w:snapToGrid w:val="0"/>
        <w:spacing w:before="50" w:after="120" w:afterLines="50"/>
        <w:jc w:val="left"/>
        <w:rPr>
          <w:rFonts w:hint="eastAsia"/>
          <w:color w:val="auto"/>
          <w:szCs w:val="21"/>
          <w:highlight w:val="none"/>
        </w:rPr>
      </w:pPr>
    </w:p>
    <w:p>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bl>
    <w:p>
      <w:pPr>
        <w:rPr>
          <w:color w:val="auto"/>
          <w:szCs w:val="21"/>
          <w:highlight w:val="none"/>
        </w:rPr>
      </w:pPr>
    </w:p>
    <w:p>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pPr>
        <w:rPr>
          <w:color w:val="auto"/>
          <w:highlight w:val="none"/>
        </w:rPr>
      </w:pPr>
      <w:r>
        <w:rPr>
          <w:color w:val="auto"/>
          <w:highlight w:val="none"/>
        </w:rPr>
        <w:t>（4）本表可扩展。</w:t>
      </w:r>
    </w:p>
    <w:p>
      <w:pPr>
        <w:rPr>
          <w:color w:val="auto"/>
          <w:szCs w:val="21"/>
          <w:highlight w:val="none"/>
        </w:rPr>
      </w:pPr>
    </w:p>
    <w:p>
      <w:pPr>
        <w:rPr>
          <w:color w:val="auto"/>
          <w:spacing w:val="20"/>
          <w:szCs w:val="21"/>
          <w:highlight w:val="none"/>
          <w:u w:val="single"/>
        </w:rPr>
      </w:pPr>
    </w:p>
    <w:p>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pPr>
        <w:rPr>
          <w:color w:val="auto"/>
          <w:spacing w:val="20"/>
          <w:szCs w:val="21"/>
          <w:highlight w:val="none"/>
          <w:u w:val="single"/>
        </w:rPr>
      </w:pPr>
    </w:p>
    <w:p>
      <w:pPr>
        <w:rPr>
          <w:color w:val="auto"/>
          <w:spacing w:val="20"/>
          <w:szCs w:val="21"/>
          <w:highlight w:val="none"/>
          <w:u w:val="single"/>
        </w:rPr>
      </w:pPr>
    </w:p>
    <w:p>
      <w:pPr>
        <w:rPr>
          <w:rFonts w:hint="eastAsia"/>
          <w:color w:val="auto"/>
          <w:szCs w:val="21"/>
          <w:highlight w:val="none"/>
        </w:rPr>
      </w:pPr>
    </w:p>
    <w:p>
      <w:pPr>
        <w:snapToGrid w:val="0"/>
        <w:spacing w:before="50" w:after="120" w:afterLines="50"/>
        <w:jc w:val="left"/>
        <w:rPr>
          <w:rFonts w:hint="eastAsia"/>
          <w:color w:val="auto"/>
          <w:szCs w:val="21"/>
          <w:highlight w:val="none"/>
        </w:rPr>
      </w:pPr>
    </w:p>
    <w:p>
      <w:pPr>
        <w:snapToGrid w:val="0"/>
        <w:spacing w:before="50" w:after="120" w:afterLines="50"/>
        <w:jc w:val="left"/>
        <w:rPr>
          <w:rFonts w:hint="eastAsia"/>
          <w:color w:val="auto"/>
          <w:szCs w:val="21"/>
          <w:highlight w:val="none"/>
        </w:rPr>
      </w:pPr>
    </w:p>
    <w:p>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2</w:t>
      </w:r>
      <w:r>
        <w:rPr>
          <w:color w:val="auto"/>
          <w:szCs w:val="21"/>
          <w:highlight w:val="none"/>
        </w:rPr>
        <w:t>．</w:t>
      </w:r>
      <w:r>
        <w:rPr>
          <w:rFonts w:hint="default" w:ascii="Arial" w:hAnsi="Arial" w:cs="Arial"/>
          <w:color w:val="auto"/>
          <w:szCs w:val="21"/>
          <w:highlight w:val="none"/>
        </w:rPr>
        <w:t>项目实施方案</w:t>
      </w:r>
    </w:p>
    <w:p>
      <w:pPr>
        <w:snapToGrid w:val="0"/>
        <w:spacing w:before="50" w:after="120" w:afterLines="50"/>
        <w:jc w:val="left"/>
        <w:rPr>
          <w:color w:val="auto"/>
          <w:szCs w:val="21"/>
          <w:highlight w:val="none"/>
        </w:rPr>
      </w:pPr>
    </w:p>
    <w:p>
      <w:pPr>
        <w:snapToGrid w:val="0"/>
        <w:spacing w:before="50" w:after="120" w:afterLines="50"/>
        <w:jc w:val="left"/>
        <w:rPr>
          <w:color w:val="auto"/>
          <w:szCs w:val="21"/>
          <w:highlight w:val="none"/>
        </w:rPr>
      </w:pPr>
    </w:p>
    <w:p>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．项目拟投入服务团队人员结构表（包括但不限于学历、证书情况、职称、年龄等）</w:t>
      </w:r>
    </w:p>
    <w:p>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bCs/>
                <w:color w:val="auto"/>
                <w:szCs w:val="21"/>
                <w:highlight w:val="none"/>
              </w:rPr>
            </w:pPr>
            <w:r>
              <w:rPr>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color w:val="auto"/>
                <w:szCs w:val="21"/>
                <w:highlight w:val="none"/>
              </w:rPr>
            </w:pPr>
          </w:p>
        </w:tc>
      </w:tr>
    </w:tbl>
    <w:p>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pPr>
        <w:rPr>
          <w:rFonts w:hint="eastAsia"/>
          <w:color w:val="auto"/>
          <w:spacing w:val="20"/>
          <w:szCs w:val="21"/>
          <w:highlight w:val="none"/>
          <w:u w:val="single"/>
        </w:rPr>
      </w:pPr>
    </w:p>
    <w:p>
      <w:pPr>
        <w:rPr>
          <w:rFonts w:hint="eastAsia"/>
          <w:color w:val="auto"/>
          <w:szCs w:val="21"/>
          <w:highlight w:val="none"/>
        </w:rPr>
      </w:pPr>
    </w:p>
    <w:p>
      <w:pPr>
        <w:rPr>
          <w:rFonts w:hint="eastAsia"/>
          <w:color w:val="auto"/>
          <w:szCs w:val="21"/>
          <w:highlight w:val="none"/>
        </w:rPr>
      </w:pPr>
    </w:p>
    <w:p>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．企业管理体系认证或资质证明材料。</w:t>
      </w:r>
    </w:p>
    <w:p>
      <w:pPr>
        <w:snapToGrid w:val="0"/>
        <w:spacing w:before="50" w:after="120" w:afterLines="50"/>
        <w:jc w:val="left"/>
        <w:rPr>
          <w:rFonts w:hint="eastAsia"/>
          <w:color w:val="auto"/>
          <w:szCs w:val="21"/>
          <w:highlight w:val="none"/>
        </w:rPr>
      </w:pPr>
    </w:p>
    <w:p>
      <w:pPr>
        <w:snapToGrid w:val="0"/>
        <w:spacing w:before="50" w:after="120" w:afterLines="50"/>
        <w:jc w:val="left"/>
        <w:rPr>
          <w:rFonts w:hint="eastAsia"/>
          <w:color w:val="auto"/>
          <w:szCs w:val="21"/>
          <w:highlight w:val="none"/>
        </w:rPr>
      </w:pPr>
    </w:p>
    <w:p>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color w:val="auto"/>
                <w:szCs w:val="21"/>
                <w:highlight w:val="none"/>
              </w:rPr>
            </w:pPr>
          </w:p>
        </w:tc>
      </w:tr>
    </w:tbl>
    <w:p>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14" w:name="_Hlk48144603"/>
      <w:r>
        <w:rPr>
          <w:rFonts w:ascii="Times New Roman" w:hAnsi="Times New Roman" w:cs="Times New Roman"/>
          <w:color w:val="auto"/>
          <w:highlight w:val="none"/>
        </w:rPr>
        <w:t>注：</w:t>
      </w:r>
      <w:bookmarkStart w:id="11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15"/>
    <w:p>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14"/>
    <w:p>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pPr>
        <w:snapToGrid w:val="0"/>
        <w:spacing w:before="50" w:after="120" w:afterLines="50" w:line="440" w:lineRule="exact"/>
        <w:jc w:val="left"/>
        <w:rPr>
          <w:rFonts w:hint="eastAsia"/>
          <w:color w:val="auto"/>
          <w:spacing w:val="20"/>
          <w:szCs w:val="21"/>
          <w:highlight w:val="none"/>
          <w:u w:val="single"/>
        </w:rPr>
      </w:pPr>
    </w:p>
    <w:p>
      <w:pPr>
        <w:pStyle w:val="27"/>
        <w:tabs>
          <w:tab w:val="left" w:pos="2127"/>
        </w:tabs>
        <w:spacing w:line="340" w:lineRule="exact"/>
        <w:ind w:firstLine="420" w:firstLineChars="200"/>
        <w:jc w:val="left"/>
        <w:rPr>
          <w:rFonts w:ascii="Times New Roman" w:hAnsi="Times New Roman" w:cs="Times New Roman"/>
          <w:color w:val="auto"/>
          <w:highlight w:val="none"/>
        </w:rPr>
      </w:pPr>
    </w:p>
    <w:p>
      <w:pPr>
        <w:snapToGrid w:val="0"/>
        <w:spacing w:before="50" w:after="120" w:afterLines="50" w:line="440" w:lineRule="exact"/>
        <w:jc w:val="left"/>
        <w:rPr>
          <w:rFonts w:hint="eastAsia"/>
          <w:color w:val="auto"/>
          <w:szCs w:val="21"/>
          <w:highlight w:val="none"/>
        </w:rPr>
      </w:pPr>
      <w:r>
        <w:rPr>
          <w:rFonts w:hint="eastAsia"/>
          <w:color w:val="auto"/>
          <w:szCs w:val="21"/>
          <w:highlight w:val="none"/>
          <w:lang w:val="en-US" w:eastAsia="zh-CN"/>
        </w:rPr>
        <w:t>6</w:t>
      </w:r>
      <w:r>
        <w:rPr>
          <w:color w:val="auto"/>
          <w:szCs w:val="21"/>
          <w:highlight w:val="none"/>
        </w:rPr>
        <w:t>．</w:t>
      </w:r>
      <w:r>
        <w:rPr>
          <w:rFonts w:hint="default" w:ascii="Arial" w:hAnsi="Arial" w:cs="Arial"/>
          <w:color w:val="auto"/>
          <w:szCs w:val="21"/>
          <w:highlight w:val="none"/>
        </w:rPr>
        <w:t>售后服务</w:t>
      </w:r>
      <w:r>
        <w:rPr>
          <w:color w:val="auto"/>
          <w:szCs w:val="21"/>
          <w:highlight w:val="none"/>
        </w:rPr>
        <w:t>（供应商自行编写）</w:t>
      </w:r>
    </w:p>
    <w:p>
      <w:pPr>
        <w:snapToGrid w:val="0"/>
        <w:spacing w:before="50" w:after="120" w:afterLines="50" w:line="440" w:lineRule="exact"/>
        <w:jc w:val="left"/>
        <w:rPr>
          <w:rFonts w:hint="eastAsia"/>
          <w:color w:val="auto"/>
          <w:szCs w:val="21"/>
          <w:highlight w:val="none"/>
        </w:rPr>
      </w:pPr>
    </w:p>
    <w:p>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．供应商认为需提供的其他材料（根据采购文件编写）</w:t>
      </w:r>
    </w:p>
    <w:p>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116" w:name="_Hlk33625589"/>
    </w:p>
    <w:bookmarkEnd w:id="116"/>
    <w:p>
      <w:pPr>
        <w:snapToGrid w:val="0"/>
        <w:spacing w:before="50" w:after="120" w:afterLines="50"/>
        <w:jc w:val="left"/>
        <w:rPr>
          <w:rFonts w:hint="eastAsia"/>
          <w:b/>
          <w:color w:val="auto"/>
          <w:szCs w:val="21"/>
          <w:highlight w:val="none"/>
        </w:rPr>
      </w:pPr>
      <w:r>
        <w:rPr>
          <w:rFonts w:hint="eastAsia"/>
          <w:color w:val="auto"/>
          <w:szCs w:val="21"/>
          <w:highlight w:val="none"/>
          <w:lang w:val="en-US" w:eastAsia="zh-CN"/>
        </w:rPr>
        <w:t>8</w:t>
      </w:r>
      <w:r>
        <w:rPr>
          <w:color w:val="auto"/>
          <w:szCs w:val="21"/>
          <w:highlight w:val="none"/>
        </w:rPr>
        <w:t>．近年供应商类似成功案例的业绩证明</w:t>
      </w:r>
    </w:p>
    <w:p>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pPr>
              <w:snapToGrid w:val="0"/>
              <w:spacing w:line="240" w:lineRule="exact"/>
              <w:jc w:val="center"/>
              <w:rPr>
                <w:color w:val="auto"/>
                <w:szCs w:val="21"/>
                <w:highlight w:val="none"/>
              </w:rPr>
            </w:pPr>
          </w:p>
          <w:p>
            <w:pPr>
              <w:snapToGrid w:val="0"/>
              <w:spacing w:line="240" w:lineRule="exact"/>
              <w:jc w:val="center"/>
              <w:rPr>
                <w:color w:val="auto"/>
                <w:szCs w:val="21"/>
                <w:highlight w:val="none"/>
              </w:rPr>
            </w:pPr>
          </w:p>
          <w:p>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auto"/>
                <w:szCs w:val="21"/>
                <w:highlight w:val="none"/>
              </w:rPr>
            </w:pPr>
            <w:r>
              <w:rPr>
                <w:color w:val="auto"/>
                <w:szCs w:val="21"/>
                <w:highlight w:val="none"/>
              </w:rPr>
              <w:t>服务</w:t>
            </w:r>
          </w:p>
          <w:p>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highlight w:val="none"/>
              </w:rPr>
            </w:pPr>
            <w:r>
              <w:rPr>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color w:val="auto"/>
                <w:szCs w:val="21"/>
                <w:highlight w:val="none"/>
              </w:rPr>
            </w:pPr>
          </w:p>
        </w:tc>
      </w:tr>
    </w:tbl>
    <w:p>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pPr>
        <w:rPr>
          <w:color w:val="auto"/>
          <w:highlight w:val="none"/>
        </w:rPr>
      </w:pPr>
      <w:r>
        <w:rPr>
          <w:color w:val="auto"/>
          <w:szCs w:val="21"/>
          <w:highlight w:val="none"/>
        </w:rPr>
        <w:t>（3）</w:t>
      </w:r>
      <w:r>
        <w:rPr>
          <w:color w:val="auto"/>
          <w:highlight w:val="none"/>
        </w:rPr>
        <w:t>本表可拓展</w:t>
      </w:r>
    </w:p>
    <w:p>
      <w:pPr>
        <w:snapToGrid w:val="0"/>
        <w:spacing w:before="50"/>
        <w:jc w:val="left"/>
        <w:rPr>
          <w:color w:val="auto"/>
          <w:szCs w:val="21"/>
          <w:highlight w:val="none"/>
        </w:rPr>
      </w:pPr>
    </w:p>
    <w:p>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pPr>
        <w:snapToGrid w:val="0"/>
        <w:spacing w:before="50" w:after="120" w:afterLines="50"/>
        <w:jc w:val="left"/>
        <w:rPr>
          <w:color w:val="auto"/>
          <w:szCs w:val="21"/>
          <w:highlight w:val="none"/>
        </w:rPr>
      </w:pPr>
      <w:bookmarkStart w:id="117" w:name="_Hlk93046716"/>
      <w:bookmarkStart w:id="118" w:name="_Hlk19110561"/>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rPr>
        <w:t>符合政府采购政策的证明材料。</w:t>
      </w:r>
    </w:p>
    <w:p>
      <w:pPr>
        <w:spacing w:line="360" w:lineRule="auto"/>
        <w:ind w:firstLine="420"/>
        <w:rPr>
          <w:color w:val="auto"/>
          <w:szCs w:val="21"/>
          <w:highlight w:val="none"/>
        </w:rPr>
      </w:pPr>
    </w:p>
    <w:p>
      <w:pPr>
        <w:rPr>
          <w:color w:val="auto"/>
          <w:highlight w:val="none"/>
        </w:rPr>
      </w:pPr>
    </w:p>
    <w:p>
      <w:pPr>
        <w:spacing w:line="360" w:lineRule="auto"/>
        <w:rPr>
          <w:color w:val="auto"/>
          <w:spacing w:val="6"/>
          <w:szCs w:val="21"/>
          <w:highlight w:val="none"/>
        </w:rPr>
      </w:pPr>
    </w:p>
    <w:p>
      <w:pPr>
        <w:snapToGrid w:val="0"/>
        <w:spacing w:before="50" w:after="120" w:afterLines="50"/>
        <w:jc w:val="left"/>
        <w:rPr>
          <w:rFonts w:hint="eastAsia"/>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9.1</w:t>
      </w:r>
      <w:r>
        <w:rPr>
          <w:rFonts w:hint="eastAsia" w:ascii="Times New Roman" w:eastAsia="宋体"/>
          <w:color w:val="auto"/>
          <w:szCs w:val="21"/>
          <w:highlight w:val="none"/>
          <w:lang w:val="en-US" w:eastAsia="zh-CN"/>
        </w:rPr>
        <w:t>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pPr>
        <w:spacing w:line="360" w:lineRule="auto"/>
        <w:ind w:firstLine="3584" w:firstLineChars="1700"/>
        <w:rPr>
          <w:rFonts w:hint="eastAsia"/>
          <w:b/>
          <w:color w:val="auto"/>
          <w:szCs w:val="21"/>
          <w:highlight w:val="none"/>
          <w:lang w:val="en-US" w:eastAsia="zh-CN"/>
        </w:rPr>
      </w:pPr>
    </w:p>
    <w:p>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pPr>
        <w:spacing w:line="360" w:lineRule="auto"/>
        <w:ind w:firstLine="3584" w:firstLineChars="1700"/>
        <w:rPr>
          <w:rFonts w:hint="eastAsia"/>
          <w:b/>
          <w:color w:val="auto"/>
          <w:szCs w:val="21"/>
          <w:highlight w:val="none"/>
          <w:lang w:val="en-US" w:eastAsia="zh-CN"/>
        </w:rPr>
      </w:pP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pPr>
        <w:snapToGrid w:val="0"/>
        <w:spacing w:before="50" w:after="120" w:afterLines="50"/>
        <w:jc w:val="left"/>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pP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br w:type="page"/>
      </w:r>
    </w:p>
    <w:p>
      <w:pP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9.2</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pPr>
        <w:pStyle w:val="20"/>
        <w:rPr>
          <w:rFonts w:hint="eastAsia"/>
          <w:color w:val="auto"/>
          <w:highlight w:val="none"/>
          <w:lang w:val="en-US" w:eastAsia="zh-CN"/>
        </w:rPr>
      </w:pPr>
    </w:p>
    <w:p>
      <w:pPr>
        <w:pStyle w:val="2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pPr>
        <w:pStyle w:val="20"/>
        <w:rPr>
          <w:rFonts w:hint="default"/>
          <w:color w:val="auto"/>
          <w:highlight w:val="none"/>
          <w:lang w:val="en-US" w:eastAsia="zh-CN"/>
        </w:rPr>
      </w:pPr>
    </w:p>
    <w:p>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pPr>
        <w:pStyle w:val="20"/>
        <w:rPr>
          <w:rFonts w:hint="default" w:ascii="Times New Roman" w:hAnsi="Times New Roman" w:eastAsia="宋体" w:cs="Times New Roman"/>
          <w:color w:val="auto"/>
          <w:kern w:val="2"/>
          <w:sz w:val="21"/>
          <w:szCs w:val="21"/>
          <w:highlight w:val="none"/>
          <w:lang w:val="en-US" w:eastAsia="zh-CN" w:bidi="ar-SA"/>
        </w:rPr>
      </w:pPr>
    </w:p>
    <w:p>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pPr>
        <w:pStyle w:val="20"/>
        <w:rPr>
          <w:rFonts w:hint="default" w:ascii="Times New Roman" w:hAnsi="Times New Roman" w:eastAsia="宋体" w:cs="Times New Roman"/>
          <w:color w:val="auto"/>
          <w:kern w:val="2"/>
          <w:sz w:val="21"/>
          <w:szCs w:val="21"/>
          <w:highlight w:val="none"/>
          <w:lang w:val="en-US" w:eastAsia="zh-CN" w:bidi="ar-SA"/>
        </w:rPr>
      </w:pPr>
    </w:p>
    <w:p>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pPr>
        <w:pStyle w:val="20"/>
        <w:rPr>
          <w:rFonts w:hint="default" w:ascii="Times New Roman" w:hAnsi="Times New Roman" w:eastAsia="宋体" w:cs="Times New Roman"/>
          <w:color w:val="auto"/>
          <w:kern w:val="2"/>
          <w:sz w:val="21"/>
          <w:szCs w:val="21"/>
          <w:highlight w:val="none"/>
          <w:lang w:val="en-US" w:eastAsia="zh-CN" w:bidi="ar-SA"/>
        </w:rPr>
      </w:pPr>
    </w:p>
    <w:p>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pPr>
        <w:pStyle w:val="20"/>
        <w:rPr>
          <w:rFonts w:hint="default" w:ascii="Times New Roman" w:hAnsi="Times New Roman" w:eastAsia="宋体" w:cs="Times New Roman"/>
          <w:color w:val="auto"/>
          <w:kern w:val="2"/>
          <w:sz w:val="21"/>
          <w:szCs w:val="21"/>
          <w:highlight w:val="none"/>
          <w:lang w:val="en-US" w:eastAsia="zh-CN" w:bidi="ar-SA"/>
        </w:rPr>
      </w:pPr>
    </w:p>
    <w:p>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pPr>
        <w:pStyle w:val="20"/>
        <w:rPr>
          <w:rFonts w:hint="default" w:ascii="Times New Roman" w:hAnsi="Times New Roman" w:eastAsia="宋体" w:cs="Times New Roman"/>
          <w:color w:val="auto"/>
          <w:kern w:val="2"/>
          <w:sz w:val="21"/>
          <w:szCs w:val="21"/>
          <w:highlight w:val="none"/>
          <w:lang w:val="en-US" w:eastAsia="zh-CN" w:bidi="ar-SA"/>
        </w:rPr>
      </w:pPr>
    </w:p>
    <w:p>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pPr>
        <w:pStyle w:val="20"/>
        <w:jc w:val="right"/>
        <w:rPr>
          <w:color w:val="auto"/>
          <w:highlight w:val="none"/>
        </w:rPr>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color w:val="auto"/>
          <w:kern w:val="2"/>
          <w:sz w:val="21"/>
          <w:szCs w:val="21"/>
          <w:highlight w:val="none"/>
          <w:lang w:val="en-US" w:eastAsia="zh-CN" w:bidi="ar-SA"/>
        </w:rPr>
        <w:t>日期：　     年　  月　  日</w:t>
      </w:r>
    </w:p>
    <w:p>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pPr>
        <w:snapToGrid w:val="0"/>
        <w:spacing w:before="50" w:after="120" w:afterLines="50"/>
        <w:jc w:val="center"/>
        <w:rPr>
          <w:color w:val="auto"/>
          <w:szCs w:val="21"/>
          <w:highlight w:val="none"/>
        </w:rPr>
      </w:pPr>
    </w:p>
    <w:p>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pPr>
        <w:snapToGrid w:val="0"/>
        <w:spacing w:before="50" w:after="120" w:afterLines="50"/>
        <w:jc w:val="left"/>
        <w:rPr>
          <w:color w:val="auto"/>
          <w:szCs w:val="21"/>
          <w:highlight w:val="none"/>
        </w:rPr>
      </w:pPr>
    </w:p>
    <w:p>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pPr>
        <w:snapToGrid w:val="0"/>
        <w:spacing w:before="50" w:after="120" w:afterLines="50"/>
        <w:jc w:val="center"/>
        <w:rPr>
          <w:color w:val="auto"/>
          <w:szCs w:val="21"/>
          <w:highlight w:val="none"/>
        </w:rPr>
      </w:pPr>
    </w:p>
    <w:p>
      <w:pPr>
        <w:snapToGrid w:val="0"/>
        <w:spacing w:before="50" w:after="120" w:afterLines="50"/>
        <w:jc w:val="center"/>
        <w:rPr>
          <w:color w:val="auto"/>
          <w:szCs w:val="21"/>
          <w:highlight w:val="none"/>
        </w:rPr>
      </w:pPr>
    </w:p>
    <w:p>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pPr>
        <w:snapToGrid w:val="0"/>
        <w:spacing w:before="50" w:after="120" w:afterLines="50"/>
        <w:jc w:val="center"/>
        <w:rPr>
          <w:color w:val="auto"/>
          <w:szCs w:val="21"/>
          <w:highlight w:val="none"/>
        </w:rPr>
      </w:pPr>
      <w:r>
        <w:rPr>
          <w:rFonts w:hint="eastAsia"/>
          <w:color w:val="auto"/>
          <w:szCs w:val="21"/>
          <w:highlight w:val="none"/>
        </w:rPr>
        <w:t>日期：  年  月   日</w:t>
      </w:r>
    </w:p>
    <w:p>
      <w:pPr>
        <w:snapToGrid w:val="0"/>
        <w:spacing w:before="50" w:after="120" w:afterLines="50"/>
        <w:jc w:val="left"/>
        <w:rPr>
          <w:color w:val="auto"/>
          <w:szCs w:val="21"/>
          <w:highlight w:val="none"/>
        </w:rPr>
        <w:sectPr>
          <w:pgSz w:w="11906" w:h="16838"/>
          <w:pgMar w:top="1418" w:right="1274" w:bottom="1418" w:left="1418" w:header="851" w:footer="992" w:gutter="0"/>
          <w:cols w:space="720" w:num="1"/>
          <w:docGrid w:linePitch="312" w:charSpace="0"/>
        </w:sectPr>
      </w:pPr>
    </w:p>
    <w:bookmarkEnd w:id="117"/>
    <w:p>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．代理服务费承诺书</w:t>
      </w:r>
      <w:bookmarkEnd w:id="118"/>
    </w:p>
    <w:p>
      <w:pPr>
        <w:spacing w:line="360" w:lineRule="exact"/>
        <w:rPr>
          <w:color w:val="auto"/>
          <w:szCs w:val="21"/>
          <w:highlight w:val="none"/>
        </w:rPr>
      </w:pPr>
      <w:bookmarkStart w:id="119" w:name="_Hlk19110490"/>
      <w:r>
        <w:rPr>
          <w:color w:val="auto"/>
          <w:szCs w:val="21"/>
          <w:highlight w:val="none"/>
        </w:rPr>
        <w:t>致：广西机电设备招标有限公司</w:t>
      </w:r>
    </w:p>
    <w:p>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19"/>
    <w:p>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pPr>
        <w:spacing w:line="360" w:lineRule="exact"/>
        <w:ind w:firstLine="420" w:firstLineChars="200"/>
        <w:rPr>
          <w:color w:val="auto"/>
          <w:szCs w:val="21"/>
          <w:highlight w:val="none"/>
        </w:rPr>
      </w:pPr>
      <w:r>
        <w:rPr>
          <w:color w:val="auto"/>
          <w:szCs w:val="21"/>
          <w:highlight w:val="none"/>
        </w:rPr>
        <w:t>第一种方式：一次性足额缴纳代理服务费。</w:t>
      </w:r>
    </w:p>
    <w:p>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pPr>
              <w:spacing w:line="36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color w:val="auto"/>
                <w:szCs w:val="21"/>
                <w:highlight w:val="none"/>
              </w:rPr>
            </w:pPr>
            <w:r>
              <w:rPr>
                <w:color w:val="auto"/>
                <w:szCs w:val="21"/>
                <w:highlight w:val="none"/>
              </w:rPr>
              <w:t>账    号</w:t>
            </w:r>
          </w:p>
        </w:tc>
        <w:tc>
          <w:tcPr>
            <w:tcW w:w="5431" w:type="dxa"/>
            <w:noWrap w:val="0"/>
            <w:vAlign w:val="center"/>
          </w:tcPr>
          <w:p>
            <w:pPr>
              <w:spacing w:line="36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pPr>
              <w:spacing w:line="36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pPr>
              <w:spacing w:line="360" w:lineRule="exact"/>
              <w:jc w:val="center"/>
              <w:rPr>
                <w:color w:val="auto"/>
                <w:szCs w:val="21"/>
                <w:highlight w:val="none"/>
              </w:rPr>
            </w:pPr>
          </w:p>
        </w:tc>
      </w:tr>
    </w:tbl>
    <w:p>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pPr>
        <w:spacing w:line="360" w:lineRule="exact"/>
        <w:ind w:firstLine="420" w:firstLineChars="200"/>
        <w:rPr>
          <w:color w:val="auto"/>
          <w:szCs w:val="21"/>
          <w:highlight w:val="none"/>
        </w:rPr>
      </w:pPr>
      <w:r>
        <w:rPr>
          <w:color w:val="auto"/>
          <w:szCs w:val="21"/>
          <w:highlight w:val="none"/>
        </w:rPr>
        <w:t>第一种方式：开具收据。</w:t>
      </w:r>
    </w:p>
    <w:p>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pPr>
        <w:spacing w:before="120" w:beforeLines="50" w:line="360" w:lineRule="auto"/>
        <w:jc w:val="left"/>
        <w:rPr>
          <w:color w:val="auto"/>
          <w:szCs w:val="21"/>
          <w:highlight w:val="none"/>
        </w:rPr>
      </w:pPr>
    </w:p>
    <w:p>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pPr>
        <w:spacing w:before="120" w:beforeLines="50" w:line="360" w:lineRule="auto"/>
        <w:jc w:val="left"/>
        <w:rPr>
          <w:color w:val="auto"/>
          <w:szCs w:val="21"/>
          <w:highlight w:val="none"/>
          <w:u w:val="single"/>
        </w:rPr>
      </w:pPr>
    </w:p>
    <w:p>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before="120" w:beforeLines="50"/>
        <w:rPr>
          <w:color w:val="auto"/>
          <w:szCs w:val="21"/>
          <w:highlight w:val="none"/>
        </w:rPr>
      </w:pPr>
      <w:r>
        <w:rPr>
          <w:color w:val="auto"/>
          <w:szCs w:val="21"/>
          <w:highlight w:val="none"/>
        </w:rPr>
        <w:t>说明：</w:t>
      </w:r>
    </w:p>
    <w:p>
      <w:pPr>
        <w:spacing w:line="340" w:lineRule="exact"/>
        <w:ind w:firstLine="420" w:firstLineChars="200"/>
        <w:rPr>
          <w:color w:val="auto"/>
          <w:szCs w:val="21"/>
          <w:highlight w:val="none"/>
        </w:rPr>
      </w:pPr>
      <w:r>
        <w:rPr>
          <w:color w:val="auto"/>
          <w:szCs w:val="21"/>
          <w:highlight w:val="none"/>
        </w:rPr>
        <w:t>（1）为保障资金安全，上述账户不能为私人账户。</w:t>
      </w:r>
    </w:p>
    <w:p>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pPr>
        <w:jc w:val="center"/>
        <w:rPr>
          <w:b/>
          <w:bCs/>
          <w:color w:val="auto"/>
          <w:szCs w:val="21"/>
          <w:highlight w:val="none"/>
        </w:rPr>
      </w:pPr>
    </w:p>
    <w:p>
      <w:pPr>
        <w:rPr>
          <w:rFonts w:hint="eastAsia"/>
          <w:b/>
          <w:color w:val="auto"/>
          <w:szCs w:val="21"/>
          <w:highlight w:val="none"/>
        </w:rPr>
      </w:pPr>
      <w:r>
        <w:rPr>
          <w:b/>
          <w:color w:val="auto"/>
          <w:szCs w:val="21"/>
          <w:highlight w:val="none"/>
        </w:rPr>
        <w:t>1．响应函格式：</w:t>
      </w:r>
    </w:p>
    <w:p>
      <w:pPr>
        <w:rPr>
          <w:b/>
          <w:color w:val="auto"/>
          <w:szCs w:val="21"/>
          <w:highlight w:val="none"/>
        </w:rPr>
      </w:pPr>
    </w:p>
    <w:p>
      <w:pPr>
        <w:jc w:val="center"/>
        <w:rPr>
          <w:b/>
          <w:color w:val="auto"/>
          <w:szCs w:val="21"/>
          <w:highlight w:val="none"/>
        </w:rPr>
      </w:pPr>
      <w:r>
        <w:rPr>
          <w:b/>
          <w:color w:val="auto"/>
          <w:szCs w:val="21"/>
          <w:highlight w:val="none"/>
        </w:rPr>
        <w:t>响 应 函</w:t>
      </w:r>
    </w:p>
    <w:p>
      <w:pPr>
        <w:rPr>
          <w:b/>
          <w:color w:val="auto"/>
          <w:szCs w:val="21"/>
          <w:highlight w:val="none"/>
        </w:rPr>
      </w:pPr>
    </w:p>
    <w:p>
      <w:pPr>
        <w:spacing w:line="360" w:lineRule="auto"/>
        <w:rPr>
          <w:color w:val="auto"/>
          <w:szCs w:val="21"/>
          <w:highlight w:val="none"/>
        </w:rPr>
      </w:pPr>
      <w:bookmarkStart w:id="120"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20"/>
    <w:p>
      <w:pPr>
        <w:spacing w:line="360" w:lineRule="auto"/>
        <w:ind w:firstLine="420" w:firstLineChars="200"/>
        <w:rPr>
          <w:color w:val="auto"/>
          <w:szCs w:val="21"/>
          <w:highlight w:val="none"/>
        </w:rPr>
      </w:pPr>
      <w:r>
        <w:rPr>
          <w:color w:val="auto"/>
          <w:szCs w:val="21"/>
          <w:highlight w:val="none"/>
        </w:rPr>
        <w:t>据此函，签字代表宣布同意如下：</w:t>
      </w:r>
    </w:p>
    <w:p>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pPr>
        <w:spacing w:line="360" w:lineRule="auto"/>
        <w:rPr>
          <w:color w:val="auto"/>
          <w:szCs w:val="21"/>
          <w:highlight w:val="none"/>
        </w:rPr>
      </w:pPr>
      <w:r>
        <w:rPr>
          <w:rFonts w:hint="eastAsia"/>
          <w:color w:val="auto"/>
          <w:szCs w:val="21"/>
          <w:highlight w:val="none"/>
        </w:rPr>
        <w:t>（3）我方承诺本响应有效期为第三章供应商须知规定的期限。</w:t>
      </w:r>
    </w:p>
    <w:p>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pPr>
        <w:spacing w:line="360" w:lineRule="auto"/>
        <w:rPr>
          <w:color w:val="auto"/>
          <w:szCs w:val="21"/>
          <w:highlight w:val="none"/>
        </w:rPr>
      </w:pPr>
      <w:r>
        <w:rPr>
          <w:color w:val="auto"/>
          <w:szCs w:val="21"/>
          <w:highlight w:val="none"/>
        </w:rPr>
        <w:t>（5）供应商同意按照贵方要求提供与响应有关的一切数据或资料。</w:t>
      </w:r>
    </w:p>
    <w:p>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pPr>
        <w:spacing w:line="360" w:lineRule="auto"/>
        <w:rPr>
          <w:color w:val="auto"/>
          <w:szCs w:val="21"/>
          <w:highlight w:val="none"/>
        </w:rPr>
      </w:pPr>
    </w:p>
    <w:p>
      <w:pPr>
        <w:spacing w:line="360" w:lineRule="auto"/>
        <w:rPr>
          <w:rFonts w:hint="eastAsia"/>
          <w:color w:val="auto"/>
          <w:szCs w:val="21"/>
          <w:highlight w:val="none"/>
        </w:rPr>
      </w:pPr>
    </w:p>
    <w:p>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pPr>
        <w:jc w:val="center"/>
        <w:rPr>
          <w:b/>
          <w:color w:val="auto"/>
          <w:szCs w:val="21"/>
          <w:highlight w:val="none"/>
        </w:rPr>
      </w:pPr>
      <w:r>
        <w:rPr>
          <w:b/>
          <w:color w:val="auto"/>
          <w:szCs w:val="21"/>
          <w:highlight w:val="none"/>
        </w:rPr>
        <w:t>响应报价明细表</w:t>
      </w:r>
    </w:p>
    <w:p>
      <w:pPr>
        <w:ind w:firstLine="2415" w:firstLineChars="1150"/>
        <w:rPr>
          <w:color w:val="auto"/>
          <w:szCs w:val="21"/>
          <w:highlight w:val="none"/>
        </w:rPr>
      </w:pPr>
      <w:r>
        <w:rPr>
          <w:color w:val="auto"/>
          <w:szCs w:val="21"/>
          <w:highlight w:val="none"/>
        </w:rPr>
        <w:t xml:space="preserve">                            金额单位：人民币（元）</w:t>
      </w:r>
    </w:p>
    <w:p>
      <w:pPr>
        <w:rPr>
          <w:color w:val="auto"/>
          <w:szCs w:val="21"/>
          <w:highlight w:val="none"/>
        </w:rPr>
      </w:pPr>
      <w:r>
        <w:rPr>
          <w:rFonts w:hint="default" w:ascii="Arial" w:hAnsi="Arial" w:cs="Arial"/>
          <w:color w:val="auto"/>
          <w:szCs w:val="21"/>
          <w:highlight w:val="none"/>
          <w:lang w:val="en-US" w:eastAsia="zh-CN"/>
        </w:rPr>
        <w:t>表一</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2"/>
        <w:gridCol w:w="1806"/>
        <w:gridCol w:w="1289"/>
        <w:gridCol w:w="3346"/>
        <w:gridCol w:w="7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1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服务名称</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服务商</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33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报价（综合折扣率，以%表示）</w:t>
            </w: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8" w:hRule="exact"/>
          <w:jc w:val="center"/>
        </w:trPr>
        <w:tc>
          <w:tcPr>
            <w:tcW w:w="1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eastAsia="宋体" w:cs="Arial"/>
                <w:color w:val="auto"/>
                <w:spacing w:val="20"/>
                <w:szCs w:val="21"/>
                <w:highlight w:val="none"/>
                <w:u w:val="single"/>
                <w:lang w:val="en-US" w:eastAsia="zh-CN"/>
              </w:rPr>
            </w:pPr>
            <w:r>
              <w:rPr>
                <w:rFonts w:hint="eastAsia" w:ascii="Arial" w:hAnsi="Arial" w:cs="Arial"/>
                <w:color w:val="auto"/>
                <w:spacing w:val="20"/>
                <w:szCs w:val="21"/>
                <w:highlight w:val="none"/>
                <w:u w:val="none"/>
                <w:lang w:val="en-US" w:eastAsia="zh-CN"/>
              </w:rPr>
              <w:t>2026-2027年水电木日常维修保障材料供应服务采购（重）</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lang w:val="en-US" w:eastAsia="zh-CN"/>
              </w:rPr>
            </w:pPr>
            <w:r>
              <w:rPr>
                <w:rFonts w:hint="default" w:ascii="Arial" w:hAnsi="Arial" w:cs="Arial"/>
                <w:color w:val="auto"/>
                <w:spacing w:val="20"/>
                <w:szCs w:val="21"/>
                <w:highlight w:val="none"/>
                <w:lang w:val="en-US" w:eastAsia="zh-CN"/>
              </w:rPr>
              <w:t>1项</w:t>
            </w:r>
          </w:p>
        </w:tc>
        <w:tc>
          <w:tcPr>
            <w:tcW w:w="33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r>
              <w:rPr>
                <w:rFonts w:hint="default" w:ascii="Arial" w:hAnsi="Arial" w:cs="Arial"/>
                <w:color w:val="auto"/>
                <w:szCs w:val="21"/>
                <w:highlight w:val="none"/>
              </w:rPr>
              <w:t>大写百分之</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（小写</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w:t>
            </w: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bl>
    <w:p>
      <w:pPr>
        <w:rPr>
          <w:color w:val="auto"/>
          <w:spacing w:val="20"/>
          <w:szCs w:val="21"/>
          <w:highlight w:val="none"/>
          <w:u w:val="single"/>
        </w:rPr>
      </w:pPr>
    </w:p>
    <w:p>
      <w:pPr>
        <w:rPr>
          <w:rFonts w:hint="default" w:ascii="Arial" w:hAnsi="Arial" w:cs="Arial"/>
          <w:color w:val="auto"/>
          <w:spacing w:val="20"/>
          <w:szCs w:val="21"/>
          <w:highlight w:val="none"/>
          <w:u w:val="single"/>
        </w:rPr>
      </w:pPr>
      <w:r>
        <w:rPr>
          <w:rFonts w:hint="default" w:ascii="Arial" w:hAnsi="Arial" w:cs="Arial"/>
          <w:color w:val="auto"/>
          <w:szCs w:val="21"/>
          <w:highlight w:val="none"/>
          <w:lang w:val="en-US" w:eastAsia="zh-CN"/>
        </w:rPr>
        <w:t>表二</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1800"/>
        <w:gridCol w:w="3463"/>
        <w:gridCol w:w="1170"/>
        <w:gridCol w:w="7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材料品目</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品牌</w:t>
            </w:r>
          </w:p>
        </w:tc>
        <w:tc>
          <w:tcPr>
            <w:tcW w:w="3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技术要求</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0"/>
                <w:szCs w:val="20"/>
                <w:highlight w:val="none"/>
                <w:u w:val="none"/>
                <w:lang w:val="en-US" w:eastAsia="zh-CN" w:bidi="ar"/>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u w:val="single"/>
                <w:lang w:val="en-US" w:eastAsia="zh-CN"/>
              </w:rPr>
            </w:pPr>
            <w:r>
              <w:rPr>
                <w:rFonts w:hint="default" w:ascii="Arial" w:hAnsi="Arial" w:cs="Arial"/>
                <w:color w:val="auto"/>
                <w:spacing w:val="20"/>
                <w:szCs w:val="21"/>
                <w:highlight w:val="none"/>
                <w:u w:val="none"/>
                <w:lang w:val="en-US"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color w:val="auto"/>
                <w:spacing w:val="20"/>
                <w:szCs w:val="21"/>
                <w:highlight w:val="none"/>
              </w:rPr>
            </w:pPr>
          </w:p>
        </w:tc>
      </w:tr>
    </w:tbl>
    <w:p>
      <w:pPr>
        <w:spacing w:line="360" w:lineRule="auto"/>
        <w:rPr>
          <w:color w:val="auto"/>
          <w:spacing w:val="20"/>
          <w:szCs w:val="21"/>
          <w:highlight w:val="none"/>
        </w:rPr>
      </w:pPr>
    </w:p>
    <w:p>
      <w:pPr>
        <w:spacing w:line="360" w:lineRule="auto"/>
        <w:rPr>
          <w:color w:val="auto"/>
          <w:spacing w:val="20"/>
          <w:szCs w:val="21"/>
          <w:highlight w:val="none"/>
        </w:rPr>
      </w:pPr>
    </w:p>
    <w:p>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pPr>
        <w:jc w:val="left"/>
        <w:rPr>
          <w:color w:val="auto"/>
          <w:szCs w:val="21"/>
          <w:highlight w:val="none"/>
        </w:rPr>
      </w:pPr>
    </w:p>
    <w:p>
      <w:pPr>
        <w:spacing w:line="360" w:lineRule="auto"/>
        <w:rPr>
          <w:color w:val="auto"/>
          <w:spacing w:val="20"/>
          <w:szCs w:val="21"/>
          <w:highlight w:val="none"/>
        </w:rPr>
      </w:pPr>
    </w:p>
    <w:p>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rPr>
          <w:color w:val="auto"/>
          <w:szCs w:val="21"/>
          <w:highlight w:val="none"/>
        </w:rPr>
      </w:pPr>
      <w:r>
        <w:rPr>
          <w:color w:val="auto"/>
          <w:szCs w:val="21"/>
          <w:highlight w:val="none"/>
        </w:rPr>
        <w:br w:type="page"/>
      </w:r>
    </w:p>
    <w:p>
      <w:pPr>
        <w:rPr>
          <w:color w:val="auto"/>
          <w:highlight w:val="none"/>
        </w:rPr>
      </w:pPr>
      <w:r>
        <w:rPr>
          <w:color w:val="auto"/>
          <w:highlight w:val="none"/>
        </w:rPr>
        <w:br w:type="page"/>
      </w:r>
    </w:p>
    <w:p>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过低报价合理性的说明。（如有）</w:t>
      </w:r>
    </w:p>
    <w:p>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pPr>
        <w:pStyle w:val="133"/>
        <w:jc w:val="center"/>
        <w:rPr>
          <w:b/>
          <w:bCs/>
          <w:color w:val="auto"/>
          <w:highlight w:val="none"/>
        </w:rPr>
      </w:pPr>
      <w:bookmarkStart w:id="121" w:name="_Hlk211331823"/>
    </w:p>
    <w:p>
      <w:pPr>
        <w:pStyle w:val="133"/>
        <w:jc w:val="center"/>
        <w:rPr>
          <w:color w:val="auto"/>
          <w:highlight w:val="none"/>
        </w:rPr>
      </w:pPr>
      <w:r>
        <w:rPr>
          <w:rFonts w:hint="eastAsia"/>
          <w:b/>
          <w:bCs/>
          <w:color w:val="auto"/>
          <w:highlight w:val="none"/>
          <w:lang w:val="en-US" w:eastAsia="zh-CN"/>
        </w:rPr>
        <w:t>产品成本测算表（参考格式）</w:t>
      </w:r>
    </w:p>
    <w:p>
      <w:pPr>
        <w:spacing w:line="360" w:lineRule="auto"/>
        <w:rPr>
          <w:color w:val="auto"/>
          <w:highlight w:val="none"/>
        </w:rPr>
      </w:pPr>
    </w:p>
    <w:bookmarkEnd w:id="121"/>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pPr>
              <w:numPr>
                <w:ilvl w:val="0"/>
                <w:numId w:val="4"/>
              </w:numPr>
              <w:tabs>
                <w:tab w:val="left" w:pos="61"/>
              </w:tabs>
              <w:jc w:val="center"/>
              <w:rPr>
                <w:color w:val="auto"/>
                <w:highlight w:val="none"/>
              </w:rPr>
            </w:pPr>
          </w:p>
        </w:tc>
        <w:tc>
          <w:tcPr>
            <w:tcW w:w="201" w:type="pct"/>
            <w:vMerge w:val="restart"/>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numPr>
                <w:ilvl w:val="0"/>
                <w:numId w:val="4"/>
              </w:num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pPr>
              <w:tabs>
                <w:tab w:val="left" w:pos="61"/>
              </w:tabs>
              <w:jc w:val="center"/>
              <w:rPr>
                <w:color w:val="auto"/>
                <w:highlight w:val="none"/>
              </w:rPr>
            </w:pPr>
          </w:p>
        </w:tc>
        <w:tc>
          <w:tcPr>
            <w:tcW w:w="201" w:type="pct"/>
            <w:vMerge w:val="continue"/>
            <w:shd w:val="clear" w:color="auto" w:fill="auto"/>
            <w:vAlign w:val="center"/>
          </w:tcPr>
          <w:p>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pPr>
              <w:tabs>
                <w:tab w:val="left" w:pos="0"/>
                <w:tab w:val="left" w:pos="56"/>
              </w:tabs>
              <w:ind w:left="547" w:hanging="478" w:hangingChars="228"/>
              <w:jc w:val="center"/>
              <w:rPr>
                <w:color w:val="auto"/>
                <w:highlight w:val="none"/>
              </w:rPr>
            </w:pPr>
          </w:p>
        </w:tc>
        <w:tc>
          <w:tcPr>
            <w:tcW w:w="380" w:type="pct"/>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p>
            <w:pPr>
              <w:rPr>
                <w:color w:val="auto"/>
                <w:highlight w:val="none"/>
              </w:rPr>
            </w:pPr>
          </w:p>
        </w:tc>
        <w:tc>
          <w:tcPr>
            <w:tcW w:w="606" w:type="pct"/>
            <w:tcBorders>
              <w:left w:val="single" w:color="auto" w:sz="4" w:space="0"/>
              <w:bottom w:val="single" w:color="auto" w:sz="4" w:space="0"/>
            </w:tcBorders>
            <w:shd w:val="clear" w:color="auto" w:fill="auto"/>
            <w:vAlign w:val="center"/>
          </w:tcPr>
          <w:p>
            <w:pPr>
              <w:rPr>
                <w:color w:val="auto"/>
                <w:highlight w:val="none"/>
              </w:rPr>
            </w:pPr>
          </w:p>
        </w:tc>
        <w:tc>
          <w:tcPr>
            <w:tcW w:w="449"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pPr>
              <w:spacing w:line="240" w:lineRule="atLeast"/>
              <w:ind w:left="-48" w:leftChars="-23" w:right="-65" w:rightChars="-31"/>
              <w:jc w:val="left"/>
              <w:rPr>
                <w:rFonts w:cs="宋体"/>
                <w:color w:val="auto"/>
                <w:szCs w:val="24"/>
                <w:highlight w:val="none"/>
              </w:rPr>
            </w:pPr>
          </w:p>
        </w:tc>
      </w:tr>
    </w:tbl>
    <w:p>
      <w:pPr>
        <w:spacing w:line="360" w:lineRule="auto"/>
        <w:jc w:val="left"/>
        <w:rPr>
          <w:color w:val="auto"/>
          <w:szCs w:val="21"/>
          <w:highlight w:val="none"/>
        </w:rPr>
      </w:pPr>
    </w:p>
    <w:p>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pPr>
        <w:snapToGrid/>
        <w:spacing w:before="0" w:after="0" w:afterLines="-2147483648" w:line="360" w:lineRule="auto"/>
        <w:ind w:firstLine="6090" w:firstLineChars="2900"/>
        <w:jc w:val="left"/>
        <w:outlineLvl w:val="9"/>
        <w:rPr>
          <w:rFonts w:hint="default"/>
          <w:color w:val="auto"/>
          <w:szCs w:val="21"/>
          <w:highlight w:val="none"/>
          <w:lang w:val="en-US" w:eastAsia="zh-CN"/>
        </w:rPr>
        <w:sectPr>
          <w:headerReference r:id="rId23" w:type="default"/>
          <w:pgSz w:w="11906" w:h="16838"/>
          <w:pgMar w:top="1418" w:right="1133" w:bottom="1246" w:left="1418" w:header="851" w:footer="992" w:gutter="0"/>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napToGrid w:val="0"/>
        <w:spacing w:before="50" w:after="120" w:afterLines="50"/>
        <w:jc w:val="left"/>
        <w:outlineLvl w:val="1"/>
        <w:rPr>
          <w:color w:val="auto"/>
          <w:szCs w:val="21"/>
          <w:highlight w:val="none"/>
        </w:rPr>
      </w:pPr>
      <w:bookmarkStart w:id="122" w:name="_Hlk65852042"/>
      <w:r>
        <w:rPr>
          <w:rFonts w:hint="eastAsia"/>
          <w:color w:val="auto"/>
          <w:szCs w:val="21"/>
          <w:highlight w:val="none"/>
          <w:lang w:val="en-US" w:eastAsia="zh-CN"/>
        </w:rPr>
        <w:t>4</w:t>
      </w:r>
      <w:r>
        <w:rPr>
          <w:rFonts w:hint="eastAsia"/>
          <w:color w:val="auto"/>
          <w:szCs w:val="21"/>
          <w:highlight w:val="none"/>
        </w:rPr>
        <w:t>.开标一览表</w:t>
      </w:r>
    </w:p>
    <w:p>
      <w:pPr>
        <w:widowControl/>
        <w:jc w:val="left"/>
        <w:rPr>
          <w:color w:val="auto"/>
          <w:szCs w:val="21"/>
          <w:highlight w:val="none"/>
        </w:rPr>
      </w:pPr>
    </w:p>
    <w:p>
      <w:pPr>
        <w:widowControl/>
        <w:jc w:val="left"/>
        <w:rPr>
          <w:color w:val="auto"/>
          <w:szCs w:val="21"/>
          <w:highlight w:val="none"/>
        </w:rPr>
      </w:pPr>
    </w:p>
    <w:p>
      <w:pPr>
        <w:widowControl/>
        <w:jc w:val="left"/>
        <w:rPr>
          <w:color w:val="auto"/>
          <w:szCs w:val="21"/>
          <w:highlight w:val="none"/>
        </w:rPr>
      </w:pPr>
    </w:p>
    <w:p>
      <w:pPr>
        <w:rPr>
          <w:b/>
          <w:color w:val="auto"/>
          <w:szCs w:val="21"/>
          <w:highlight w:val="none"/>
        </w:rPr>
      </w:pPr>
    </w:p>
    <w:p>
      <w:pPr>
        <w:rPr>
          <w:b/>
          <w:color w:val="auto"/>
          <w:szCs w:val="21"/>
          <w:highlight w:val="none"/>
        </w:rPr>
      </w:pPr>
    </w:p>
    <w:p>
      <w:pPr>
        <w:rPr>
          <w:b/>
          <w:color w:val="auto"/>
          <w:szCs w:val="21"/>
          <w:highlight w:val="none"/>
        </w:rPr>
      </w:pPr>
      <w:r>
        <w:rPr>
          <w:rFonts w:hint="eastAsia"/>
          <w:b/>
          <w:color w:val="auto"/>
          <w:szCs w:val="21"/>
          <w:highlight w:val="none"/>
        </w:rPr>
        <w:t>格式详见广西政府采购云平台，且仅在广西政府采购云平台填写即可。</w:t>
      </w:r>
    </w:p>
    <w:p>
      <w:pPr>
        <w:widowControl/>
        <w:jc w:val="left"/>
        <w:rPr>
          <w:color w:val="auto"/>
          <w:szCs w:val="21"/>
          <w:highlight w:val="none"/>
        </w:rPr>
      </w:pPr>
    </w:p>
    <w:bookmarkEnd w:id="122"/>
    <w:p>
      <w:pPr>
        <w:spacing w:line="360" w:lineRule="auto"/>
        <w:ind w:firstLine="420"/>
        <w:rPr>
          <w:rFonts w:hint="eastAsia"/>
          <w:color w:val="auto"/>
          <w:szCs w:val="21"/>
          <w:highlight w:val="none"/>
        </w:rPr>
      </w:pPr>
    </w:p>
    <w:p>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pPr>
      <w:pStyle w:val="32"/>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p>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p>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546B0"/>
    <w:multiLevelType w:val="singleLevel"/>
    <w:tmpl w:val="D88546B0"/>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A7AD9C"/>
    <w:multiLevelType w:val="singleLevel"/>
    <w:tmpl w:val="3FA7AD9C"/>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9CC"/>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532A9C"/>
    <w:rsid w:val="018C5F7F"/>
    <w:rsid w:val="01BE4069"/>
    <w:rsid w:val="01BE5800"/>
    <w:rsid w:val="01E46F65"/>
    <w:rsid w:val="024144A6"/>
    <w:rsid w:val="02E536DD"/>
    <w:rsid w:val="03F06C42"/>
    <w:rsid w:val="041B3357"/>
    <w:rsid w:val="044004C3"/>
    <w:rsid w:val="049F025D"/>
    <w:rsid w:val="04C34346"/>
    <w:rsid w:val="04E30437"/>
    <w:rsid w:val="059160E1"/>
    <w:rsid w:val="05F41FAA"/>
    <w:rsid w:val="063B78DC"/>
    <w:rsid w:val="076E0F6D"/>
    <w:rsid w:val="07BD5F62"/>
    <w:rsid w:val="07CD444F"/>
    <w:rsid w:val="07E84F31"/>
    <w:rsid w:val="0839529D"/>
    <w:rsid w:val="097640A4"/>
    <w:rsid w:val="09974C33"/>
    <w:rsid w:val="09B82947"/>
    <w:rsid w:val="0B235DD7"/>
    <w:rsid w:val="0B547760"/>
    <w:rsid w:val="0BF958C7"/>
    <w:rsid w:val="0C3F3332"/>
    <w:rsid w:val="0C5A09A9"/>
    <w:rsid w:val="0C5C3D53"/>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5DA5415"/>
    <w:rsid w:val="16BF46FB"/>
    <w:rsid w:val="16E84333"/>
    <w:rsid w:val="175D674F"/>
    <w:rsid w:val="17CD2550"/>
    <w:rsid w:val="18114189"/>
    <w:rsid w:val="18F06F2D"/>
    <w:rsid w:val="19223571"/>
    <w:rsid w:val="19AD7F51"/>
    <w:rsid w:val="1A424B3D"/>
    <w:rsid w:val="1BA50D14"/>
    <w:rsid w:val="1BA677E7"/>
    <w:rsid w:val="1BFA42FD"/>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2236A"/>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13464"/>
    <w:rsid w:val="2B8946FF"/>
    <w:rsid w:val="2C0A4741"/>
    <w:rsid w:val="2CA61832"/>
    <w:rsid w:val="2CF86E08"/>
    <w:rsid w:val="2D9B15EF"/>
    <w:rsid w:val="2E304308"/>
    <w:rsid w:val="2E5F4C31"/>
    <w:rsid w:val="2E6F7E34"/>
    <w:rsid w:val="2EB26D79"/>
    <w:rsid w:val="2F7145F4"/>
    <w:rsid w:val="3029048B"/>
    <w:rsid w:val="30580298"/>
    <w:rsid w:val="30646F90"/>
    <w:rsid w:val="30CB0402"/>
    <w:rsid w:val="31B66D5F"/>
    <w:rsid w:val="31F1195E"/>
    <w:rsid w:val="324D2681"/>
    <w:rsid w:val="32FA4AF4"/>
    <w:rsid w:val="333256C6"/>
    <w:rsid w:val="34457450"/>
    <w:rsid w:val="34FD4189"/>
    <w:rsid w:val="35373F98"/>
    <w:rsid w:val="3577060E"/>
    <w:rsid w:val="35E1219E"/>
    <w:rsid w:val="363B7932"/>
    <w:rsid w:val="36D15C2A"/>
    <w:rsid w:val="36FA4BBC"/>
    <w:rsid w:val="371D61FE"/>
    <w:rsid w:val="374B5AC3"/>
    <w:rsid w:val="38187E4F"/>
    <w:rsid w:val="3820445B"/>
    <w:rsid w:val="38210467"/>
    <w:rsid w:val="38401B73"/>
    <w:rsid w:val="384B1D2A"/>
    <w:rsid w:val="38714F0C"/>
    <w:rsid w:val="393B7CE1"/>
    <w:rsid w:val="39780BBB"/>
    <w:rsid w:val="39D617F2"/>
    <w:rsid w:val="3A242E79"/>
    <w:rsid w:val="3A874ED3"/>
    <w:rsid w:val="3B54795F"/>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04C59"/>
    <w:rsid w:val="42347713"/>
    <w:rsid w:val="42B60CB1"/>
    <w:rsid w:val="42E90332"/>
    <w:rsid w:val="43AE6264"/>
    <w:rsid w:val="43B00A8F"/>
    <w:rsid w:val="44B672B5"/>
    <w:rsid w:val="45511B47"/>
    <w:rsid w:val="45A15DDB"/>
    <w:rsid w:val="45B22926"/>
    <w:rsid w:val="462E6F3B"/>
    <w:rsid w:val="4681712C"/>
    <w:rsid w:val="468B6718"/>
    <w:rsid w:val="473B23EB"/>
    <w:rsid w:val="47B32EAB"/>
    <w:rsid w:val="47C40E8C"/>
    <w:rsid w:val="48201667"/>
    <w:rsid w:val="48594227"/>
    <w:rsid w:val="48B1218F"/>
    <w:rsid w:val="48B14AB0"/>
    <w:rsid w:val="48D6123C"/>
    <w:rsid w:val="49150F51"/>
    <w:rsid w:val="49480BD4"/>
    <w:rsid w:val="499F04DF"/>
    <w:rsid w:val="49CB3BFF"/>
    <w:rsid w:val="4AA4619B"/>
    <w:rsid w:val="4B284D77"/>
    <w:rsid w:val="4B876BAF"/>
    <w:rsid w:val="4BEC1507"/>
    <w:rsid w:val="4CD363C9"/>
    <w:rsid w:val="4D7F6702"/>
    <w:rsid w:val="4DAA2A72"/>
    <w:rsid w:val="4E1D39E1"/>
    <w:rsid w:val="4ED941B0"/>
    <w:rsid w:val="4F123950"/>
    <w:rsid w:val="4F134C73"/>
    <w:rsid w:val="4F1E0038"/>
    <w:rsid w:val="4FBA240D"/>
    <w:rsid w:val="50607291"/>
    <w:rsid w:val="507519D9"/>
    <w:rsid w:val="50EC442B"/>
    <w:rsid w:val="52127D7D"/>
    <w:rsid w:val="52412A63"/>
    <w:rsid w:val="53763D4D"/>
    <w:rsid w:val="538D45BD"/>
    <w:rsid w:val="54135280"/>
    <w:rsid w:val="54210A55"/>
    <w:rsid w:val="5526139C"/>
    <w:rsid w:val="552B2D26"/>
    <w:rsid w:val="554E1470"/>
    <w:rsid w:val="55571991"/>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085BD7"/>
    <w:rsid w:val="5B5619E7"/>
    <w:rsid w:val="5B8340E7"/>
    <w:rsid w:val="5B8D0599"/>
    <w:rsid w:val="5B937814"/>
    <w:rsid w:val="5BA627EA"/>
    <w:rsid w:val="5BAA125C"/>
    <w:rsid w:val="5C06784E"/>
    <w:rsid w:val="5C6E79F1"/>
    <w:rsid w:val="5C8657B1"/>
    <w:rsid w:val="5CA73484"/>
    <w:rsid w:val="5CE5499C"/>
    <w:rsid w:val="5D43168B"/>
    <w:rsid w:val="5D77243C"/>
    <w:rsid w:val="5D822C9D"/>
    <w:rsid w:val="5E2F13E4"/>
    <w:rsid w:val="5EC546B7"/>
    <w:rsid w:val="5EE01513"/>
    <w:rsid w:val="5F6C789E"/>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11270F"/>
    <w:rsid w:val="65E5355A"/>
    <w:rsid w:val="66781482"/>
    <w:rsid w:val="669B156E"/>
    <w:rsid w:val="674A3D4F"/>
    <w:rsid w:val="679006E0"/>
    <w:rsid w:val="6864772D"/>
    <w:rsid w:val="68BC6A3B"/>
    <w:rsid w:val="68D26F09"/>
    <w:rsid w:val="6A121AD7"/>
    <w:rsid w:val="6A3C248C"/>
    <w:rsid w:val="6AD23B35"/>
    <w:rsid w:val="6B8F1B75"/>
    <w:rsid w:val="6C3226C6"/>
    <w:rsid w:val="6C545FF5"/>
    <w:rsid w:val="6C591BE2"/>
    <w:rsid w:val="6DC92C56"/>
    <w:rsid w:val="6DFD6C5F"/>
    <w:rsid w:val="6E0A4A26"/>
    <w:rsid w:val="6E113896"/>
    <w:rsid w:val="6E5E1B6C"/>
    <w:rsid w:val="6EB57A17"/>
    <w:rsid w:val="6EEF71D1"/>
    <w:rsid w:val="6F021A16"/>
    <w:rsid w:val="6F1D40CE"/>
    <w:rsid w:val="7051517A"/>
    <w:rsid w:val="70D85BD1"/>
    <w:rsid w:val="715B338A"/>
    <w:rsid w:val="716A7ADC"/>
    <w:rsid w:val="71DE2E53"/>
    <w:rsid w:val="71FD7DAF"/>
    <w:rsid w:val="721F39FF"/>
    <w:rsid w:val="726D142B"/>
    <w:rsid w:val="729E121E"/>
    <w:rsid w:val="72E23A7A"/>
    <w:rsid w:val="72F6179B"/>
    <w:rsid w:val="736D54A9"/>
    <w:rsid w:val="738003CA"/>
    <w:rsid w:val="73C56EED"/>
    <w:rsid w:val="73E71D17"/>
    <w:rsid w:val="7480340D"/>
    <w:rsid w:val="74FD7E91"/>
    <w:rsid w:val="758D4AB4"/>
    <w:rsid w:val="75D12961"/>
    <w:rsid w:val="765941C5"/>
    <w:rsid w:val="773B6CD4"/>
    <w:rsid w:val="77B96D29"/>
    <w:rsid w:val="77E30949"/>
    <w:rsid w:val="77F16A53"/>
    <w:rsid w:val="783525A0"/>
    <w:rsid w:val="786F12BD"/>
    <w:rsid w:val="786F1AA9"/>
    <w:rsid w:val="7872551D"/>
    <w:rsid w:val="7920071D"/>
    <w:rsid w:val="79436C15"/>
    <w:rsid w:val="79C52BC7"/>
    <w:rsid w:val="79C747F6"/>
    <w:rsid w:val="7A36659D"/>
    <w:rsid w:val="7A6027C1"/>
    <w:rsid w:val="7A854A12"/>
    <w:rsid w:val="7B237820"/>
    <w:rsid w:val="7B974622"/>
    <w:rsid w:val="7C2156FA"/>
    <w:rsid w:val="7C8330F2"/>
    <w:rsid w:val="7D4E72F0"/>
    <w:rsid w:val="7E9219F9"/>
    <w:rsid w:val="7EF87B3E"/>
    <w:rsid w:val="7F924DA0"/>
    <w:rsid w:val="7FE201AC"/>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autoRedefine/>
    <w:qFormat/>
    <w:uiPriority w:val="0"/>
    <w:pPr>
      <w:keepNext/>
      <w:keepLines/>
      <w:spacing w:before="280" w:after="290" w:line="372" w:lineRule="auto"/>
      <w:outlineLvl w:val="4"/>
    </w:pPr>
    <w:rPr>
      <w:b/>
      <w:sz w:val="28"/>
    </w:rPr>
  </w:style>
  <w:style w:type="paragraph" w:styleId="8">
    <w:name w:val="heading 6"/>
    <w:basedOn w:val="1"/>
    <w:next w:val="7"/>
    <w:link w:val="65"/>
    <w:autoRedefine/>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autoRedefine/>
    <w:qFormat/>
    <w:uiPriority w:val="0"/>
    <w:pPr>
      <w:keepNext/>
      <w:keepLines/>
      <w:spacing w:before="240" w:after="64" w:line="317" w:lineRule="auto"/>
      <w:outlineLvl w:val="6"/>
    </w:pPr>
    <w:rPr>
      <w:b/>
      <w:sz w:val="24"/>
    </w:rPr>
  </w:style>
  <w:style w:type="paragraph" w:styleId="10">
    <w:name w:val="heading 8"/>
    <w:basedOn w:val="1"/>
    <w:next w:val="7"/>
    <w:link w:val="67"/>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autoRedefine/>
    <w:qFormat/>
    <w:uiPriority w:val="0"/>
    <w:pPr>
      <w:keepNext/>
      <w:keepLines/>
      <w:spacing w:before="240" w:after="64" w:line="317" w:lineRule="auto"/>
      <w:outlineLvl w:val="8"/>
    </w:pPr>
    <w:rPr>
      <w:rFonts w:ascii="Arial" w:hAnsi="Arial" w:eastAsia="黑体"/>
    </w:rPr>
  </w:style>
  <w:style w:type="character" w:default="1" w:styleId="54">
    <w:name w:val="Default Paragraph Font"/>
    <w:autoRedefine/>
    <w:qFormat/>
    <w:uiPriority w:val="0"/>
  </w:style>
  <w:style w:type="table" w:default="1" w:styleId="52">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qFormat/>
    <w:uiPriority w:val="0"/>
    <w:pPr>
      <w:widowControl w:val="0"/>
      <w:ind w:left="1400" w:leftChars="1400"/>
      <w:jc w:val="both"/>
    </w:pPr>
    <w:rPr>
      <w:rFonts w:ascii="宋体" w:hAnsi="宋体" w:eastAsia="宋体" w:cs="Times New Roman"/>
      <w:kern w:val="2"/>
      <w:sz w:val="24"/>
      <w:szCs w:val="24"/>
      <w:vertAlign w:val="superscript"/>
      <w:lang w:val="en-US" w:eastAsia="zh-CN" w:bidi="ar-SA"/>
    </w:r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17">
    <w:name w:val="Document Map"/>
    <w:basedOn w:val="1"/>
    <w:link w:val="69"/>
    <w:autoRedefine/>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autoRedefine/>
    <w:qFormat/>
    <w:uiPriority w:val="0"/>
    <w:pPr>
      <w:jc w:val="left"/>
    </w:pPr>
  </w:style>
  <w:style w:type="paragraph" w:styleId="19">
    <w:name w:val="Body Text 3"/>
    <w:basedOn w:val="1"/>
    <w:link w:val="71"/>
    <w:autoRedefine/>
    <w:qFormat/>
    <w:uiPriority w:val="0"/>
    <w:pPr>
      <w:spacing w:line="500" w:lineRule="exact"/>
    </w:pPr>
    <w:rPr>
      <w:b/>
      <w:bCs/>
      <w:sz w:val="24"/>
    </w:rPr>
  </w:style>
  <w:style w:type="paragraph" w:styleId="20">
    <w:name w:val="Body Text"/>
    <w:basedOn w:val="1"/>
    <w:link w:val="72"/>
    <w:autoRedefine/>
    <w:qFormat/>
    <w:uiPriority w:val="99"/>
    <w:pPr>
      <w:spacing w:line="380" w:lineRule="exact"/>
    </w:pPr>
    <w:rPr>
      <w:sz w:val="24"/>
    </w:rPr>
  </w:style>
  <w:style w:type="paragraph" w:styleId="21">
    <w:name w:val="Body Text Indent"/>
    <w:basedOn w:val="1"/>
    <w:link w:val="73"/>
    <w:autoRedefine/>
    <w:qFormat/>
    <w:uiPriority w:val="99"/>
    <w:pPr>
      <w:ind w:firstLine="830" w:firstLineChars="352"/>
    </w:pPr>
    <w:rPr>
      <w:rFonts w:ascii="仿宋_GB2312" w:eastAsia="仿宋_GB2312"/>
      <w:sz w:val="32"/>
      <w:szCs w:val="20"/>
    </w:rPr>
  </w:style>
  <w:style w:type="paragraph" w:styleId="22">
    <w:name w:val="List Number 3"/>
    <w:basedOn w:val="1"/>
    <w:autoRedefine/>
    <w:qFormat/>
    <w:uiPriority w:val="0"/>
    <w:pPr>
      <w:tabs>
        <w:tab w:val="left" w:pos="1200"/>
      </w:tabs>
      <w:ind w:left="1200" w:leftChars="400" w:hanging="360" w:hangingChars="200"/>
    </w:pPr>
  </w:style>
  <w:style w:type="paragraph" w:styleId="23">
    <w:name w:val="List 2"/>
    <w:basedOn w:val="1"/>
    <w:autoRedefine/>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39"/>
    <w:pPr>
      <w:ind w:left="840" w:leftChars="400"/>
    </w:pPr>
  </w:style>
  <w:style w:type="paragraph" w:styleId="27">
    <w:name w:val="Plain Text"/>
    <w:basedOn w:val="1"/>
    <w:next w:val="14"/>
    <w:link w:val="74"/>
    <w:autoRedefine/>
    <w:qFormat/>
    <w:uiPriority w:val="0"/>
    <w:rPr>
      <w:rFonts w:ascii="宋体" w:hAnsi="Courier New" w:cs="Courier New"/>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autoRedefine/>
    <w:qFormat/>
    <w:uiPriority w:val="0"/>
    <w:pPr>
      <w:ind w:left="100" w:leftChars="2500"/>
    </w:pPr>
    <w:rPr>
      <w:rFonts w:ascii="宋体" w:hAnsi="Courier New"/>
      <w:szCs w:val="21"/>
    </w:rPr>
  </w:style>
  <w:style w:type="paragraph" w:styleId="30">
    <w:name w:val="Body Text Indent 2"/>
    <w:basedOn w:val="1"/>
    <w:link w:val="76"/>
    <w:autoRedefine/>
    <w:qFormat/>
    <w:uiPriority w:val="0"/>
    <w:pPr>
      <w:ind w:firstLine="630"/>
    </w:pPr>
    <w:rPr>
      <w:sz w:val="32"/>
      <w:szCs w:val="20"/>
    </w:r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0"/>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autoRedefine/>
    <w:qFormat/>
    <w:uiPriority w:val="0"/>
    <w:pPr>
      <w:ind w:left="200" w:hanging="200" w:hangingChars="200"/>
    </w:pPr>
    <w:rPr>
      <w:sz w:val="28"/>
    </w:rPr>
  </w:style>
  <w:style w:type="paragraph" w:styleId="37">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autoRedefine/>
    <w:qFormat/>
    <w:uiPriority w:val="0"/>
    <w:pPr>
      <w:ind w:left="2100" w:hanging="420"/>
    </w:pPr>
    <w:rPr>
      <w:szCs w:val="20"/>
    </w:rPr>
  </w:style>
  <w:style w:type="paragraph" w:styleId="39">
    <w:name w:val="Body Text Indent 3"/>
    <w:basedOn w:val="1"/>
    <w:link w:val="80"/>
    <w:autoRedefine/>
    <w:qFormat/>
    <w:uiPriority w:val="0"/>
    <w:pPr>
      <w:spacing w:after="120" w:afterLines="0"/>
      <w:ind w:left="420" w:leftChars="200"/>
    </w:pPr>
    <w:rPr>
      <w:sz w:val="16"/>
      <w:szCs w:val="16"/>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autoRedefine/>
    <w:qFormat/>
    <w:uiPriority w:val="0"/>
    <w:pPr>
      <w:spacing w:after="120" w:afterLines="0" w:line="480" w:lineRule="auto"/>
    </w:pPr>
  </w:style>
  <w:style w:type="paragraph" w:styleId="43">
    <w:name w:val="List 4"/>
    <w:basedOn w:val="1"/>
    <w:autoRedefine/>
    <w:qFormat/>
    <w:uiPriority w:val="0"/>
    <w:pPr>
      <w:ind w:left="100" w:leftChars="600" w:hanging="200" w:hangingChars="200"/>
    </w:pPr>
  </w:style>
  <w:style w:type="paragraph" w:styleId="44">
    <w:name w:val="List Continue 2"/>
    <w:basedOn w:val="1"/>
    <w:autoRedefine/>
    <w:qFormat/>
    <w:uiPriority w:val="0"/>
    <w:pPr>
      <w:spacing w:after="120" w:afterLines="0"/>
      <w:ind w:left="840" w:leftChars="400"/>
    </w:pPr>
  </w:style>
  <w:style w:type="paragraph" w:styleId="45">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autoRedefine/>
    <w:qFormat/>
    <w:uiPriority w:val="0"/>
    <w:pPr>
      <w:spacing w:line="400" w:lineRule="exact"/>
      <w:ind w:firstLine="420" w:firstLineChars="200"/>
    </w:pPr>
    <w:rPr>
      <w:rFonts w:ascii="宋体" w:hAnsi="Courier New"/>
      <w:b/>
      <w:szCs w:val="20"/>
    </w:rPr>
  </w:style>
  <w:style w:type="paragraph" w:styleId="48">
    <w:name w:val="Title"/>
    <w:basedOn w:val="1"/>
    <w:link w:val="83"/>
    <w:autoRedefine/>
    <w:qFormat/>
    <w:uiPriority w:val="0"/>
    <w:pPr>
      <w:jc w:val="center"/>
    </w:pPr>
    <w:rPr>
      <w:sz w:val="30"/>
    </w:rPr>
  </w:style>
  <w:style w:type="paragraph" w:styleId="49">
    <w:name w:val="annotation subject"/>
    <w:basedOn w:val="18"/>
    <w:next w:val="18"/>
    <w:link w:val="84"/>
    <w:autoRedefine/>
    <w:qFormat/>
    <w:uiPriority w:val="0"/>
    <w:rPr>
      <w:b/>
      <w:bCs/>
    </w:rPr>
  </w:style>
  <w:style w:type="paragraph" w:styleId="50">
    <w:name w:val="Body Text First Indent"/>
    <w:basedOn w:val="20"/>
    <w:link w:val="85"/>
    <w:autoRedefine/>
    <w:qFormat/>
    <w:uiPriority w:val="0"/>
    <w:pPr>
      <w:spacing w:after="120" w:afterLines="0" w:line="240" w:lineRule="auto"/>
      <w:ind w:firstLine="420" w:firstLineChars="100"/>
    </w:pPr>
    <w:rPr>
      <w:sz w:val="21"/>
    </w:rPr>
  </w:style>
  <w:style w:type="paragraph" w:styleId="51">
    <w:name w:val="Body Text First Indent 2"/>
    <w:basedOn w:val="21"/>
    <w:link w:val="86"/>
    <w:autoRedefine/>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basedOn w:val="54"/>
    <w:autoRedefine/>
    <w:qFormat/>
    <w:uiPriority w:val="0"/>
  </w:style>
  <w:style w:type="character" w:styleId="57">
    <w:name w:val="FollowedHyperlink"/>
    <w:autoRedefine/>
    <w:qFormat/>
    <w:uiPriority w:val="99"/>
    <w:rPr>
      <w:color w:val="800080"/>
      <w:u w:val="single"/>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标题 1 Char"/>
    <w:link w:val="2"/>
    <w:autoRedefine/>
    <w:qFormat/>
    <w:uiPriority w:val="9"/>
    <w:rPr>
      <w:rFonts w:eastAsia="宋体"/>
      <w:b/>
      <w:bCs/>
      <w:kern w:val="44"/>
      <w:sz w:val="44"/>
      <w:szCs w:val="44"/>
      <w:lang w:val="en-US" w:eastAsia="zh-CN" w:bidi="ar-SA"/>
    </w:rPr>
  </w:style>
  <w:style w:type="character" w:customStyle="1" w:styleId="61">
    <w:name w:val="标题 2 Char"/>
    <w:link w:val="3"/>
    <w:autoRedefine/>
    <w:qFormat/>
    <w:uiPriority w:val="0"/>
    <w:rPr>
      <w:rFonts w:ascii="Arial" w:hAnsi="Arial" w:eastAsia="黑体"/>
      <w:b/>
      <w:bCs/>
      <w:kern w:val="2"/>
      <w:sz w:val="32"/>
      <w:szCs w:val="32"/>
    </w:rPr>
  </w:style>
  <w:style w:type="character" w:customStyle="1" w:styleId="62">
    <w:name w:val="标题 3 Char"/>
    <w:link w:val="4"/>
    <w:autoRedefine/>
    <w:qFormat/>
    <w:uiPriority w:val="0"/>
    <w:rPr>
      <w:b/>
      <w:bCs/>
      <w:kern w:val="2"/>
      <w:sz w:val="32"/>
      <w:szCs w:val="32"/>
    </w:rPr>
  </w:style>
  <w:style w:type="character" w:customStyle="1" w:styleId="63">
    <w:name w:val="标题 4 Char"/>
    <w:link w:val="5"/>
    <w:autoRedefine/>
    <w:qFormat/>
    <w:uiPriority w:val="0"/>
    <w:rPr>
      <w:rFonts w:ascii="Arial" w:hAnsi="Arial" w:eastAsia="黑体"/>
      <w:sz w:val="28"/>
    </w:rPr>
  </w:style>
  <w:style w:type="character" w:customStyle="1" w:styleId="64">
    <w:name w:val="标题 5 Char"/>
    <w:link w:val="6"/>
    <w:autoRedefine/>
    <w:qFormat/>
    <w:uiPriority w:val="0"/>
    <w:rPr>
      <w:b/>
      <w:kern w:val="2"/>
      <w:sz w:val="28"/>
      <w:szCs w:val="24"/>
    </w:rPr>
  </w:style>
  <w:style w:type="character" w:customStyle="1" w:styleId="65">
    <w:name w:val="标题 6 Char"/>
    <w:link w:val="8"/>
    <w:autoRedefine/>
    <w:qFormat/>
    <w:uiPriority w:val="0"/>
    <w:rPr>
      <w:rFonts w:ascii="Arial" w:hAnsi="Arial" w:eastAsia="黑体"/>
      <w:b/>
      <w:kern w:val="2"/>
      <w:sz w:val="24"/>
      <w:szCs w:val="24"/>
    </w:rPr>
  </w:style>
  <w:style w:type="character" w:customStyle="1" w:styleId="66">
    <w:name w:val="标题 7 Char"/>
    <w:link w:val="9"/>
    <w:autoRedefine/>
    <w:qFormat/>
    <w:uiPriority w:val="0"/>
    <w:rPr>
      <w:b/>
      <w:kern w:val="2"/>
      <w:sz w:val="24"/>
      <w:szCs w:val="24"/>
    </w:rPr>
  </w:style>
  <w:style w:type="character" w:customStyle="1" w:styleId="67">
    <w:name w:val="标题 8 Char"/>
    <w:link w:val="10"/>
    <w:autoRedefine/>
    <w:qFormat/>
    <w:uiPriority w:val="0"/>
    <w:rPr>
      <w:rFonts w:ascii="Arial" w:hAnsi="Arial" w:eastAsia="黑体"/>
      <w:kern w:val="2"/>
      <w:sz w:val="24"/>
      <w:szCs w:val="24"/>
    </w:rPr>
  </w:style>
  <w:style w:type="character" w:customStyle="1" w:styleId="68">
    <w:name w:val="标题 9 Char"/>
    <w:link w:val="11"/>
    <w:autoRedefine/>
    <w:qFormat/>
    <w:uiPriority w:val="0"/>
    <w:rPr>
      <w:rFonts w:ascii="Arial" w:hAnsi="Arial" w:eastAsia="黑体"/>
      <w:kern w:val="2"/>
      <w:sz w:val="21"/>
      <w:szCs w:val="24"/>
    </w:rPr>
  </w:style>
  <w:style w:type="character" w:customStyle="1" w:styleId="69">
    <w:name w:val="文档结构图 Char"/>
    <w:link w:val="17"/>
    <w:autoRedefine/>
    <w:qFormat/>
    <w:uiPriority w:val="0"/>
    <w:rPr>
      <w:sz w:val="21"/>
      <w:shd w:val="clear" w:color="auto" w:fill="000080"/>
    </w:rPr>
  </w:style>
  <w:style w:type="character" w:customStyle="1" w:styleId="70">
    <w:name w:val="批注文字 Char"/>
    <w:link w:val="18"/>
    <w:autoRedefine/>
    <w:qFormat/>
    <w:uiPriority w:val="0"/>
    <w:rPr>
      <w:kern w:val="2"/>
      <w:sz w:val="21"/>
      <w:szCs w:val="24"/>
    </w:rPr>
  </w:style>
  <w:style w:type="character" w:customStyle="1" w:styleId="71">
    <w:name w:val="正文文本 3 Char"/>
    <w:link w:val="19"/>
    <w:autoRedefine/>
    <w:qFormat/>
    <w:uiPriority w:val="0"/>
    <w:rPr>
      <w:b/>
      <w:bCs/>
      <w:kern w:val="2"/>
      <w:sz w:val="24"/>
      <w:szCs w:val="24"/>
    </w:rPr>
  </w:style>
  <w:style w:type="character" w:customStyle="1" w:styleId="72">
    <w:name w:val="正文文本 Char"/>
    <w:link w:val="20"/>
    <w:autoRedefine/>
    <w:qFormat/>
    <w:uiPriority w:val="99"/>
    <w:rPr>
      <w:kern w:val="2"/>
      <w:sz w:val="24"/>
      <w:szCs w:val="24"/>
    </w:rPr>
  </w:style>
  <w:style w:type="character" w:customStyle="1" w:styleId="73">
    <w:name w:val="正文文本缩进 Char"/>
    <w:link w:val="21"/>
    <w:autoRedefine/>
    <w:qFormat/>
    <w:uiPriority w:val="99"/>
    <w:rPr>
      <w:rFonts w:ascii="仿宋_GB2312" w:eastAsia="仿宋_GB2312"/>
      <w:kern w:val="2"/>
      <w:sz w:val="32"/>
    </w:rPr>
  </w:style>
  <w:style w:type="character" w:customStyle="1" w:styleId="74">
    <w:name w:val="纯文本 Char"/>
    <w:link w:val="27"/>
    <w:autoRedefine/>
    <w:qFormat/>
    <w:uiPriority w:val="99"/>
    <w:rPr>
      <w:rFonts w:ascii="宋体" w:hAnsi="Courier New" w:eastAsia="宋体" w:cs="Courier New"/>
      <w:kern w:val="2"/>
      <w:sz w:val="21"/>
      <w:szCs w:val="21"/>
      <w:lang w:val="en-US" w:eastAsia="zh-CN" w:bidi="ar-SA"/>
    </w:rPr>
  </w:style>
  <w:style w:type="character" w:customStyle="1" w:styleId="75">
    <w:name w:val="日期 Char"/>
    <w:link w:val="29"/>
    <w:autoRedefine/>
    <w:qFormat/>
    <w:uiPriority w:val="0"/>
    <w:rPr>
      <w:rFonts w:ascii="宋体" w:hAnsi="Courier New" w:cs="Courier New"/>
      <w:kern w:val="2"/>
      <w:sz w:val="21"/>
      <w:szCs w:val="21"/>
    </w:rPr>
  </w:style>
  <w:style w:type="character" w:customStyle="1" w:styleId="76">
    <w:name w:val="正文文本缩进 2 Char"/>
    <w:link w:val="30"/>
    <w:autoRedefine/>
    <w:qFormat/>
    <w:uiPriority w:val="0"/>
    <w:rPr>
      <w:kern w:val="2"/>
      <w:sz w:val="32"/>
    </w:rPr>
  </w:style>
  <w:style w:type="character" w:customStyle="1" w:styleId="77">
    <w:name w:val="批注框文本 Char"/>
    <w:link w:val="31"/>
    <w:autoRedefine/>
    <w:qFormat/>
    <w:uiPriority w:val="0"/>
    <w:rPr>
      <w:kern w:val="2"/>
      <w:sz w:val="18"/>
      <w:szCs w:val="18"/>
    </w:rPr>
  </w:style>
  <w:style w:type="character" w:customStyle="1" w:styleId="78">
    <w:name w:val="页脚 Char"/>
    <w:link w:val="32"/>
    <w:autoRedefine/>
    <w:qFormat/>
    <w:uiPriority w:val="0"/>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正文文本缩进 3 Char"/>
    <w:link w:val="39"/>
    <w:autoRedefine/>
    <w:qFormat/>
    <w:uiPriority w:val="0"/>
    <w:rPr>
      <w:kern w:val="2"/>
      <w:sz w:val="16"/>
      <w:szCs w:val="16"/>
    </w:rPr>
  </w:style>
  <w:style w:type="character" w:customStyle="1" w:styleId="81">
    <w:name w:val="正文文本 2 Char"/>
    <w:link w:val="42"/>
    <w:autoRedefine/>
    <w:qFormat/>
    <w:uiPriority w:val="0"/>
    <w:rPr>
      <w:kern w:val="2"/>
      <w:sz w:val="21"/>
      <w:szCs w:val="24"/>
    </w:rPr>
  </w:style>
  <w:style w:type="character" w:customStyle="1" w:styleId="82">
    <w:name w:val="HTML 预设格式 Char"/>
    <w:link w:val="45"/>
    <w:autoRedefine/>
    <w:qFormat/>
    <w:uiPriority w:val="0"/>
    <w:rPr>
      <w:rFonts w:ascii="黑体" w:hAnsi="Courier New" w:eastAsia="黑体" w:cs="Courier New"/>
    </w:rPr>
  </w:style>
  <w:style w:type="character" w:customStyle="1" w:styleId="83">
    <w:name w:val="标题 Char"/>
    <w:link w:val="48"/>
    <w:autoRedefine/>
    <w:qFormat/>
    <w:uiPriority w:val="0"/>
    <w:rPr>
      <w:kern w:val="2"/>
      <w:sz w:val="30"/>
      <w:szCs w:val="24"/>
    </w:rPr>
  </w:style>
  <w:style w:type="character" w:customStyle="1" w:styleId="84">
    <w:name w:val="批注主题 Char"/>
    <w:link w:val="49"/>
    <w:autoRedefine/>
    <w:qFormat/>
    <w:uiPriority w:val="0"/>
    <w:rPr>
      <w:b/>
      <w:bCs/>
      <w:kern w:val="2"/>
      <w:sz w:val="21"/>
      <w:szCs w:val="24"/>
    </w:rPr>
  </w:style>
  <w:style w:type="character" w:customStyle="1" w:styleId="85">
    <w:name w:val="正文首行缩进 Char"/>
    <w:link w:val="50"/>
    <w:autoRedefine/>
    <w:qFormat/>
    <w:uiPriority w:val="0"/>
    <w:rPr>
      <w:kern w:val="2"/>
      <w:sz w:val="21"/>
      <w:szCs w:val="24"/>
    </w:rPr>
  </w:style>
  <w:style w:type="character" w:customStyle="1" w:styleId="86">
    <w:name w:val="正文首行缩进 2 Char"/>
    <w:link w:val="51"/>
    <w:autoRedefine/>
    <w:qFormat/>
    <w:uiPriority w:val="0"/>
    <w:rPr>
      <w:kern w:val="2"/>
      <w:sz w:val="21"/>
      <w:szCs w:val="24"/>
    </w:rPr>
  </w:style>
  <w:style w:type="character" w:customStyle="1" w:styleId="87">
    <w:name w:val="style11"/>
    <w:autoRedefine/>
    <w:qFormat/>
    <w:uiPriority w:val="0"/>
    <w:rPr>
      <w:rFonts w:hint="default" w:ascii="Arial" w:hAnsi="Arial" w:cs="Arial"/>
    </w:rPr>
  </w:style>
  <w:style w:type="character" w:customStyle="1" w:styleId="88">
    <w:name w:val="short_text1"/>
    <w:autoRedefine/>
    <w:qFormat/>
    <w:uiPriority w:val="0"/>
    <w:rPr>
      <w:sz w:val="26"/>
    </w:rPr>
  </w:style>
  <w:style w:type="character" w:customStyle="1" w:styleId="89">
    <w:name w:val="white"/>
    <w:basedOn w:val="54"/>
    <w:autoRedefine/>
    <w:qFormat/>
    <w:uiPriority w:val="0"/>
  </w:style>
  <w:style w:type="character" w:customStyle="1" w:styleId="90">
    <w:name w:val="text11"/>
    <w:autoRedefine/>
    <w:qFormat/>
    <w:uiPriority w:val="0"/>
    <w:rPr>
      <w:rFonts w:hint="default" w:ascii="Verdana" w:hAnsi="Verdana"/>
      <w:color w:val="4E4E4E"/>
      <w:sz w:val="18"/>
      <w:szCs w:val="18"/>
    </w:rPr>
  </w:style>
  <w:style w:type="character" w:customStyle="1" w:styleId="91">
    <w:name w:val="mark8"/>
    <w:autoRedefine/>
    <w:qFormat/>
    <w:uiPriority w:val="0"/>
    <w:rPr>
      <w:b/>
      <w:bCs/>
      <w:sz w:val="21"/>
      <w:szCs w:val="21"/>
    </w:rPr>
  </w:style>
  <w:style w:type="character" w:customStyle="1" w:styleId="92">
    <w:name w:val="纯文本 Char1"/>
    <w:autoRedefine/>
    <w:qFormat/>
    <w:uiPriority w:val="0"/>
    <w:rPr>
      <w:rFonts w:ascii="宋体" w:hAnsi="Courier New" w:eastAsia="宋体" w:cs="Courier New"/>
      <w:kern w:val="2"/>
      <w:sz w:val="21"/>
      <w:szCs w:val="21"/>
      <w:lang w:val="en-US" w:eastAsia="zh-CN" w:bidi="ar-SA"/>
    </w:rPr>
  </w:style>
  <w:style w:type="character" w:customStyle="1" w:styleId="93">
    <w:name w:val="f151"/>
    <w:autoRedefine/>
    <w:qFormat/>
    <w:uiPriority w:val="0"/>
    <w:rPr>
      <w:sz w:val="23"/>
      <w:szCs w:val="23"/>
    </w:rPr>
  </w:style>
  <w:style w:type="character" w:customStyle="1" w:styleId="94">
    <w:name w:val="062"/>
    <w:autoRedefine/>
    <w:qFormat/>
    <w:uiPriority w:val="0"/>
    <w:rPr>
      <w:rFonts w:ascii="宋体" w:hAnsi="宋体"/>
      <w:b/>
      <w:bCs/>
      <w:sz w:val="32"/>
    </w:rPr>
  </w:style>
  <w:style w:type="character" w:customStyle="1" w:styleId="95">
    <w:name w:val="gray12"/>
    <w:basedOn w:val="54"/>
    <w:autoRedefine/>
    <w:qFormat/>
    <w:uiPriority w:val="0"/>
  </w:style>
  <w:style w:type="character" w:customStyle="1" w:styleId="96">
    <w:name w:val="1ji Char"/>
    <w:link w:val="97"/>
    <w:autoRedefine/>
    <w:qFormat/>
    <w:uiPriority w:val="0"/>
    <w:rPr>
      <w:rFonts w:ascii="宋体" w:hAnsi="宋体" w:eastAsia="宋体"/>
      <w:b/>
      <w:bCs/>
      <w:kern w:val="44"/>
      <w:sz w:val="36"/>
      <w:szCs w:val="44"/>
      <w:lang w:val="en-US" w:eastAsia="zh-CN" w:bidi="ar-SA"/>
    </w:rPr>
  </w:style>
  <w:style w:type="paragraph" w:customStyle="1" w:styleId="97">
    <w:name w:val="1ji"/>
    <w:basedOn w:val="2"/>
    <w:link w:val="96"/>
    <w:autoRedefine/>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autoRedefine/>
    <w:qFormat/>
    <w:uiPriority w:val="0"/>
    <w:rPr>
      <w:rFonts w:hint="eastAsia" w:ascii="宋体" w:hAnsi="宋体" w:eastAsia="宋体"/>
      <w:color w:val="000000"/>
      <w:sz w:val="22"/>
      <w:szCs w:val="22"/>
      <w:u w:val="none"/>
    </w:rPr>
  </w:style>
  <w:style w:type="character" w:customStyle="1" w:styleId="99">
    <w:name w:val="small"/>
    <w:basedOn w:val="54"/>
    <w:autoRedefine/>
    <w:qFormat/>
    <w:uiPriority w:val="0"/>
  </w:style>
  <w:style w:type="character" w:customStyle="1" w:styleId="100">
    <w:name w:val="apple-converted-space"/>
    <w:autoRedefine/>
    <w:qFormat/>
    <w:uiPriority w:val="0"/>
  </w:style>
  <w:style w:type="character" w:customStyle="1" w:styleId="101">
    <w:name w:val="case31"/>
    <w:autoRedefine/>
    <w:qFormat/>
    <w:uiPriority w:val="0"/>
    <w:rPr>
      <w:rFonts w:hint="default" w:ascii="_x000B__x000C_" w:hAnsi="_x000B__x000C_"/>
      <w:sz w:val="21"/>
      <w:szCs w:val="21"/>
    </w:rPr>
  </w:style>
  <w:style w:type="character" w:customStyle="1" w:styleId="102">
    <w:name w:val="graytext1"/>
    <w:autoRedefine/>
    <w:qFormat/>
    <w:uiPriority w:val="0"/>
    <w:rPr>
      <w:color w:val="666666"/>
    </w:rPr>
  </w:style>
  <w:style w:type="character" w:customStyle="1" w:styleId="103">
    <w:name w:val="标题3 Char"/>
    <w:link w:val="104"/>
    <w:autoRedefine/>
    <w:qFormat/>
    <w:uiPriority w:val="0"/>
    <w:rPr>
      <w:rFonts w:ascii="宋体" w:hAnsi="宋体"/>
      <w:b/>
      <w:bCs/>
      <w:kern w:val="44"/>
      <w:sz w:val="24"/>
      <w:szCs w:val="24"/>
    </w:rPr>
  </w:style>
  <w:style w:type="paragraph" w:customStyle="1" w:styleId="104">
    <w:name w:val="标题3"/>
    <w:basedOn w:val="2"/>
    <w:link w:val="103"/>
    <w:autoRedefine/>
    <w:qFormat/>
    <w:uiPriority w:val="0"/>
    <w:pPr>
      <w:spacing w:before="0" w:beforeLines="50" w:after="0" w:afterLines="50" w:line="400" w:lineRule="exact"/>
    </w:pPr>
    <w:rPr>
      <w:rFonts w:ascii="宋体" w:hAnsi="宋体"/>
      <w:sz w:val="24"/>
      <w:szCs w:val="24"/>
    </w:rPr>
  </w:style>
  <w:style w:type="character" w:customStyle="1" w:styleId="105">
    <w:name w:val="1051"/>
    <w:autoRedefine/>
    <w:qFormat/>
    <w:uiPriority w:val="0"/>
    <w:rPr>
      <w:sz w:val="21"/>
      <w:szCs w:val="21"/>
    </w:rPr>
  </w:style>
  <w:style w:type="character" w:customStyle="1" w:styleId="106">
    <w:name w:val="content2"/>
    <w:basedOn w:val="54"/>
    <w:autoRedefine/>
    <w:qFormat/>
    <w:uiPriority w:val="0"/>
  </w:style>
  <w:style w:type="character" w:customStyle="1" w:styleId="107">
    <w:name w:val="z-窗体顶端 Char"/>
    <w:link w:val="108"/>
    <w:autoRedefine/>
    <w:qFormat/>
    <w:uiPriority w:val="0"/>
    <w:rPr>
      <w:rFonts w:ascii="Arial"/>
      <w:vanish/>
      <w:kern w:val="2"/>
      <w:sz w:val="16"/>
      <w:szCs w:val="24"/>
    </w:rPr>
  </w:style>
  <w:style w:type="paragraph" w:customStyle="1" w:styleId="108">
    <w:name w:val="_Style 106"/>
    <w:basedOn w:val="1"/>
    <w:next w:val="1"/>
    <w:link w:val="107"/>
    <w:autoRedefine/>
    <w:qFormat/>
    <w:uiPriority w:val="0"/>
    <w:pPr>
      <w:pBdr>
        <w:bottom w:val="single" w:color="auto" w:sz="6" w:space="1"/>
      </w:pBdr>
      <w:jc w:val="center"/>
    </w:pPr>
    <w:rPr>
      <w:rFonts w:ascii="Arial"/>
      <w:vanish/>
      <w:sz w:val="16"/>
    </w:rPr>
  </w:style>
  <w:style w:type="character" w:customStyle="1" w:styleId="109">
    <w:name w:val="unnamed3"/>
    <w:basedOn w:val="54"/>
    <w:autoRedefine/>
    <w:qFormat/>
    <w:uiPriority w:val="0"/>
  </w:style>
  <w:style w:type="character" w:customStyle="1" w:styleId="110">
    <w:name w:val="批注文字 Char2"/>
    <w:autoRedefine/>
    <w:qFormat/>
    <w:uiPriority w:val="0"/>
    <w:rPr>
      <w:kern w:val="2"/>
      <w:sz w:val="21"/>
      <w:szCs w:val="24"/>
      <w:lang w:bidi="ar-SA"/>
    </w:rPr>
  </w:style>
  <w:style w:type="character" w:customStyle="1" w:styleId="111">
    <w:name w:val="style21"/>
    <w:autoRedefine/>
    <w:qFormat/>
    <w:uiPriority w:val="0"/>
    <w:rPr>
      <w:sz w:val="17"/>
      <w:szCs w:val="17"/>
    </w:rPr>
  </w:style>
  <w:style w:type="paragraph" w:customStyle="1" w:styleId="112">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autoRedefine/>
    <w:qFormat/>
    <w:uiPriority w:val="0"/>
    <w:rPr>
      <w:szCs w:val="21"/>
    </w:rPr>
  </w:style>
  <w:style w:type="paragraph" w:customStyle="1" w:styleId="11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autoRedefine/>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autoRedefine/>
    <w:qFormat/>
    <w:uiPriority w:val="0"/>
    <w:pPr>
      <w:ind w:firstLine="420" w:firstLineChars="200"/>
    </w:pPr>
    <w:rPr>
      <w:rFonts w:ascii="Calibri" w:hAnsi="Calibri"/>
      <w:szCs w:val="22"/>
    </w:rPr>
  </w:style>
  <w:style w:type="paragraph" w:styleId="118">
    <w:name w:val="List Paragraph"/>
    <w:basedOn w:val="1"/>
    <w:autoRedefine/>
    <w:qFormat/>
    <w:uiPriority w:val="34"/>
    <w:pPr>
      <w:ind w:firstLine="420" w:firstLineChars="200"/>
    </w:pPr>
    <w:rPr>
      <w:rFonts w:ascii="Calibri" w:hAnsi="Calibri"/>
      <w:szCs w:val="22"/>
    </w:rPr>
  </w:style>
  <w:style w:type="paragraph" w:customStyle="1" w:styleId="119">
    <w:name w:val=" Char Char Char Char Char Char Char"/>
    <w:basedOn w:val="1"/>
    <w:autoRedefine/>
    <w:qFormat/>
    <w:uiPriority w:val="0"/>
  </w:style>
  <w:style w:type="paragraph" w:customStyle="1" w:styleId="120">
    <w:name w:val=" Char"/>
    <w:basedOn w:val="1"/>
    <w:autoRedefine/>
    <w:qFormat/>
    <w:uiPriority w:val="0"/>
    <w:pPr>
      <w:tabs>
        <w:tab w:val="left" w:pos="360"/>
      </w:tabs>
      <w:ind w:left="252" w:hanging="252" w:hangingChars="140"/>
    </w:pPr>
    <w:rPr>
      <w:rFonts w:ascii="宋体"/>
      <w:sz w:val="18"/>
      <w:szCs w:val="18"/>
    </w:rPr>
  </w:style>
  <w:style w:type="paragraph" w:customStyle="1" w:styleId="121">
    <w:name w:val="次小点说明 Char"/>
    <w:basedOn w:val="7"/>
    <w:autoRedefine/>
    <w:qFormat/>
    <w:uiPriority w:val="0"/>
    <w:pPr>
      <w:ind w:firstLine="0"/>
    </w:pPr>
    <w:rPr>
      <w:sz w:val="24"/>
      <w:szCs w:val="24"/>
    </w:rPr>
  </w:style>
  <w:style w:type="paragraph" w:customStyle="1" w:styleId="122">
    <w:name w:val="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25">
    <w:name w:val="a9"/>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autoRedefine/>
    <w:qFormat/>
    <w:uiPriority w:val="0"/>
    <w:pPr>
      <w:adjustRightInd w:val="0"/>
      <w:spacing w:line="360" w:lineRule="auto"/>
    </w:pPr>
    <w:rPr>
      <w:kern w:val="0"/>
      <w:sz w:val="24"/>
      <w:szCs w:val="20"/>
    </w:rPr>
  </w:style>
  <w:style w:type="paragraph" w:customStyle="1" w:styleId="127">
    <w:name w:val="xl2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autoRedefine/>
    <w:qFormat/>
    <w:uiPriority w:val="0"/>
    <w:pPr>
      <w:spacing w:before="120" w:beforeLines="0" w:after="120" w:afterLines="0" w:line="300" w:lineRule="auto"/>
    </w:pPr>
    <w:rPr>
      <w:rFonts w:ascii="宋体" w:hAnsi="宋体"/>
      <w:b/>
      <w:sz w:val="24"/>
      <w:szCs w:val="20"/>
    </w:rPr>
  </w:style>
  <w:style w:type="paragraph" w:customStyle="1" w:styleId="129">
    <w:name w:val="xl31"/>
    <w:basedOn w:val="1"/>
    <w:autoRedefine/>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35">
    <w:name w:val="图"/>
    <w:basedOn w:val="1"/>
    <w:autoRedefine/>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autoRedefine/>
    <w:qFormat/>
    <w:uiPriority w:val="0"/>
    <w:pPr>
      <w:spacing w:line="360" w:lineRule="auto"/>
      <w:ind w:firstLine="200" w:firstLineChars="200"/>
    </w:pPr>
  </w:style>
  <w:style w:type="paragraph" w:customStyle="1" w:styleId="138">
    <w:name w:val="_Style 136"/>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autoRedefine/>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7"/>
    <w:autoRedefine/>
    <w:qFormat/>
    <w:uiPriority w:val="0"/>
    <w:rPr>
      <w:rFonts w:ascii="宋体" w:hAnsi="Courier New"/>
      <w:szCs w:val="20"/>
    </w:rPr>
  </w:style>
  <w:style w:type="paragraph" w:customStyle="1" w:styleId="145">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autoRedefine/>
    <w:qFormat/>
    <w:uiPriority w:val="0"/>
    <w:rPr>
      <w:rFonts w:ascii="Tahoma" w:hAnsi="Tahoma"/>
      <w:sz w:val="24"/>
      <w:szCs w:val="20"/>
    </w:rPr>
  </w:style>
  <w:style w:type="paragraph" w:customStyle="1" w:styleId="1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autoRedefine/>
    <w:qFormat/>
    <w:uiPriority w:val="0"/>
    <w:pPr>
      <w:spacing w:line="400" w:lineRule="exact"/>
      <w:ind w:firstLine="200" w:firstLineChars="200"/>
    </w:pPr>
    <w:rPr>
      <w:rFonts w:cs="宋体"/>
      <w:sz w:val="24"/>
    </w:rPr>
  </w:style>
  <w:style w:type="paragraph" w:customStyle="1" w:styleId="151">
    <w:name w:val=" Char Char Char Char Char Char1 Char"/>
    <w:basedOn w:val="1"/>
    <w:autoRedefine/>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autoRedefine/>
    <w:qFormat/>
    <w:uiPriority w:val="0"/>
    <w:pPr>
      <w:spacing w:line="400" w:lineRule="exact"/>
    </w:pPr>
    <w:rPr>
      <w:sz w:val="24"/>
    </w:rPr>
  </w:style>
  <w:style w:type="paragraph" w:customStyle="1" w:styleId="153">
    <w:name w:val="默认段落字体 Para Char Char Char Char Char Char Char Char Char1 Char Char Char Char"/>
    <w:basedOn w:val="1"/>
    <w:autoRedefine/>
    <w:qFormat/>
    <w:uiPriority w:val="0"/>
    <w:rPr>
      <w:rFonts w:ascii="Tahoma" w:hAnsi="Tahoma"/>
      <w:sz w:val="24"/>
      <w:szCs w:val="20"/>
    </w:rPr>
  </w:style>
  <w:style w:type="paragraph" w:customStyle="1" w:styleId="1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autoRedefine/>
    <w:qFormat/>
    <w:uiPriority w:val="0"/>
  </w:style>
  <w:style w:type="paragraph" w:customStyle="1" w:styleId="156">
    <w:name w:val=" Char2"/>
    <w:basedOn w:val="1"/>
    <w:autoRedefine/>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autoRedefine/>
    <w:qFormat/>
    <w:uiPriority w:val="0"/>
    <w:pPr>
      <w:widowControl/>
      <w:spacing w:after="150" w:afterLines="0"/>
      <w:jc w:val="left"/>
    </w:pPr>
    <w:rPr>
      <w:rFonts w:ascii="宋体" w:hAnsi="宋体" w:cs="宋体"/>
      <w:kern w:val="0"/>
      <w:sz w:val="24"/>
    </w:rPr>
  </w:style>
  <w:style w:type="paragraph" w:customStyle="1" w:styleId="16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63">
    <w:name w:val="2ji"/>
    <w:basedOn w:val="3"/>
    <w:autoRedefine/>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autoRedefine/>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autoRedefine/>
    <w:qFormat/>
    <w:uiPriority w:val="1"/>
    <w:pPr>
      <w:autoSpaceDE w:val="0"/>
      <w:autoSpaceDN w:val="0"/>
      <w:adjustRightInd w:val="0"/>
      <w:jc w:val="left"/>
    </w:pPr>
    <w:rPr>
      <w:kern w:val="0"/>
      <w:sz w:val="24"/>
    </w:rPr>
  </w:style>
  <w:style w:type="character" w:customStyle="1" w:styleId="168">
    <w:name w:val="fd"/>
    <w:autoRedefine/>
    <w:qFormat/>
    <w:uiPriority w:val="0"/>
  </w:style>
  <w:style w:type="paragraph" w:customStyle="1" w:styleId="169">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autoRedefine/>
    <w:qFormat/>
    <w:uiPriority w:val="0"/>
    <w:rPr>
      <w:kern w:val="2"/>
      <w:sz w:val="21"/>
      <w:szCs w:val="24"/>
    </w:rPr>
  </w:style>
  <w:style w:type="character" w:customStyle="1" w:styleId="171">
    <w:name w:val="_Style 169"/>
    <w:autoRedefine/>
    <w:unhideWhenUsed/>
    <w:qFormat/>
    <w:uiPriority w:val="99"/>
    <w:rPr>
      <w:color w:val="605E5C"/>
      <w:shd w:val="clear" w:color="auto" w:fill="E1DFDD"/>
    </w:rPr>
  </w:style>
  <w:style w:type="character" w:customStyle="1" w:styleId="172">
    <w:name w:val="纯文本 字符1"/>
    <w:autoRedefine/>
    <w:qFormat/>
    <w:uiPriority w:val="99"/>
    <w:rPr>
      <w:rFonts w:ascii="宋体" w:hAnsi="Courier New" w:eastAsia="宋体" w:cs="Courier New"/>
      <w:kern w:val="2"/>
      <w:sz w:val="21"/>
      <w:szCs w:val="21"/>
      <w:lang w:val="en-US" w:eastAsia="zh-CN" w:bidi="ar-SA"/>
    </w:rPr>
  </w:style>
  <w:style w:type="character" w:customStyle="1" w:styleId="173">
    <w:name w:val="正文文本 字符1"/>
    <w:autoRedefine/>
    <w:qFormat/>
    <w:uiPriority w:val="99"/>
    <w:rPr>
      <w:kern w:val="2"/>
      <w:sz w:val="24"/>
      <w:szCs w:val="24"/>
    </w:rPr>
  </w:style>
  <w:style w:type="paragraph" w:customStyle="1" w:styleId="174">
    <w:name w:val="正文-2字符首行缩进"/>
    <w:basedOn w:val="1"/>
    <w:link w:val="175"/>
    <w:autoRedefine/>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autoRedefine/>
    <w:qFormat/>
    <w:uiPriority w:val="0"/>
    <w:rPr>
      <w:rFonts w:ascii="仿宋_GB2312" w:hAnsi="Calibri" w:eastAsia="仿宋_GB2312"/>
      <w:sz w:val="28"/>
      <w:szCs w:val="22"/>
    </w:rPr>
  </w:style>
  <w:style w:type="paragraph" w:customStyle="1" w:styleId="176">
    <w:name w:val="列出段落1"/>
    <w:basedOn w:val="1"/>
    <w:autoRedefine/>
    <w:qFormat/>
    <w:uiPriority w:val="99"/>
    <w:pPr>
      <w:ind w:firstLine="420" w:firstLineChars="200"/>
    </w:pPr>
    <w:rPr>
      <w:rFonts w:ascii="等线" w:hAnsi="等线" w:eastAsia="等线"/>
    </w:rPr>
  </w:style>
  <w:style w:type="character" w:customStyle="1" w:styleId="177">
    <w:name w:val="正文文本 字符"/>
    <w:autoRedefine/>
    <w:qFormat/>
    <w:uiPriority w:val="99"/>
    <w:rPr>
      <w:kern w:val="2"/>
      <w:sz w:val="24"/>
      <w:szCs w:val="24"/>
    </w:rPr>
  </w:style>
  <w:style w:type="character" w:customStyle="1" w:styleId="178">
    <w:name w:val="纯文本 字符"/>
    <w:autoRedefine/>
    <w:qFormat/>
    <w:uiPriority w:val="99"/>
    <w:rPr>
      <w:rFonts w:ascii="宋体" w:hAnsi="Courier New" w:eastAsia="宋体" w:cs="Courier New"/>
      <w:kern w:val="2"/>
      <w:sz w:val="21"/>
      <w:szCs w:val="21"/>
      <w:lang w:val="en-US" w:eastAsia="zh-CN" w:bidi="ar-SA"/>
    </w:rPr>
  </w:style>
  <w:style w:type="character" w:customStyle="1" w:styleId="179">
    <w:name w:val="font41"/>
    <w:basedOn w:val="54"/>
    <w:autoRedefine/>
    <w:qFormat/>
    <w:uiPriority w:val="0"/>
    <w:rPr>
      <w:rFonts w:hint="eastAsia" w:ascii="宋体" w:hAnsi="宋体" w:eastAsia="宋体" w:cs="宋体"/>
      <w:color w:val="000000"/>
      <w:sz w:val="20"/>
      <w:szCs w:val="20"/>
      <w:u w:val="none"/>
    </w:rPr>
  </w:style>
  <w:style w:type="character" w:customStyle="1" w:styleId="180">
    <w:name w:val="font51"/>
    <w:basedOn w:val="54"/>
    <w:autoRedefine/>
    <w:qFormat/>
    <w:uiPriority w:val="0"/>
    <w:rPr>
      <w:rFonts w:ascii="Calibri" w:hAnsi="Calibri" w:cs="Calibri"/>
      <w:color w:val="000000"/>
      <w:sz w:val="20"/>
      <w:szCs w:val="20"/>
      <w:u w:val="none"/>
    </w:rPr>
  </w:style>
  <w:style w:type="character" w:customStyle="1" w:styleId="181">
    <w:name w:val="font61"/>
    <w:basedOn w:val="54"/>
    <w:autoRedefine/>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137</Pages>
  <Words>3762</Words>
  <Characters>4271</Characters>
  <Lines>389</Lines>
  <Paragraphs>109</Paragraphs>
  <TotalTime>94</TotalTime>
  <ScaleCrop>false</ScaleCrop>
  <LinksUpToDate>false</LinksUpToDate>
  <CharactersWithSpaces>4306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NTKO</cp:lastModifiedBy>
  <cp:lastPrinted>2016-03-22T07:52:00Z</cp:lastPrinted>
  <dcterms:modified xsi:type="dcterms:W3CDTF">2026-04-21T01:25:21Z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eyJoZGlkIjoiODYzNWM5MTY2MmJmODAwNzZjOWIxMzE0Yjg0YTQyMTIiLCJ1c2VySWQiOiIxNjUxNjQ0NjMyIn0=</vt:lpwstr>
  </property>
  <property fmtid="{D5CDD505-2E9C-101B-9397-08002B2CF9AE}" pid="14" name="ICV">
    <vt:lpwstr>7C92809A5D2D41BAA616B80047977EE5_13</vt:lpwstr>
  </property>
</Properties>
</file>