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DAC42">
      <w:pPr>
        <w:spacing w:line="600" w:lineRule="exact"/>
        <w:jc w:val="center"/>
        <w:rPr>
          <w:rFonts w:ascii="宋体" w:hAnsi="宋体" w:cs="宋体"/>
          <w:color w:val="auto"/>
          <w:sz w:val="52"/>
          <w:szCs w:val="52"/>
          <w:highlight w:val="none"/>
        </w:rPr>
      </w:pPr>
      <w:r>
        <w:rPr>
          <w:rFonts w:hint="eastAsia" w:ascii="宋体" w:hAnsi="宋体" w:cs="宋体"/>
          <w:b/>
          <w:bCs/>
          <w:color w:val="auto"/>
          <w:spacing w:val="80"/>
          <w:sz w:val="52"/>
          <w:szCs w:val="52"/>
          <w:highlight w:val="none"/>
        </w:rPr>
        <w:t>广西鼎策工程顾问有限责任公司</w:t>
      </w:r>
      <w:r>
        <w:rPr>
          <w:rFonts w:hint="eastAsia" w:ascii="宋体" w:hAnsi="宋体" w:cs="宋体"/>
          <w:b/>
          <w:bCs/>
          <w:color w:val="auto"/>
          <w:spacing w:val="80"/>
          <w:sz w:val="56"/>
          <w:szCs w:val="56"/>
          <w:highlight w:val="none"/>
        </w:rPr>
        <w:cr/>
      </w:r>
    </w:p>
    <w:p w14:paraId="6FCB4B05">
      <w:pPr>
        <w:jc w:val="center"/>
        <w:rPr>
          <w:color w:val="auto"/>
          <w:highlight w:val="none"/>
        </w:rPr>
      </w:pPr>
      <w:r>
        <w:rPr>
          <w:color w:val="auto"/>
          <w:highlight w:val="none"/>
        </w:rPr>
        <w:drawing>
          <wp:inline distT="0" distB="0" distL="114300" distR="114300">
            <wp:extent cx="1410335" cy="1693545"/>
            <wp:effectExtent l="0" t="0" r="18415" b="1905"/>
            <wp:docPr id="1" name="图片 1" descr="wps_clip_image-3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_clip_image-31599"/>
                    <pic:cNvPicPr>
                      <a:picLocks noChangeAspect="1"/>
                    </pic:cNvPicPr>
                  </pic:nvPicPr>
                  <pic:blipFill>
                    <a:blip r:embed="rId9" cstate="print"/>
                    <a:stretch>
                      <a:fillRect/>
                    </a:stretch>
                  </pic:blipFill>
                  <pic:spPr>
                    <a:xfrm>
                      <a:off x="0" y="0"/>
                      <a:ext cx="1410335" cy="1693545"/>
                    </a:xfrm>
                    <a:prstGeom prst="rect">
                      <a:avLst/>
                    </a:prstGeom>
                    <a:noFill/>
                    <a:ln>
                      <a:noFill/>
                    </a:ln>
                  </pic:spPr>
                </pic:pic>
              </a:graphicData>
            </a:graphic>
          </wp:inline>
        </w:drawing>
      </w:r>
    </w:p>
    <w:p w14:paraId="21BD5720">
      <w:pPr>
        <w:pStyle w:val="10"/>
        <w:rPr>
          <w:color w:val="auto"/>
          <w:highlight w:val="none"/>
        </w:rPr>
      </w:pPr>
    </w:p>
    <w:p w14:paraId="12D5D69E">
      <w:pPr>
        <w:spacing w:line="720" w:lineRule="exact"/>
        <w:ind w:firstLine="3840" w:firstLineChars="800"/>
        <w:rPr>
          <w:rFonts w:ascii="宋体" w:hAnsi="宋体" w:cs="宋体"/>
          <w:b/>
          <w:color w:val="auto"/>
          <w:sz w:val="48"/>
          <w:szCs w:val="48"/>
          <w:highlight w:val="none"/>
        </w:rPr>
      </w:pPr>
    </w:p>
    <w:p w14:paraId="636E1CE0">
      <w:pPr>
        <w:spacing w:line="720" w:lineRule="exact"/>
        <w:jc w:val="center"/>
        <w:rPr>
          <w:rFonts w:ascii="宋体" w:hAnsi="宋体" w:cs="宋体"/>
          <w:b/>
          <w:color w:val="auto"/>
          <w:sz w:val="52"/>
          <w:szCs w:val="52"/>
          <w:highlight w:val="none"/>
        </w:rPr>
      </w:pPr>
      <w:r>
        <w:rPr>
          <w:rFonts w:hint="eastAsia" w:ascii="宋体" w:hAnsi="宋体" w:cs="宋体"/>
          <w:b/>
          <w:color w:val="auto"/>
          <w:sz w:val="52"/>
          <w:szCs w:val="52"/>
          <w:highlight w:val="none"/>
        </w:rPr>
        <w:t>征集文件</w:t>
      </w:r>
    </w:p>
    <w:p w14:paraId="66989FB7">
      <w:pPr>
        <w:pStyle w:val="7"/>
        <w:ind w:left="0" w:leftChars="0" w:firstLine="0" w:firstLineChars="0"/>
        <w:rPr>
          <w:rFonts w:hint="eastAsia" w:ascii="宋体" w:hAnsi="宋体" w:eastAsia="宋体" w:cs="宋体"/>
          <w:color w:val="auto"/>
          <w:highlight w:val="none"/>
        </w:rPr>
      </w:pPr>
    </w:p>
    <w:p w14:paraId="0536E08D">
      <w:pPr>
        <w:rPr>
          <w:rFonts w:hint="eastAsia" w:ascii="宋体" w:hAnsi="宋体" w:eastAsia="宋体" w:cs="宋体"/>
          <w:color w:val="auto"/>
          <w:highlight w:val="none"/>
        </w:rPr>
      </w:pPr>
    </w:p>
    <w:p w14:paraId="5614EC8F">
      <w:pPr>
        <w:jc w:val="both"/>
        <w:rPr>
          <w:rFonts w:hint="eastAsia" w:ascii="宋体" w:hAnsi="宋体" w:eastAsia="宋体" w:cs="宋体"/>
          <w:b/>
          <w:bCs/>
          <w:color w:val="auto"/>
          <w:sz w:val="32"/>
          <w:szCs w:val="32"/>
          <w:highlight w:val="none"/>
        </w:rPr>
      </w:pPr>
    </w:p>
    <w:p w14:paraId="5F0272CD">
      <w:pPr>
        <w:pStyle w:val="22"/>
        <w:rPr>
          <w:rFonts w:hint="eastAsia"/>
          <w:color w:val="auto"/>
          <w:highlight w:val="none"/>
        </w:rPr>
      </w:pPr>
    </w:p>
    <w:p w14:paraId="7E0CF1E3">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项目名称：</w:t>
      </w:r>
      <w:r>
        <w:rPr>
          <w:rFonts w:hint="eastAsia" w:ascii="宋体" w:hAnsi="宋体" w:cs="宋体"/>
          <w:b/>
          <w:bCs/>
          <w:color w:val="auto"/>
          <w:sz w:val="32"/>
          <w:highlight w:val="none"/>
          <w:lang w:eastAsia="zh-CN"/>
        </w:rPr>
        <w:t>桂林市象山区城市管理局垃圾清运项目</w:t>
      </w:r>
      <w:r>
        <w:rPr>
          <w:rFonts w:hint="eastAsia" w:ascii="宋体" w:hAnsi="宋体" w:cs="宋体"/>
          <w:b/>
          <w:bCs/>
          <w:color w:val="auto"/>
          <w:sz w:val="32"/>
          <w:highlight w:val="none"/>
          <w:lang w:val="en-US" w:eastAsia="zh-CN"/>
        </w:rPr>
        <w:t xml:space="preserve"> </w:t>
      </w:r>
      <w:r>
        <w:rPr>
          <w:rFonts w:hint="eastAsia" w:ascii="宋体" w:hAnsi="宋体" w:cs="宋体"/>
          <w:b/>
          <w:bCs/>
          <w:color w:val="auto"/>
          <w:sz w:val="32"/>
          <w:highlight w:val="none"/>
        </w:rPr>
        <w:t xml:space="preserve"> </w:t>
      </w:r>
    </w:p>
    <w:p w14:paraId="67DB6B32">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项目编号：</w:t>
      </w:r>
      <w:r>
        <w:rPr>
          <w:rFonts w:hint="eastAsia" w:ascii="宋体" w:hAnsi="宋体" w:cs="宋体"/>
          <w:b/>
          <w:bCs/>
          <w:color w:val="auto"/>
          <w:sz w:val="32"/>
          <w:highlight w:val="none"/>
          <w:lang w:val="en-US" w:eastAsia="zh-CN"/>
        </w:rPr>
        <w:t xml:space="preserve"> GLZC2026-K3-990124-GXDC</w:t>
      </w:r>
      <w:r>
        <w:rPr>
          <w:rFonts w:hint="eastAsia" w:ascii="宋体" w:hAnsi="宋体" w:cs="宋体"/>
          <w:b/>
          <w:bCs/>
          <w:color w:val="auto"/>
          <w:sz w:val="32"/>
          <w:highlight w:val="none"/>
        </w:rPr>
        <w:t xml:space="preserve">  </w:t>
      </w:r>
    </w:p>
    <w:p w14:paraId="742E81C2">
      <w:pPr>
        <w:ind w:firstLine="420"/>
        <w:jc w:val="left"/>
        <w:rPr>
          <w:rFonts w:ascii="宋体" w:hAnsi="宋体" w:cs="宋体"/>
          <w:color w:val="auto"/>
          <w:highlight w:val="none"/>
        </w:rPr>
      </w:pPr>
    </w:p>
    <w:p w14:paraId="552EEA96">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采购代理机构：广西鼎策工程顾问有限责任公司</w:t>
      </w:r>
      <w:r>
        <w:rPr>
          <w:rFonts w:hint="eastAsia" w:ascii="宋体" w:hAnsi="宋体" w:cs="宋体"/>
          <w:b/>
          <w:bCs/>
          <w:color w:val="auto"/>
          <w:sz w:val="32"/>
          <w:highlight w:val="none"/>
        </w:rPr>
        <w:cr/>
      </w:r>
    </w:p>
    <w:p w14:paraId="202A581A">
      <w:pPr>
        <w:ind w:left="3196" w:leftChars="760" w:hanging="1600" w:hangingChars="500"/>
        <w:rPr>
          <w:rFonts w:ascii="宋体" w:hAnsi="宋体" w:cs="宋体"/>
          <w:b/>
          <w:bCs/>
          <w:color w:val="auto"/>
          <w:sz w:val="32"/>
          <w:highlight w:val="none"/>
        </w:rPr>
      </w:pPr>
    </w:p>
    <w:p w14:paraId="37859E19">
      <w:pPr>
        <w:ind w:left="3192" w:leftChars="1520" w:firstLine="320" w:firstLineChars="100"/>
        <w:rPr>
          <w:rFonts w:ascii="宋体" w:hAnsi="宋体" w:cs="宋体"/>
          <w:color w:val="auto"/>
          <w:sz w:val="32"/>
          <w:highlight w:val="none"/>
        </w:rPr>
      </w:pPr>
      <w:r>
        <w:rPr>
          <w:rFonts w:hint="eastAsia" w:ascii="宋体" w:hAnsi="宋体" w:cs="宋体"/>
          <w:b/>
          <w:bCs/>
          <w:color w:val="auto"/>
          <w:sz w:val="32"/>
          <w:highlight w:val="none"/>
        </w:rPr>
        <w:t>202</w:t>
      </w:r>
      <w:r>
        <w:rPr>
          <w:rFonts w:hint="eastAsia" w:ascii="宋体" w:hAnsi="宋体" w:cs="宋体"/>
          <w:b/>
          <w:bCs/>
          <w:color w:val="auto"/>
          <w:sz w:val="32"/>
          <w:highlight w:val="none"/>
          <w:lang w:val="en-US" w:eastAsia="zh-CN"/>
        </w:rPr>
        <w:t>6</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4</w:t>
      </w:r>
      <w:r>
        <w:rPr>
          <w:rFonts w:hint="eastAsia" w:ascii="宋体" w:hAnsi="宋体" w:cs="宋体"/>
          <w:b/>
          <w:bCs/>
          <w:color w:val="auto"/>
          <w:sz w:val="32"/>
          <w:highlight w:val="none"/>
        </w:rPr>
        <w:t>月</w:t>
      </w:r>
    </w:p>
    <w:p w14:paraId="7742EAEA">
      <w:pPr>
        <w:pStyle w:val="15"/>
        <w:spacing w:line="440" w:lineRule="exact"/>
        <w:jc w:val="center"/>
        <w:rPr>
          <w:rFonts w:hint="eastAsia" w:ascii="宋体" w:hAnsi="宋体" w:eastAsia="宋体" w:cs="宋体"/>
          <w:color w:val="auto"/>
          <w:sz w:val="44"/>
          <w:highlight w:val="none"/>
        </w:rPr>
      </w:pPr>
    </w:p>
    <w:p w14:paraId="522FDB06">
      <w:pPr>
        <w:pStyle w:val="4"/>
        <w:rPr>
          <w:rFonts w:hint="eastAsia"/>
          <w:color w:val="auto"/>
          <w:highlight w:val="none"/>
        </w:rPr>
      </w:pPr>
    </w:p>
    <w:p w14:paraId="05FDD1C8">
      <w:pPr>
        <w:pStyle w:val="15"/>
        <w:spacing w:line="44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目录</w:t>
      </w:r>
    </w:p>
    <w:p w14:paraId="1C766983">
      <w:pPr>
        <w:pStyle w:val="7"/>
        <w:rPr>
          <w:rFonts w:hint="eastAsia" w:ascii="宋体" w:hAnsi="宋体" w:eastAsia="宋体" w:cs="宋体"/>
          <w:color w:val="auto"/>
          <w:highlight w:val="none"/>
        </w:rPr>
      </w:pPr>
    </w:p>
    <w:p w14:paraId="0B9C299E">
      <w:pPr>
        <w:pStyle w:val="20"/>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_Toc10212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第一章、征集公告</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fldChar w:fldCharType="end"/>
      </w:r>
    </w:p>
    <w:p w14:paraId="7C650227">
      <w:pPr>
        <w:pStyle w:val="20"/>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_Toc5406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第二章、供应商须知</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fldChar w:fldCharType="end"/>
      </w:r>
    </w:p>
    <w:p w14:paraId="74B47DE5">
      <w:pPr>
        <w:pStyle w:val="20"/>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_Toc18799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第三章、服务采购需求</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_Toc18799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3</w:t>
      </w:r>
      <w:r>
        <w:rPr>
          <w:rFonts w:hint="eastAsia" w:ascii="宋体" w:hAnsi="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1325B052">
      <w:pPr>
        <w:pStyle w:val="20"/>
        <w:tabs>
          <w:tab w:val="right" w:leader="dot" w:pos="8788"/>
        </w:tabs>
        <w:spacing w:line="800" w:lineRule="exac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_Toc25135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第四章、评标办法</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5</w:t>
      </w:r>
    </w:p>
    <w:p w14:paraId="2274BA12">
      <w:pPr>
        <w:pStyle w:val="20"/>
        <w:tabs>
          <w:tab w:val="right" w:leader="dot" w:pos="8788"/>
        </w:tabs>
        <w:spacing w:line="800" w:lineRule="exac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_Toc14789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第五章、框架协议和采购合同</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2</w:t>
      </w:r>
    </w:p>
    <w:p w14:paraId="6C67AF69">
      <w:pPr>
        <w:pStyle w:val="20"/>
        <w:tabs>
          <w:tab w:val="right" w:leader="dot" w:pos="8788"/>
        </w:tabs>
        <w:spacing w:line="800" w:lineRule="exact"/>
        <w:rPr>
          <w:rFonts w:hint="eastAsia" w:ascii="宋体" w:hAnsi="宋体" w:eastAsia="宋体" w:cs="宋体"/>
          <w:color w:val="auto"/>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_Toc17591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第六章、响应文件（格式）</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2</w:t>
      </w:r>
    </w:p>
    <w:p w14:paraId="634F83C6">
      <w:pPr>
        <w:pStyle w:val="7"/>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19A23D54">
      <w:pPr>
        <w:pStyle w:val="15"/>
        <w:jc w:val="center"/>
        <w:rPr>
          <w:rFonts w:hint="eastAsia" w:ascii="宋体" w:hAnsi="宋体" w:eastAsia="宋体" w:cs="宋体"/>
          <w:color w:val="auto"/>
          <w:highlight w:val="none"/>
        </w:rPr>
      </w:pPr>
    </w:p>
    <w:p w14:paraId="6233182D">
      <w:pPr>
        <w:pStyle w:val="15"/>
        <w:jc w:val="center"/>
        <w:rPr>
          <w:rFonts w:hint="eastAsia" w:ascii="宋体" w:hAnsi="宋体" w:eastAsia="宋体" w:cs="宋体"/>
          <w:color w:val="auto"/>
          <w:highlight w:val="none"/>
        </w:rPr>
      </w:pPr>
    </w:p>
    <w:p w14:paraId="11E0E585">
      <w:pPr>
        <w:ind w:firstLine="2730" w:firstLineChars="1300"/>
        <w:rPr>
          <w:rFonts w:hint="eastAsia" w:ascii="宋体" w:hAnsi="宋体" w:eastAsia="宋体" w:cs="宋体"/>
          <w:color w:val="auto"/>
          <w:szCs w:val="21"/>
          <w:highlight w:val="none"/>
        </w:rPr>
      </w:pPr>
    </w:p>
    <w:p w14:paraId="4C287200">
      <w:pPr>
        <w:jc w:val="center"/>
        <w:outlineLvl w:val="0"/>
        <w:rPr>
          <w:rFonts w:hint="eastAsia" w:ascii="宋体" w:hAnsi="宋体" w:eastAsia="宋体" w:cs="宋体"/>
          <w:color w:val="auto"/>
          <w:highlight w:val="none"/>
        </w:rPr>
        <w:sectPr>
          <w:footerReference r:id="rId3" w:type="default"/>
          <w:pgSz w:w="11906" w:h="16838"/>
          <w:pgMar w:top="1417" w:right="1417" w:bottom="1417" w:left="1701" w:header="850" w:footer="992" w:gutter="0"/>
          <w:pgNumType w:start="1"/>
          <w:cols w:space="0" w:num="1"/>
          <w:docGrid w:type="linesAndChars" w:linePitch="318" w:charSpace="0"/>
        </w:sectPr>
      </w:pPr>
      <w:bookmarkStart w:id="0" w:name="_Toc31092"/>
    </w:p>
    <w:p w14:paraId="2F803B05">
      <w:pPr>
        <w:jc w:val="center"/>
        <w:outlineLvl w:val="0"/>
        <w:rPr>
          <w:rFonts w:hint="eastAsia" w:ascii="宋体" w:hAnsi="宋体" w:eastAsia="宋体" w:cs="宋体"/>
          <w:b/>
          <w:color w:val="auto"/>
          <w:sz w:val="32"/>
          <w:szCs w:val="32"/>
          <w:highlight w:val="none"/>
        </w:rPr>
      </w:pPr>
      <w:bookmarkStart w:id="1" w:name="_Toc10212"/>
      <w:bookmarkStart w:id="2" w:name="_Toc15745"/>
      <w:bookmarkStart w:id="3" w:name="_Toc4439"/>
      <w:r>
        <w:rPr>
          <w:rFonts w:hint="eastAsia" w:ascii="宋体" w:hAnsi="宋体" w:eastAsia="宋体" w:cs="宋体"/>
          <w:b/>
          <w:color w:val="auto"/>
          <w:sz w:val="32"/>
          <w:szCs w:val="32"/>
          <w:highlight w:val="none"/>
        </w:rPr>
        <w:t>第一章、征集公告</w:t>
      </w:r>
      <w:bookmarkEnd w:id="0"/>
      <w:bookmarkEnd w:id="1"/>
      <w:bookmarkEnd w:id="2"/>
      <w:bookmarkEnd w:id="3"/>
    </w:p>
    <w:p w14:paraId="64942413">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6BB52CBC">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桂林市象山区城市管理局垃圾清运项目</w:t>
      </w:r>
      <w:r>
        <w:rPr>
          <w:rFonts w:hint="eastAsia" w:ascii="宋体" w:hAnsi="宋体" w:eastAsia="宋体" w:cs="宋体"/>
          <w:color w:val="auto"/>
          <w:szCs w:val="21"/>
          <w:highlight w:val="none"/>
        </w:rPr>
        <w:t>的潜在供应商应在</w:t>
      </w:r>
      <w:r>
        <w:rPr>
          <w:rFonts w:hint="eastAsia" w:ascii="宋体" w:hAnsi="宋体" w:cs="宋体"/>
          <w:color w:val="auto"/>
          <w:szCs w:val="21"/>
          <w:highlight w:val="none"/>
        </w:rPr>
        <w:t>“</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”（https://www.gcy.zfcg.gxzf.gov.cn/）</w:t>
      </w:r>
      <w:r>
        <w:rPr>
          <w:rFonts w:hint="eastAsia" w:ascii="宋体" w:hAnsi="宋体" w:eastAsia="宋体" w:cs="宋体"/>
          <w:color w:val="auto"/>
          <w:szCs w:val="21"/>
          <w:highlight w:val="none"/>
        </w:rPr>
        <w:t>获取招标文件获取</w:t>
      </w:r>
      <w:r>
        <w:rPr>
          <w:rFonts w:hint="eastAsia" w:ascii="宋体" w:hAnsi="宋体" w:cs="宋体"/>
          <w:color w:val="auto"/>
          <w:szCs w:val="21"/>
          <w:highlight w:val="none"/>
          <w:lang w:eastAsia="zh-CN"/>
        </w:rPr>
        <w:t>（下载）</w:t>
      </w:r>
      <w:r>
        <w:rPr>
          <w:rFonts w:hint="eastAsia" w:ascii="宋体" w:hAnsi="宋体" w:eastAsia="宋体" w:cs="宋体"/>
          <w:color w:val="auto"/>
          <w:szCs w:val="21"/>
          <w:highlight w:val="none"/>
        </w:rPr>
        <w:t>征集文件，并于</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点</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分（北京时间）前递交响应文件。</w:t>
      </w:r>
    </w:p>
    <w:p w14:paraId="48A591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auto"/>
          <w:szCs w:val="21"/>
          <w:highlight w:val="none"/>
        </w:rPr>
      </w:pPr>
      <w:bookmarkStart w:id="4" w:name="_Toc35393621"/>
      <w:bookmarkStart w:id="5" w:name="_Toc28359002"/>
      <w:bookmarkStart w:id="6" w:name="_Toc35393790"/>
      <w:bookmarkStart w:id="7" w:name="_Toc28359079"/>
      <w:bookmarkStart w:id="8" w:name="_Hlk24379207"/>
      <w:r>
        <w:rPr>
          <w:rFonts w:hint="eastAsia" w:ascii="宋体" w:hAnsi="宋体" w:eastAsia="宋体" w:cs="宋体"/>
          <w:b/>
          <w:bCs/>
          <w:color w:val="auto"/>
          <w:szCs w:val="21"/>
          <w:highlight w:val="none"/>
        </w:rPr>
        <w:t>一、项目基本情况</w:t>
      </w:r>
      <w:bookmarkEnd w:id="4"/>
      <w:bookmarkEnd w:id="5"/>
      <w:bookmarkEnd w:id="6"/>
      <w:bookmarkEnd w:id="7"/>
    </w:p>
    <w:p w14:paraId="635553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lang w:val="en-US" w:eastAsia="zh-CN"/>
        </w:rPr>
        <w:t>GLZC2026-K3-990124-GXDC</w:t>
      </w:r>
      <w:r>
        <w:rPr>
          <w:rFonts w:hint="eastAsia" w:ascii="宋体" w:hAnsi="宋体" w:cs="宋体"/>
          <w:color w:val="auto"/>
          <w:szCs w:val="21"/>
          <w:highlight w:val="none"/>
          <w:lang w:val="en-US" w:eastAsia="zh-CN"/>
        </w:rPr>
        <w:t xml:space="preserve">  </w:t>
      </w:r>
    </w:p>
    <w:p w14:paraId="6BB7ED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rPr>
        <w:t>项目名称：</w:t>
      </w:r>
      <w:bookmarkEnd w:id="8"/>
      <w:r>
        <w:rPr>
          <w:rFonts w:hint="eastAsia" w:ascii="宋体" w:hAnsi="宋体" w:cs="宋体"/>
          <w:color w:val="auto"/>
          <w:szCs w:val="21"/>
          <w:highlight w:val="none"/>
          <w:lang w:eastAsia="zh-CN"/>
        </w:rPr>
        <w:t>桂林市象山区城市管理局垃圾清运项目</w:t>
      </w:r>
    </w:p>
    <w:p w14:paraId="064022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采购需求：</w:t>
      </w:r>
      <w:r>
        <w:rPr>
          <w:rFonts w:hint="eastAsia" w:ascii="宋体" w:hAnsi="宋体" w:cs="宋体"/>
          <w:color w:val="auto"/>
          <w:szCs w:val="21"/>
          <w:highlight w:val="none"/>
          <w:lang w:eastAsia="zh-CN"/>
        </w:rPr>
        <w:t>桂林市象山区城市管理局</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lang w:eastAsia="zh-CN"/>
        </w:rPr>
        <w:t>垃圾清运项目一项，详见征集文件。</w:t>
      </w:r>
    </w:p>
    <w:p w14:paraId="0A2EB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最高限制单价：</w:t>
      </w:r>
      <w:r>
        <w:rPr>
          <w:rFonts w:hint="eastAsia" w:ascii="宋体" w:hAnsi="宋体" w:cs="宋体"/>
          <w:color w:val="auto"/>
          <w:szCs w:val="21"/>
          <w:highlight w:val="none"/>
          <w:lang w:eastAsia="zh-CN"/>
        </w:rPr>
        <w:t>本项目采用折扣率报价，最高限价为</w:t>
      </w:r>
      <w:r>
        <w:rPr>
          <w:rFonts w:hint="eastAsia" w:ascii="宋体" w:hAnsi="宋体" w:cs="宋体"/>
          <w:color w:val="auto"/>
          <w:szCs w:val="21"/>
          <w:highlight w:val="none"/>
          <w:lang w:val="en-US" w:eastAsia="zh-CN"/>
        </w:rPr>
        <w:t>95%</w:t>
      </w:r>
    </w:p>
    <w:p w14:paraId="397D6C85">
      <w:pPr>
        <w:pStyle w:val="43"/>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服务期限：自框架协议签订之日起满两年止。</w:t>
      </w:r>
    </w:p>
    <w:p w14:paraId="46C0D9DA">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14:paraId="1F404552">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bookmarkStart w:id="9" w:name="_Toc35393622"/>
      <w:bookmarkStart w:id="10" w:name="_Toc28359080"/>
      <w:bookmarkStart w:id="11" w:name="_Toc35393791"/>
      <w:bookmarkStart w:id="12" w:name="_Toc28359003"/>
      <w:r>
        <w:rPr>
          <w:rFonts w:hint="eastAsia" w:ascii="宋体" w:hAnsi="宋体" w:eastAsia="宋体" w:cs="宋体"/>
          <w:b/>
          <w:bCs/>
          <w:color w:val="auto"/>
          <w:szCs w:val="21"/>
          <w:highlight w:val="none"/>
        </w:rPr>
        <w:t>二、申请人的资格要求：</w:t>
      </w:r>
      <w:bookmarkEnd w:id="9"/>
      <w:bookmarkEnd w:id="10"/>
      <w:bookmarkEnd w:id="11"/>
      <w:bookmarkEnd w:id="12"/>
    </w:p>
    <w:p w14:paraId="69B7DE03">
      <w:pPr>
        <w:pStyle w:val="43"/>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13" w:name="_Toc35393792"/>
      <w:bookmarkStart w:id="14" w:name="_Toc35393623"/>
      <w:bookmarkStart w:id="15" w:name="_Toc28359004"/>
      <w:bookmarkStart w:id="16" w:name="_Toc28359081"/>
      <w:r>
        <w:rPr>
          <w:rFonts w:hint="eastAsia" w:ascii="宋体" w:hAnsi="宋体" w:eastAsia="宋体" w:cs="宋体"/>
          <w:color w:val="auto"/>
          <w:sz w:val="21"/>
          <w:szCs w:val="21"/>
          <w:highlight w:val="none"/>
        </w:rPr>
        <w:t>1.符合《中华人民共和国政府采购法》第二十二条和《政府采购法实施条例》第十八条规定。</w:t>
      </w:r>
    </w:p>
    <w:p w14:paraId="11B54C8C">
      <w:pPr>
        <w:pStyle w:val="43"/>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375181E7">
      <w:pPr>
        <w:pStyle w:val="43"/>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落实政府采购政策需满足的资格要求：本项目为专门面向中小企业采购的项目</w:t>
      </w:r>
      <w:r>
        <w:rPr>
          <w:rFonts w:hint="eastAsia" w:ascii="宋体" w:hAnsi="宋体" w:eastAsia="宋体" w:cs="宋体"/>
          <w:color w:val="auto"/>
          <w:sz w:val="21"/>
          <w:szCs w:val="21"/>
          <w:highlight w:val="none"/>
        </w:rPr>
        <w:t>。</w:t>
      </w:r>
    </w:p>
    <w:p w14:paraId="79CEC595">
      <w:pPr>
        <w:pStyle w:val="23"/>
        <w:keepNext w:val="0"/>
        <w:keepLines w:val="0"/>
        <w:pageBreakBefore w:val="0"/>
        <w:kinsoku/>
        <w:wordWrap/>
        <w:overflowPunct/>
        <w:topLinePunct w:val="0"/>
        <w:bidi w:val="0"/>
        <w:adjustRightInd/>
        <w:snapToGrid/>
        <w:spacing w:before="0" w:beforeAutospacing="0" w:after="0" w:afterAutospacing="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4.本项目的特定资格要求：1</w:t>
      </w:r>
      <w:r>
        <w:rPr>
          <w:rFonts w:hint="eastAsia" w:cs="宋体"/>
          <w:color w:val="auto"/>
          <w:sz w:val="21"/>
          <w:szCs w:val="21"/>
          <w:highlight w:val="none"/>
          <w:lang w:val="en-US" w:eastAsia="zh-CN"/>
        </w:rPr>
        <w:t>.</w:t>
      </w:r>
      <w:r>
        <w:rPr>
          <w:rFonts w:hint="eastAsia" w:cs="宋体"/>
          <w:color w:val="auto"/>
          <w:sz w:val="21"/>
          <w:szCs w:val="21"/>
          <w:highlight w:val="none"/>
          <w:lang w:eastAsia="zh-CN"/>
        </w:rPr>
        <w:t>本次招标要求投标人具备有效的《道路运输经营许可证》、《桂林市城市建筑垃圾处置许可证》</w:t>
      </w:r>
      <w:r>
        <w:rPr>
          <w:rFonts w:hint="eastAsia" w:ascii="宋体" w:hAnsi="宋体" w:eastAsia="宋体" w:cs="宋体"/>
          <w:color w:val="auto"/>
          <w:sz w:val="21"/>
          <w:szCs w:val="21"/>
          <w:highlight w:val="none"/>
        </w:rPr>
        <w:t>。</w:t>
      </w:r>
    </w:p>
    <w:p w14:paraId="52F1C8A1">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三、获取</w:t>
      </w:r>
      <w:bookmarkEnd w:id="13"/>
      <w:bookmarkEnd w:id="14"/>
      <w:bookmarkEnd w:id="15"/>
      <w:bookmarkEnd w:id="16"/>
      <w:r>
        <w:rPr>
          <w:rFonts w:hint="eastAsia" w:ascii="宋体" w:hAnsi="宋体" w:eastAsia="宋体" w:cs="宋体"/>
          <w:b/>
          <w:bCs/>
          <w:color w:val="auto"/>
          <w:szCs w:val="21"/>
          <w:highlight w:val="none"/>
        </w:rPr>
        <w:t>征集文件</w:t>
      </w:r>
    </w:p>
    <w:p w14:paraId="5B40F127">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时间：自本项目征集公告发布之日起至投标截止时间止。</w:t>
      </w:r>
    </w:p>
    <w:p w14:paraId="651F33B1">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地点（网址）：</w:t>
      </w:r>
      <w:r>
        <w:rPr>
          <w:rFonts w:hint="eastAsia" w:ascii="宋体" w:hAnsi="宋体" w:cs="宋体"/>
          <w:color w:val="auto"/>
          <w:szCs w:val="21"/>
          <w:highlight w:val="none"/>
          <w:lang w:eastAsia="zh-CN"/>
        </w:rPr>
        <w:t>广西政府采购云平台https://www.gcy.zfcg.gxzf.gov.cn/</w:t>
      </w:r>
      <w:r>
        <w:rPr>
          <w:rFonts w:hint="eastAsia" w:ascii="宋体" w:hAnsi="宋体" w:eastAsia="宋体" w:cs="宋体"/>
          <w:color w:val="auto"/>
          <w:szCs w:val="21"/>
          <w:highlight w:val="none"/>
        </w:rPr>
        <w:t>。</w:t>
      </w:r>
    </w:p>
    <w:p w14:paraId="6E55E054">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方式：供应商登录</w:t>
      </w:r>
      <w:r>
        <w:rPr>
          <w:rFonts w:hint="eastAsia" w:ascii="宋体" w:hAnsi="宋体" w:cs="宋体"/>
          <w:color w:val="auto"/>
          <w:szCs w:val="21"/>
          <w:highlight w:val="none"/>
          <w:lang w:eastAsia="zh-CN"/>
        </w:rPr>
        <w:t>广西政府采购云平台https://www.gcy.zfcg.gxzf.gov.cn/</w:t>
      </w:r>
      <w:r>
        <w:rPr>
          <w:rFonts w:hint="eastAsia" w:ascii="宋体" w:hAnsi="宋体" w:eastAsia="宋体" w:cs="宋体"/>
          <w:color w:val="auto"/>
          <w:szCs w:val="21"/>
          <w:highlight w:val="none"/>
        </w:rPr>
        <w:t>在线申请获取征集文件（进入“项目采购”应用，在获取征集文件菜单中选择项目，申请获取征集文件）</w:t>
      </w:r>
      <w:r>
        <w:rPr>
          <w:rFonts w:hint="eastAsia" w:ascii="宋体" w:hAnsi="宋体" w:cs="宋体"/>
          <w:color w:val="auto"/>
          <w:szCs w:val="21"/>
          <w:highlight w:val="none"/>
          <w:lang w:eastAsia="zh-CN"/>
        </w:rPr>
        <w:t>。</w:t>
      </w:r>
    </w:p>
    <w:p w14:paraId="080C8592">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售价（元）：0。</w:t>
      </w:r>
    </w:p>
    <w:p w14:paraId="2F266FF6">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四、提交响应文件截止时间、开标时间和地点：</w:t>
      </w:r>
    </w:p>
    <w:p w14:paraId="7FBBBED0">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提交响应文件截止时间：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bCs/>
          <w:color w:val="auto"/>
          <w:szCs w:val="21"/>
          <w:highlight w:val="none"/>
        </w:rPr>
        <w:t>上午</w:t>
      </w:r>
      <w:r>
        <w:rPr>
          <w:rFonts w:hint="eastAsia" w:ascii="宋体" w:hAnsi="宋体" w:eastAsia="宋体" w:cs="宋体"/>
          <w:bCs/>
          <w:color w:val="auto"/>
          <w:szCs w:val="21"/>
          <w:highlight w:val="none"/>
          <w:lang w:val="en-US" w:eastAsia="zh-CN"/>
        </w:rPr>
        <w:t>09</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（北京时间）</w:t>
      </w:r>
    </w:p>
    <w:p w14:paraId="7E590D04">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投标地点：通过“</w:t>
      </w:r>
      <w:r>
        <w:rPr>
          <w:rFonts w:hint="eastAsia" w:ascii="宋体" w:hAnsi="宋体" w:cs="宋体"/>
          <w:color w:val="auto"/>
          <w:szCs w:val="21"/>
          <w:highlight w:val="none"/>
          <w:lang w:eastAsia="zh-CN"/>
        </w:rPr>
        <w:t>广西政府采购云平台</w:t>
      </w:r>
      <w:r>
        <w:rPr>
          <w:rFonts w:hint="eastAsia" w:ascii="宋体" w:hAnsi="宋体" w:eastAsia="宋体" w:cs="宋体"/>
          <w:bCs/>
          <w:color w:val="auto"/>
          <w:szCs w:val="21"/>
          <w:highlight w:val="none"/>
        </w:rPr>
        <w:t>”平台在线投标</w:t>
      </w:r>
    </w:p>
    <w:p w14:paraId="757ADA1B">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开标时间：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bCs/>
          <w:color w:val="auto"/>
          <w:szCs w:val="21"/>
          <w:highlight w:val="none"/>
        </w:rPr>
        <w:t>上午</w:t>
      </w:r>
      <w:r>
        <w:rPr>
          <w:rFonts w:hint="eastAsia" w:ascii="宋体" w:hAnsi="宋体" w:eastAsia="宋体" w:cs="宋体"/>
          <w:bCs/>
          <w:color w:val="auto"/>
          <w:szCs w:val="21"/>
          <w:highlight w:val="none"/>
          <w:lang w:val="en-US" w:eastAsia="zh-CN"/>
        </w:rPr>
        <w:t>09</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（北京时间）</w:t>
      </w:r>
    </w:p>
    <w:p w14:paraId="418F15BC">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开标地点：通过“</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”平台在线解密开启。</w:t>
      </w:r>
    </w:p>
    <w:p w14:paraId="0EB5FD5F">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五、其他补充事宜</w:t>
      </w:r>
    </w:p>
    <w:p w14:paraId="0F0F48B1">
      <w:pPr>
        <w:keepNext w:val="0"/>
        <w:keepLines w:val="0"/>
        <w:pageBreakBefore w:val="0"/>
        <w:kinsoku/>
        <w:wordWrap/>
        <w:overflowPunct/>
        <w:topLinePunct w:val="0"/>
        <w:bidi w:val="0"/>
        <w:adjustRightInd/>
        <w:snapToGrid/>
        <w:spacing w:line="360" w:lineRule="auto"/>
        <w:ind w:firstLine="420" w:firstLineChars="200"/>
        <w:textAlignment w:val="auto"/>
        <w:rPr>
          <w:rFonts w:hint="eastAsia"/>
          <w:color w:val="auto"/>
          <w:highlight w:val="none"/>
        </w:rPr>
      </w:pPr>
      <w:r>
        <w:rPr>
          <w:rFonts w:hint="eastAsia" w:ascii="宋体" w:hAnsi="宋体" w:cs="宋体"/>
          <w:b/>
          <w:bCs/>
          <w:color w:val="auto"/>
          <w:szCs w:val="21"/>
          <w:highlight w:val="none"/>
        </w:rPr>
        <w:t>1.确定第一阶段入围供应商的方式为：质量优先法；确定第二阶段成交供应商的方式为：直接选定。</w:t>
      </w:r>
    </w:p>
    <w:p w14:paraId="1BB7A51E">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信息公告发布媒体：</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"http://www.ccgp.gov.cn（中国政府采购网）、http:/zfcg.gxzf.gov.cn（广西壮族自治区政府采购网）、http:/gl.zfcg.zcygov.cn（桂林市政府采购网）、http:/glggzy.org.cn（桂林市公共资源交易中心网）。" </w:instrText>
      </w:r>
      <w:r>
        <w:rPr>
          <w:rFonts w:hint="eastAsia" w:ascii="宋体" w:hAnsi="宋体" w:eastAsia="宋体" w:cs="宋体"/>
          <w:color w:val="auto"/>
          <w:highlight w:val="none"/>
        </w:rPr>
        <w:fldChar w:fldCharType="separate"/>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ascii="宋体" w:hAnsi="宋体" w:cs="宋体"/>
          <w:color w:val="auto"/>
          <w:szCs w:val="21"/>
          <w:highlight w:val="none"/>
        </w:rPr>
        <w:t>http://www.ccgp.gov.cn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rFonts w:hint="eastAsia" w:ascii="宋体" w:hAnsi="宋体" w:cs="宋体"/>
          <w:color w:val="auto"/>
          <w:szCs w:val="21"/>
          <w:highlight w:val="none"/>
        </w:rPr>
        <w:t>http://zfcg.gxzf.gov.cn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（广西壮族自治区政府采购网）、</w:t>
      </w:r>
      <w:r>
        <w:rPr>
          <w:color w:val="auto"/>
          <w:highlight w:val="none"/>
        </w:rPr>
        <w:fldChar w:fldCharType="begin"/>
      </w:r>
      <w:r>
        <w:rPr>
          <w:color w:val="auto"/>
          <w:highlight w:val="none"/>
        </w:rPr>
        <w:instrText xml:space="preserve"> HYPERLINK "http://zfcg.czj.guilin.gov.cn/" \h </w:instrText>
      </w:r>
      <w:r>
        <w:rPr>
          <w:color w:val="auto"/>
          <w:highlight w:val="none"/>
        </w:rPr>
        <w:fldChar w:fldCharType="separate"/>
      </w:r>
      <w:r>
        <w:rPr>
          <w:rFonts w:hint="eastAsia" w:ascii="宋体" w:hAnsi="宋体" w:cs="宋体"/>
          <w:color w:val="auto"/>
          <w:szCs w:val="21"/>
          <w:highlight w:val="none"/>
        </w:rPr>
        <w:t>http://zfcg.czj.guilin.gov.cn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（桂林市政府采购网）</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rPr>
        <w:fldChar w:fldCharType="end"/>
      </w:r>
    </w:p>
    <w:p w14:paraId="707ABA8A">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、响应文件解密时间：截标时间后30分钟内（</w:t>
      </w:r>
      <w:r>
        <w:rPr>
          <w:rFonts w:hint="eastAsia" w:ascii="宋体" w:hAnsi="宋体" w:cs="宋体"/>
          <w:b/>
          <w:bCs/>
          <w:color w:val="auto"/>
          <w:szCs w:val="21"/>
          <w:highlight w:val="none"/>
          <w:lang w:eastAsia="zh-CN"/>
        </w:rPr>
        <w:t>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lang w:eastAsia="zh-CN"/>
        </w:rPr>
        <w:t>年</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lang w:eastAsia="zh-CN"/>
        </w:rPr>
        <w:t>月</w:t>
      </w:r>
      <w:r>
        <w:rPr>
          <w:rFonts w:hint="eastAsia" w:ascii="宋体" w:hAnsi="宋体" w:cs="宋体"/>
          <w:b/>
          <w:bCs/>
          <w:color w:val="auto"/>
          <w:szCs w:val="21"/>
          <w:highlight w:val="none"/>
          <w:lang w:val="en-US" w:eastAsia="zh-CN"/>
        </w:rPr>
        <w:t>13</w:t>
      </w:r>
      <w:r>
        <w:rPr>
          <w:rFonts w:hint="eastAsia" w:ascii="宋体" w:hAnsi="宋体" w:cs="宋体"/>
          <w:b/>
          <w:bCs/>
          <w:color w:val="auto"/>
          <w:szCs w:val="21"/>
          <w:highlight w:val="none"/>
          <w:lang w:eastAsia="zh-CN"/>
        </w:rPr>
        <w:t>日</w:t>
      </w:r>
      <w:r>
        <w:rPr>
          <w:rFonts w:hint="eastAsia" w:ascii="宋体" w:hAnsi="宋体" w:eastAsia="宋体" w:cs="宋体"/>
          <w:b/>
          <w:bCs/>
          <w:color w:val="auto"/>
          <w:szCs w:val="21"/>
          <w:highlight w:val="none"/>
        </w:rPr>
        <w:t>上午</w:t>
      </w:r>
      <w:r>
        <w:rPr>
          <w:rFonts w:hint="eastAsia" w:ascii="宋体" w:hAnsi="宋体" w:eastAsia="宋体" w:cs="宋体"/>
          <w:b/>
          <w:bCs/>
          <w:color w:val="auto"/>
          <w:szCs w:val="21"/>
          <w:highlight w:val="none"/>
          <w:lang w:val="en-US" w:eastAsia="zh-CN"/>
        </w:rPr>
        <w:t>09</w:t>
      </w:r>
      <w:r>
        <w:rPr>
          <w:rFonts w:hint="eastAsia" w:ascii="宋体" w:hAnsi="宋体" w:eastAsia="宋体" w:cs="宋体"/>
          <w:b/>
          <w:bCs/>
          <w:color w:val="auto"/>
          <w:szCs w:val="21"/>
          <w:highlight w:val="none"/>
        </w:rPr>
        <w:t>时</w:t>
      </w:r>
      <w:r>
        <w:rPr>
          <w:rFonts w:hint="eastAsia" w:ascii="宋体" w:hAnsi="宋体" w:eastAsia="宋体" w:cs="宋体"/>
          <w:b/>
          <w:bCs/>
          <w:color w:val="auto"/>
          <w:szCs w:val="21"/>
          <w:highlight w:val="none"/>
          <w:lang w:val="en-US" w:eastAsia="zh-CN"/>
        </w:rPr>
        <w:t>30</w:t>
      </w:r>
      <w:r>
        <w:rPr>
          <w:rFonts w:hint="eastAsia" w:ascii="宋体" w:hAnsi="宋体" w:eastAsia="宋体" w:cs="宋体"/>
          <w:b/>
          <w:bCs/>
          <w:color w:val="auto"/>
          <w:szCs w:val="21"/>
          <w:highlight w:val="none"/>
        </w:rPr>
        <w:t>分至</w:t>
      </w:r>
      <w:r>
        <w:rPr>
          <w:rFonts w:hint="eastAsia" w:ascii="宋体" w:hAnsi="宋体" w:eastAsia="宋体" w:cs="宋体"/>
          <w:b/>
          <w:bCs/>
          <w:color w:val="auto"/>
          <w:szCs w:val="21"/>
          <w:highlight w:val="none"/>
          <w:lang w:val="en-US" w:eastAsia="zh-CN"/>
        </w:rPr>
        <w:t>10</w:t>
      </w:r>
      <w:r>
        <w:rPr>
          <w:rFonts w:hint="eastAsia" w:ascii="宋体" w:hAnsi="宋体" w:eastAsia="宋体" w:cs="宋体"/>
          <w:b/>
          <w:bCs/>
          <w:color w:val="auto"/>
          <w:szCs w:val="21"/>
          <w:highlight w:val="none"/>
        </w:rPr>
        <w:t>时</w:t>
      </w:r>
      <w:r>
        <w:rPr>
          <w:rFonts w:hint="eastAsia" w:ascii="宋体" w:hAnsi="宋体" w:eastAsia="宋体" w:cs="宋体"/>
          <w:b/>
          <w:bCs/>
          <w:color w:val="auto"/>
          <w:szCs w:val="21"/>
          <w:highlight w:val="none"/>
          <w:lang w:val="en-US" w:eastAsia="zh-CN"/>
        </w:rPr>
        <w:t>00</w:t>
      </w:r>
      <w:r>
        <w:rPr>
          <w:rFonts w:hint="eastAsia" w:ascii="宋体" w:hAnsi="宋体" w:eastAsia="宋体" w:cs="宋体"/>
          <w:b/>
          <w:bCs/>
          <w:color w:val="auto"/>
          <w:szCs w:val="21"/>
          <w:highlight w:val="none"/>
        </w:rPr>
        <w:t>分）供应商可以登录</w:t>
      </w:r>
      <w:r>
        <w:rPr>
          <w:rFonts w:hint="eastAsia" w:ascii="宋体" w:hAnsi="宋体" w:eastAsia="宋体" w:cs="宋体"/>
          <w:b/>
          <w:bCs/>
          <w:color w:val="auto"/>
          <w:szCs w:val="21"/>
          <w:highlight w:val="none"/>
          <w:lang w:eastAsia="zh-CN"/>
        </w:rPr>
        <w:t>广西政府采购云平台</w:t>
      </w:r>
      <w:r>
        <w:rPr>
          <w:rFonts w:hint="eastAsia" w:ascii="宋体" w:hAnsi="宋体" w:eastAsia="宋体" w:cs="宋体"/>
          <w:b/>
          <w:bCs/>
          <w:color w:val="auto"/>
          <w:szCs w:val="21"/>
          <w:highlight w:val="none"/>
        </w:rPr>
        <w:t>平台，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w:t>
      </w:r>
      <w:r>
        <w:rPr>
          <w:rFonts w:hint="eastAsia" w:ascii="宋体" w:hAnsi="宋体" w:cs="宋体"/>
          <w:b/>
          <w:bCs/>
          <w:color w:val="auto"/>
          <w:szCs w:val="21"/>
          <w:highlight w:val="none"/>
          <w:u w:val="single"/>
          <w:lang w:val="en-US" w:eastAsia="zh-CN"/>
        </w:rPr>
        <w:t xml:space="preserve">  7 </w:t>
      </w:r>
      <w:r>
        <w:rPr>
          <w:rFonts w:hint="eastAsia" w:ascii="宋体" w:hAnsi="宋体" w:eastAsia="宋体" w:cs="宋体"/>
          <w:b/>
          <w:bCs/>
          <w:color w:val="auto"/>
          <w:szCs w:val="21"/>
          <w:highlight w:val="none"/>
        </w:rPr>
        <w:t>号</w:t>
      </w:r>
      <w:r>
        <w:rPr>
          <w:rFonts w:hint="eastAsia" w:ascii="宋体" w:hAnsi="宋体" w:eastAsia="宋体" w:cs="宋体"/>
          <w:b/>
          <w:bCs/>
          <w:color w:val="auto"/>
          <w:szCs w:val="21"/>
          <w:highlight w:val="none"/>
          <w:lang w:eastAsia="zh-CN"/>
        </w:rPr>
        <w:t>政</w:t>
      </w:r>
      <w:r>
        <w:rPr>
          <w:rFonts w:hint="eastAsia" w:ascii="宋体" w:hAnsi="宋体" w:eastAsia="宋体" w:cs="宋体"/>
          <w:b/>
          <w:bCs/>
          <w:color w:val="auto"/>
          <w:szCs w:val="21"/>
          <w:highlight w:val="none"/>
          <w:lang w:eastAsia="zh-CN"/>
        </w:rPr>
        <w:t>采开标仓</w:t>
      </w:r>
      <w:r>
        <w:rPr>
          <w:rFonts w:hint="eastAsia" w:ascii="宋体" w:hAnsi="宋体" w:eastAsia="宋体" w:cs="宋体"/>
          <w:b/>
          <w:bCs/>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p w14:paraId="247EED52">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rPr>
        <w:t>、本项目无需缴纳投标保证金。</w:t>
      </w:r>
    </w:p>
    <w:p w14:paraId="2512644E">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5、</w:t>
      </w:r>
      <w:bookmarkStart w:id="17" w:name="_Hlk97986689"/>
      <w:r>
        <w:rPr>
          <w:rFonts w:hint="eastAsia" w:ascii="宋体" w:hAnsi="宋体" w:eastAsia="宋体" w:cs="宋体"/>
          <w:b/>
          <w:bCs/>
          <w:color w:val="auto"/>
          <w:szCs w:val="21"/>
          <w:highlight w:val="none"/>
          <w:lang w:val="en-US" w:eastAsia="zh-CN"/>
        </w:rPr>
        <w:t>适用框架协议的采购人或服务对象范围：</w:t>
      </w:r>
      <w:bookmarkEnd w:id="17"/>
      <w:r>
        <w:rPr>
          <w:rFonts w:hint="eastAsia" w:ascii="宋体" w:hAnsi="宋体" w:eastAsia="宋体" w:cs="宋体"/>
          <w:b/>
          <w:bCs/>
          <w:color w:val="auto"/>
          <w:szCs w:val="21"/>
          <w:highlight w:val="none"/>
          <w:lang w:val="en-US" w:eastAsia="zh-CN"/>
        </w:rPr>
        <w:t>详见第五章框架协议</w:t>
      </w:r>
    </w:p>
    <w:p w14:paraId="4F2444D3">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6、本项目所属行业：</w:t>
      </w:r>
      <w:r>
        <w:rPr>
          <w:rFonts w:hint="eastAsia" w:ascii="宋体" w:hAnsi="宋体" w:cs="宋体"/>
          <w:b/>
          <w:bCs/>
          <w:color w:val="auto"/>
          <w:szCs w:val="21"/>
          <w:highlight w:val="none"/>
          <w:lang w:val="en-US" w:eastAsia="zh-CN"/>
        </w:rPr>
        <w:t>其他未列明</w:t>
      </w:r>
      <w:r>
        <w:rPr>
          <w:rFonts w:hint="eastAsia" w:ascii="宋体" w:hAnsi="宋体" w:eastAsia="宋体" w:cs="宋体"/>
          <w:b/>
          <w:bCs/>
          <w:color w:val="auto"/>
          <w:szCs w:val="21"/>
          <w:highlight w:val="none"/>
          <w:lang w:val="en-US" w:eastAsia="zh-CN"/>
        </w:rPr>
        <w:t>行业</w:t>
      </w:r>
    </w:p>
    <w:p w14:paraId="72F50494">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、省级以上财政部门规定的其他事项：无</w:t>
      </w:r>
    </w:p>
    <w:p w14:paraId="7ACFAF2F">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rPr>
        <w:t>、在线投标（电子投标）说明</w:t>
      </w:r>
    </w:p>
    <w:p w14:paraId="17455640">
      <w:pPr>
        <w:keepNext w:val="0"/>
        <w:keepLines w:val="0"/>
        <w:pageBreakBefore w:val="0"/>
        <w:kinsoku/>
        <w:wordWrap/>
        <w:overflowPunct/>
        <w:topLinePunct w:val="0"/>
        <w:bidi w:val="0"/>
        <w:adjustRightInd/>
        <w:snapToGrid/>
        <w:spacing w:line="360" w:lineRule="auto"/>
        <w:ind w:firstLine="460" w:firstLineChars="200"/>
        <w:textAlignment w:val="auto"/>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8.1</w:t>
      </w:r>
      <w:r>
        <w:rPr>
          <w:rFonts w:hint="eastAsia" w:ascii="宋体" w:hAnsi="宋体" w:cs="宋体"/>
          <w:b w:val="0"/>
          <w:bCs/>
          <w:color w:val="auto"/>
          <w:spacing w:val="10"/>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w:t>
      </w:r>
      <w:r>
        <w:rPr>
          <w:rFonts w:hint="eastAsia" w:ascii="宋体" w:hAnsi="宋体" w:cs="宋体"/>
          <w:color w:val="auto"/>
          <w:szCs w:val="21"/>
          <w:highlight w:val="none"/>
          <w:lang w:eastAsia="zh-CN"/>
        </w:rPr>
        <w:t>广西政府采购云平台</w:t>
      </w:r>
      <w:r>
        <w:rPr>
          <w:rFonts w:hint="eastAsia" w:ascii="宋体" w:hAnsi="宋体" w:cs="宋体"/>
          <w:b w:val="0"/>
          <w:bCs/>
          <w:color w:val="auto"/>
          <w:spacing w:val="10"/>
          <w:szCs w:val="21"/>
          <w:highlight w:val="none"/>
        </w:rPr>
        <w:t>CA证书）。因投标人未做好相关准备工作等自身原因导致无法参加本项目电子投标或投标失败的，造成的一切后果，由投标人自行承担。</w:t>
      </w:r>
    </w:p>
    <w:p w14:paraId="30834164">
      <w:pPr>
        <w:keepNext w:val="0"/>
        <w:keepLines w:val="0"/>
        <w:pageBreakBefore w:val="0"/>
        <w:kinsoku/>
        <w:wordWrap/>
        <w:overflowPunct/>
        <w:topLinePunct w:val="0"/>
        <w:bidi w:val="0"/>
        <w:adjustRightInd/>
        <w:snapToGrid/>
        <w:spacing w:line="360" w:lineRule="auto"/>
        <w:ind w:firstLine="460" w:firstLineChars="200"/>
        <w:textAlignment w:val="auto"/>
        <w:rPr>
          <w:rFonts w:hint="eastAsia" w:ascii="宋体" w:hAnsi="宋体" w:eastAsia="宋体" w:cs="宋体"/>
          <w:color w:val="auto"/>
          <w:sz w:val="21"/>
          <w:szCs w:val="21"/>
          <w:highlight w:val="none"/>
        </w:rPr>
      </w:pPr>
      <w:r>
        <w:rPr>
          <w:rFonts w:hint="eastAsia" w:ascii="宋体" w:hAnsi="宋体" w:cs="宋体"/>
          <w:b w:val="0"/>
          <w:bCs/>
          <w:color w:val="auto"/>
          <w:spacing w:val="10"/>
          <w:szCs w:val="21"/>
          <w:highlight w:val="none"/>
          <w:lang w:val="en-US" w:eastAsia="zh-CN"/>
        </w:rPr>
        <w:t>8</w:t>
      </w:r>
      <w:r>
        <w:rPr>
          <w:rFonts w:hint="eastAsia" w:ascii="宋体" w:hAnsi="宋体" w:cs="宋体"/>
          <w:b w:val="0"/>
          <w:bCs/>
          <w:color w:val="auto"/>
          <w:spacing w:val="10"/>
          <w:szCs w:val="21"/>
          <w:highlight w:val="none"/>
        </w:rPr>
        <w:t>.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r>
        <w:rPr>
          <w:rFonts w:hint="eastAsia" w:ascii="宋体" w:hAnsi="宋体" w:eastAsia="宋体" w:cs="宋体"/>
          <w:color w:val="auto"/>
          <w:kern w:val="2"/>
          <w:sz w:val="21"/>
          <w:szCs w:val="21"/>
          <w:highlight w:val="none"/>
        </w:rPr>
        <w:t>。</w:t>
      </w:r>
    </w:p>
    <w:p w14:paraId="4C52B928">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bookmarkStart w:id="18" w:name="_Toc35393625"/>
      <w:bookmarkStart w:id="19" w:name="_Toc28359007"/>
      <w:bookmarkStart w:id="20" w:name="_Toc28359084"/>
      <w:bookmarkStart w:id="21" w:name="_Toc35393794"/>
      <w:r>
        <w:rPr>
          <w:rFonts w:hint="eastAsia" w:ascii="宋体" w:hAnsi="宋体" w:eastAsia="宋体" w:cs="宋体"/>
          <w:b/>
          <w:bCs/>
          <w:color w:val="auto"/>
          <w:szCs w:val="21"/>
          <w:highlight w:val="none"/>
        </w:rPr>
        <w:t>六、公告期限</w:t>
      </w:r>
      <w:bookmarkEnd w:id="18"/>
      <w:bookmarkEnd w:id="19"/>
      <w:bookmarkEnd w:id="20"/>
      <w:bookmarkEnd w:id="21"/>
    </w:p>
    <w:p w14:paraId="660EB79A">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自本公告发布之日起5个工作日。</w:t>
      </w:r>
    </w:p>
    <w:p w14:paraId="63CFED2B">
      <w:pPr>
        <w:keepNext w:val="0"/>
        <w:keepLines w:val="0"/>
        <w:pageBreakBefore w:val="0"/>
        <w:numPr>
          <w:ilvl w:val="0"/>
          <w:numId w:val="1"/>
        </w:numPr>
        <w:kinsoku/>
        <w:wordWrap/>
        <w:overflowPunct/>
        <w:topLinePunct w:val="0"/>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bookmarkStart w:id="22" w:name="_Toc28359008"/>
      <w:bookmarkStart w:id="23" w:name="_Toc35393627"/>
      <w:bookmarkStart w:id="24" w:name="_Toc28359085"/>
      <w:bookmarkStart w:id="25" w:name="_Toc35393796"/>
      <w:r>
        <w:rPr>
          <w:rFonts w:hint="eastAsia" w:ascii="宋体" w:hAnsi="宋体" w:eastAsia="宋体" w:cs="宋体"/>
          <w:b/>
          <w:bCs/>
          <w:color w:val="auto"/>
          <w:szCs w:val="21"/>
          <w:highlight w:val="none"/>
        </w:rPr>
        <w:t>对本次招标提出询问，请按以下方式联系</w:t>
      </w:r>
      <w:bookmarkEnd w:id="22"/>
      <w:bookmarkEnd w:id="23"/>
      <w:bookmarkEnd w:id="24"/>
      <w:bookmarkEnd w:id="25"/>
    </w:p>
    <w:p w14:paraId="17A11307">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采购人信息</w:t>
      </w:r>
    </w:p>
    <w:p w14:paraId="1DCA5386">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桂林市象山区城市管理局</w:t>
      </w:r>
    </w:p>
    <w:p w14:paraId="0388112B">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地址：</w:t>
      </w:r>
      <w:r>
        <w:rPr>
          <w:rFonts w:hint="eastAsia" w:ascii="宋体" w:hAnsi="宋体" w:cs="宋体"/>
          <w:color w:val="auto"/>
          <w:highlight w:val="none"/>
          <w:lang w:eastAsia="zh-CN"/>
        </w:rPr>
        <w:t>桂林市</w:t>
      </w:r>
      <w:r>
        <w:rPr>
          <w:rFonts w:hint="eastAsia" w:ascii="宋体" w:hAnsi="宋体" w:cs="宋体"/>
          <w:color w:val="auto"/>
          <w:highlight w:val="none"/>
        </w:rPr>
        <w:t>翠竹路南巷2号</w:t>
      </w:r>
      <w:r>
        <w:rPr>
          <w:rFonts w:hint="eastAsia" w:ascii="宋体" w:hAnsi="宋体" w:cs="宋体"/>
          <w:color w:val="auto"/>
          <w:szCs w:val="21"/>
          <w:highlight w:val="none"/>
          <w:lang w:val="en-US" w:eastAsia="zh-CN"/>
        </w:rPr>
        <w:t xml:space="preserve"> </w:t>
      </w:r>
    </w:p>
    <w:p w14:paraId="18A63F37">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联系人：</w:t>
      </w:r>
      <w:bookmarkStart w:id="26" w:name="_Toc28359086"/>
      <w:bookmarkStart w:id="27" w:name="_Toc28359009"/>
      <w:r>
        <w:rPr>
          <w:rFonts w:hint="eastAsia" w:ascii="宋体" w:hAnsi="宋体" w:cs="宋体"/>
          <w:color w:val="auto"/>
          <w:szCs w:val="21"/>
          <w:highlight w:val="none"/>
          <w:lang w:eastAsia="zh-CN"/>
        </w:rPr>
        <w:t>朱工</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eastAsia="zh-CN"/>
        </w:rPr>
        <w:t xml:space="preserve">  联系电话:</w:t>
      </w:r>
      <w:r>
        <w:rPr>
          <w:rFonts w:hint="eastAsia" w:ascii="宋体" w:hAnsi="宋体" w:cs="宋体"/>
          <w:color w:val="auto"/>
          <w:szCs w:val="21"/>
          <w:highlight w:val="none"/>
          <w:lang w:val="en-US" w:eastAsia="zh-CN"/>
        </w:rPr>
        <w:t xml:space="preserve"> 0773-3821489</w:t>
      </w:r>
    </w:p>
    <w:p w14:paraId="44B421C4">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2.采购代理机构信息</w:t>
      </w:r>
    </w:p>
    <w:bookmarkEnd w:id="26"/>
    <w:bookmarkEnd w:id="27"/>
    <w:p w14:paraId="2FBB834B">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eastAsia="zh-CN"/>
        </w:rPr>
      </w:pPr>
      <w:bookmarkStart w:id="28" w:name="_Toc28359087"/>
      <w:bookmarkStart w:id="29" w:name="_Toc28359010"/>
      <w:r>
        <w:rPr>
          <w:rFonts w:hint="eastAsia" w:ascii="宋体" w:hAnsi="宋体" w:cs="宋体"/>
          <w:color w:val="auto"/>
          <w:szCs w:val="21"/>
          <w:highlight w:val="none"/>
          <w:lang w:eastAsia="zh-CN"/>
        </w:rPr>
        <w:t>名称：广西鼎策工程顾问有限责任公司</w:t>
      </w:r>
    </w:p>
    <w:p w14:paraId="7BF10F5D">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桂林市七星区</w:t>
      </w:r>
      <w:r>
        <w:rPr>
          <w:rFonts w:hint="eastAsia" w:ascii="宋体" w:hAnsi="宋体" w:cs="宋体"/>
          <w:color w:val="auto"/>
          <w:szCs w:val="21"/>
          <w:highlight w:val="none"/>
          <w:lang w:val="en-US" w:eastAsia="zh-CN"/>
        </w:rPr>
        <w:t>信息路星辰科技广场B301室</w:t>
      </w:r>
      <w:r>
        <w:rPr>
          <w:rFonts w:hint="eastAsia" w:ascii="宋体" w:hAnsi="宋体" w:eastAsia="宋体" w:cs="宋体"/>
          <w:color w:val="auto"/>
          <w:szCs w:val="21"/>
          <w:highlight w:val="none"/>
        </w:rPr>
        <w:t xml:space="preserve"> </w:t>
      </w:r>
    </w:p>
    <w:p w14:paraId="2021EC39">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联系人：</w:t>
      </w:r>
      <w:r>
        <w:rPr>
          <w:rFonts w:hint="eastAsia" w:ascii="宋体" w:hAnsi="宋体" w:cs="宋体"/>
          <w:color w:val="auto"/>
          <w:szCs w:val="21"/>
          <w:highlight w:val="none"/>
          <w:lang w:val="en-US" w:eastAsia="zh-CN"/>
        </w:rPr>
        <w:t>蒋丽英</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联系方式：</w:t>
      </w:r>
      <w:r>
        <w:rPr>
          <w:rFonts w:hint="eastAsia" w:ascii="宋体" w:hAnsi="宋体" w:cs="宋体"/>
          <w:color w:val="auto"/>
          <w:szCs w:val="21"/>
          <w:highlight w:val="none"/>
          <w:lang w:eastAsia="zh-CN"/>
        </w:rPr>
        <w:t>0773－</w:t>
      </w:r>
      <w:r>
        <w:rPr>
          <w:rFonts w:hint="eastAsia" w:ascii="宋体" w:hAnsi="宋体" w:cs="宋体"/>
          <w:color w:val="auto"/>
          <w:szCs w:val="21"/>
          <w:highlight w:val="none"/>
          <w:lang w:val="en-US" w:eastAsia="zh-CN"/>
        </w:rPr>
        <w:t>8980919</w:t>
      </w:r>
    </w:p>
    <w:bookmarkEnd w:id="28"/>
    <w:bookmarkEnd w:id="29"/>
    <w:p w14:paraId="09EF733C">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.监督部门</w:t>
      </w:r>
    </w:p>
    <w:p w14:paraId="18B63B9D">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桂林市财政局   联系电话：0773-2862142</w:t>
      </w:r>
    </w:p>
    <w:p w14:paraId="02BC8311">
      <w:pPr>
        <w:keepNext w:val="0"/>
        <w:keepLines w:val="0"/>
        <w:pageBreakBefore w:val="0"/>
        <w:kinsoku/>
        <w:wordWrap/>
        <w:overflowPunct/>
        <w:topLinePunct w:val="0"/>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eastAsia="zh-CN"/>
        </w:rPr>
      </w:pPr>
    </w:p>
    <w:p w14:paraId="29EAD7E8">
      <w:pPr>
        <w:spacing w:line="44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135B0168">
      <w:pPr>
        <w:jc w:val="center"/>
        <w:outlineLvl w:val="0"/>
        <w:rPr>
          <w:rFonts w:hint="eastAsia" w:ascii="宋体" w:hAnsi="宋体" w:eastAsia="宋体" w:cs="宋体"/>
          <w:b/>
          <w:color w:val="auto"/>
          <w:sz w:val="32"/>
          <w:szCs w:val="32"/>
          <w:highlight w:val="none"/>
        </w:rPr>
      </w:pPr>
      <w:bookmarkStart w:id="30" w:name="_Toc5406"/>
      <w:bookmarkStart w:id="31" w:name="_Toc8091"/>
      <w:bookmarkStart w:id="32" w:name="_Toc6639"/>
      <w:bookmarkStart w:id="33" w:name="_Toc7713"/>
      <w:r>
        <w:rPr>
          <w:rFonts w:hint="eastAsia" w:ascii="宋体" w:hAnsi="宋体" w:eastAsia="宋体" w:cs="宋体"/>
          <w:b/>
          <w:color w:val="auto"/>
          <w:sz w:val="32"/>
          <w:szCs w:val="32"/>
          <w:highlight w:val="none"/>
        </w:rPr>
        <w:t>第二章、供应商须知</w:t>
      </w:r>
      <w:bookmarkEnd w:id="30"/>
      <w:bookmarkEnd w:id="31"/>
      <w:bookmarkEnd w:id="32"/>
      <w:bookmarkEnd w:id="33"/>
    </w:p>
    <w:p w14:paraId="36911F66">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供应商须知前附表</w:t>
      </w:r>
    </w:p>
    <w:tbl>
      <w:tblPr>
        <w:tblStyle w:val="25"/>
        <w:tblW w:w="951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60"/>
        <w:gridCol w:w="1624"/>
        <w:gridCol w:w="6264"/>
      </w:tblGrid>
      <w:tr w14:paraId="66C2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70" w:type="dxa"/>
            <w:vAlign w:val="center"/>
          </w:tcPr>
          <w:p w14:paraId="6712504C">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860" w:type="dxa"/>
            <w:vAlign w:val="center"/>
          </w:tcPr>
          <w:p w14:paraId="52879C8F">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1624" w:type="dxa"/>
            <w:vAlign w:val="center"/>
          </w:tcPr>
          <w:p w14:paraId="63343230">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条款名称</w:t>
            </w:r>
          </w:p>
        </w:tc>
        <w:tc>
          <w:tcPr>
            <w:tcW w:w="6264" w:type="dxa"/>
            <w:vAlign w:val="center"/>
          </w:tcPr>
          <w:p w14:paraId="31FBD157">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内容、要求</w:t>
            </w:r>
          </w:p>
        </w:tc>
      </w:tr>
      <w:tr w14:paraId="3593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70" w:type="dxa"/>
            <w:vAlign w:val="center"/>
          </w:tcPr>
          <w:p w14:paraId="591DC27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60" w:type="dxa"/>
            <w:vAlign w:val="center"/>
          </w:tcPr>
          <w:p w14:paraId="27DEFA4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624" w:type="dxa"/>
            <w:vAlign w:val="center"/>
          </w:tcPr>
          <w:p w14:paraId="488BEC0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6264" w:type="dxa"/>
            <w:vAlign w:val="center"/>
          </w:tcPr>
          <w:p w14:paraId="1FE8CA59">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桂林市象山区城市管理局垃圾清运项目</w:t>
            </w:r>
          </w:p>
          <w:p w14:paraId="51002636">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lang w:val="en-US" w:eastAsia="zh-CN"/>
              </w:rPr>
              <w:t>GLZC2026-K3-990124-GXDC</w:t>
            </w:r>
          </w:p>
        </w:tc>
      </w:tr>
      <w:tr w14:paraId="06EE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05ED62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860" w:type="dxa"/>
            <w:vAlign w:val="center"/>
          </w:tcPr>
          <w:p w14:paraId="7F4759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624" w:type="dxa"/>
            <w:vAlign w:val="center"/>
          </w:tcPr>
          <w:p w14:paraId="7C31A9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w:t>
            </w:r>
          </w:p>
        </w:tc>
        <w:tc>
          <w:tcPr>
            <w:tcW w:w="6264" w:type="dxa"/>
            <w:vAlign w:val="center"/>
          </w:tcPr>
          <w:p w14:paraId="183ED51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5.1符合《中华人民共和国政府采购法》第二十二条和《政府采购法实施条例》第十八条规定。</w:t>
            </w:r>
          </w:p>
          <w:p w14:paraId="0B7B015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3EDA8490">
            <w:pPr>
              <w:widowControl/>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5.3</w:t>
            </w:r>
            <w:r>
              <w:rPr>
                <w:rFonts w:hint="eastAsia" w:ascii="宋体" w:hAnsi="宋体" w:cs="宋体"/>
                <w:color w:val="auto"/>
                <w:szCs w:val="21"/>
                <w:highlight w:val="none"/>
                <w:lang w:eastAsia="zh-CN"/>
              </w:rPr>
              <w:t>落实政府采购政策需满足的资格要求：本项目为专门面向中小企业采购的项目</w:t>
            </w:r>
          </w:p>
          <w:p w14:paraId="47E14EF3">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5.4本项目的特定资格要求：1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本次招标要求投标人具备有效的《道路运输经营许可证》、《桂林市城市建筑垃圾处置许可证》</w:t>
            </w:r>
            <w:r>
              <w:rPr>
                <w:rFonts w:hint="eastAsia" w:ascii="宋体" w:hAnsi="宋体" w:eastAsia="宋体" w:cs="宋体"/>
                <w:color w:val="auto"/>
                <w:szCs w:val="21"/>
                <w:highlight w:val="none"/>
              </w:rPr>
              <w:t>。</w:t>
            </w:r>
          </w:p>
        </w:tc>
      </w:tr>
      <w:tr w14:paraId="0D50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2778BBA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60" w:type="dxa"/>
            <w:vAlign w:val="center"/>
          </w:tcPr>
          <w:p w14:paraId="4D26EFB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5.5</w:t>
            </w:r>
          </w:p>
        </w:tc>
        <w:tc>
          <w:tcPr>
            <w:tcW w:w="1624" w:type="dxa"/>
            <w:vAlign w:val="center"/>
          </w:tcPr>
          <w:p w14:paraId="360036D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参与电子投标的准备工作</w:t>
            </w:r>
          </w:p>
        </w:tc>
        <w:tc>
          <w:tcPr>
            <w:tcW w:w="6264" w:type="dxa"/>
            <w:vAlign w:val="center"/>
          </w:tcPr>
          <w:p w14:paraId="37EEDA77">
            <w:pPr>
              <w:snapToGrid w:val="0"/>
              <w:spacing w:line="340" w:lineRule="exact"/>
              <w:rPr>
                <w:rFonts w:hint="eastAsia" w:ascii="宋体" w:hAnsi="宋体"/>
                <w:color w:val="auto"/>
                <w:szCs w:val="21"/>
                <w:highlight w:val="none"/>
              </w:rPr>
            </w:pPr>
            <w:r>
              <w:rPr>
                <w:rFonts w:hint="eastAsia" w:ascii="宋体" w:hAnsi="宋体"/>
                <w:color w:val="auto"/>
                <w:szCs w:val="21"/>
                <w:highlight w:val="none"/>
              </w:rPr>
              <w:t>参与电子投标的准备工作</w:t>
            </w:r>
          </w:p>
          <w:p w14:paraId="6887CF50">
            <w:pPr>
              <w:snapToGrid w:val="0"/>
              <w:spacing w:line="34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w:t>
            </w:r>
            <w:r>
              <w:rPr>
                <w:rFonts w:hint="eastAsia" w:ascii="宋体" w:hAnsi="宋体" w:cs="宋体"/>
                <w:color w:val="auto"/>
                <w:szCs w:val="21"/>
                <w:highlight w:val="none"/>
                <w:lang w:eastAsia="zh-CN"/>
              </w:rPr>
              <w:t>广西政府采购云平台</w:t>
            </w:r>
            <w:r>
              <w:rPr>
                <w:rFonts w:hint="eastAsia" w:ascii="宋体" w:hAnsi="宋体"/>
                <w:color w:val="auto"/>
                <w:szCs w:val="21"/>
                <w:highlight w:val="none"/>
              </w:rPr>
              <w:t>CA证书）。因投标人未做好相关准备工作等自身原因导致无法参加本项目电子投标或投标失败的，造成的一切后果，由投标人自行承担。</w:t>
            </w:r>
          </w:p>
          <w:p w14:paraId="2812D384">
            <w:pPr>
              <w:spacing w:line="35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176E7082">
            <w:pPr>
              <w:widowControl/>
              <w:spacing w:line="360" w:lineRule="auto"/>
              <w:jc w:val="left"/>
              <w:rPr>
                <w:rFonts w:hint="eastAsia" w:ascii="宋体" w:hAnsi="宋体" w:eastAsia="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投标费用：本项目实行网上评审，采用电子投标；若投标人参与项目投标的，不论投标结果如何，均应自行承担所有与投标有关的全部费用。</w:t>
            </w:r>
          </w:p>
        </w:tc>
      </w:tr>
      <w:tr w14:paraId="1746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0B26BDC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860" w:type="dxa"/>
            <w:vAlign w:val="center"/>
          </w:tcPr>
          <w:p w14:paraId="2DF34CC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p>
        </w:tc>
        <w:tc>
          <w:tcPr>
            <w:tcW w:w="1624" w:type="dxa"/>
            <w:vAlign w:val="center"/>
          </w:tcPr>
          <w:p w14:paraId="0485941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264" w:type="dxa"/>
            <w:vAlign w:val="center"/>
          </w:tcPr>
          <w:p w14:paraId="301D03E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投标截止时间之日起90天。</w:t>
            </w:r>
          </w:p>
        </w:tc>
      </w:tr>
      <w:tr w14:paraId="1E50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0" w:type="dxa"/>
            <w:vAlign w:val="center"/>
          </w:tcPr>
          <w:p w14:paraId="598245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860" w:type="dxa"/>
            <w:vAlign w:val="center"/>
          </w:tcPr>
          <w:p w14:paraId="68BD50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1624" w:type="dxa"/>
            <w:vAlign w:val="center"/>
          </w:tcPr>
          <w:p w14:paraId="710E9A1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响应文件制作</w:t>
            </w:r>
          </w:p>
        </w:tc>
        <w:tc>
          <w:tcPr>
            <w:tcW w:w="6264" w:type="dxa"/>
            <w:vAlign w:val="center"/>
          </w:tcPr>
          <w:p w14:paraId="6B72DF7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电子响应文件中须加盖供应商CA签章部分均采用CA证书签章，并根据“政府采购项目电子交易管理操作指南-供应商”及本征集文件规定的格式和顺序编制电子响应文件并进行关联定位，以便评审小组在评审时，点击评分项可直接定位到该评分项内容。如对征集文件的某项要求，供应商的电子响应文件未能关联定位提供相应的内容与其对应，则评审小组在评审时如做出对供应商不利的评审由供应商自行承担。电子响应文件如内容不完整、编排混乱导致响应文件被误读、漏读，或者在按征集文件规定的部位查找不到相关内容的，由供应商自行承担。</w:t>
            </w:r>
          </w:p>
          <w:p w14:paraId="6DB32FE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17.2供应商法人（负责人）或授权代表持有</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个人CA证书签章的，应在响应文件中涉及到签字的位置使用个人CA签章，没有办理</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个人CA证书签章的可在响应文件中涉及到签字的位置手写签字后扫描或者拍照做成PDF的格式上传即可。</w:t>
            </w:r>
          </w:p>
          <w:p w14:paraId="7EAA641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17.3响应文件不得涂改，若有修改错漏处，须法定代表人（负责人）或授权委托人签字（或个人CA证书签章）。响应文件因字迹潦草或表达不清所引起的后果由供应商负责。</w:t>
            </w:r>
          </w:p>
          <w:p w14:paraId="4EC3895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17.4评审前准备</w:t>
            </w:r>
          </w:p>
          <w:p w14:paraId="0001F0A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17.4.1本项目实行网上评审，采用电子响应文件；若供应商参与投标，自行承担投标一切费用。</w:t>
            </w:r>
          </w:p>
          <w:p w14:paraId="41C719C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17.4.2各供应商在截标前应确保成为</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正式注册入库供应商，并完成CA数字证书申领。因未注册入库、未办理CA数字证书等原因造成无法投标或投标失败等后果由供应商自行承担。</w:t>
            </w:r>
          </w:p>
          <w:p w14:paraId="6DC81B7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17.4.3供应商将</w:t>
            </w:r>
            <w:r>
              <w:rPr>
                <w:rFonts w:hint="eastAsia" w:ascii="宋体" w:hAnsi="宋体" w:cs="宋体"/>
                <w:color w:val="auto"/>
                <w:szCs w:val="21"/>
                <w:highlight w:val="none"/>
                <w:lang w:eastAsia="zh-CN"/>
              </w:rPr>
              <w:t>广西政府采购云</w:t>
            </w:r>
            <w:r>
              <w:rPr>
                <w:rFonts w:hint="eastAsia" w:ascii="宋体" w:hAnsi="宋体" w:eastAsia="宋体" w:cs="宋体"/>
                <w:color w:val="auto"/>
                <w:szCs w:val="21"/>
                <w:highlight w:val="none"/>
              </w:rPr>
              <w:t>电子交易客户端下载、安装完成后，可通过账号密码或CA登录客户端进行响应文件制作。客户端请至网站下载专区查看，如有问题可拨打</w:t>
            </w:r>
            <w:r>
              <w:rPr>
                <w:rFonts w:hint="eastAsia" w:ascii="宋体" w:hAnsi="宋体"/>
                <w:color w:val="auto"/>
                <w:szCs w:val="21"/>
                <w:highlight w:val="none"/>
              </w:rPr>
              <w:t>广西政府采购云平台</w:t>
            </w:r>
            <w:r>
              <w:rPr>
                <w:rFonts w:hint="eastAsia" w:ascii="宋体" w:hAnsi="宋体" w:eastAsia="宋体" w:cs="宋体"/>
                <w:color w:val="auto"/>
                <w:szCs w:val="21"/>
                <w:highlight w:val="none"/>
              </w:rPr>
              <w:t>客户服务热线</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进行咨询。</w:t>
            </w:r>
          </w:p>
        </w:tc>
      </w:tr>
      <w:tr w14:paraId="3C4C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Align w:val="center"/>
          </w:tcPr>
          <w:p w14:paraId="27D640F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860" w:type="dxa"/>
            <w:vAlign w:val="center"/>
          </w:tcPr>
          <w:p w14:paraId="3532992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1624" w:type="dxa"/>
            <w:vAlign w:val="center"/>
          </w:tcPr>
          <w:p w14:paraId="21FD53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响应文件的补充、修改和撤回</w:t>
            </w:r>
          </w:p>
        </w:tc>
        <w:tc>
          <w:tcPr>
            <w:tcW w:w="6264" w:type="dxa"/>
            <w:vAlign w:val="center"/>
          </w:tcPr>
          <w:p w14:paraId="42F3606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19.1响应文件递交截止时间前可以撤回电子响应文件。补充或者修改电子响应文件的，应当先行撤回原文件，补充、修改后重新传输递交，响应文件递交截止时间前未完成传输的，视为撤回响应文件。</w:t>
            </w:r>
          </w:p>
        </w:tc>
      </w:tr>
      <w:tr w14:paraId="4FDC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70" w:type="dxa"/>
            <w:vAlign w:val="center"/>
          </w:tcPr>
          <w:p w14:paraId="67C6B1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860" w:type="dxa"/>
            <w:vAlign w:val="center"/>
          </w:tcPr>
          <w:p w14:paraId="2727C5D1">
            <w:pPr>
              <w:spacing w:line="360" w:lineRule="auto"/>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19</w:t>
            </w:r>
          </w:p>
        </w:tc>
        <w:tc>
          <w:tcPr>
            <w:tcW w:w="1624" w:type="dxa"/>
            <w:vAlign w:val="center"/>
          </w:tcPr>
          <w:p w14:paraId="7F837149">
            <w:pPr>
              <w:spacing w:line="360" w:lineRule="auto"/>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响应文件递交</w:t>
            </w:r>
          </w:p>
        </w:tc>
        <w:tc>
          <w:tcPr>
            <w:tcW w:w="6264" w:type="dxa"/>
            <w:vAlign w:val="center"/>
          </w:tcPr>
          <w:p w14:paraId="3C99864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20.1响应文件递交截止时间：于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13</w:t>
            </w:r>
            <w:r>
              <w:rPr>
                <w:rFonts w:hint="eastAsia" w:ascii="宋体" w:hAnsi="宋体" w:cs="宋体"/>
                <w:color w:val="auto"/>
                <w:szCs w:val="21"/>
                <w:highlight w:val="none"/>
                <w:u w:val="single"/>
                <w:lang w:eastAsia="zh-CN"/>
              </w:rPr>
              <w:t>日</w:t>
            </w:r>
            <w:r>
              <w:rPr>
                <w:rFonts w:hint="eastAsia" w:ascii="宋体" w:hAnsi="宋体" w:eastAsia="宋体" w:cs="宋体"/>
                <w:color w:val="auto"/>
                <w:szCs w:val="21"/>
                <w:highlight w:val="none"/>
                <w:u w:val="single"/>
              </w:rPr>
              <w:t>上午</w:t>
            </w:r>
            <w:r>
              <w:rPr>
                <w:rFonts w:hint="eastAsia" w:ascii="宋体" w:hAnsi="宋体" w:eastAsia="宋体" w:cs="宋体"/>
                <w:color w:val="auto"/>
                <w:szCs w:val="21"/>
                <w:highlight w:val="none"/>
                <w:u w:val="single"/>
                <w:lang w:val="en-US" w:eastAsia="zh-CN"/>
              </w:rPr>
              <w:t>09</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之前将电子响应文件上传到</w:t>
            </w:r>
            <w:r>
              <w:rPr>
                <w:rFonts w:hint="eastAsia" w:ascii="宋体" w:hAnsi="宋体"/>
                <w:color w:val="auto"/>
                <w:szCs w:val="21"/>
                <w:highlight w:val="none"/>
              </w:rPr>
              <w:t>广西政府采购云平台</w:t>
            </w:r>
            <w:r>
              <w:rPr>
                <w:rFonts w:hint="eastAsia" w:ascii="宋体" w:hAnsi="宋体" w:eastAsia="宋体" w:cs="宋体"/>
                <w:color w:val="auto"/>
                <w:szCs w:val="21"/>
                <w:highlight w:val="none"/>
              </w:rPr>
              <w:t>。应按照本项目征集文件和</w:t>
            </w:r>
            <w:r>
              <w:rPr>
                <w:rFonts w:hint="eastAsia" w:ascii="宋体" w:hAnsi="宋体"/>
                <w:color w:val="auto"/>
                <w:szCs w:val="21"/>
                <w:highlight w:val="none"/>
              </w:rPr>
              <w:t>广西政府采购云平台</w:t>
            </w:r>
            <w:r>
              <w:rPr>
                <w:rFonts w:hint="eastAsia" w:ascii="宋体" w:hAnsi="宋体" w:eastAsia="宋体" w:cs="宋体"/>
                <w:color w:val="auto"/>
                <w:szCs w:val="21"/>
                <w:highlight w:val="none"/>
              </w:rPr>
              <w:t>的要求编制、加密传输响应文件。供应商在使用系统进行投标的过程中遇到涉及平台使用的任何问题，可致电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平台技术支持热线咨询，联系方式：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tc>
      </w:tr>
      <w:tr w14:paraId="21FB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vAlign w:val="center"/>
          </w:tcPr>
          <w:p w14:paraId="1A35DD0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860" w:type="dxa"/>
            <w:vAlign w:val="center"/>
          </w:tcPr>
          <w:p w14:paraId="3C97D0A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624" w:type="dxa"/>
            <w:vAlign w:val="center"/>
          </w:tcPr>
          <w:p w14:paraId="37E6CF5A">
            <w:pPr>
              <w:spacing w:line="360" w:lineRule="auto"/>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响应文件解密时间</w:t>
            </w:r>
          </w:p>
        </w:tc>
        <w:tc>
          <w:tcPr>
            <w:tcW w:w="6264" w:type="dxa"/>
          </w:tcPr>
          <w:p w14:paraId="4B2A0F6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截标时间后30分钟内（</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分)供应商可以登录</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号</w:t>
            </w:r>
            <w:r>
              <w:rPr>
                <w:rFonts w:hint="eastAsia" w:ascii="宋体" w:hAnsi="宋体" w:cs="宋体"/>
                <w:color w:val="auto"/>
                <w:szCs w:val="21"/>
                <w:highlight w:val="none"/>
                <w:u w:val="single"/>
                <w:lang w:val="en-US" w:eastAsia="zh-CN"/>
              </w:rPr>
              <w:t xml:space="preserve">  7 </w:t>
            </w:r>
            <w:r>
              <w:rPr>
                <w:rFonts w:hint="eastAsia" w:ascii="宋体" w:hAnsi="宋体" w:eastAsia="宋体" w:cs="宋体"/>
                <w:color w:val="auto"/>
                <w:szCs w:val="21"/>
                <w:highlight w:val="none"/>
                <w:u w:val="single"/>
                <w:lang w:val="en-US" w:eastAsia="zh-CN"/>
              </w:rPr>
              <w:t>号</w:t>
            </w:r>
            <w:r>
              <w:rPr>
                <w:rFonts w:hint="eastAsia" w:ascii="宋体" w:hAnsi="宋体" w:cs="宋体"/>
                <w:color w:val="auto"/>
                <w:szCs w:val="21"/>
                <w:highlight w:val="none"/>
                <w:lang w:val="en-US" w:eastAsia="zh-CN"/>
              </w:rPr>
              <w:t>政府采购开标仓</w:t>
            </w:r>
            <w:r>
              <w:rPr>
                <w:rFonts w:hint="eastAsia" w:ascii="宋体" w:hAnsi="宋体" w:eastAsia="宋体" w:cs="宋体"/>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tc>
      </w:tr>
      <w:tr w14:paraId="1C3B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770" w:type="dxa"/>
            <w:vAlign w:val="center"/>
          </w:tcPr>
          <w:p w14:paraId="43F113A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860" w:type="dxa"/>
            <w:vAlign w:val="center"/>
          </w:tcPr>
          <w:p w14:paraId="2398F71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624" w:type="dxa"/>
            <w:vAlign w:val="center"/>
          </w:tcPr>
          <w:p w14:paraId="3DB390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开标时间及地点</w:t>
            </w:r>
          </w:p>
        </w:tc>
        <w:tc>
          <w:tcPr>
            <w:tcW w:w="6264" w:type="dxa"/>
          </w:tcPr>
          <w:p w14:paraId="01F7142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点</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分（北京时间）截标后。地点：通过</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实行在线解密开启。提交电子备份响应文件方式：</w:t>
            </w:r>
            <w:r>
              <w:rPr>
                <w:rFonts w:hint="eastAsia" w:ascii="宋体" w:hAnsi="宋体" w:eastAsia="宋体" w:cs="宋体"/>
                <w:b/>
                <w:bCs/>
                <w:color w:val="auto"/>
                <w:szCs w:val="21"/>
                <w:highlight w:val="none"/>
              </w:rPr>
              <w:t>在接到无法解密或解密失败的通知后，供应商可根据自身实际情况按通知时要求的时间到桂林市公共资源交易中心</w:t>
            </w:r>
            <w:r>
              <w:rPr>
                <w:rFonts w:hint="eastAsia" w:ascii="宋体" w:hAnsi="宋体" w:cs="宋体"/>
                <w:b/>
                <w:bCs/>
                <w:color w:val="auto"/>
                <w:szCs w:val="21"/>
                <w:highlight w:val="none"/>
                <w:u w:val="single"/>
                <w:lang w:val="en-US" w:eastAsia="zh-CN"/>
              </w:rPr>
              <w:t xml:space="preserve"> 7</w:t>
            </w:r>
            <w:r>
              <w:rPr>
                <w:rFonts w:hint="eastAsia" w:ascii="宋体" w:hAnsi="宋体" w:cs="宋体"/>
                <w:b/>
                <w:bCs/>
                <w:color w:val="auto"/>
                <w:szCs w:val="21"/>
                <w:highlight w:val="none"/>
                <w:u w:val="single"/>
                <w:lang w:val="en-US" w:eastAsia="zh-CN"/>
              </w:rPr>
              <w:t xml:space="preserve"> </w:t>
            </w:r>
            <w:r>
              <w:rPr>
                <w:rFonts w:hint="eastAsia" w:ascii="宋体" w:hAnsi="宋体" w:eastAsia="宋体" w:cs="宋体"/>
                <w:b/>
                <w:bCs/>
                <w:color w:val="auto"/>
                <w:szCs w:val="21"/>
                <w:highlight w:val="none"/>
              </w:rPr>
              <w:t>号</w:t>
            </w:r>
            <w:r>
              <w:rPr>
                <w:rFonts w:hint="eastAsia" w:ascii="宋体" w:hAnsi="宋体" w:eastAsia="宋体" w:cs="宋体"/>
                <w:b/>
                <w:bCs/>
                <w:color w:val="auto"/>
                <w:szCs w:val="21"/>
                <w:highlight w:val="none"/>
                <w:lang w:val="en-US" w:eastAsia="zh-CN"/>
              </w:rPr>
              <w:t>政府采购开标仓</w:t>
            </w:r>
            <w:r>
              <w:rPr>
                <w:rFonts w:hint="eastAsia" w:ascii="宋体" w:hAnsi="宋体" w:eastAsia="宋体" w:cs="宋体"/>
                <w:b/>
                <w:bCs/>
                <w:color w:val="auto"/>
                <w:szCs w:val="21"/>
                <w:highlight w:val="none"/>
              </w:rPr>
              <w:t>现场提交或以电子邮件的形式（以通知时所告知的电子邮箱地址为准）提交电子备份响应文件</w:t>
            </w:r>
            <w:r>
              <w:rPr>
                <w:rFonts w:hint="eastAsia" w:ascii="宋体" w:hAnsi="宋体" w:eastAsia="宋体" w:cs="宋体"/>
                <w:color w:val="auto"/>
                <w:szCs w:val="21"/>
                <w:highlight w:val="none"/>
              </w:rPr>
              <w:t>。供应商可以由法定代表人、负责人、自然人或其委托代理人出席开标会议。</w:t>
            </w:r>
          </w:p>
        </w:tc>
      </w:tr>
      <w:tr w14:paraId="1F57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70" w:type="dxa"/>
            <w:vAlign w:val="center"/>
          </w:tcPr>
          <w:p w14:paraId="05BDC68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860" w:type="dxa"/>
            <w:vAlign w:val="center"/>
          </w:tcPr>
          <w:p w14:paraId="71184C7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1624" w:type="dxa"/>
            <w:vAlign w:val="center"/>
          </w:tcPr>
          <w:p w14:paraId="155599D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评标委员会组成</w:t>
            </w:r>
          </w:p>
        </w:tc>
        <w:tc>
          <w:tcPr>
            <w:tcW w:w="6264" w:type="dxa"/>
            <w:vAlign w:val="center"/>
          </w:tcPr>
          <w:p w14:paraId="5B22ED7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评标委员会由征集人代表</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人和评审专家</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人组成，成员人数共</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人。</w:t>
            </w:r>
          </w:p>
        </w:tc>
      </w:tr>
      <w:tr w14:paraId="3F01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70" w:type="dxa"/>
            <w:vAlign w:val="center"/>
          </w:tcPr>
          <w:p w14:paraId="753A548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860" w:type="dxa"/>
            <w:vAlign w:val="center"/>
          </w:tcPr>
          <w:p w14:paraId="3B3F0DD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1624" w:type="dxa"/>
            <w:vAlign w:val="center"/>
          </w:tcPr>
          <w:p w14:paraId="787559CB">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评标办法</w:t>
            </w:r>
          </w:p>
        </w:tc>
        <w:tc>
          <w:tcPr>
            <w:tcW w:w="6264" w:type="dxa"/>
            <w:vAlign w:val="center"/>
          </w:tcPr>
          <w:p w14:paraId="2D78D8C0">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rPr>
              <w:t>封闭式框架协议采购方式，第一阶段评审办法为：质量优先法，具体评标内容及标准详见第四章：评标办法。</w:t>
            </w:r>
          </w:p>
        </w:tc>
      </w:tr>
      <w:tr w14:paraId="6482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0" w:type="dxa"/>
            <w:vAlign w:val="center"/>
          </w:tcPr>
          <w:p w14:paraId="31D37E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860" w:type="dxa"/>
            <w:vAlign w:val="center"/>
          </w:tcPr>
          <w:p w14:paraId="553C07AA">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29</w:t>
            </w:r>
          </w:p>
        </w:tc>
        <w:tc>
          <w:tcPr>
            <w:tcW w:w="1624" w:type="dxa"/>
            <w:vAlign w:val="center"/>
          </w:tcPr>
          <w:p w14:paraId="64E19DE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w:t>
            </w:r>
          </w:p>
        </w:tc>
        <w:tc>
          <w:tcPr>
            <w:tcW w:w="6264" w:type="dxa"/>
          </w:tcPr>
          <w:p w14:paraId="34E425D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根据《关于做好政府采购有关信用主体标识码登记及在政府采购活动中查询使用信用记录有关问题的通知》桂财采〔2016〕37号的通知，由采购代理机构对第一入围供应商进行信用查询：</w:t>
            </w:r>
          </w:p>
          <w:p w14:paraId="3BD22E9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6865A1C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⑵查询截止时点：入围通知书发出前；</w:t>
            </w:r>
          </w:p>
          <w:p w14:paraId="2E6FBE0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292678FF">
            <w:pPr>
              <w:pStyle w:val="46"/>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入围供应商资格。</w:t>
            </w:r>
          </w:p>
        </w:tc>
      </w:tr>
      <w:tr w14:paraId="7418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0" w:type="dxa"/>
            <w:vAlign w:val="center"/>
          </w:tcPr>
          <w:p w14:paraId="72CB29B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860" w:type="dxa"/>
            <w:vAlign w:val="center"/>
          </w:tcPr>
          <w:p w14:paraId="7CEE722D">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0</w:t>
            </w:r>
          </w:p>
        </w:tc>
        <w:tc>
          <w:tcPr>
            <w:tcW w:w="1624" w:type="dxa"/>
            <w:vAlign w:val="center"/>
          </w:tcPr>
          <w:p w14:paraId="46B766C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入围公告及入围通知书</w:t>
            </w:r>
          </w:p>
        </w:tc>
        <w:tc>
          <w:tcPr>
            <w:tcW w:w="6264" w:type="dxa"/>
            <w:vAlign w:val="center"/>
          </w:tcPr>
          <w:p w14:paraId="5C58DFDC">
            <w:pPr>
              <w:pStyle w:val="15"/>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采购代理机构于评标结束后两个工作日内将评标报告送交征集人，征集人应当自收到评标报告五个工作日内在评标报告推荐的入围供应商中按顺序确定入围供应商，采购代理机构在入围供应商确定之日起两个工作日内发出入围通知书，并在指定媒体上公告入围信息，入围公告期限为1个工作日。</w:t>
            </w:r>
          </w:p>
          <w:p w14:paraId="7B366F25">
            <w:pPr>
              <w:pStyle w:val="15"/>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32.2入围公告同时采购代理机构向入围供应商发出入围通知书。入围供应商应自接到通知之日起七个工作日内，办理入围通知书领取手续。</w:t>
            </w:r>
          </w:p>
        </w:tc>
      </w:tr>
      <w:tr w14:paraId="5F7B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70" w:type="dxa"/>
            <w:shd w:val="clear" w:color="auto" w:fill="auto"/>
            <w:vAlign w:val="center"/>
          </w:tcPr>
          <w:p w14:paraId="4AB974B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860" w:type="dxa"/>
            <w:shd w:val="clear" w:color="auto" w:fill="auto"/>
            <w:vAlign w:val="center"/>
          </w:tcPr>
          <w:p w14:paraId="08C5386F">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1</w:t>
            </w:r>
          </w:p>
        </w:tc>
        <w:tc>
          <w:tcPr>
            <w:tcW w:w="1624" w:type="dxa"/>
            <w:shd w:val="clear" w:color="auto" w:fill="auto"/>
            <w:vAlign w:val="center"/>
          </w:tcPr>
          <w:p w14:paraId="291DEE9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264" w:type="dxa"/>
            <w:shd w:val="clear" w:color="auto" w:fill="FFFFFF"/>
            <w:vAlign w:val="center"/>
          </w:tcPr>
          <w:p w14:paraId="6A6BC04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本项目不收取履约保证金</w:t>
            </w:r>
            <w:r>
              <w:rPr>
                <w:rFonts w:hint="eastAsia" w:ascii="宋体" w:hAnsi="宋体" w:eastAsia="宋体" w:cs="宋体"/>
                <w:color w:val="auto"/>
                <w:szCs w:val="21"/>
                <w:highlight w:val="none"/>
              </w:rPr>
              <w:t>。</w:t>
            </w:r>
          </w:p>
        </w:tc>
      </w:tr>
      <w:tr w14:paraId="69FF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70" w:type="dxa"/>
            <w:vAlign w:val="center"/>
          </w:tcPr>
          <w:p w14:paraId="6E917AC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860" w:type="dxa"/>
            <w:vAlign w:val="center"/>
          </w:tcPr>
          <w:p w14:paraId="5635FEF9">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2.1</w:t>
            </w:r>
          </w:p>
        </w:tc>
        <w:tc>
          <w:tcPr>
            <w:tcW w:w="1624" w:type="dxa"/>
            <w:vAlign w:val="center"/>
          </w:tcPr>
          <w:p w14:paraId="399967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签订框架协议时间</w:t>
            </w:r>
          </w:p>
        </w:tc>
        <w:tc>
          <w:tcPr>
            <w:tcW w:w="6264" w:type="dxa"/>
            <w:vAlign w:val="center"/>
          </w:tcPr>
          <w:p w14:paraId="46E80F2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入围通知书发出</w:t>
            </w:r>
            <w:r>
              <w:rPr>
                <w:rFonts w:hint="eastAsia" w:ascii="宋体" w:hAnsi="宋体" w:cs="宋体"/>
                <w:color w:val="auto"/>
                <w:szCs w:val="21"/>
                <w:highlight w:val="none"/>
                <w:lang w:eastAsia="zh-CN"/>
              </w:rPr>
              <w:t>之日起八个工作日内</w:t>
            </w:r>
            <w:r>
              <w:rPr>
                <w:rFonts w:hint="eastAsia" w:ascii="宋体" w:hAnsi="宋体" w:eastAsia="宋体" w:cs="宋体"/>
                <w:color w:val="auto"/>
                <w:szCs w:val="21"/>
                <w:highlight w:val="none"/>
              </w:rPr>
              <w:t>。入围供应商领取入围通知书后，应按规定与征集人签订框架协议。</w:t>
            </w:r>
          </w:p>
        </w:tc>
      </w:tr>
      <w:tr w14:paraId="107B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70" w:type="dxa"/>
            <w:vAlign w:val="center"/>
          </w:tcPr>
          <w:p w14:paraId="527E89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860" w:type="dxa"/>
            <w:vAlign w:val="center"/>
          </w:tcPr>
          <w:p w14:paraId="3F13DFC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.4</w:t>
            </w:r>
          </w:p>
        </w:tc>
        <w:tc>
          <w:tcPr>
            <w:tcW w:w="1624" w:type="dxa"/>
            <w:vAlign w:val="center"/>
          </w:tcPr>
          <w:p w14:paraId="5995D6A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框架协议备案存档</w:t>
            </w:r>
          </w:p>
        </w:tc>
        <w:tc>
          <w:tcPr>
            <w:tcW w:w="6264" w:type="dxa"/>
            <w:vAlign w:val="center"/>
          </w:tcPr>
          <w:p w14:paraId="728FE51D">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框架协议双方自签订之日起一个工作日内将协议原件两份交采购代理机构，代理机构于协议签订之日起七个工作日内将一份协议原件交于</w:t>
            </w:r>
            <w:r>
              <w:rPr>
                <w:rFonts w:hint="eastAsia" w:ascii="宋体" w:hAnsi="宋体" w:cs="宋体"/>
                <w:color w:val="auto"/>
                <w:szCs w:val="21"/>
                <w:highlight w:val="none"/>
                <w:lang w:eastAsia="zh-CN"/>
              </w:rPr>
              <w:t>桂林市财政局</w:t>
            </w:r>
            <w:r>
              <w:rPr>
                <w:rFonts w:hint="eastAsia" w:ascii="宋体" w:hAnsi="宋体" w:eastAsia="宋体" w:cs="宋体"/>
                <w:color w:val="auto"/>
                <w:szCs w:val="21"/>
                <w:highlight w:val="none"/>
              </w:rPr>
              <w:t>备案。</w:t>
            </w:r>
          </w:p>
        </w:tc>
      </w:tr>
      <w:tr w14:paraId="782B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770" w:type="dxa"/>
            <w:vAlign w:val="center"/>
          </w:tcPr>
          <w:p w14:paraId="6B8098B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860" w:type="dxa"/>
            <w:vAlign w:val="center"/>
          </w:tcPr>
          <w:p w14:paraId="1F12AF98">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p>
        </w:tc>
        <w:tc>
          <w:tcPr>
            <w:tcW w:w="1624" w:type="dxa"/>
            <w:vAlign w:val="center"/>
          </w:tcPr>
          <w:p w14:paraId="13BE56B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招标代理服务费</w:t>
            </w:r>
          </w:p>
        </w:tc>
        <w:tc>
          <w:tcPr>
            <w:tcW w:w="6264" w:type="dxa"/>
            <w:vAlign w:val="center"/>
          </w:tcPr>
          <w:p w14:paraId="44EEBED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本项目的招标代理服务费：</w:t>
            </w:r>
            <w:r>
              <w:rPr>
                <w:rFonts w:hint="eastAsia" w:ascii="宋体" w:hAnsi="宋体" w:cs="宋体"/>
                <w:color w:val="auto"/>
                <w:szCs w:val="21"/>
                <w:highlight w:val="none"/>
                <w:u w:val="none"/>
                <w:lang w:eastAsia="zh-CN"/>
              </w:rPr>
              <w:t>人民</w:t>
            </w:r>
            <w:r>
              <w:rPr>
                <w:rFonts w:hint="eastAsia" w:ascii="宋体" w:hAnsi="宋体" w:cs="宋体"/>
                <w:b w:val="0"/>
                <w:bCs w:val="0"/>
                <w:color w:val="auto"/>
                <w:szCs w:val="21"/>
                <w:highlight w:val="none"/>
                <w:u w:val="none"/>
                <w:lang w:eastAsia="zh-CN"/>
              </w:rPr>
              <w:t>币</w:t>
            </w:r>
            <w:r>
              <w:rPr>
                <w:rFonts w:hint="eastAsia" w:ascii="宋体" w:hAnsi="宋体" w:cs="宋体"/>
                <w:b w:val="0"/>
                <w:bCs w:val="0"/>
                <w:color w:val="auto"/>
                <w:szCs w:val="21"/>
                <w:highlight w:val="none"/>
                <w:u w:val="none"/>
                <w:lang w:val="en-US" w:eastAsia="zh-CN"/>
              </w:rPr>
              <w:t xml:space="preserve"> 4350</w:t>
            </w:r>
            <w:r>
              <w:rPr>
                <w:rFonts w:hint="eastAsia" w:ascii="宋体" w:hAnsi="宋体" w:cs="宋体"/>
                <w:b w:val="0"/>
                <w:bCs w:val="0"/>
                <w:color w:val="auto"/>
                <w:szCs w:val="21"/>
                <w:highlight w:val="none"/>
                <w:u w:val="none"/>
                <w:lang w:eastAsia="zh-CN"/>
              </w:rPr>
              <w:t>元</w:t>
            </w:r>
            <w:r>
              <w:rPr>
                <w:rFonts w:hint="eastAsia" w:ascii="宋体" w:hAnsi="宋体" w:cs="宋体"/>
                <w:b w:val="0"/>
                <w:bCs w:val="0"/>
                <w:color w:val="auto"/>
                <w:szCs w:val="21"/>
                <w:highlight w:val="none"/>
                <w:u w:val="none"/>
                <w:lang w:val="en-US" w:eastAsia="zh-CN"/>
              </w:rPr>
              <w:t>/</w:t>
            </w:r>
            <w:r>
              <w:rPr>
                <w:rFonts w:hint="eastAsia" w:ascii="宋体" w:hAnsi="宋体" w:cs="宋体"/>
                <w:color w:val="auto"/>
                <w:szCs w:val="21"/>
                <w:highlight w:val="none"/>
                <w:u w:val="none"/>
                <w:lang w:val="en-US" w:eastAsia="zh-CN"/>
              </w:rPr>
              <w:t>每个</w:t>
            </w:r>
            <w:r>
              <w:rPr>
                <w:rFonts w:hint="eastAsia" w:ascii="宋体" w:hAnsi="宋体" w:eastAsia="宋体" w:cs="宋体"/>
                <w:color w:val="auto"/>
                <w:highlight w:val="none"/>
                <w:u w:val="none"/>
                <w:lang w:val="en-US" w:eastAsia="zh-CN"/>
              </w:rPr>
              <w:t>入</w:t>
            </w:r>
            <w:r>
              <w:rPr>
                <w:rFonts w:hint="eastAsia" w:ascii="宋体" w:hAnsi="宋体" w:eastAsia="宋体" w:cs="宋体"/>
                <w:color w:val="auto"/>
                <w:highlight w:val="none"/>
                <w:lang w:val="en-US" w:eastAsia="zh-CN"/>
              </w:rPr>
              <w:t>围供应商</w:t>
            </w:r>
            <w:r>
              <w:rPr>
                <w:rFonts w:hint="eastAsia" w:ascii="宋体" w:hAnsi="宋体" w:cs="宋体"/>
                <w:color w:val="auto"/>
                <w:highlight w:val="none"/>
                <w:lang w:val="en-US" w:eastAsia="zh-CN"/>
              </w:rPr>
              <w:t>（合计2家）</w:t>
            </w:r>
            <w:r>
              <w:rPr>
                <w:rFonts w:hint="eastAsia" w:ascii="宋体" w:hAnsi="宋体" w:eastAsia="宋体" w:cs="宋体"/>
                <w:color w:val="auto"/>
                <w:szCs w:val="21"/>
                <w:highlight w:val="none"/>
              </w:rPr>
              <w:t>，签订合同前，</w:t>
            </w:r>
            <w:r>
              <w:rPr>
                <w:rFonts w:hint="eastAsia" w:ascii="宋体" w:hAnsi="宋体" w:eastAsia="宋体" w:cs="宋体"/>
                <w:color w:val="auto"/>
                <w:highlight w:val="none"/>
                <w:lang w:val="en-US" w:eastAsia="zh-CN"/>
              </w:rPr>
              <w:t>入围供应商</w:t>
            </w:r>
            <w:r>
              <w:rPr>
                <w:rFonts w:hint="eastAsia" w:ascii="宋体" w:hAnsi="宋体" w:eastAsia="宋体" w:cs="宋体"/>
                <w:color w:val="auto"/>
                <w:szCs w:val="21"/>
                <w:highlight w:val="none"/>
              </w:rPr>
              <w:t>须向本公司一次付清</w:t>
            </w:r>
            <w:r>
              <w:rPr>
                <w:rFonts w:hint="eastAsia" w:ascii="宋体" w:hAnsi="宋体" w:eastAsia="宋体" w:cs="宋体"/>
                <w:color w:val="auto"/>
                <w:szCs w:val="21"/>
                <w:highlight w:val="none"/>
                <w:lang w:val="en-US" w:eastAsia="zh-CN"/>
              </w:rPr>
              <w:t>招标代理</w:t>
            </w:r>
            <w:r>
              <w:rPr>
                <w:rFonts w:hint="eastAsia" w:ascii="宋体" w:hAnsi="宋体" w:eastAsia="宋体" w:cs="宋体"/>
                <w:color w:val="auto"/>
                <w:szCs w:val="21"/>
                <w:highlight w:val="none"/>
              </w:rPr>
              <w:t>服务费。</w:t>
            </w:r>
          </w:p>
        </w:tc>
      </w:tr>
      <w:tr w14:paraId="47D7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70" w:type="dxa"/>
            <w:vAlign w:val="center"/>
          </w:tcPr>
          <w:p w14:paraId="4427F7C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860" w:type="dxa"/>
            <w:vAlign w:val="center"/>
          </w:tcPr>
          <w:p w14:paraId="6F842ACD">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5</w:t>
            </w:r>
          </w:p>
        </w:tc>
        <w:tc>
          <w:tcPr>
            <w:tcW w:w="1624" w:type="dxa"/>
            <w:vAlign w:val="center"/>
          </w:tcPr>
          <w:p w14:paraId="3B4242F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6264" w:type="dxa"/>
            <w:vAlign w:val="center"/>
          </w:tcPr>
          <w:p w14:paraId="57A76DC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征集文件是根据《中华人民共和国政府采购法》、《中华人民共和国政府采购法实施条例》及《政府采购框架协议采购方式管理暂行办法》（财政部令110号）等相关规定编制，本征集文件的解释权属于采购代理机构。</w:t>
            </w:r>
          </w:p>
        </w:tc>
      </w:tr>
      <w:tr w14:paraId="23E5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70" w:type="dxa"/>
            <w:vAlign w:val="center"/>
          </w:tcPr>
          <w:p w14:paraId="05C315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860" w:type="dxa"/>
            <w:vAlign w:val="center"/>
          </w:tcPr>
          <w:p w14:paraId="43088C5F">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6</w:t>
            </w:r>
          </w:p>
        </w:tc>
        <w:tc>
          <w:tcPr>
            <w:tcW w:w="1624" w:type="dxa"/>
            <w:vAlign w:val="center"/>
          </w:tcPr>
          <w:p w14:paraId="1343FF4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监督管理部门</w:t>
            </w:r>
          </w:p>
        </w:tc>
        <w:tc>
          <w:tcPr>
            <w:tcW w:w="6264" w:type="dxa"/>
            <w:vAlign w:val="center"/>
          </w:tcPr>
          <w:p w14:paraId="5E4AEB88">
            <w:pPr>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桂林市财政局   联系电话：0773-2862142</w:t>
            </w:r>
          </w:p>
        </w:tc>
      </w:tr>
    </w:tbl>
    <w:p w14:paraId="6DC828C0">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Cs w:val="21"/>
          <w:highlight w:val="none"/>
        </w:rPr>
        <w:t>一、总则</w:t>
      </w:r>
    </w:p>
    <w:p w14:paraId="4AA252D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1.项目名称及项目编号</w:t>
      </w:r>
    </w:p>
    <w:p w14:paraId="71E22CD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桂林市象山区城市管理局垃圾清运项目</w:t>
      </w:r>
    </w:p>
    <w:p w14:paraId="0E4243C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编号：</w:t>
      </w:r>
      <w:r>
        <w:rPr>
          <w:rFonts w:hint="eastAsia" w:ascii="宋体" w:hAnsi="宋体" w:eastAsia="宋体" w:cs="宋体"/>
          <w:color w:val="auto"/>
          <w:szCs w:val="21"/>
          <w:highlight w:val="none"/>
          <w:lang w:val="en-US" w:eastAsia="zh-CN"/>
        </w:rPr>
        <w:t>GLZC2026-K3-990124-GXDC</w:t>
      </w:r>
      <w:r>
        <w:rPr>
          <w:rFonts w:hint="eastAsia" w:ascii="宋体" w:hAnsi="宋体" w:cs="宋体"/>
          <w:color w:val="auto"/>
          <w:szCs w:val="21"/>
          <w:highlight w:val="none"/>
          <w:lang w:val="en-US" w:eastAsia="zh-CN"/>
        </w:rPr>
        <w:t xml:space="preserve">  </w:t>
      </w:r>
    </w:p>
    <w:p w14:paraId="7B02B8B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2.适应范围</w:t>
      </w:r>
    </w:p>
    <w:p w14:paraId="6B74CAA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本征集文件适用本框架协议采购项目的招标（征集）、投标（响应）、评审、合同履约、验收、付款等行为（法律、法规另有规定的，从其规定）。</w:t>
      </w:r>
    </w:p>
    <w:p w14:paraId="5019C6B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3.定义</w:t>
      </w:r>
    </w:p>
    <w:p w14:paraId="559DD95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3.1、“征集单位”是指组织本次招标的征集人和采购代理机构。</w:t>
      </w:r>
    </w:p>
    <w:p w14:paraId="781A828B">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3.2、“供应商”系指响应招标（征集）、参加投标响应竞争的法人、其他组织或者自然人。</w:t>
      </w:r>
    </w:p>
    <w:p w14:paraId="469A1E6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3.3、“产品”系指供方按征集文件规定，须向征集人提供的技术服务及其它有关技术资料和材料。</w:t>
      </w:r>
    </w:p>
    <w:p w14:paraId="08F31E8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3.4、“服务”系指征集文件规定供应商须承担的提供技术服务以及其他类似的义务。</w:t>
      </w:r>
    </w:p>
    <w:p w14:paraId="2471B46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3.5、“项目”系指供应商按征集文件规定向征集人提供的产品和服务。</w:t>
      </w:r>
    </w:p>
    <w:p w14:paraId="3189E49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3.6、“书面形式”包括信函、传真、电报。</w:t>
      </w:r>
    </w:p>
    <w:p w14:paraId="48D58BA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3.7、实质性要求：“采购需求”中所有内容均为实质性要求。</w:t>
      </w:r>
    </w:p>
    <w:p w14:paraId="558779B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4.采购方式及评审方法</w:t>
      </w:r>
    </w:p>
    <w:p w14:paraId="3ABE4C5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采购方式：封闭式框架协议采购评审方法：</w:t>
      </w:r>
      <w:r>
        <w:rPr>
          <w:rFonts w:hint="eastAsia" w:ascii="宋体" w:hAnsi="宋体" w:eastAsia="宋体" w:cs="宋体"/>
          <w:color w:val="auto"/>
          <w:szCs w:val="21"/>
          <w:highlight w:val="none"/>
          <w:lang w:val="zh-CN"/>
        </w:rPr>
        <w:t>综合评分法</w:t>
      </w:r>
      <w:r>
        <w:rPr>
          <w:rFonts w:hint="eastAsia" w:ascii="宋体" w:hAnsi="宋体" w:eastAsia="宋体" w:cs="宋体"/>
          <w:bCs/>
          <w:color w:val="auto"/>
          <w:szCs w:val="21"/>
          <w:highlight w:val="none"/>
        </w:rPr>
        <w:t>。</w:t>
      </w:r>
    </w:p>
    <w:p w14:paraId="2115AC8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5.供应商资格</w:t>
      </w:r>
    </w:p>
    <w:p w14:paraId="7AC9B1C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5.1符合《中华人民共和国政府采购法》第二十二条和《政府采购法实施条例》第十八条规定。</w:t>
      </w:r>
    </w:p>
    <w:p w14:paraId="1486BBA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3DDE7FBB">
      <w:pPr>
        <w:keepNext w:val="0"/>
        <w:keepLines w:val="0"/>
        <w:pageBreakBefore w:val="0"/>
        <w:widowControl/>
        <w:kinsoku/>
        <w:overflowPunct/>
        <w:topLinePunct w:val="0"/>
        <w:bidi w:val="0"/>
        <w:adjustRightInd/>
        <w:spacing w:line="36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5.3.</w:t>
      </w:r>
      <w:r>
        <w:rPr>
          <w:rFonts w:hint="eastAsia" w:ascii="宋体" w:hAnsi="宋体" w:cs="宋体"/>
          <w:color w:val="auto"/>
          <w:szCs w:val="21"/>
          <w:highlight w:val="none"/>
          <w:lang w:eastAsia="zh-CN"/>
        </w:rPr>
        <w:t>落实政府采购政策需满足的资格要求：本项目为专门面向中小企业采购的项目</w:t>
      </w:r>
    </w:p>
    <w:p w14:paraId="611BE4AB">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5.4本项目的特定资格要求：1.</w:t>
      </w:r>
      <w:r>
        <w:rPr>
          <w:rFonts w:hint="eastAsia" w:ascii="宋体" w:hAnsi="宋体" w:cs="宋体"/>
          <w:color w:val="auto"/>
          <w:szCs w:val="21"/>
          <w:highlight w:val="none"/>
          <w:lang w:eastAsia="zh-CN"/>
        </w:rPr>
        <w:t>本次招标要求投标人具备有效的《道路运输经营许可证》、《桂林市城市建筑垃圾处置许可证》</w:t>
      </w:r>
      <w:r>
        <w:rPr>
          <w:rFonts w:hint="eastAsia" w:ascii="宋体" w:hAnsi="宋体" w:eastAsia="宋体" w:cs="宋体"/>
          <w:color w:val="auto"/>
          <w:szCs w:val="21"/>
          <w:highlight w:val="none"/>
        </w:rPr>
        <w:t>。招标公告对应的特定资格要求</w:t>
      </w:r>
      <w:r>
        <w:rPr>
          <w:rFonts w:hint="eastAsia" w:ascii="宋体" w:hAnsi="宋体" w:cs="宋体"/>
          <w:color w:val="auto"/>
          <w:szCs w:val="21"/>
          <w:highlight w:val="none"/>
          <w:lang w:eastAsia="zh-CN"/>
        </w:rPr>
        <w:t>：供应商有效的《道路运输经营许可证》、《桂林市城市建筑垃圾处置许可证》</w:t>
      </w:r>
      <w:r>
        <w:rPr>
          <w:rFonts w:hint="eastAsia" w:ascii="宋体" w:hAnsi="宋体" w:eastAsia="宋体" w:cs="宋体"/>
          <w:color w:val="auto"/>
          <w:szCs w:val="21"/>
          <w:highlight w:val="none"/>
        </w:rPr>
        <w:t>复印件</w:t>
      </w:r>
      <w:r>
        <w:rPr>
          <w:rFonts w:hint="eastAsia" w:ascii="宋体" w:hAnsi="宋体" w:eastAsia="宋体" w:cs="宋体"/>
          <w:b/>
          <w:bCs w:val="0"/>
          <w:color w:val="auto"/>
          <w:szCs w:val="21"/>
          <w:highlight w:val="none"/>
        </w:rPr>
        <w:t>（必须提供，否则作无效响应处理）</w:t>
      </w:r>
    </w:p>
    <w:p w14:paraId="3E52796A">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5.5</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广西政府采购云平台</w:t>
      </w:r>
      <w:r>
        <w:rPr>
          <w:rFonts w:hint="eastAsia" w:ascii="宋体" w:hAnsi="宋体" w:eastAsia="宋体" w:cs="宋体"/>
          <w:b/>
          <w:bCs/>
          <w:color w:val="auto"/>
          <w:szCs w:val="21"/>
          <w:highlight w:val="none"/>
        </w:rPr>
        <w:t>”平台电子投标相关事宜说明：</w:t>
      </w:r>
    </w:p>
    <w:p w14:paraId="6B8A89DE">
      <w:pPr>
        <w:snapToGrid w:val="0"/>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w:t>
      </w:r>
      <w:r>
        <w:rPr>
          <w:rFonts w:hint="eastAsia" w:ascii="宋体" w:hAnsi="宋体" w:cs="宋体"/>
          <w:color w:val="auto"/>
          <w:szCs w:val="21"/>
          <w:highlight w:val="none"/>
          <w:lang w:eastAsia="zh-CN"/>
        </w:rPr>
        <w:t>广西政府采购云平台</w:t>
      </w:r>
      <w:r>
        <w:rPr>
          <w:rFonts w:hint="eastAsia" w:ascii="宋体" w:hAnsi="宋体"/>
          <w:color w:val="auto"/>
          <w:szCs w:val="21"/>
          <w:highlight w:val="none"/>
        </w:rPr>
        <w:t>CA证书）。因投标人未做好相关准备工作等自身原因导致无法参加本项目电子投标或投标失败的，造成的一切后果，由投标人自行承担。</w:t>
      </w:r>
    </w:p>
    <w:p w14:paraId="2537C9BA">
      <w:pPr>
        <w:spacing w:line="350" w:lineRule="exact"/>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266E639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投标费用：本项目实行网上评审，采用电子投标；若投标人参与项目投标的，不论投标结果如何，均应自行承担所有与投标有关的全部费用。</w:t>
      </w:r>
    </w:p>
    <w:p w14:paraId="2131EC6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6.投标费用</w:t>
      </w:r>
    </w:p>
    <w:p w14:paraId="19ABC7A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不论投标结果如何，供应商均应自行承担所有与投标有关的全部费用。</w:t>
      </w:r>
    </w:p>
    <w:p w14:paraId="2A628C7B">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7.联合体投标要求</w:t>
      </w:r>
    </w:p>
    <w:p w14:paraId="2D4BD0B0">
      <w:pPr>
        <w:keepNext w:val="0"/>
        <w:keepLines w:val="0"/>
        <w:pageBreakBefore w:val="0"/>
        <w:kinsoku/>
        <w:overflowPunct/>
        <w:topLinePunct w:val="0"/>
        <w:bidi w:val="0"/>
        <w:adjustRightInd/>
        <w:snapToGrid w:val="0"/>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14:paraId="70E5BDE1">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8.转包与分包</w:t>
      </w:r>
    </w:p>
    <w:p w14:paraId="55F5527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8.1、本项目不允许转包。</w:t>
      </w:r>
    </w:p>
    <w:p w14:paraId="6C4D8BDB">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8.2、本项目不可以分包。</w:t>
      </w:r>
    </w:p>
    <w:p w14:paraId="3A1E4D03">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9.特别说明</w:t>
      </w:r>
    </w:p>
    <w:p w14:paraId="6F3AE523">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9.1关联供应商不得参加同一合同项下政府采购活动，否则响应文件将被视为无效：</w:t>
      </w:r>
    </w:p>
    <w:p w14:paraId="696E72D9">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（1）单位负责人为同一人或者存在直接控股、管理关系的不同供应商，不得参加同一合同项下的政府采购活动。</w:t>
      </w:r>
    </w:p>
    <w:p w14:paraId="43D7D20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（2）为本采购项目提供整体设计、规范编制或者项目管理、监理、检测等服务的供应商，不得再参加本次采购活动。</w:t>
      </w:r>
    </w:p>
    <w:p w14:paraId="2B052E5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9.2供应商应仔细阅读征集文件的所有内容，按照征集文件的要求提交响应文件，并对所提供的全部资料的真实性承担法律责任。</w:t>
      </w:r>
    </w:p>
    <w:p w14:paraId="1510A38E">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9.3供应商在投标活动中提供任何虚假材料，其投标无效，并报监管部门查处；入围后发现的入围供应商须依照《中华人民共和国消费者权益保护法》赔偿征集人，且民事赔偿并不免除违法供应商的行政与刑事责任。</w:t>
      </w:r>
    </w:p>
    <w:p w14:paraId="17D345B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10.询问、质疑和投诉</w:t>
      </w:r>
    </w:p>
    <w:p w14:paraId="06F27C00">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征集文件使自己的合法权益受到损害的，应当在本项目公告期限届满之日起七个工作日内以书面形式向采购代理机构提出质疑；供应商认为招标过程或入围结果使自己的合法权益受到损害的，应当在各采购程序环节结束之日或入围公告期限届满之日起七个工作日内，以书面形式向采购代理机构提出质疑。否则，采购代理机构有权拒收。</w:t>
      </w:r>
    </w:p>
    <w:p w14:paraId="037DCFD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25B0F096">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E9BBFE0">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供应商对采购代理机构的答复不满意或者采购代理机构未在规定的时间内作出答复的，可以在答复期满后十五个工作日内向</w:t>
      </w:r>
      <w:r>
        <w:rPr>
          <w:rFonts w:hint="eastAsia" w:ascii="宋体" w:hAnsi="宋体" w:cs="宋体"/>
          <w:color w:val="auto"/>
          <w:szCs w:val="21"/>
          <w:highlight w:val="none"/>
          <w:lang w:eastAsia="zh-CN"/>
        </w:rPr>
        <w:t>桂林市财政局</w:t>
      </w:r>
      <w:r>
        <w:rPr>
          <w:rFonts w:hint="eastAsia" w:ascii="宋体" w:hAnsi="宋体" w:eastAsia="宋体" w:cs="宋体"/>
          <w:color w:val="auto"/>
          <w:szCs w:val="21"/>
          <w:highlight w:val="none"/>
        </w:rPr>
        <w:t>投诉。</w:t>
      </w:r>
    </w:p>
    <w:p w14:paraId="6C74A497">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投诉应当采用书面形式，质疑书、投诉书实行实名制，均应明确阐述征集文件、招标过程或入围结果中使自己合法权益受到损害的实质性内容，并提供必要的证明材料。供应商提出质疑应当提交质疑函和必要的证明材料，针对同一采购程序环节的质疑必须在法定质疑期内一次性提出。质疑函应当包括下列内容：</w:t>
      </w:r>
    </w:p>
    <w:p w14:paraId="696ED33D">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（1）供应商的姓名或者名称、地址、邮编、联系人及联系电话；</w:t>
      </w:r>
    </w:p>
    <w:p w14:paraId="0D2EDFF0">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（2）质疑项目的名称、编号；</w:t>
      </w:r>
    </w:p>
    <w:p w14:paraId="3D6C14EC">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（3）具体、明确的质疑事项和与质疑事项相关的请求；</w:t>
      </w:r>
    </w:p>
    <w:p w14:paraId="61BF9C4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（4）事实依据；</w:t>
      </w:r>
    </w:p>
    <w:p w14:paraId="013B58E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（5）必要的法律依据；</w:t>
      </w:r>
    </w:p>
    <w:p w14:paraId="32E78B7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（6）提出质疑的日期。</w:t>
      </w:r>
    </w:p>
    <w:p w14:paraId="2766B5CD">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供应商为自然人的，应当由本人签字；供应商为法人或者其他组织的，应当由法定代表人、主要负责人，或者其授权代表签字或者盖章，并加盖CA签章。</w:t>
      </w:r>
    </w:p>
    <w:p w14:paraId="49DF0C4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2F7131A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质疑联系部门及联系方式：联系人：</w:t>
      </w:r>
      <w:r>
        <w:rPr>
          <w:rFonts w:hint="eastAsia" w:ascii="宋体" w:hAnsi="宋体" w:cs="宋体"/>
          <w:color w:val="auto"/>
          <w:szCs w:val="21"/>
          <w:highlight w:val="none"/>
        </w:rPr>
        <w:t>蒋丽英</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联系方式：</w:t>
      </w:r>
      <w:r>
        <w:rPr>
          <w:rFonts w:hint="eastAsia" w:ascii="宋体" w:hAnsi="宋体" w:cs="宋体"/>
          <w:color w:val="auto"/>
          <w:szCs w:val="21"/>
          <w:highlight w:val="none"/>
        </w:rPr>
        <w:t>0773-8980919</w:t>
      </w:r>
    </w:p>
    <w:p w14:paraId="46285046">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eastAsia="宋体" w:cs="宋体"/>
          <w:color w:val="auto"/>
          <w:szCs w:val="21"/>
          <w:highlight w:val="none"/>
        </w:rPr>
        <w:t>。</w:t>
      </w:r>
    </w:p>
    <w:p w14:paraId="4B327C2F">
      <w:pPr>
        <w:keepNext w:val="0"/>
        <w:keepLines w:val="0"/>
        <w:pageBreakBefore w:val="0"/>
        <w:kinsoku/>
        <w:overflowPunct/>
        <w:topLinePunct w:val="0"/>
        <w:bidi w:val="0"/>
        <w:adjustRightInd/>
        <w:spacing w:line="360" w:lineRule="exact"/>
        <w:jc w:val="left"/>
        <w:textAlignment w:val="auto"/>
        <w:rPr>
          <w:rFonts w:hint="eastAsia" w:ascii="宋体" w:hAnsi="宋体" w:eastAsia="宋体" w:cs="宋体"/>
          <w:b/>
          <w:bCs/>
          <w:color w:val="auto"/>
          <w:szCs w:val="21"/>
          <w:highlight w:val="none"/>
        </w:rPr>
      </w:pPr>
    </w:p>
    <w:p w14:paraId="7EC3E4E4">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二、征集文件</w:t>
      </w:r>
    </w:p>
    <w:p w14:paraId="2B18ED89">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11.征集文件的构成</w:t>
      </w:r>
    </w:p>
    <w:p w14:paraId="3DE46346">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（1）征集公告；</w:t>
      </w:r>
    </w:p>
    <w:p w14:paraId="693FBF2D">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（2）供应商须知；</w:t>
      </w:r>
    </w:p>
    <w:p w14:paraId="1C441B78">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（3）服务采购需求（“服务采购需求”中的要求为实质性要求）；</w:t>
      </w:r>
    </w:p>
    <w:p w14:paraId="142A08D1">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（4）评标办法；</w:t>
      </w:r>
    </w:p>
    <w:p w14:paraId="002EF4F8">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（5）框架协议和采购合同；</w:t>
      </w:r>
    </w:p>
    <w:p w14:paraId="0199F321">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（6）响应文件格式。</w:t>
      </w:r>
    </w:p>
    <w:p w14:paraId="42A1B14B">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12.征集文件的澄清与修改</w:t>
      </w:r>
    </w:p>
    <w:p w14:paraId="43C4F89F">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12.1供应商应认真阅读征集文件，发现其中有误或有不合理要求的，供应商可以在本项目公告期限截止之日起七个工作日内以书面形式要求采购代理机构澄清。</w:t>
      </w:r>
    </w:p>
    <w:p w14:paraId="17712B83">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采购代理机构可以对已发出的征集文件进行必要澄清、修改，但不得改变采购标的和资格条件。澄清或者修改的内容可能影响响应文件编制的，代理机构应当在投标截止时间至少十五日前在本招标项目征集公告发布的同一媒体上发布更正公告；不足十五日的，采购代理机构应当顺延响应文件的截止时间。</w:t>
      </w:r>
    </w:p>
    <w:p w14:paraId="2790BC33">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12.3供应商应实时关注本项目信息公告相关网站了解澄清、修改等与项目有关的内容，如因供应商未及时登录本项目信息公告相关网站了解澄清、修改等与项目有关内容的，其不利后果由供应商自行承担责任。</w:t>
      </w:r>
    </w:p>
    <w:p w14:paraId="3D066FE9">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12.4必要的澄清、修改的内容为征集文件的组成部分。当澄清、修改通知就同一内容的表述不一致时，以最后发出的文件为准。</w:t>
      </w:r>
    </w:p>
    <w:p w14:paraId="4DC9F83E">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12.5征集文件的澄清、修改都应该通过采购代理机构以法定形式发布，征集人非通过本机构，不得擅自澄清、修改征集文件。</w:t>
      </w:r>
    </w:p>
    <w:p w14:paraId="03A4543B">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12.6征集人或者采购代理机构可以视采购具体情况，延长投标截止时间和开标时间，并在本项目征集公告发布的同一媒体上发布变更公告。</w:t>
      </w:r>
    </w:p>
    <w:p w14:paraId="46FFA528">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三、响应文件的编制</w:t>
      </w:r>
    </w:p>
    <w:p w14:paraId="570CF911">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13.响应文件的组成及要求</w:t>
      </w:r>
    </w:p>
    <w:p w14:paraId="0D204872">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13.1、响应文件的组成（格式见第六章响应文件格式）</w:t>
      </w:r>
    </w:p>
    <w:p w14:paraId="0AE57CAB">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1、响应</w:t>
      </w:r>
      <w:r>
        <w:rPr>
          <w:rFonts w:hint="eastAsia" w:ascii="宋体" w:hAnsi="宋体" w:cs="宋体"/>
          <w:bCs/>
          <w:color w:val="auto"/>
          <w:kern w:val="2"/>
          <w:sz w:val="21"/>
          <w:szCs w:val="21"/>
          <w:highlight w:val="none"/>
          <w:lang w:eastAsia="zh-CN"/>
        </w:rPr>
        <w:t>函</w:t>
      </w:r>
      <w:r>
        <w:rPr>
          <w:rFonts w:hint="eastAsia" w:ascii="宋体" w:hAnsi="宋体" w:eastAsia="宋体" w:cs="宋体"/>
          <w:bCs/>
          <w:color w:val="auto"/>
          <w:kern w:val="2"/>
          <w:sz w:val="21"/>
          <w:szCs w:val="21"/>
          <w:highlight w:val="none"/>
        </w:rPr>
        <w:t>（必须提供）</w:t>
      </w:r>
    </w:p>
    <w:p w14:paraId="4307F457">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13.1.1资格性响应证明材料：</w:t>
      </w:r>
    </w:p>
    <w:p w14:paraId="6CB3F718">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、供应商相应的法定代表人或负责人身份证正反两面复印件</w:t>
      </w:r>
      <w:r>
        <w:rPr>
          <w:rFonts w:hint="eastAsia" w:ascii="宋体" w:hAnsi="宋体" w:eastAsia="宋体" w:cs="宋体"/>
          <w:b/>
          <w:bCs w:val="0"/>
          <w:color w:val="auto"/>
          <w:szCs w:val="21"/>
          <w:highlight w:val="none"/>
        </w:rPr>
        <w:t>（必须提供）；</w:t>
      </w:r>
    </w:p>
    <w:p w14:paraId="2CA22501">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、供应商的授权委托书原件、委托代理人身份证正反面复印件以及由县级以上（含县级）社会养老保险经办机构出具的供应商为委托代理人交纳的（202</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年任意连续三个月）社保证明复印件（如供应商为截标时间前60日以内成立的公司，可以提供供应商与委托代理人签订的劳动合同复印件代替社保证明复印件；如供应商为事业单位，可以提供事业单位机构编制管理证复印件或事业单位机构为其发放工资的工资条复印件代替社保证明复印件；如委托代理人为免缴纳社保人员，提供免缴纳社保的证明材料复印件及供应商与委托代理人签订的劳动合同复印件代替社保证明复印件）</w:t>
      </w:r>
      <w:r>
        <w:rPr>
          <w:rFonts w:hint="eastAsia" w:ascii="宋体" w:hAnsi="宋体" w:eastAsia="宋体" w:cs="宋体"/>
          <w:b/>
          <w:bCs w:val="0"/>
          <w:color w:val="auto"/>
          <w:szCs w:val="21"/>
          <w:highlight w:val="none"/>
        </w:rPr>
        <w:t>（委托代理时必须提供）；</w:t>
      </w:r>
    </w:p>
    <w:p w14:paraId="1FF1D611">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、供应商的法人或者其他组织营业执照等证明文件复印件；</w:t>
      </w:r>
      <w:r>
        <w:rPr>
          <w:rFonts w:hint="eastAsia" w:ascii="宋体" w:hAnsi="宋体" w:eastAsia="宋体" w:cs="宋体"/>
          <w:b/>
          <w:bCs w:val="0"/>
          <w:color w:val="auto"/>
          <w:szCs w:val="21"/>
          <w:highlight w:val="none"/>
        </w:rPr>
        <w:t>（必须提供，否则作无效响应处理）</w:t>
      </w:r>
    </w:p>
    <w:p w14:paraId="2D3955CF">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D3D234B">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供应商参加政府采购活动前3年内在经营活动中没有重大违法记录及有关信用信息的书面声明</w:t>
      </w:r>
      <w:r>
        <w:rPr>
          <w:rFonts w:hint="eastAsia" w:ascii="宋体" w:hAnsi="宋体" w:eastAsia="宋体" w:cs="宋体"/>
          <w:b/>
          <w:bCs w:val="0"/>
          <w:color w:val="auto"/>
          <w:szCs w:val="21"/>
          <w:highlight w:val="none"/>
        </w:rPr>
        <w:t>（必须提供，否则作无效响应处理）</w:t>
      </w:r>
      <w:r>
        <w:rPr>
          <w:rFonts w:hint="eastAsia" w:ascii="宋体" w:hAnsi="宋体" w:cs="宋体"/>
          <w:b/>
          <w:bCs w:val="0"/>
          <w:color w:val="auto"/>
          <w:szCs w:val="21"/>
          <w:highlight w:val="none"/>
          <w:lang w:eastAsia="zh-CN"/>
        </w:rPr>
        <w:t>；</w:t>
      </w:r>
    </w:p>
    <w:p w14:paraId="7B4740C3">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、供应商依法缴纳税收的相关材料[响应文件提交</w:t>
      </w:r>
      <w:r>
        <w:rPr>
          <w:rFonts w:hint="eastAsia" w:ascii="宋体" w:hAnsi="宋体" w:cs="宋体"/>
          <w:bCs/>
          <w:color w:val="auto"/>
          <w:szCs w:val="21"/>
          <w:highlight w:val="none"/>
          <w:lang w:val="en-US" w:eastAsia="zh-CN"/>
        </w:rPr>
        <w:t>2025年至投标截止时间内</w:t>
      </w:r>
      <w:r>
        <w:rPr>
          <w:rFonts w:hint="eastAsia" w:ascii="宋体" w:hAnsi="宋体" w:cs="宋体"/>
          <w:bCs/>
          <w:color w:val="auto"/>
          <w:szCs w:val="21"/>
          <w:highlight w:val="none"/>
          <w:lang w:eastAsia="zh-CN"/>
        </w:rPr>
        <w:t>任意连续三个月</w:t>
      </w:r>
      <w:r>
        <w:rPr>
          <w:rFonts w:hint="eastAsia" w:ascii="宋体" w:hAnsi="宋体" w:eastAsia="宋体" w:cs="宋体"/>
          <w:bCs/>
          <w:color w:val="auto"/>
          <w:szCs w:val="21"/>
          <w:highlight w:val="none"/>
        </w:rPr>
        <w:t>依法缴纳税收的凭据复印件；依法免税的供应商，必须提供相应文件证明其依法免税。从取得营业执照时间起到响应文件提交截止时间为止不足要求月数的，只需提供从取得营业执照起的依法缴纳税收相应证明文件）；</w:t>
      </w:r>
      <w:r>
        <w:rPr>
          <w:rFonts w:hint="eastAsia" w:ascii="宋体" w:hAnsi="宋体" w:eastAsia="宋体" w:cs="宋体"/>
          <w:b/>
          <w:bCs w:val="0"/>
          <w:color w:val="auto"/>
          <w:szCs w:val="21"/>
          <w:highlight w:val="none"/>
        </w:rPr>
        <w:t>（必须提供，否则作无效响应处理）</w:t>
      </w:r>
    </w:p>
    <w:p w14:paraId="439CB3A3">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6</w:t>
      </w:r>
      <w:r>
        <w:rPr>
          <w:rFonts w:hint="eastAsia" w:ascii="宋体" w:hAnsi="宋体" w:eastAsia="宋体" w:cs="宋体"/>
          <w:bCs/>
          <w:color w:val="auto"/>
          <w:szCs w:val="21"/>
          <w:highlight w:val="none"/>
        </w:rPr>
        <w:t>、供应商依法缴纳社会保障资金的相关材料[响应文件提交</w:t>
      </w:r>
      <w:r>
        <w:rPr>
          <w:rFonts w:hint="eastAsia" w:ascii="宋体" w:hAnsi="宋体" w:cs="宋体"/>
          <w:bCs/>
          <w:color w:val="auto"/>
          <w:szCs w:val="21"/>
          <w:highlight w:val="none"/>
          <w:lang w:val="en-US" w:eastAsia="zh-CN"/>
        </w:rPr>
        <w:t>2025年至投标截止时间内</w:t>
      </w:r>
      <w:r>
        <w:rPr>
          <w:rFonts w:hint="eastAsia" w:ascii="宋体" w:hAnsi="宋体" w:cs="宋体"/>
          <w:bCs/>
          <w:color w:val="auto"/>
          <w:szCs w:val="21"/>
          <w:highlight w:val="none"/>
          <w:lang w:eastAsia="zh-CN"/>
        </w:rPr>
        <w:t>任意连续三个月</w:t>
      </w:r>
      <w:r>
        <w:rPr>
          <w:rFonts w:hint="eastAsia" w:ascii="宋体" w:hAnsi="宋体" w:eastAsia="宋体" w:cs="宋体"/>
          <w:bCs/>
          <w:color w:val="auto"/>
          <w:szCs w:val="21"/>
          <w:highlight w:val="none"/>
        </w:rPr>
        <w:t>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val="0"/>
          <w:color w:val="auto"/>
          <w:szCs w:val="21"/>
          <w:highlight w:val="none"/>
        </w:rPr>
        <w:t>（必须提供，否则作无效响应处理）</w:t>
      </w:r>
    </w:p>
    <w:p w14:paraId="2126C081">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7</w:t>
      </w:r>
      <w:r>
        <w:rPr>
          <w:rFonts w:hint="eastAsia" w:ascii="宋体" w:hAnsi="宋体" w:eastAsia="宋体" w:cs="宋体"/>
          <w:bCs/>
          <w:color w:val="auto"/>
          <w:szCs w:val="21"/>
          <w:highlight w:val="none"/>
        </w:rPr>
        <w:t>、供应商财务状况报告202</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年财务状况报告复印件，供应商是法人的，应提供的财务报告（执行《企业会计准则》，提供资产负债表、利润表、现金流量表、所有者权益变动表及其附注（以下称“四表一注”）；执行《小企业会计准则》的，提供资产负债表、利润表、现金流量表及其附注（以下称“三表一注”）)或者其基本开户银行出具的资信证明；供应商是其他组织的，应提供的财务报告（包括“四表一注”、“三表一注”)或者银行出具的资信证明]；</w:t>
      </w:r>
      <w:r>
        <w:rPr>
          <w:rFonts w:hint="eastAsia" w:ascii="宋体" w:hAnsi="宋体" w:eastAsia="宋体" w:cs="宋体"/>
          <w:b/>
          <w:bCs w:val="0"/>
          <w:color w:val="auto"/>
          <w:szCs w:val="21"/>
          <w:highlight w:val="none"/>
        </w:rPr>
        <w:t>（必须提供，否则作无效响应处理）</w:t>
      </w:r>
    </w:p>
    <w:p w14:paraId="2936AB1C">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8</w:t>
      </w:r>
      <w:r>
        <w:rPr>
          <w:rFonts w:hint="eastAsia" w:ascii="宋体" w:hAnsi="宋体" w:eastAsia="宋体" w:cs="宋体"/>
          <w:bCs/>
          <w:color w:val="auto"/>
          <w:szCs w:val="21"/>
          <w:highlight w:val="none"/>
        </w:rPr>
        <w:t>、</w:t>
      </w:r>
      <w:r>
        <w:rPr>
          <w:rFonts w:hint="eastAsia" w:ascii="宋体" w:hAnsi="宋体" w:cs="宋体"/>
          <w:color w:val="auto"/>
          <w:szCs w:val="21"/>
          <w:highlight w:val="none"/>
          <w:lang w:eastAsia="zh-CN"/>
        </w:rPr>
        <w:t>招标公告对应的特定资格要求：供应商有效的《道路运输经营许可证》、《桂林市城市建筑垃圾处置许可证》复印件</w:t>
      </w:r>
      <w:r>
        <w:rPr>
          <w:rFonts w:hint="eastAsia" w:ascii="宋体" w:hAnsi="宋体" w:cs="宋体"/>
          <w:b/>
          <w:bCs/>
          <w:color w:val="auto"/>
          <w:szCs w:val="21"/>
          <w:highlight w:val="none"/>
          <w:lang w:eastAsia="zh-CN"/>
        </w:rPr>
        <w:t>（必须提供，否则作无效响应处理）</w:t>
      </w:r>
    </w:p>
    <w:p w14:paraId="322EFDE5">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9</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eastAsia="zh-CN"/>
        </w:rPr>
        <w:t>本项目为专门面向中小企业采购的项目，投标人的符合本项目面向中小微企业政府采购的证明材料：供应商有效的《中小企业声明函》原件(供应商须承接本项目全部服务且为符合政策要求的中小微企业)</w:t>
      </w:r>
      <w:r>
        <w:rPr>
          <w:rFonts w:hint="eastAsia" w:ascii="宋体" w:hAnsi="宋体" w:cs="宋体"/>
          <w:b/>
          <w:bCs w:val="0"/>
          <w:color w:val="auto"/>
          <w:szCs w:val="21"/>
          <w:highlight w:val="none"/>
          <w:lang w:eastAsia="zh-CN"/>
        </w:rPr>
        <w:t>（必须提供）</w:t>
      </w:r>
      <w:r>
        <w:rPr>
          <w:rFonts w:hint="eastAsia" w:ascii="宋体" w:hAnsi="宋体" w:cs="宋体"/>
          <w:bCs/>
          <w:color w:val="auto"/>
          <w:szCs w:val="21"/>
          <w:highlight w:val="none"/>
          <w:lang w:eastAsia="zh-CN"/>
        </w:rPr>
        <w:t>；如提供服务的供应商属于监狱企业的，应当提供由省级以上监狱管理局、戒毒管理局等（含新疆生产建设兵团）出具的属于监狱企业的证明文件</w:t>
      </w:r>
      <w:r>
        <w:rPr>
          <w:rFonts w:hint="eastAsia" w:ascii="宋体" w:hAnsi="宋体" w:cs="宋体"/>
          <w:b/>
          <w:bCs w:val="0"/>
          <w:color w:val="auto"/>
          <w:szCs w:val="21"/>
          <w:highlight w:val="none"/>
          <w:lang w:eastAsia="zh-CN"/>
        </w:rPr>
        <w:t>（必须提供）</w:t>
      </w:r>
      <w:r>
        <w:rPr>
          <w:rFonts w:hint="eastAsia" w:ascii="宋体" w:hAnsi="宋体" w:cs="宋体"/>
          <w:bCs/>
          <w:color w:val="auto"/>
          <w:szCs w:val="21"/>
          <w:highlight w:val="none"/>
          <w:lang w:eastAsia="zh-CN"/>
        </w:rPr>
        <w:t>；符合条件的残疾人福利性单位在参加政府采购活动时，应当提供《残疾人福利性单位声明函》（见附件），并对声明的真实性负责；</w:t>
      </w:r>
      <w:r>
        <w:rPr>
          <w:rFonts w:hint="eastAsia" w:ascii="宋体" w:hAnsi="宋体" w:cs="宋体"/>
          <w:b/>
          <w:bCs w:val="0"/>
          <w:color w:val="auto"/>
          <w:szCs w:val="21"/>
          <w:highlight w:val="none"/>
          <w:lang w:eastAsia="zh-CN"/>
        </w:rPr>
        <w:t>（必须提供）</w:t>
      </w:r>
      <w:r>
        <w:rPr>
          <w:rFonts w:hint="eastAsia" w:ascii="宋体" w:hAnsi="宋体" w:eastAsia="宋体" w:cs="宋体"/>
          <w:bCs/>
          <w:color w:val="auto"/>
          <w:szCs w:val="21"/>
          <w:highlight w:val="none"/>
        </w:rPr>
        <w:t>。</w:t>
      </w:r>
    </w:p>
    <w:p w14:paraId="1D968B90">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13.1.2商务、技术性响应及其他证明材料：</w:t>
      </w:r>
    </w:p>
    <w:p w14:paraId="44DF6656">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rPr>
        <w:t>投标报价表（格式见附件）</w:t>
      </w:r>
      <w:r>
        <w:rPr>
          <w:rFonts w:hint="eastAsia" w:ascii="宋体" w:hAnsi="宋体" w:eastAsia="宋体" w:cs="宋体"/>
          <w:b/>
          <w:bCs w:val="0"/>
          <w:color w:val="auto"/>
          <w:szCs w:val="21"/>
          <w:highlight w:val="none"/>
        </w:rPr>
        <w:t>（必须提供）</w:t>
      </w:r>
    </w:p>
    <w:p w14:paraId="5DF4D67A">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供应商承诺并提供的投入本项目实施作业人员≥4人（响应文件提供≥4人及其202</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lang w:eastAsia="zh-CN"/>
        </w:rPr>
        <w:t>年以来</w:t>
      </w:r>
      <w:r>
        <w:rPr>
          <w:rFonts w:hint="eastAsia" w:ascii="宋体" w:hAnsi="宋体" w:cs="宋体"/>
          <w:bCs/>
          <w:color w:val="auto"/>
          <w:szCs w:val="21"/>
          <w:highlight w:val="none"/>
          <w:lang w:val="en-US" w:eastAsia="zh-CN"/>
        </w:rPr>
        <w:t>任意连续三个月</w:t>
      </w:r>
      <w:r>
        <w:rPr>
          <w:rFonts w:hint="eastAsia" w:ascii="宋体" w:hAnsi="宋体" w:cs="宋体"/>
          <w:bCs/>
          <w:color w:val="auto"/>
          <w:szCs w:val="21"/>
          <w:highlight w:val="none"/>
          <w:lang w:eastAsia="zh-CN"/>
        </w:rPr>
        <w:t>社保证明及身份证证明复印件））证明文件</w:t>
      </w:r>
      <w:r>
        <w:rPr>
          <w:rFonts w:hint="eastAsia" w:ascii="宋体" w:hAnsi="宋体" w:eastAsia="宋体" w:cs="宋体"/>
          <w:b/>
          <w:bCs w:val="0"/>
          <w:color w:val="auto"/>
          <w:szCs w:val="21"/>
          <w:highlight w:val="none"/>
        </w:rPr>
        <w:t>（必须提供）；</w:t>
      </w:r>
    </w:p>
    <w:p w14:paraId="71530A66">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供应商承诺并提供的投入本项目实施作业的渣土密封专用车≥3辆（响应文件提供渣土密封专运车的行驶证证明复印件）证明文件</w:t>
      </w:r>
      <w:r>
        <w:rPr>
          <w:rFonts w:hint="eastAsia" w:ascii="宋体" w:hAnsi="宋体" w:eastAsia="宋体" w:cs="宋体"/>
          <w:b/>
          <w:bCs w:val="0"/>
          <w:color w:val="auto"/>
          <w:szCs w:val="21"/>
          <w:highlight w:val="none"/>
        </w:rPr>
        <w:t>（必须提供）；</w:t>
      </w:r>
    </w:p>
    <w:p w14:paraId="1653F825">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lang w:eastAsia="zh-CN"/>
        </w:rPr>
        <w:t>供应商可于响应文件中提供针对本项目的清运服务方案（包括但不限于：①工作计划、工作流程、人员岗位组织架构安排；②清运工作质量要求、日常工作质量检查、质量考核、安全管理机构、安全、质量保障措施、应急预案）（如有，请提供）</w:t>
      </w:r>
      <w:r>
        <w:rPr>
          <w:rFonts w:hint="eastAsia" w:ascii="宋体" w:hAnsi="宋体" w:eastAsia="宋体" w:cs="宋体"/>
          <w:b/>
          <w:bCs w:val="0"/>
          <w:color w:val="auto"/>
          <w:szCs w:val="21"/>
          <w:highlight w:val="none"/>
        </w:rPr>
        <w:t>；</w:t>
      </w:r>
    </w:p>
    <w:p w14:paraId="374047FD">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val="0"/>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eastAsia="zh-CN"/>
        </w:rPr>
        <w:t>供应商202</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年以来承接的类似项目业绩情况</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eastAsia="zh-CN"/>
        </w:rPr>
        <w:t>以项目中标（成交、协议采</w:t>
      </w:r>
      <w:r>
        <w:rPr>
          <w:rFonts w:hint="eastAsia" w:ascii="宋体" w:hAnsi="宋体" w:eastAsia="宋体" w:cs="宋体"/>
          <w:bCs/>
          <w:color w:val="auto"/>
          <w:szCs w:val="21"/>
          <w:highlight w:val="none"/>
        </w:rPr>
        <w:t>购）通知书</w:t>
      </w:r>
      <w:r>
        <w:rPr>
          <w:rFonts w:hint="eastAsia" w:ascii="宋体" w:hAnsi="宋体" w:cs="宋体"/>
          <w:bCs/>
          <w:color w:val="auto"/>
          <w:szCs w:val="21"/>
          <w:highlight w:val="none"/>
          <w:lang w:eastAsia="zh-CN"/>
        </w:rPr>
        <w:t>或</w:t>
      </w:r>
      <w:r>
        <w:rPr>
          <w:rFonts w:hint="eastAsia" w:ascii="宋体" w:hAnsi="宋体" w:eastAsia="宋体" w:cs="宋体"/>
          <w:bCs/>
          <w:color w:val="auto"/>
          <w:szCs w:val="21"/>
          <w:highlight w:val="none"/>
        </w:rPr>
        <w:t>合同书或工程竣工验收材料（复印件）为准】。</w:t>
      </w:r>
      <w:r>
        <w:rPr>
          <w:rFonts w:hint="eastAsia" w:ascii="宋体" w:hAnsi="宋体" w:eastAsia="宋体" w:cs="宋体"/>
          <w:b w:val="0"/>
          <w:bCs/>
          <w:color w:val="auto"/>
          <w:szCs w:val="21"/>
          <w:highlight w:val="none"/>
        </w:rPr>
        <w:t>（如有，请提供）；</w:t>
      </w:r>
    </w:p>
    <w:p w14:paraId="6C0D66E6">
      <w:pPr>
        <w:pStyle w:val="7"/>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val="0"/>
          <w:bCs/>
          <w:color w:val="auto"/>
          <w:szCs w:val="21"/>
          <w:highlight w:val="none"/>
        </w:rPr>
      </w:pPr>
      <w:r>
        <w:rPr>
          <w:rFonts w:hint="eastAsia" w:ascii="宋体" w:hAnsi="宋体" w:cs="宋体"/>
          <w:b w:val="0"/>
          <w:bCs/>
          <w:color w:val="auto"/>
          <w:szCs w:val="21"/>
          <w:highlight w:val="none"/>
          <w:lang w:val="en-US" w:eastAsia="zh-CN"/>
        </w:rPr>
        <w:t>6、</w:t>
      </w:r>
      <w:r>
        <w:rPr>
          <w:rFonts w:hint="eastAsia" w:ascii="宋体" w:hAnsi="宋体" w:eastAsia="宋体" w:cs="宋体"/>
          <w:b w:val="0"/>
          <w:bCs/>
          <w:color w:val="auto"/>
          <w:szCs w:val="21"/>
          <w:highlight w:val="none"/>
        </w:rPr>
        <w:t>供应商</w:t>
      </w:r>
      <w:r>
        <w:rPr>
          <w:rFonts w:hint="eastAsia" w:ascii="宋体" w:hAnsi="宋体" w:cs="宋体"/>
          <w:b w:val="0"/>
          <w:bCs/>
          <w:color w:val="auto"/>
          <w:szCs w:val="21"/>
          <w:highlight w:val="none"/>
          <w:lang w:eastAsia="zh-CN"/>
        </w:rPr>
        <w:t>202</w:t>
      </w: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lang w:eastAsia="zh-CN"/>
        </w:rPr>
        <w:t>年以来获得的</w:t>
      </w:r>
      <w:r>
        <w:rPr>
          <w:rFonts w:hint="eastAsia" w:ascii="宋体" w:hAnsi="宋体" w:eastAsia="宋体" w:cs="宋体"/>
          <w:b w:val="0"/>
          <w:bCs/>
          <w:color w:val="auto"/>
          <w:szCs w:val="21"/>
          <w:highlight w:val="none"/>
        </w:rPr>
        <w:t>市级及以上有关部门颁发的与行业经营相关的获奖证书、认证证书等复印件（如有，请提供）；</w:t>
      </w:r>
    </w:p>
    <w:p w14:paraId="6A45EB82">
      <w:pPr>
        <w:pStyle w:val="7"/>
        <w:keepNext w:val="0"/>
        <w:keepLines w:val="0"/>
        <w:pageBreakBefore w:val="0"/>
        <w:kinsoku/>
        <w:overflowPunct/>
        <w:topLinePunct w:val="0"/>
        <w:bidi w:val="0"/>
        <w:adjustRightInd/>
        <w:spacing w:line="360" w:lineRule="exact"/>
        <w:ind w:left="420" w:leftChars="200" w:firstLine="0" w:firstLineChars="0"/>
        <w:textAlignment w:val="auto"/>
        <w:rPr>
          <w:rFonts w:hint="eastAsia" w:ascii="宋体" w:hAnsi="宋体" w:eastAsia="宋体" w:cs="宋体"/>
          <w:bCs/>
          <w:color w:val="auto"/>
          <w:szCs w:val="21"/>
          <w:highlight w:val="none"/>
        </w:rPr>
      </w:pPr>
      <w:r>
        <w:rPr>
          <w:rFonts w:hint="eastAsia" w:ascii="宋体" w:hAnsi="宋体" w:cs="宋体"/>
          <w:b w:val="0"/>
          <w:bCs/>
          <w:color w:val="auto"/>
          <w:szCs w:val="21"/>
          <w:highlight w:val="none"/>
          <w:lang w:val="en-US" w:eastAsia="zh-CN"/>
        </w:rPr>
        <w:t>7、</w:t>
      </w:r>
      <w:r>
        <w:rPr>
          <w:rFonts w:hint="eastAsia" w:ascii="宋体" w:hAnsi="宋体" w:eastAsia="宋体" w:cs="宋体"/>
          <w:b w:val="0"/>
          <w:bCs/>
          <w:color w:val="auto"/>
          <w:szCs w:val="21"/>
          <w:highlight w:val="none"/>
        </w:rPr>
        <w:t>供应商可结合本项目的评标办法视自身情况自行提交相关证明材料（如有，请提供）</w:t>
      </w:r>
      <w:r>
        <w:rPr>
          <w:rFonts w:hint="eastAsia" w:ascii="宋体" w:hAnsi="宋体" w:eastAsia="宋体" w:cs="宋体"/>
          <w:b/>
          <w:bCs w:val="0"/>
          <w:color w:val="auto"/>
          <w:szCs w:val="21"/>
          <w:highlight w:val="none"/>
        </w:rPr>
        <w:t>。供应商提供的以上相关证明材料属于“必须提供”的文件应加盖投标供应商CA证书签章，否则响应无效。</w:t>
      </w:r>
    </w:p>
    <w:p w14:paraId="0F1B28C7">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13.2供应商应按征集文件第六章“响应文件（格式）”编制响应文件。</w:t>
      </w:r>
    </w:p>
    <w:p w14:paraId="5BD87E2E">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13.3响应文件应当对征集文件提出的要求和条件作出明确响应。</w:t>
      </w:r>
    </w:p>
    <w:p w14:paraId="6F67ECF9">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w:t>
      </w:r>
    </w:p>
    <w:p w14:paraId="41A0157A">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响应文件（电子响应文件），其中电子响应文件中所须加盖CA签章部分均采用CA证书签章。若征集文件中有专门标注的某关联点，并要求供应商在电子投标系统中作出响应的，如供应商未对关联点进行响应或者在响应文件其它内容进行描述，造成电子评审不能查询的责任由供应商自行承担。</w:t>
      </w:r>
    </w:p>
    <w:p w14:paraId="35F115D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（2）征集文件要求法定代表人（负责人）或委托代理人签字的部分必须签字然后扫描或者拍照做成pdf格式上传（或加盖CA证书签章），无签字的视为投标无效。</w:t>
      </w:r>
    </w:p>
    <w:p w14:paraId="371D849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14.响应文件的语言及计量</w:t>
      </w:r>
    </w:p>
    <w:p w14:paraId="7CEDAB9D">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响应文件以及供应商与征集人或者采购代理机构就有关投标事宜的所有来往函电，均应以中文汉语书写。供应商提交的支持文件和印刷的文献可以使用别的语言，但其相应内容必须附有中文翻译文本，在解释响应文件时以中文翻译文本为主。</w:t>
      </w:r>
    </w:p>
    <w:p w14:paraId="4DDB10B0">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15.响应报价</w:t>
      </w:r>
    </w:p>
    <w:p w14:paraId="24791EE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15.1响应报价应按征集文件中第六章“响应文件（格式）”填写，响应报价不符合征集文件要求的，响应文件按无效处理。</w:t>
      </w:r>
    </w:p>
    <w:p w14:paraId="2356D9C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16.投标有效期</w:t>
      </w:r>
    </w:p>
    <w:p w14:paraId="0B812E9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16.1投标有效期：投标截止时间之日起90天。</w:t>
      </w:r>
    </w:p>
    <w:p w14:paraId="6BFF03FC">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16.2出现特殊情况下，需要延长投标有效期的，采购代理机构以书面形式通知供应商延长投标有效期。供应商同意延长，但不能修改响应文件。供应商拒绝延长的，其投标无效。</w:t>
      </w:r>
    </w:p>
    <w:p w14:paraId="7BD586B5">
      <w:pPr>
        <w:keepNext w:val="0"/>
        <w:keepLines w:val="0"/>
        <w:pageBreakBefore w:val="0"/>
        <w:numPr>
          <w:ilvl w:val="0"/>
          <w:numId w:val="2"/>
        </w:numPr>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响应文件制作</w:t>
      </w:r>
    </w:p>
    <w:p w14:paraId="7DBB05ED">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17.1电子响应文件中须加盖供应商CA签章部分均采用CA证书签章，并根据“政府采购项目电子交易管理操作指南-供应商”及本征集文件规定的格式和顺序编制电子响应文件并进行关联定位，以便评审小组在评审时，点击评分项可直接定位到该评分项内容。如对征集文件的某项要求，供应商的电子响应文件未能关联定位提供相应的内容与其对应，则评审小组在评审时如做出对供应商不利的评审由供应商自行承担。电子响应文件如内容不完整、编排混乱导致响应文件被误读、漏读，或者在按征集文件规定的部位查找不到相关内容的，由供应商自行承担。</w:t>
      </w:r>
    </w:p>
    <w:p w14:paraId="2FF0D129">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17.2供应商法人（负责人）或授权代表持有</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个人CA证书签章的，应在响应文件中涉及到签字的位置使用个人CA证书签章，没有办理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个人CA证书签章的可在响应文件中涉及到签字的位置手写签字后扫描或者拍照做成PDF的格式上传即可。</w:t>
      </w:r>
    </w:p>
    <w:p w14:paraId="6D06EE7A">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17.3响应文件不得涂改，若有修改错漏处，须法定代表人（负责人）或授权委托人签字（或个人CA证书签章）。响应文件因字迹潦草或表达不清所引起的后果由供应商负责。</w:t>
      </w:r>
    </w:p>
    <w:p w14:paraId="3B5E470B">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17.4评审前准备</w:t>
      </w:r>
    </w:p>
    <w:p w14:paraId="014B5720">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17.4.1本项目实行网上评审，采用电子响应文件；若供应商参与投标，自行承担投标一切费用。</w:t>
      </w:r>
    </w:p>
    <w:p w14:paraId="0534BE27">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17.4.2各供应商在截标前应确保成为</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正式注册入库供应商，并完成CA数字证书申领。因未注册入库、未办理CA数字证书等原因造成无法投标或投标失败等后果由供应商自行承担。</w:t>
      </w:r>
    </w:p>
    <w:p w14:paraId="2AC07A6E">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17.4.3供应商将</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电子交易客户端下载、安装完成后，可通过账号密码或CA登录客户端进行响应文件制作。客户端请至网站下载专区查看，如有问题可拨打</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客户服务热线</w:t>
      </w:r>
      <w:r>
        <w:rPr>
          <w:rFonts w:hint="eastAsia" w:ascii="宋体" w:hAnsi="宋体" w:eastAsia="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进行咨询。</w:t>
      </w:r>
    </w:p>
    <w:p w14:paraId="7D9596B4">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18.响应文件的补充、修改和撤回</w:t>
      </w:r>
    </w:p>
    <w:p w14:paraId="39133497">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响应文件递交截止时间前可以撤回电子响应文件。补充或者修改电子响应文件的，应当先行撤回原文件，补充、修改后重新传输递交，响应文件递交截止时间前未完成传输的，视为撤回响应文件。</w:t>
      </w:r>
    </w:p>
    <w:p w14:paraId="2972D11C">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19.响应文件递交</w:t>
      </w:r>
    </w:p>
    <w:p w14:paraId="3D5D65C1">
      <w:pPr>
        <w:keepNext w:val="0"/>
        <w:keepLines w:val="0"/>
        <w:pageBreakBefore w:val="0"/>
        <w:tabs>
          <w:tab w:val="left" w:pos="720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19.1响应文件递交截止时间：于</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 xml:space="preserve">5 </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分之前将电子响应文件上传到</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。应按照本项目征集文件和</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的要求编制、加密传输响应文件。供应商在使用系统进行投标的过程中遇到涉及平台使用的任何问题，可致电</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p w14:paraId="6794A77C">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20.响应文件解密时间</w:t>
      </w:r>
    </w:p>
    <w:p w14:paraId="167D718A">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20.1截标时间后30分钟内（</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 xml:space="preserve">5 </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分)供应商可以登录</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w:t>
      </w:r>
      <w:r>
        <w:rPr>
          <w:rFonts w:hint="eastAsia" w:ascii="宋体" w:hAnsi="宋体" w:cs="宋体"/>
          <w:color w:val="auto"/>
          <w:szCs w:val="21"/>
          <w:highlight w:val="none"/>
          <w:u w:val="single"/>
          <w:lang w:val="en-US" w:eastAsia="zh-CN"/>
        </w:rPr>
        <w:t xml:space="preserve"> 7 </w:t>
      </w:r>
      <w:r>
        <w:rPr>
          <w:rFonts w:hint="eastAsia" w:ascii="宋体" w:hAnsi="宋体" w:eastAsia="宋体" w:cs="宋体"/>
          <w:color w:val="auto"/>
          <w:szCs w:val="21"/>
          <w:highlight w:val="none"/>
        </w:rPr>
        <w:t>号</w:t>
      </w:r>
      <w:r>
        <w:rPr>
          <w:rFonts w:hint="eastAsia" w:ascii="宋体" w:hAnsi="宋体" w:cs="宋体"/>
          <w:color w:val="auto"/>
          <w:szCs w:val="21"/>
          <w:highlight w:val="none"/>
          <w:lang w:val="en-US" w:eastAsia="zh-CN"/>
        </w:rPr>
        <w:t>政采</w:t>
      </w:r>
      <w:r>
        <w:rPr>
          <w:rFonts w:hint="eastAsia" w:ascii="宋体" w:hAnsi="宋体" w:eastAsia="宋体" w:cs="宋体"/>
          <w:color w:val="auto"/>
          <w:szCs w:val="21"/>
          <w:highlight w:val="none"/>
        </w:rPr>
        <w:t>开标</w:t>
      </w:r>
      <w:r>
        <w:rPr>
          <w:rFonts w:hint="eastAsia" w:ascii="宋体" w:hAnsi="宋体" w:cs="宋体"/>
          <w:color w:val="auto"/>
          <w:szCs w:val="21"/>
          <w:highlight w:val="none"/>
          <w:lang w:val="en-US" w:eastAsia="zh-CN"/>
        </w:rPr>
        <w:t>仓</w:t>
      </w:r>
      <w:r>
        <w:rPr>
          <w:rFonts w:hint="eastAsia" w:ascii="宋体" w:hAnsi="宋体" w:eastAsia="宋体" w:cs="宋体"/>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p w14:paraId="18F96B65">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20.2电子响应文件的相关说明</w:t>
      </w:r>
    </w:p>
    <w:p w14:paraId="19A8D739">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进行电子投标应安装客户端软件，并按照征集文件和电子交易平台的要求编制并加密响应文件。供应商未按规定加密的响应文件，电子交易平台将拒收。供应商应当在投标截止时间前完成响应文件的传输递交，并可以补充、修改或者撤回响应文件。补充或者修改响应文件的，应当先行撤回原文件，补充、修改后重新传输递交。投标截止时间前未完成传输的，视为撤回响应文件。投标截止时间后递交的响应文件，电子交易平台将拒收。</w:t>
      </w:r>
    </w:p>
    <w:p w14:paraId="056355FF">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（2）如有特殊情况，采购代理机构延长截止时间和开标时间，采购代理机构和供应商的权利和义务将受到新的截止时间和开标时间的约束。</w:t>
      </w:r>
    </w:p>
    <w:p w14:paraId="40F70875">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四、开标</w:t>
      </w:r>
    </w:p>
    <w:p w14:paraId="7ABFE654">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21.开标时间及地点</w:t>
      </w:r>
    </w:p>
    <w:p w14:paraId="7D2F5D8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21.1开标时间及地点：开标时间：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年5 月13日</w:t>
      </w:r>
      <w:r>
        <w:rPr>
          <w:rFonts w:hint="eastAsia" w:ascii="宋体" w:hAnsi="宋体" w:eastAsia="宋体" w:cs="宋体"/>
          <w:color w:val="auto"/>
          <w:szCs w:val="21"/>
          <w:highlight w:val="none"/>
          <w:u w:val="single"/>
          <w:lang w:val="en-US" w:eastAsia="zh-CN"/>
        </w:rPr>
        <w:t>09</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；开标地点：通过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实行在线解密开启。</w:t>
      </w:r>
    </w:p>
    <w:p w14:paraId="1006F1FA">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提交电子备份响应文件方式：在接到无法解密或解密失败的通知后，供应商可根据自身实际情况按通知时要求的时间到桂林市公共资源交易中心</w:t>
      </w:r>
      <w:r>
        <w:rPr>
          <w:rFonts w:hint="eastAsia" w:ascii="宋体" w:hAnsi="宋体" w:cs="宋体"/>
          <w:b/>
          <w:bCs/>
          <w:color w:val="auto"/>
          <w:szCs w:val="21"/>
          <w:highlight w:val="none"/>
          <w:u w:val="single"/>
          <w:lang w:val="en-US" w:eastAsia="zh-CN"/>
        </w:rPr>
        <w:t xml:space="preserve"> 7 </w:t>
      </w:r>
      <w:r>
        <w:rPr>
          <w:rFonts w:hint="eastAsia" w:ascii="宋体" w:hAnsi="宋体" w:eastAsia="宋体" w:cs="宋体"/>
          <w:b/>
          <w:bCs/>
          <w:color w:val="auto"/>
          <w:szCs w:val="21"/>
          <w:highlight w:val="none"/>
        </w:rPr>
        <w:t>号</w:t>
      </w:r>
      <w:r>
        <w:rPr>
          <w:rFonts w:hint="eastAsia" w:ascii="宋体" w:hAnsi="宋体" w:cs="宋体"/>
          <w:b/>
          <w:bCs/>
          <w:color w:val="auto"/>
          <w:szCs w:val="21"/>
          <w:highlight w:val="none"/>
          <w:lang w:val="en-US" w:eastAsia="zh-CN"/>
        </w:rPr>
        <w:t>政采</w:t>
      </w:r>
      <w:r>
        <w:rPr>
          <w:rFonts w:hint="eastAsia" w:ascii="宋体" w:hAnsi="宋体" w:eastAsia="宋体" w:cs="宋体"/>
          <w:b/>
          <w:bCs/>
          <w:color w:val="auto"/>
          <w:szCs w:val="21"/>
          <w:highlight w:val="none"/>
        </w:rPr>
        <w:t>开标</w:t>
      </w:r>
      <w:r>
        <w:rPr>
          <w:rFonts w:hint="eastAsia" w:ascii="宋体" w:hAnsi="宋体" w:cs="宋体"/>
          <w:b/>
          <w:bCs/>
          <w:color w:val="auto"/>
          <w:szCs w:val="21"/>
          <w:highlight w:val="none"/>
          <w:lang w:val="en-US" w:eastAsia="zh-CN"/>
        </w:rPr>
        <w:t>仓</w:t>
      </w:r>
      <w:r>
        <w:rPr>
          <w:rFonts w:hint="eastAsia" w:ascii="宋体" w:hAnsi="宋体" w:eastAsia="宋体" w:cs="宋体"/>
          <w:b/>
          <w:bCs/>
          <w:color w:val="auto"/>
          <w:szCs w:val="21"/>
          <w:highlight w:val="none"/>
        </w:rPr>
        <w:t>现场提交或以电子邮件的形式（以通知时所告知的电子邮箱地址为准）提交电子备份响应文件。供应商可以由法定代表人、负责人、自然人或其委托代理人出席开标会议。</w:t>
      </w:r>
    </w:p>
    <w:p w14:paraId="0CDC64B1">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21.2供应商不足3家的，不得开标，征集人或者采购代理机构应当重新组织采购。</w:t>
      </w:r>
    </w:p>
    <w:p w14:paraId="44A1C93B">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21.3开标程序</w:t>
      </w:r>
    </w:p>
    <w:p w14:paraId="1641714D">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21.3.1开标准备</w:t>
      </w:r>
    </w:p>
    <w:p w14:paraId="390C8ADE">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bCs/>
          <w:color w:val="auto"/>
          <w:szCs w:val="21"/>
          <w:highlight w:val="none"/>
        </w:rPr>
        <w:t>3.</w:t>
      </w:r>
      <w:r>
        <w:rPr>
          <w:rFonts w:hint="eastAsia" w:ascii="宋体" w:hAnsi="宋体" w:eastAsia="宋体" w:cs="宋体"/>
          <w:color w:val="auto"/>
          <w:szCs w:val="21"/>
          <w:highlight w:val="none"/>
        </w:rPr>
        <w:t>2开标的准备工作由本公司负责落实；</w:t>
      </w:r>
    </w:p>
    <w:p w14:paraId="5FCCAF6E">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bCs/>
          <w:color w:val="auto"/>
          <w:szCs w:val="21"/>
          <w:highlight w:val="none"/>
        </w:rPr>
        <w:t>3.</w:t>
      </w:r>
      <w:r>
        <w:rPr>
          <w:rFonts w:hint="eastAsia" w:ascii="宋体" w:hAnsi="宋体" w:eastAsia="宋体" w:cs="宋体"/>
          <w:color w:val="auto"/>
          <w:szCs w:val="21"/>
          <w:highlight w:val="none"/>
        </w:rPr>
        <w:t>3.采购代理机构将按照征集文件规定的时间通过“</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组织开标、开启响应文件，所有供应商均应当准时在线参加。投标供应商如不参加开标会的，视同认可开标结果，事后不得对采购相关人员、开标过程和开标结果提出异议，同时投标供应商因未在线参加开标而导致响应文件无法按时解密等一切后果由供应商自己承担。</w:t>
      </w:r>
    </w:p>
    <w:p w14:paraId="4E805D50">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21.4开标程序</w:t>
      </w:r>
    </w:p>
    <w:p w14:paraId="760794D7">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21.4.1.向各投标供应商发出电子加密响应文件【开始解密】通知，由供应商按征集文件规定的时间内自行进行响应文件解密。投标供应商在规定的时间内无法完成已递交的“电子加密响应文件”解密的，如已按规定递交了电子备份响应文件的，将由采购组织机构按“</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”操作规范将备份响应文件上传至“</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”，上传成功后，“电子加密响应文件”自动失效。如未提供备份电子响应文件，将不进行再次解密程序。无法在线解密视为供应商放弃投标。在线解密时间为30分钟。</w:t>
      </w:r>
    </w:p>
    <w:p w14:paraId="57F881CC">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21.4.2.响应文件解密结束后，开标活动组织人员在线开启响应文件。</w:t>
      </w:r>
    </w:p>
    <w:p w14:paraId="20BF70A7">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特别说明：如遇“广西政府采购云平台”电子化开标或评审程序调整的，按调整后程序执行。</w:t>
      </w:r>
    </w:p>
    <w:p w14:paraId="4BD03614">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五、资格性审查</w:t>
      </w:r>
    </w:p>
    <w:p w14:paraId="37077DEB">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22.资格性审查</w:t>
      </w:r>
    </w:p>
    <w:p w14:paraId="6DC9075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22.1公开招标采购项目开标结束后，征集人或者采购代理机构应当依法对供应商的资格进行审查。合格供应商不足3家的，不得评标。</w:t>
      </w:r>
    </w:p>
    <w:p w14:paraId="2674F0D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22.2征集人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投标无效处理。</w:t>
      </w:r>
    </w:p>
    <w:p w14:paraId="23E539D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查询渠道：《国家企业信用信息公示系统》（网址：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"http://www.gsxt.gov.cn/index.html"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http://www.gsxt.gov.cn/index.html</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4D19E37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审查流程：</w:t>
      </w:r>
    </w:p>
    <w:p w14:paraId="250FE383">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（1）进入《国家企业信用信息公示系统》（网址：http://www.gsxt.gov.cn/index.html），输入企业名称，进入企业信息主页面；</w:t>
      </w:r>
    </w:p>
    <w:p w14:paraId="5AE42AE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14:paraId="0ACC75A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（3）将各供应商的股东及出资信息进行比对，得出审查结论；</w:t>
      </w:r>
    </w:p>
    <w:p w14:paraId="08E55C0D">
      <w:pPr>
        <w:keepNext w:val="0"/>
        <w:keepLines w:val="0"/>
        <w:pageBreakBefore w:val="0"/>
        <w:kinsoku/>
        <w:overflowPunct/>
        <w:topLinePunct w:val="0"/>
        <w:bidi w:val="0"/>
        <w:adjustRightInd/>
        <w:snapToGrid w:val="0"/>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（4）将相关资料作为评审资料打印存档。</w:t>
      </w:r>
    </w:p>
    <w:p w14:paraId="20DEA8AC">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投标无效处理。</w:t>
      </w:r>
    </w:p>
    <w:p w14:paraId="1D664F15">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六、评标</w:t>
      </w:r>
    </w:p>
    <w:p w14:paraId="3B2AECFB">
      <w:pPr>
        <w:keepNext w:val="0"/>
        <w:keepLines w:val="0"/>
        <w:pageBreakBefore w:val="0"/>
        <w:tabs>
          <w:tab w:val="center" w:pos="4411"/>
          <w:tab w:val="left" w:pos="5475"/>
        </w:tabs>
        <w:kinsoku/>
        <w:overflowPunct/>
        <w:topLinePunct w:val="0"/>
        <w:bidi w:val="0"/>
        <w:adjustRightInd/>
        <w:spacing w:line="360" w:lineRule="exact"/>
        <w:ind w:firstLine="420"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23.评标委员会组成</w:t>
      </w:r>
    </w:p>
    <w:p w14:paraId="1BE2D4F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评标委员会由征集人代表和有关技术、经济等方面的专家组成，</w:t>
      </w:r>
      <w:r>
        <w:rPr>
          <w:rFonts w:hint="eastAsia" w:ascii="宋体" w:hAnsi="宋体" w:cs="宋体"/>
          <w:color w:val="auto"/>
          <w:szCs w:val="21"/>
          <w:highlight w:val="none"/>
          <w:lang w:eastAsia="zh-CN"/>
        </w:rPr>
        <w:t>成员人数共5人，其中征集人代表1人，技术、经济等专家4人</w:t>
      </w:r>
      <w:r>
        <w:rPr>
          <w:rFonts w:hint="eastAsia" w:ascii="宋体" w:hAnsi="宋体" w:eastAsia="宋体" w:cs="宋体"/>
          <w:color w:val="auto"/>
          <w:szCs w:val="21"/>
          <w:highlight w:val="none"/>
        </w:rPr>
        <w:t>。</w:t>
      </w:r>
    </w:p>
    <w:p w14:paraId="49EA3D0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24.评标办法</w:t>
      </w:r>
    </w:p>
    <w:p w14:paraId="2F8362D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24.1评标办法：封闭式框架协议采购方式的</w:t>
      </w:r>
      <w:r>
        <w:rPr>
          <w:rFonts w:hint="eastAsia" w:ascii="宋体" w:hAnsi="宋体" w:cs="宋体"/>
          <w:color w:val="auto"/>
          <w:szCs w:val="21"/>
          <w:highlight w:val="none"/>
          <w:lang w:eastAsia="zh-CN"/>
        </w:rPr>
        <w:t>质量优先法</w:t>
      </w:r>
      <w:r>
        <w:rPr>
          <w:rFonts w:hint="eastAsia" w:ascii="宋体" w:hAnsi="宋体" w:eastAsia="宋体" w:cs="宋体"/>
          <w:color w:val="auto"/>
          <w:szCs w:val="21"/>
          <w:highlight w:val="none"/>
        </w:rPr>
        <w:t>，具体评标内容及标准详见第四章。</w:t>
      </w:r>
    </w:p>
    <w:p w14:paraId="3CCAB1FB">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24.2评标委员会应按征集文件进行评标，不得擅自更改评标办法。</w:t>
      </w:r>
    </w:p>
    <w:p w14:paraId="61DE5539">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25.评标</w:t>
      </w:r>
    </w:p>
    <w:p w14:paraId="04A2F23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采购代理机构负责评标组织工作；宣布评标工作纪律，公布供应商名单，告知评标专家应当回避的情形，组织评标委员会推选评标组长，征集人代表不得担任组长；在评标期间采取必要的通讯管理措施，保证评标活动不受外界干扰；根据评标委员会的要求介绍政府采购相关政策法规、征集文件；维护评标秩序，监督评标委员会依照征集文件规定的评标程序、方法和标准进行独立评审，及时制止和纠正征集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2FB37B20">
      <w:pPr>
        <w:pStyle w:val="23"/>
        <w:keepNext w:val="0"/>
        <w:keepLines w:val="0"/>
        <w:pageBreakBefore w:val="0"/>
        <w:shd w:val="clear" w:color="auto" w:fill="FFFFFF"/>
        <w:kinsoku/>
        <w:overflowPunct/>
        <w:topLinePunct w:val="0"/>
        <w:bidi w:val="0"/>
        <w:adjustRightInd/>
        <w:spacing w:before="0" w:beforeAutospacing="0" w:after="0" w:afterAutospacing="0"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25.2评标委员会负责具体评标事务；审查、评价响应文件是否符合征集文件的商务、技术等实质性要求；要求供应商对响应文件有关事项作出澄清或者说明；对响应文件进行比较和评价；确定入围供应商名单，以及根据征集人委托直接确定入围供应商；向征集人、采购代理机构或者有关部门报告评标中发现的违法行为。</w:t>
      </w:r>
    </w:p>
    <w:p w14:paraId="54F013B8">
      <w:pPr>
        <w:pStyle w:val="23"/>
        <w:keepNext w:val="0"/>
        <w:keepLines w:val="0"/>
        <w:pageBreakBefore w:val="0"/>
        <w:shd w:val="clear" w:color="auto" w:fill="FFFFFF"/>
        <w:kinsoku/>
        <w:overflowPunct/>
        <w:topLinePunct w:val="0"/>
        <w:bidi w:val="0"/>
        <w:adjustRightInd/>
        <w:spacing w:before="0" w:beforeAutospacing="0" w:after="0" w:afterAutospacing="0"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25.3在评标过程中，评标委员会任何人不得对某个供应商发表任何倾向性意见，不得向其他专家评委明示或者暗示自己的评审意见。</w:t>
      </w:r>
    </w:p>
    <w:p w14:paraId="2921F3C1">
      <w:pPr>
        <w:keepNext w:val="0"/>
        <w:keepLines w:val="0"/>
        <w:pageBreakBefore w:val="0"/>
        <w:tabs>
          <w:tab w:val="center" w:pos="4411"/>
          <w:tab w:val="left" w:pos="547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25.4符合性审查</w:t>
      </w:r>
    </w:p>
    <w:p w14:paraId="54B9F7A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25.4.1资格审查结束后，评审委员会对通过资格审查的供应商的响应文件进行商务资信、技术等方面实质性内容进行符合性审查，符合性审查标准详见第</w:t>
      </w:r>
      <w:r>
        <w:rPr>
          <w:rFonts w:hint="eastAsia" w:ascii="宋体" w:hAnsi="宋体" w:eastAsia="宋体" w:cs="宋体"/>
          <w:color w:val="auto"/>
          <w:szCs w:val="21"/>
          <w:highlight w:val="none"/>
          <w:lang w:eastAsia="zh-CN"/>
        </w:rPr>
        <w:t>二</w:t>
      </w:r>
      <w:r>
        <w:rPr>
          <w:rFonts w:hint="eastAsia" w:ascii="宋体" w:hAnsi="宋体" w:eastAsia="宋体" w:cs="宋体"/>
          <w:color w:val="auto"/>
          <w:szCs w:val="21"/>
          <w:highlight w:val="none"/>
        </w:rPr>
        <w:t>章。</w:t>
      </w:r>
    </w:p>
    <w:p w14:paraId="0C6EF64B">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25.4.2澄清、说明或补正</w:t>
      </w:r>
    </w:p>
    <w:p w14:paraId="2E15D834">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（1）对响应文件中含义不明确、同类问题表述不一致或者有明显文字和计算错误的内容，评审委员会应在“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”平台发布电子澄清函，要求供应商在平台设置的时间内作出必要的澄清、说明或者补正。供应商在“</w:t>
      </w:r>
      <w:r>
        <w:rPr>
          <w:rFonts w:hint="eastAsia" w:ascii="宋体" w:hAnsi="宋体" w:eastAsia="宋体" w:cs="宋体"/>
          <w:color w:val="auto"/>
          <w:kern w:val="2"/>
          <w:sz w:val="21"/>
          <w:szCs w:val="21"/>
          <w:highlight w:val="none"/>
          <w:lang w:eastAsia="zh-CN"/>
        </w:rPr>
        <w:t>广西政府采购云平台</w:t>
      </w:r>
      <w:r>
        <w:rPr>
          <w:rFonts w:hint="eastAsia" w:ascii="宋体" w:hAnsi="宋体" w:eastAsia="宋体" w:cs="宋体"/>
          <w:color w:val="auto"/>
          <w:szCs w:val="21"/>
          <w:highlight w:val="none"/>
        </w:rPr>
        <w:t>”平台接收到电子澄清函后根据澄清函内容直接在线编辑或上传 PDF格式回函，电子澄清答复函使用 CA证书加盖单位电子签章后提交至评审委员会。供应商的澄清、说明或者补正不得超出响应文件的范围或者改变响应文件的实质性内容。供应商未在规定时间内进行澄清、说明或者补正的，按无效响应处理。</w:t>
      </w:r>
    </w:p>
    <w:p w14:paraId="10A29DD9">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异常情况处理：如遇无法正常使用线上发送澄清函的情况，将以书面形式执行。以书面形式执行的情况下，评审委员会以书面形式要求供应商在规定时间内作出必要的澄清、说明或者补正。供应商的澄清、说明或者补正必须采用书面形式，并加盖CA签章或者由法定代表人或者其授权的代表签字。</w:t>
      </w:r>
    </w:p>
    <w:p w14:paraId="4192FE9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25.4.3串通响应认定</w:t>
      </w:r>
    </w:p>
    <w:p w14:paraId="2D1B4394">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评审委员会须根据以下规定认定供应商是否有串通投标的行为。</w:t>
      </w:r>
    </w:p>
    <w:p w14:paraId="5F4942D3">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（1）根据《关于防治政府采购招标中串通投标行为的通知》（桂财采[2016]42号）规定，出现下述情况的，相关供应商的投标作无效投标处理。</w:t>
      </w:r>
    </w:p>
    <w:p w14:paraId="712CCFFC">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①单位负责人为同一人或者存在直接控股、管理关系，参加同一合同项下政府采购活动的不同供应商。</w:t>
      </w:r>
    </w:p>
    <w:p w14:paraId="4E0B1B89">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②授权给供应商后参加同一合同项（分标、分包）投标的生产厂商。</w:t>
      </w:r>
    </w:p>
    <w:p w14:paraId="1FC7CCE4">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③视为或被认定为串通投标的相关供应商。</w:t>
      </w:r>
    </w:p>
    <w:p w14:paraId="30E2221F">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根据《关于防治政府采购招标中串通投标行为的通知》（桂财采[2016]42号）规定，有下列情形之一的视为供应商相互串通投标，投标文件将被视为无效。</w:t>
      </w:r>
    </w:p>
    <w:p w14:paraId="7F3EA7AA">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①不同供应商的投标文件由同一单位或者个人编制；或不同供应商报名的 IP 地址一致的；</w:t>
      </w:r>
    </w:p>
    <w:p w14:paraId="45E17D39">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②不同供应商委托同一单位或者个人办理投标事宜；</w:t>
      </w:r>
    </w:p>
    <w:p w14:paraId="50DE9BB8">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③不同的供应商的投标文件载明的项目管理员为同一个人；</w:t>
      </w:r>
    </w:p>
    <w:p w14:paraId="2830F62C">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④不同供应商的投标文件异常一致；</w:t>
      </w:r>
    </w:p>
    <w:p w14:paraId="0F446CF2">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⑤不同供应商的投标文件相互混装；</w:t>
      </w:r>
    </w:p>
    <w:p w14:paraId="2EE2CC1B">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⑥不同供应商的保证金从同一单位或者个人账户转出。</w:t>
      </w:r>
    </w:p>
    <w:p w14:paraId="17DF818C">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根据《关于防治政府采购招标中串通投标行为的通知》（桂财采[2016]42号）规定，供应商有下列情形之一的，属于恶意串通行为，投标文件将被视为无效。</w:t>
      </w:r>
    </w:p>
    <w:p w14:paraId="6BC9378D">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①供应商直接或者间接从征集人或者采购代理机构处获得其他供应商的相关信息并修改其投标文件或者响应文件；</w:t>
      </w:r>
    </w:p>
    <w:p w14:paraId="7F856A3D">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②供应商按照征集人或者采购代理机构的授意撤换、修改投标文件或者响应文件;；</w:t>
      </w:r>
    </w:p>
    <w:p w14:paraId="63EB1FB6">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③供应商之间协商报价、技术方案等投标文件或者响应文件的实质性内容；</w:t>
      </w:r>
    </w:p>
    <w:p w14:paraId="4DBDAA60">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④属于同一集团、协会、商会等组织成员的供应商按照该组织要求协同参加政府采购活动；</w:t>
      </w:r>
    </w:p>
    <w:p w14:paraId="07B57150">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⑤供应商之间事先约定一致抬高或者压低投标报价，或者在招标项目中事先约定轮流以高价位或者低价位中标，或者事先约定由某一特定供应商中标，然后再参加投标；</w:t>
      </w:r>
    </w:p>
    <w:p w14:paraId="6E9A645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⑥供应商之间商定部分供应商放弃参加政府采购活动或者放弃中标；</w:t>
      </w:r>
    </w:p>
    <w:p w14:paraId="04755173">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⑦供应商与征集人或者采购代理机构之间、供应商相互之间，为谋求特定供应商中标或者排斥其他供应商的其他串通行为。</w:t>
      </w:r>
    </w:p>
    <w:p w14:paraId="7A446917">
      <w:pPr>
        <w:keepNext w:val="0"/>
        <w:keepLines w:val="0"/>
        <w:pageBreakBefore w:val="0"/>
        <w:tabs>
          <w:tab w:val="left" w:pos="1140"/>
        </w:tabs>
        <w:kinsoku/>
        <w:overflowPunct/>
        <w:topLinePunct w:val="0"/>
        <w:bidi w:val="0"/>
        <w:adjustRightInd/>
        <w:spacing w:line="360" w:lineRule="exact"/>
        <w:ind w:firstLine="40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kern w:val="0"/>
          <w:sz w:val="20"/>
          <w:szCs w:val="20"/>
          <w:highlight w:val="none"/>
        </w:rPr>
        <w:t>注：本款所述“投标”即为“响应”，“中标”即为“入围”。</w:t>
      </w:r>
    </w:p>
    <w:p w14:paraId="3777C75E">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25.4.5响应无效认定</w:t>
      </w:r>
    </w:p>
    <w:p w14:paraId="250089FE">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（1）在评审过程中如发现下列情形之一的，响应文件将被视为无效：</w:t>
      </w:r>
    </w:p>
    <w:p w14:paraId="0ABD9BF9">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①响应文件存在法律、法规及监督部门有关文件规定的无效情形。</w:t>
      </w:r>
    </w:p>
    <w:p w14:paraId="378884E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②响应文件存在征集文件规定的无效情形。</w:t>
      </w:r>
    </w:p>
    <w:p w14:paraId="50D6DF8A">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（2）根据财库《关于促进政府采购公平竞争优化营商环境的通知》（〔2019〕38号）以及《广西壮族自治区财政厅转发财政部关于促进政府采购公平竞争优化营商环境的通知》（桂财采〔2019〕41 号）规定，评审委员会不得因装订、纸张、文件排序等非实质性的格式、形式问题认定响应无效或否决响应，从而限制和影响供应商响应（响应）。</w:t>
      </w:r>
    </w:p>
    <w:p w14:paraId="2617933E">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25.4.6比较与评价</w:t>
      </w:r>
    </w:p>
    <w:p w14:paraId="105EE48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（1）评审委员会按征集文件中规定的评审方法和标准，对符合性审查合格的响应文件进行综合比较与评价。</w:t>
      </w:r>
    </w:p>
    <w:p w14:paraId="26A9DD3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（2）评审委员会各成员独立对每个有效供应商的响应文件进行评价。评价有误的应及时进行修正 。评分标准如有客观分定义，评审委员会所有成员的客观分评分分值应当一致。</w:t>
      </w:r>
    </w:p>
    <w:p w14:paraId="331335C7">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（3）评审委员会按质量综合评分由高到低的排列顺序以及评审方法及标准规定的入围供应商数量上限或淘汰率推荐入围供应商。</w:t>
      </w:r>
    </w:p>
    <w:p w14:paraId="530C9D04">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审委员会根据评审记录及评审结果编写评审报告，评审委员会成员均应当在评审报告上签字，对自己的评审意见承担法律责任。评审报告签署前，经复核发现存在以下情形之一的，评审委员会应当当场修改评审结果，并在评审报告中记载；评审报告签署后，征集人发现存在以下情形之一的，应当组织原评审委员会进行重新评审。</w:t>
      </w:r>
    </w:p>
    <w:p w14:paraId="36EFF51C">
      <w:pPr>
        <w:keepNext w:val="0"/>
        <w:keepLines w:val="0"/>
        <w:pageBreakBefore w:val="0"/>
        <w:widowControl w:val="0"/>
        <w:tabs>
          <w:tab w:val="left" w:pos="114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分值汇总计算错误的；分项评分超出评分标准范围的；评审委员会成员对客观评审因素评分不一致的；经评审委员会认定评分畸高、畸低的。</w:t>
      </w:r>
    </w:p>
    <w:p w14:paraId="5CAC3018">
      <w:pPr>
        <w:pStyle w:val="15"/>
        <w:keepNext w:val="0"/>
        <w:keepLines w:val="0"/>
        <w:pageBreakBefore w:val="0"/>
        <w:widowControl w:val="0"/>
        <w:tabs>
          <w:tab w:val="left" w:pos="4214"/>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26</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推荐及确定入围候选供应商原则</w:t>
      </w:r>
    </w:p>
    <w:p w14:paraId="56AF514E">
      <w:pPr>
        <w:keepNext w:val="0"/>
        <w:keepLines w:val="0"/>
        <w:pageBreakBefore w:val="0"/>
        <w:widowControl w:val="0"/>
        <w:numPr>
          <w:ilvl w:val="255"/>
          <w:numId w:val="0"/>
        </w:numPr>
        <w:tabs>
          <w:tab w:val="left" w:pos="1116"/>
        </w:tabs>
        <w:kinsoku/>
        <w:wordWrap/>
        <w:overflowPunct/>
        <w:topLinePunct w:val="0"/>
        <w:autoSpaceDE/>
        <w:autoSpaceDN/>
        <w:bidi w:val="0"/>
        <w:adjustRightInd/>
        <w:snapToGrid/>
        <w:spacing w:before="170" w:line="36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26.1本项目采用质量优先法进行评审。</w:t>
      </w:r>
    </w:p>
    <w:p w14:paraId="247007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26.2质量优先法是指对满足采购需求、响应报价不超过最高限制单价且资格审查合格的供应商响应内容进行质量综合评分，按照质量评分从高到低排序，且根据中华人民共和国财政部令第 110号《政府采购框架协议采购方式管理暂行办法》第二十七条的规定，确定第一阶段入围供应商时，提交响应文件和符合资格条件、实质性要求的供</w:t>
      </w:r>
      <w:r>
        <w:rPr>
          <w:rFonts w:hint="eastAsia" w:ascii="宋体" w:hAnsi="宋体" w:cs="宋体"/>
          <w:color w:val="auto"/>
          <w:kern w:val="0"/>
          <w:szCs w:val="21"/>
          <w:highlight w:val="none"/>
        </w:rPr>
        <w:t>应商应当均不少于</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家</w:t>
      </w:r>
      <w:r>
        <w:rPr>
          <w:rFonts w:hint="eastAsia" w:ascii="宋体" w:hAnsi="宋体" w:cs="宋体"/>
          <w:color w:val="auto"/>
          <w:kern w:val="0"/>
          <w:szCs w:val="21"/>
          <w:highlight w:val="none"/>
        </w:rPr>
        <w:t>，淘汰比例一般不得低于20%，且至少淘汰一家供应商。</w:t>
      </w:r>
    </w:p>
    <w:tbl>
      <w:tblPr>
        <w:tblStyle w:val="25"/>
        <w:tblW w:w="9198" w:type="dxa"/>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82"/>
        <w:gridCol w:w="3215"/>
        <w:gridCol w:w="2801"/>
      </w:tblGrid>
      <w:tr w14:paraId="4ABCD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182" w:type="dxa"/>
          </w:tcPr>
          <w:p w14:paraId="4FAC3CAC">
            <w:pPr>
              <w:pStyle w:val="52"/>
              <w:keepNext w:val="0"/>
              <w:keepLines w:val="0"/>
              <w:pageBreakBefore w:val="0"/>
              <w:kinsoku/>
              <w:overflowPunct/>
              <w:topLinePunct w:val="0"/>
              <w:bidi w:val="0"/>
              <w:adjustRightInd/>
              <w:spacing w:before="92" w:line="360" w:lineRule="exact"/>
              <w:ind w:right="56"/>
              <w:jc w:val="center"/>
              <w:textAlignment w:val="auto"/>
              <w:rPr>
                <w:b/>
                <w:color w:val="auto"/>
                <w:highlight w:val="none"/>
              </w:rPr>
            </w:pPr>
            <w:r>
              <w:rPr>
                <w:b/>
                <w:color w:val="auto"/>
                <w:highlight w:val="none"/>
              </w:rPr>
              <w:t>淘汰</w:t>
            </w:r>
            <w:r>
              <w:rPr>
                <w:rFonts w:hint="eastAsia"/>
                <w:b/>
                <w:color w:val="auto"/>
                <w:highlight w:val="none"/>
                <w:lang w:val="en-US"/>
              </w:rPr>
              <w:t>比例</w:t>
            </w:r>
          </w:p>
        </w:tc>
        <w:tc>
          <w:tcPr>
            <w:tcW w:w="3215" w:type="dxa"/>
          </w:tcPr>
          <w:p w14:paraId="00F3A49A">
            <w:pPr>
              <w:pStyle w:val="52"/>
              <w:keepNext w:val="0"/>
              <w:keepLines w:val="0"/>
              <w:pageBreakBefore w:val="0"/>
              <w:kinsoku/>
              <w:overflowPunct/>
              <w:topLinePunct w:val="0"/>
              <w:bidi w:val="0"/>
              <w:adjustRightInd/>
              <w:spacing w:before="92" w:line="360" w:lineRule="exact"/>
              <w:ind w:left="218" w:right="210"/>
              <w:jc w:val="center"/>
              <w:textAlignment w:val="auto"/>
              <w:rPr>
                <w:b/>
                <w:color w:val="auto"/>
                <w:highlight w:val="none"/>
              </w:rPr>
            </w:pPr>
            <w:r>
              <w:rPr>
                <w:b/>
                <w:color w:val="auto"/>
                <w:highlight w:val="none"/>
              </w:rPr>
              <w:t>入围供应商最大数量</w:t>
            </w:r>
          </w:p>
        </w:tc>
        <w:tc>
          <w:tcPr>
            <w:tcW w:w="2801" w:type="dxa"/>
          </w:tcPr>
          <w:p w14:paraId="77BF39CB">
            <w:pPr>
              <w:pStyle w:val="52"/>
              <w:keepNext w:val="0"/>
              <w:keepLines w:val="0"/>
              <w:pageBreakBefore w:val="0"/>
              <w:kinsoku/>
              <w:overflowPunct/>
              <w:topLinePunct w:val="0"/>
              <w:bidi w:val="0"/>
              <w:adjustRightInd/>
              <w:spacing w:before="92" w:line="360" w:lineRule="exact"/>
              <w:ind w:left="221" w:right="207"/>
              <w:jc w:val="center"/>
              <w:textAlignment w:val="auto"/>
              <w:rPr>
                <w:b/>
                <w:color w:val="auto"/>
                <w:highlight w:val="none"/>
                <w:lang w:val="en-US"/>
              </w:rPr>
            </w:pPr>
            <w:r>
              <w:rPr>
                <w:rFonts w:hint="eastAsia"/>
                <w:b/>
                <w:color w:val="auto"/>
                <w:highlight w:val="none"/>
                <w:lang w:val="en-US"/>
              </w:rPr>
              <w:t>最小淘汰供应商数量</w:t>
            </w:r>
          </w:p>
        </w:tc>
      </w:tr>
      <w:tr w14:paraId="71F9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182" w:type="dxa"/>
          </w:tcPr>
          <w:p w14:paraId="0516EA9A">
            <w:pPr>
              <w:pStyle w:val="52"/>
              <w:keepNext w:val="0"/>
              <w:keepLines w:val="0"/>
              <w:pageBreakBefore w:val="0"/>
              <w:kinsoku/>
              <w:overflowPunct/>
              <w:topLinePunct w:val="0"/>
              <w:bidi w:val="0"/>
              <w:adjustRightInd/>
              <w:spacing w:before="92" w:line="360" w:lineRule="exact"/>
              <w:ind w:right="56"/>
              <w:jc w:val="center"/>
              <w:textAlignment w:val="auto"/>
              <w:rPr>
                <w:rFonts w:hint="default"/>
                <w:b/>
                <w:color w:val="auto"/>
                <w:highlight w:val="none"/>
                <w:lang w:val="en-US" w:eastAsia="zh-CN"/>
              </w:rPr>
            </w:pPr>
            <w:r>
              <w:rPr>
                <w:rFonts w:hint="eastAsia"/>
                <w:b/>
                <w:color w:val="auto"/>
                <w:highlight w:val="none"/>
                <w:lang w:val="en-US" w:eastAsia="zh-CN"/>
              </w:rPr>
              <w:t>20%</w:t>
            </w:r>
          </w:p>
        </w:tc>
        <w:tc>
          <w:tcPr>
            <w:tcW w:w="3215" w:type="dxa"/>
          </w:tcPr>
          <w:p w14:paraId="31E881E3">
            <w:pPr>
              <w:pStyle w:val="52"/>
              <w:keepNext w:val="0"/>
              <w:keepLines w:val="0"/>
              <w:pageBreakBefore w:val="0"/>
              <w:kinsoku/>
              <w:overflowPunct/>
              <w:topLinePunct w:val="0"/>
              <w:bidi w:val="0"/>
              <w:adjustRightInd/>
              <w:spacing w:before="92" w:line="360" w:lineRule="exact"/>
              <w:ind w:right="56"/>
              <w:jc w:val="center"/>
              <w:textAlignment w:val="auto"/>
              <w:rPr>
                <w:rFonts w:hint="default"/>
                <w:b/>
                <w:color w:val="auto"/>
                <w:highlight w:val="none"/>
                <w:lang w:val="en-US" w:eastAsia="zh-CN"/>
              </w:rPr>
            </w:pPr>
            <w:r>
              <w:rPr>
                <w:rFonts w:hint="eastAsia"/>
                <w:b/>
                <w:color w:val="auto"/>
                <w:highlight w:val="none"/>
                <w:lang w:val="en-US" w:eastAsia="zh-CN"/>
              </w:rPr>
              <w:t>3</w:t>
            </w:r>
          </w:p>
        </w:tc>
        <w:tc>
          <w:tcPr>
            <w:tcW w:w="2801" w:type="dxa"/>
          </w:tcPr>
          <w:p w14:paraId="617AC4EC">
            <w:pPr>
              <w:pStyle w:val="52"/>
              <w:keepNext w:val="0"/>
              <w:keepLines w:val="0"/>
              <w:pageBreakBefore w:val="0"/>
              <w:kinsoku/>
              <w:overflowPunct/>
              <w:topLinePunct w:val="0"/>
              <w:bidi w:val="0"/>
              <w:adjustRightInd/>
              <w:spacing w:before="92" w:line="360" w:lineRule="exact"/>
              <w:ind w:right="56"/>
              <w:jc w:val="center"/>
              <w:textAlignment w:val="auto"/>
              <w:rPr>
                <w:rFonts w:hint="eastAsia"/>
                <w:b/>
                <w:color w:val="auto"/>
                <w:highlight w:val="none"/>
                <w:lang w:val="en-US" w:eastAsia="zh-CN"/>
              </w:rPr>
            </w:pPr>
            <w:r>
              <w:rPr>
                <w:rFonts w:hint="eastAsia"/>
                <w:b/>
                <w:color w:val="auto"/>
                <w:highlight w:val="none"/>
                <w:lang w:val="en-US" w:eastAsia="zh-CN"/>
              </w:rPr>
              <w:t>1</w:t>
            </w:r>
          </w:p>
        </w:tc>
      </w:tr>
    </w:tbl>
    <w:p w14:paraId="6D062F13">
      <w:pPr>
        <w:keepNext w:val="0"/>
        <w:keepLines w:val="0"/>
        <w:pageBreakBefore w:val="0"/>
        <w:kinsoku/>
        <w:overflowPunct/>
        <w:topLinePunct w:val="0"/>
        <w:bidi w:val="0"/>
        <w:adjustRightInd/>
        <w:snapToGrid w:val="0"/>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27.属于下列情形之一的，应予废标：</w:t>
      </w:r>
    </w:p>
    <w:p w14:paraId="302528CA">
      <w:pPr>
        <w:keepNext w:val="0"/>
        <w:keepLines w:val="0"/>
        <w:pageBreakBefore w:val="0"/>
        <w:tabs>
          <w:tab w:val="left" w:pos="840"/>
        </w:tabs>
        <w:kinsoku/>
        <w:overflowPunct/>
        <w:topLinePunct w:val="0"/>
        <w:bidi w:val="0"/>
        <w:adjustRightInd/>
        <w:snapToGrid w:val="0"/>
        <w:spacing w:line="360" w:lineRule="exact"/>
        <w:ind w:left="329" w:leftChars="157"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（1）符合专业条件的供应商或者对征集文件作实质响应的供应商不足3家的；</w:t>
      </w:r>
    </w:p>
    <w:p w14:paraId="407C1287">
      <w:pPr>
        <w:keepNext w:val="0"/>
        <w:keepLines w:val="0"/>
        <w:pageBreakBefore w:val="0"/>
        <w:tabs>
          <w:tab w:val="left" w:pos="840"/>
        </w:tabs>
        <w:kinsoku/>
        <w:overflowPunct/>
        <w:topLinePunct w:val="0"/>
        <w:bidi w:val="0"/>
        <w:adjustRightInd/>
        <w:snapToGrid w:val="0"/>
        <w:spacing w:line="360" w:lineRule="exact"/>
        <w:ind w:left="329" w:leftChars="157"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14:paraId="79F71365">
      <w:pPr>
        <w:keepNext w:val="0"/>
        <w:keepLines w:val="0"/>
        <w:pageBreakBefore w:val="0"/>
        <w:tabs>
          <w:tab w:val="left" w:pos="840"/>
        </w:tabs>
        <w:kinsoku/>
        <w:overflowPunct/>
        <w:topLinePunct w:val="0"/>
        <w:bidi w:val="0"/>
        <w:adjustRightInd/>
        <w:snapToGrid w:val="0"/>
        <w:spacing w:line="360" w:lineRule="exact"/>
        <w:ind w:left="329" w:leftChars="157"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（3）征集文件内容违反国家有关强制性规定的；</w:t>
      </w:r>
    </w:p>
    <w:p w14:paraId="16689DF5">
      <w:pPr>
        <w:keepNext w:val="0"/>
        <w:keepLines w:val="0"/>
        <w:pageBreakBefore w:val="0"/>
        <w:tabs>
          <w:tab w:val="left" w:pos="840"/>
        </w:tabs>
        <w:kinsoku/>
        <w:overflowPunct/>
        <w:topLinePunct w:val="0"/>
        <w:bidi w:val="0"/>
        <w:adjustRightInd/>
        <w:snapToGrid w:val="0"/>
        <w:spacing w:line="360" w:lineRule="exact"/>
        <w:ind w:left="329" w:leftChars="157"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（4）因重大变故，采购任务取消的。</w:t>
      </w:r>
    </w:p>
    <w:p w14:paraId="7C5A349B">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28.开标、评标过程的监控</w:t>
      </w:r>
    </w:p>
    <w:p w14:paraId="2AC4C9FB">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本项目开标、评标过程实行全程录音、录像监控，供应商在评标过程中所进行的试图影响评标结果的不公正活动，可能导致其投标被拒绝。</w:t>
      </w:r>
    </w:p>
    <w:p w14:paraId="67EFC589">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29.信用查询</w:t>
      </w:r>
    </w:p>
    <w:p w14:paraId="6981FB41">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根据《关于做好政府采购有关信用主体标识码登记及在政府采购活动中查询使用信用记录有关问题的通知》桂财采〔2016〕37号的通知，入围通知书发出前，由采购代理机构对第一入围候选供应商进行信用查询：</w:t>
      </w:r>
    </w:p>
    <w:p w14:paraId="1473846B">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234FD0B1">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⑵查询截止时间：入围通知书发出前；</w:t>
      </w:r>
    </w:p>
    <w:p w14:paraId="08D29E64">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1BB63A51">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入围候选供应商资格。</w:t>
      </w:r>
    </w:p>
    <w:p w14:paraId="495CD5BA">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768CCC06">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30.入围公告及入围通知书</w:t>
      </w:r>
    </w:p>
    <w:p w14:paraId="56A2B8F6">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326F7F86">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七、签订框架协议</w:t>
      </w:r>
    </w:p>
    <w:p w14:paraId="284AA651">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31.履约保证金</w:t>
      </w:r>
    </w:p>
    <w:p w14:paraId="4A0CF7E6">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31.1本项目不需要缴纳</w:t>
      </w:r>
      <w:r>
        <w:rPr>
          <w:rFonts w:hint="eastAsia" w:ascii="宋体" w:hAnsi="宋体" w:eastAsia="宋体" w:cs="宋体"/>
          <w:bCs/>
          <w:color w:val="auto"/>
          <w:szCs w:val="21"/>
          <w:highlight w:val="none"/>
        </w:rPr>
        <w:t>履约保证金。</w:t>
      </w:r>
    </w:p>
    <w:p w14:paraId="2EAACE7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32.签订框架协议及入围供应商的清退和补充</w:t>
      </w:r>
    </w:p>
    <w:p w14:paraId="0E24D228">
      <w:pPr>
        <w:pStyle w:val="15"/>
        <w:keepNext w:val="0"/>
        <w:keepLines w:val="0"/>
        <w:pageBreakBefore w:val="0"/>
        <w:tabs>
          <w:tab w:val="left" w:pos="5103"/>
        </w:tabs>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32.1签订框架协议时间：详见“供应商须知前附表”。</w:t>
      </w:r>
    </w:p>
    <w:p w14:paraId="3FB962FC">
      <w:pPr>
        <w:pStyle w:val="15"/>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32.2入围供应商为联合体的，联合体各方均应与征集人框架协议，并承担连带责任。</w:t>
      </w:r>
    </w:p>
    <w:p w14:paraId="5628441F">
      <w:pPr>
        <w:pStyle w:val="15"/>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如入围供应商有下列情形之一的，情节严重的，由财政部门将其列入不良行为记录名单，在一至三年内禁止参加政府采购活动，并予以通报。征集人或者采购代理机构可从评标委员会推荐的入围候选供应商中按顺序重新确定入围供应商或重新组织招标。</w:t>
      </w:r>
    </w:p>
    <w:p w14:paraId="4F5541B0">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（1）入围后不与征集人框架协议的（不可抗力除外）；</w:t>
      </w:r>
    </w:p>
    <w:p w14:paraId="59E63FCF">
      <w:pPr>
        <w:pStyle w:val="15"/>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（2）将入围项目转让给他人，或者在响应文件中未说明，且未经征集人同意，将入围项目分包给他人的；</w:t>
      </w:r>
    </w:p>
    <w:p w14:paraId="27A0B7ED">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（3）拒绝履行框架协议义务的。</w:t>
      </w:r>
    </w:p>
    <w:p w14:paraId="7F9A6AB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32.4框架协议备案存档：框架协议同双方自签订之日起1个工作日内将协议原件两份交采购代理机构。采购代理机构将框架协议在省级以上人民政府财政部门指定媒体上公告并于协议签订之日起7个工作日内将一份协议原件送</w:t>
      </w:r>
      <w:r>
        <w:rPr>
          <w:rFonts w:hint="eastAsia" w:ascii="宋体" w:hAnsi="宋体" w:cs="宋体"/>
          <w:color w:val="auto"/>
          <w:szCs w:val="21"/>
          <w:highlight w:val="none"/>
          <w:lang w:eastAsia="zh-CN"/>
        </w:rPr>
        <w:t>桂林市财政局</w:t>
      </w:r>
      <w:r>
        <w:rPr>
          <w:rFonts w:hint="eastAsia" w:ascii="宋体" w:hAnsi="宋体" w:eastAsia="宋体" w:cs="宋体"/>
          <w:color w:val="auto"/>
          <w:szCs w:val="21"/>
          <w:highlight w:val="none"/>
        </w:rPr>
        <w:t>备案，一份由采购代理机构存档。</w:t>
      </w:r>
    </w:p>
    <w:p w14:paraId="6BA5384C">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32.5入围供应商的清退和补充</w:t>
      </w:r>
    </w:p>
    <w:p w14:paraId="3368D52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32.5.1封闭式框架协议入围供应商无正当理由，不得主动放弃入围资格或者退出框架协议。</w:t>
      </w:r>
    </w:p>
    <w:p w14:paraId="022D7B7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32.5.2入围供应商有下列情形之一，尚未签订框架协议的，取消其入围资格；已经签订框架协议的，解除与其签订的框架协议：</w:t>
      </w:r>
    </w:p>
    <w:p w14:paraId="2B9844CA">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（1）恶意串通谋取入围或者合同成交的；</w:t>
      </w:r>
    </w:p>
    <w:p w14:paraId="2FF12BA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（2）提供虚假材料谋取入围或者合同成交的；</w:t>
      </w:r>
    </w:p>
    <w:p w14:paraId="373EA4A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（3）无正当理由拒不接受合同授予的；</w:t>
      </w:r>
    </w:p>
    <w:p w14:paraId="2457B20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（4）不履行合同义务或者履行合同义务不符合约定，经征集人请求履行后仍不履行或者仍未按约定履行的；</w:t>
      </w:r>
    </w:p>
    <w:p w14:paraId="58A0B01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（5）框架协议有效期内，因违法行为被禁止或限制参加政府采购活动的；</w:t>
      </w:r>
    </w:p>
    <w:p w14:paraId="74C8FF9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（6）框架协议约定的其他情形。</w:t>
      </w:r>
    </w:p>
    <w:p w14:paraId="7891744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被取消入围资格或者被解除框架协议的供应商不得参加同一封闭式框架协议补充征集。</w:t>
      </w:r>
    </w:p>
    <w:p w14:paraId="3475A3F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32.5.3补充规则：框架协议有效期内，除剩余入围供应商不足入围供应商总数70%且影响框架协议执行的情形外，征集人不再补充征集供应商。</w:t>
      </w:r>
    </w:p>
    <w:p w14:paraId="6708145F">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八、其他事项</w:t>
      </w:r>
    </w:p>
    <w:p w14:paraId="4336CD30">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33、框架协议采购第二阶段（确定成交阶段）</w:t>
      </w:r>
    </w:p>
    <w:p w14:paraId="3903349D">
      <w:pPr>
        <w:keepNext w:val="0"/>
        <w:keepLines w:val="0"/>
        <w:pageBreakBefore w:val="0"/>
        <w:numPr>
          <w:ilvl w:val="255"/>
          <w:numId w:val="0"/>
        </w:numPr>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33.1确定成交供应商</w:t>
      </w:r>
    </w:p>
    <w:p w14:paraId="50761E2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征集人按照征集文件或框架协议中规定的方式从入围供应商中选定成交供应商签订合同。</w:t>
      </w:r>
    </w:p>
    <w:p w14:paraId="45A7AECA">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33.2成交结果公告</w:t>
      </w:r>
    </w:p>
    <w:p w14:paraId="36748E2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征集文件或框架协议中规定确定成交供应商的方式为二次竞价或顺序轮候方式，或者征集人在满足规定的前提下将合同授予非入围供应商，征集人在确定成交供应商后2个工作日内发布单笔成交结果公告，单笔成交公告在征集公告发布媒体上发布。</w:t>
      </w:r>
    </w:p>
    <w:p w14:paraId="26700076">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33.3合同</w:t>
      </w:r>
    </w:p>
    <w:p w14:paraId="3D48B497">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33.3.1合同授予标准</w:t>
      </w:r>
    </w:p>
    <w:p w14:paraId="116A268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除框架协议另有规定外，征集人采购框架协议约定的货物、服务，应当将采购合同授予入围供应商，成交供应商选定方式在框架协议中规定。</w:t>
      </w:r>
    </w:p>
    <w:p w14:paraId="7CB47B8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在签订合同前，如果入围供应商的组织机构、经营、财务状况发生较大变化，可能造成不能履行框架协议或合同、无法按照征集文件要求提交履约保证金等情形，不符合入围条件或不满足供应商资格条件要求，应在签订合同前及时书面告知征集人，未主动告知，给征集人造成损失的，征集人有权要求其赔偿损失。</w:t>
      </w:r>
    </w:p>
    <w:p w14:paraId="593298CE">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33.3.2签订合同</w:t>
      </w:r>
    </w:p>
    <w:p w14:paraId="22B5339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如征集文件无特别规定，成交供应商按征集文件及框架协议确定的事项签订政府采购合同。</w:t>
      </w:r>
    </w:p>
    <w:p w14:paraId="6CFB1D4A">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应当包括征集人与成交供应商的名称和住所、标的、数量、质量、价款或者报酬、履行期限及地点和方式、验收要求、违约责任、解决争议的方法等内容。框架协议、征集文件、成交供应商的响应文件及澄清文件等，均为签订政府采购合同的依据。</w:t>
      </w:r>
    </w:p>
    <w:p w14:paraId="139F4F84">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33.3.3履行合同</w:t>
      </w:r>
    </w:p>
    <w:p w14:paraId="530CC1D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157122B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对于双方解除合同的情况，应当按照《中华人民共和国民法典》合同编有关规定或者合同约定执行。</w:t>
      </w:r>
    </w:p>
    <w:p w14:paraId="2432F5DF">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33.3.4履约验收</w:t>
      </w:r>
    </w:p>
    <w:p w14:paraId="2AAE80C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征集人可以根据政府采购项目具体情况自行组织验收，或者委托政府采购代理机构、国家认可的质量检测机构开展采购项目履约验收工作。</w:t>
      </w:r>
    </w:p>
    <w:p w14:paraId="28E1DBE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验收结果合格的，成交供应商可向征集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4DA790B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采购合同项目完成验收后，征集人应当将验收原始记录、验收书、成交供应商按合同数量或工作量清单履约的记录或凭证等资料作为该采购项目档案妥善保管，不得伪造、变造、隐匿或者销毁，</w:t>
      </w:r>
    </w:p>
    <w:p w14:paraId="71C6056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将严格按照本征集文件及合同有关规定进行合同履约验收。征集文件或合同未规定的按财政部关于进一步加强政府采购需求和履约验收管理的指导意见（财库〔2016〕205号）以及《广西壮族自治区政府采购项目履约验收管理办法》（桂财采〔2015〕22号）的规定执行。</w:t>
      </w:r>
    </w:p>
    <w:p w14:paraId="3BF52D79">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33.4用户反馈及评价机制</w:t>
      </w:r>
    </w:p>
    <w:p w14:paraId="6E8FAB8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征集人将收集征集人对入围供应商履行框架协议和采购合同的情况的反馈与评价，并向所有征集人公开，作为第二阶段直接选定成交供应商的参考。</w:t>
      </w:r>
    </w:p>
    <w:p w14:paraId="13E0CB79">
      <w:pPr>
        <w:pStyle w:val="15"/>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.招标代理服务费</w:t>
      </w:r>
    </w:p>
    <w:p w14:paraId="5BE22C2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领取入围通知书前，入围供应商人须向采购代理机构一次付清中标服务费，中标服务费为人民币：</w:t>
      </w:r>
      <w:r>
        <w:rPr>
          <w:rFonts w:hint="eastAsia" w:ascii="宋体" w:hAnsi="宋体" w:cs="宋体"/>
          <w:color w:val="auto"/>
          <w:szCs w:val="21"/>
          <w:highlight w:val="none"/>
          <w:u w:val="single"/>
          <w:lang w:val="en-US" w:eastAsia="zh-CN"/>
        </w:rPr>
        <w:t xml:space="preserve"> 4350元 </w:t>
      </w:r>
      <w:r>
        <w:rPr>
          <w:rFonts w:hint="eastAsia" w:ascii="宋体" w:hAnsi="宋体" w:eastAsia="宋体" w:cs="宋体"/>
          <w:color w:val="auto"/>
          <w:szCs w:val="21"/>
          <w:highlight w:val="none"/>
        </w:rPr>
        <w:t>/每个入围供应商，否则，采购代理机构将视之为违约。</w:t>
      </w:r>
    </w:p>
    <w:p w14:paraId="4DF448CB">
      <w:pPr>
        <w:pStyle w:val="15"/>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交纳采购代理服务费的银行账户：</w:t>
      </w:r>
    </w:p>
    <w:p w14:paraId="6A15CCE5">
      <w:pPr>
        <w:pStyle w:val="15"/>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账户名称：广西鼎策工程顾问有限责任公司</w:t>
      </w:r>
    </w:p>
    <w:p w14:paraId="39B35261">
      <w:pPr>
        <w:pStyle w:val="15"/>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开户银行：建行南宁金湖北路支行</w:t>
      </w:r>
    </w:p>
    <w:p w14:paraId="4E369D67">
      <w:pPr>
        <w:pStyle w:val="15"/>
        <w:snapToGrid w:val="0"/>
        <w:spacing w:line="360" w:lineRule="auto"/>
        <w:ind w:firstLine="420" w:firstLineChars="200"/>
        <w:rPr>
          <w:rFonts w:hint="eastAsia" w:ascii="宋体" w:hAnsi="宋体" w:eastAsia="宋体" w:cs="宋体"/>
          <w:bCs/>
          <w:color w:val="auto"/>
          <w:szCs w:val="21"/>
          <w:highlight w:val="none"/>
          <w:lang w:eastAsia="zh-CN"/>
        </w:rPr>
      </w:pPr>
      <w:r>
        <w:rPr>
          <w:rFonts w:hint="eastAsia" w:hAnsi="宋体" w:cs="宋体"/>
          <w:bCs/>
          <w:color w:val="auto"/>
          <w:sz w:val="21"/>
          <w:szCs w:val="21"/>
          <w:highlight w:val="none"/>
        </w:rPr>
        <w:t>银行账号：4500 1604 2640 5070 0796</w:t>
      </w:r>
      <w:r>
        <w:rPr>
          <w:rFonts w:hint="eastAsia" w:ascii="宋体" w:hAnsi="宋体" w:cs="宋体"/>
          <w:bCs/>
          <w:color w:val="auto"/>
          <w:szCs w:val="21"/>
          <w:highlight w:val="none"/>
          <w:lang w:val="en-US" w:eastAsia="zh-CN"/>
        </w:rPr>
        <w:t xml:space="preserve"> </w:t>
      </w:r>
    </w:p>
    <w:p w14:paraId="4C1EF1F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35.解释权：</w:t>
      </w:r>
      <w:r>
        <w:rPr>
          <w:rFonts w:hint="eastAsia" w:ascii="宋体" w:hAnsi="宋体" w:eastAsia="宋体" w:cs="宋体"/>
          <w:color w:val="auto"/>
          <w:szCs w:val="21"/>
          <w:highlight w:val="none"/>
        </w:rPr>
        <w:t>本征集文件是根据《中华人民共和国政府采购法》、《中华人民共和国政府采购法实施条例》及《政府采购框架协议采购方式管理暂行办法》（财政部令110号）等相关规定编制，本征集文件的解释权属于采购代理机构。</w:t>
      </w:r>
    </w:p>
    <w:p w14:paraId="1AAD4297">
      <w:pPr>
        <w:keepNext w:val="0"/>
        <w:keepLines w:val="0"/>
        <w:pageBreakBefore w:val="0"/>
        <w:kinsoku/>
        <w:wordWrap/>
        <w:overflowPunct/>
        <w:topLinePunct w:val="0"/>
        <w:bidi w:val="0"/>
        <w:adjustRightInd/>
        <w:snapToGrid/>
        <w:spacing w:line="360"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eastAsia="宋体" w:cs="宋体"/>
          <w:b/>
          <w:color w:val="auto"/>
          <w:szCs w:val="21"/>
          <w:highlight w:val="none"/>
        </w:rPr>
        <w:t>36.监督管理机构：</w:t>
      </w:r>
      <w:r>
        <w:rPr>
          <w:rFonts w:hint="eastAsia" w:ascii="宋体" w:hAnsi="宋体" w:cs="宋体"/>
          <w:color w:val="auto"/>
          <w:szCs w:val="21"/>
          <w:highlight w:val="none"/>
          <w:lang w:eastAsia="zh-CN"/>
        </w:rPr>
        <w:t>桂林市财政局   联系电话：0773-2862142</w:t>
      </w:r>
    </w:p>
    <w:p w14:paraId="4F897FD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lang w:eastAsia="zh-CN"/>
        </w:rPr>
      </w:pPr>
    </w:p>
    <w:p w14:paraId="0DEB4ABC">
      <w:pPr>
        <w:spacing w:line="600" w:lineRule="exact"/>
        <w:jc w:val="center"/>
        <w:outlineLvl w:val="0"/>
        <w:rPr>
          <w:rStyle w:val="50"/>
          <w:rFonts w:hint="eastAsia" w:ascii="宋体" w:hAnsi="宋体" w:eastAsia="宋体" w:cs="宋体"/>
          <w:color w:val="auto"/>
          <w:sz w:val="21"/>
          <w:szCs w:val="21"/>
          <w:highlight w:val="none"/>
        </w:rPr>
      </w:pPr>
      <w:r>
        <w:rPr>
          <w:rFonts w:hint="eastAsia" w:ascii="宋体" w:hAnsi="宋体" w:eastAsia="宋体" w:cs="宋体"/>
          <w:b/>
          <w:color w:val="auto"/>
          <w:szCs w:val="21"/>
          <w:highlight w:val="none"/>
        </w:rPr>
        <w:br w:type="page"/>
      </w:r>
      <w:bookmarkStart w:id="34" w:name="_Toc10177"/>
      <w:bookmarkStart w:id="35" w:name="_Toc9851"/>
      <w:bookmarkStart w:id="36" w:name="_Toc18799"/>
      <w:bookmarkStart w:id="37" w:name="_Toc30359"/>
      <w:r>
        <w:rPr>
          <w:rStyle w:val="50"/>
          <w:rFonts w:hint="eastAsia" w:ascii="宋体" w:hAnsi="宋体" w:eastAsia="宋体" w:cs="宋体"/>
          <w:color w:val="auto"/>
          <w:sz w:val="32"/>
          <w:szCs w:val="32"/>
          <w:highlight w:val="none"/>
        </w:rPr>
        <w:t>第三章</w:t>
      </w:r>
      <w:bookmarkEnd w:id="34"/>
      <w:bookmarkStart w:id="38" w:name="_Toc5980"/>
      <w:r>
        <w:rPr>
          <w:rStyle w:val="50"/>
          <w:rFonts w:hint="eastAsia" w:ascii="宋体" w:hAnsi="宋体" w:cs="宋体"/>
          <w:color w:val="auto"/>
          <w:sz w:val="32"/>
          <w:szCs w:val="32"/>
          <w:highlight w:val="none"/>
          <w:lang w:val="en-US" w:eastAsia="zh-CN"/>
        </w:rPr>
        <w:t xml:space="preserve"> </w:t>
      </w:r>
      <w:r>
        <w:rPr>
          <w:rStyle w:val="50"/>
          <w:rFonts w:hint="eastAsia" w:ascii="宋体" w:hAnsi="宋体" w:eastAsia="宋体" w:cs="宋体"/>
          <w:color w:val="auto"/>
          <w:sz w:val="32"/>
          <w:szCs w:val="32"/>
          <w:highlight w:val="none"/>
        </w:rPr>
        <w:t>服务采购需求</w:t>
      </w:r>
      <w:bookmarkEnd w:id="35"/>
      <w:bookmarkEnd w:id="36"/>
      <w:bookmarkEnd w:id="37"/>
      <w:bookmarkEnd w:id="38"/>
    </w:p>
    <w:p w14:paraId="056373B4">
      <w:pPr>
        <w:keepNext w:val="0"/>
        <w:keepLines w:val="0"/>
        <w:pageBreakBefore w:val="0"/>
        <w:kinsoku/>
        <w:wordWrap/>
        <w:overflowPunct/>
        <w:topLinePunct w:val="0"/>
        <w:autoSpaceDE/>
        <w:autoSpaceDN/>
        <w:bidi w:val="0"/>
        <w:adjustRightInd w:val="0"/>
        <w:spacing w:line="340" w:lineRule="exact"/>
        <w:rPr>
          <w:rFonts w:hint="eastAsia" w:ascii="宋体" w:hAnsi="宋体" w:cs="宋体"/>
          <w:b/>
          <w:color w:val="auto"/>
          <w:szCs w:val="21"/>
          <w:highlight w:val="none"/>
        </w:rPr>
      </w:pPr>
      <w:bookmarkStart w:id="39" w:name="_Toc29757"/>
      <w:bookmarkStart w:id="40" w:name="_Toc4476"/>
      <w:bookmarkStart w:id="41" w:name="_Toc25135"/>
      <w:bookmarkStart w:id="42" w:name="_Toc25250"/>
      <w:r>
        <w:rPr>
          <w:rFonts w:hint="eastAsia" w:ascii="宋体" w:hAnsi="宋体" w:cs="宋体"/>
          <w:b/>
          <w:color w:val="auto"/>
          <w:szCs w:val="21"/>
          <w:highlight w:val="none"/>
        </w:rPr>
        <w:t>说明：</w:t>
      </w:r>
    </w:p>
    <w:p w14:paraId="567D6F77">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1.本项目征集人为</w:t>
      </w:r>
      <w:r>
        <w:rPr>
          <w:rFonts w:hint="eastAsia" w:ascii="宋体" w:hAnsi="宋体" w:cs="宋体"/>
          <w:color w:val="auto"/>
          <w:szCs w:val="21"/>
          <w:highlight w:val="none"/>
          <w:lang w:eastAsia="zh-CN"/>
        </w:rPr>
        <w:t>桂林市象山区城市管理局</w:t>
      </w:r>
      <w:r>
        <w:rPr>
          <w:rFonts w:hint="eastAsia" w:ascii="宋体" w:hAnsi="宋体" w:cs="宋体"/>
          <w:color w:val="auto"/>
          <w:szCs w:val="21"/>
          <w:highlight w:val="none"/>
        </w:rPr>
        <w:t>，负责组织征集第一阶段入围供应商，第二阶段：从第一阶段入围供应商中直接选定成交供应商，并与成交供应商签订采购合同，委托其开展相关服务工作。</w:t>
      </w:r>
    </w:p>
    <w:p w14:paraId="622C538C">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2.本项目服务质量应达到符合国家规定的服务标准和现行技术规范、规程要求。</w:t>
      </w:r>
    </w:p>
    <w:p w14:paraId="45567D49">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3.为落实政府采购政策需满足的要求</w:t>
      </w:r>
    </w:p>
    <w:p w14:paraId="57DE639B">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本征集文件所称中小企业必须符合《政府采购促进中小企业发展管理办法》（财库〔2020〕46号）的规定。</w:t>
      </w:r>
    </w:p>
    <w:p w14:paraId="61A273B2">
      <w:pPr>
        <w:keepNext w:val="0"/>
        <w:keepLines w:val="0"/>
        <w:pageBreakBefore w:val="0"/>
        <w:kinsoku/>
        <w:wordWrap/>
        <w:overflowPunct/>
        <w:topLinePunct w:val="0"/>
        <w:autoSpaceDE/>
        <w:autoSpaceDN/>
        <w:bidi w:val="0"/>
        <w:spacing w:line="340" w:lineRule="exact"/>
        <w:ind w:firstLine="424" w:firstLineChars="202"/>
        <w:jc w:val="left"/>
        <w:rPr>
          <w:rFonts w:hint="default" w:ascii="宋体" w:hAnsi="宋体" w:eastAsia="宋体" w:cs="宋体"/>
          <w:b/>
          <w:bCs/>
          <w:color w:val="auto"/>
          <w:szCs w:val="21"/>
          <w:highlight w:val="none"/>
          <w:lang w:val="en-US" w:eastAsia="zh-CN"/>
        </w:rPr>
      </w:pPr>
      <w:r>
        <w:rPr>
          <w:rFonts w:hint="eastAsia" w:ascii="宋体" w:hAnsi="宋体" w:cs="宋体"/>
          <w:color w:val="auto"/>
          <w:szCs w:val="21"/>
          <w:highlight w:val="none"/>
        </w:rPr>
        <w:t>4.“实质性要求”是指征集文件中已经指明不满足则响应无效的条款，或者不能负偏离的条款，或者</w:t>
      </w:r>
      <w:r>
        <w:rPr>
          <w:rFonts w:hint="eastAsia" w:ascii="宋体" w:hAnsi="宋体" w:cs="宋体"/>
          <w:color w:val="auto"/>
          <w:szCs w:val="21"/>
          <w:highlight w:val="none"/>
          <w:lang w:eastAsia="zh-CN"/>
        </w:rPr>
        <w:t>服务采购需求</w:t>
      </w:r>
      <w:r>
        <w:rPr>
          <w:rFonts w:hint="eastAsia" w:ascii="宋体" w:hAnsi="宋体" w:cs="宋体"/>
          <w:color w:val="auto"/>
          <w:szCs w:val="21"/>
          <w:highlight w:val="none"/>
        </w:rPr>
        <w:t>中带“★”的条款。</w:t>
      </w:r>
      <w:r>
        <w:rPr>
          <w:rFonts w:hint="eastAsia" w:ascii="宋体" w:hAnsi="宋体" w:cs="宋体"/>
          <w:b/>
          <w:bCs/>
          <w:color w:val="auto"/>
          <w:szCs w:val="21"/>
          <w:highlight w:val="none"/>
          <w:lang w:eastAsia="zh-CN"/>
        </w:rPr>
        <w:t>本项目“服务采购需求”中的所有要求均为实质性要求。</w:t>
      </w:r>
    </w:p>
    <w:p w14:paraId="2ECBE3CD">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cs="宋体"/>
          <w:color w:val="auto"/>
          <w:highlight w:val="none"/>
        </w:rPr>
      </w:pPr>
      <w:r>
        <w:rPr>
          <w:rFonts w:hint="eastAsia" w:ascii="宋体" w:hAnsi="宋体" w:cs="宋体"/>
          <w:color w:val="auto"/>
          <w:szCs w:val="21"/>
          <w:highlight w:val="none"/>
        </w:rPr>
        <w:t>5.</w:t>
      </w:r>
      <w:r>
        <w:rPr>
          <w:rFonts w:hint="eastAsia" w:ascii="宋体" w:hAnsi="宋体" w:cs="宋体"/>
          <w:color w:val="auto"/>
          <w:highlight w:val="none"/>
        </w:rPr>
        <w:t>如供应商响应产品存在侵犯他人的知识产权或者专利成果行为的，应承担相应法律责任。</w:t>
      </w:r>
    </w:p>
    <w:p w14:paraId="0E96A615">
      <w:pPr>
        <w:pStyle w:val="15"/>
        <w:keepNext w:val="0"/>
        <w:keepLines w:val="0"/>
        <w:pageBreakBefore w:val="0"/>
        <w:kinsoku/>
        <w:wordWrap/>
        <w:overflowPunct/>
        <w:topLinePunct w:val="0"/>
        <w:autoSpaceDE/>
        <w:autoSpaceDN/>
        <w:bidi w:val="0"/>
        <w:snapToGrid w:val="0"/>
        <w:spacing w:line="340" w:lineRule="exac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服务采购需求：</w:t>
      </w:r>
    </w:p>
    <w:p w14:paraId="14B4E8DE">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一、项目名称：</w:t>
      </w:r>
      <w:r>
        <w:rPr>
          <w:rFonts w:hint="eastAsia" w:ascii="宋体" w:hAnsi="宋体" w:cs="宋体"/>
          <w:color w:val="auto"/>
          <w:szCs w:val="21"/>
          <w:highlight w:val="none"/>
          <w:lang w:eastAsia="zh-CN"/>
        </w:rPr>
        <w:t>桂林市象山区城市管理局垃圾清运项目</w:t>
      </w:r>
      <w:r>
        <w:rPr>
          <w:rFonts w:hint="eastAsia" w:ascii="宋体" w:hAnsi="宋体" w:eastAsia="宋体" w:cs="宋体"/>
          <w:color w:val="auto"/>
          <w:szCs w:val="21"/>
          <w:highlight w:val="none"/>
        </w:rPr>
        <w:t xml:space="preserve"> </w:t>
      </w:r>
    </w:p>
    <w:p w14:paraId="377EF34C">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二、本项目为</w:t>
      </w:r>
      <w:r>
        <w:rPr>
          <w:rFonts w:hint="eastAsia" w:ascii="宋体" w:hAnsi="宋体" w:cs="宋体"/>
          <w:color w:val="auto"/>
          <w:szCs w:val="21"/>
          <w:highlight w:val="none"/>
          <w:lang w:eastAsia="zh-CN"/>
        </w:rPr>
        <w:t>桂林市象山区城市管理局垃圾清运项目</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共确定二名供应商</w:t>
      </w:r>
      <w:r>
        <w:rPr>
          <w:rFonts w:hint="eastAsia" w:ascii="宋体" w:hAnsi="宋体" w:eastAsia="宋体" w:cs="宋体"/>
          <w:color w:val="auto"/>
          <w:szCs w:val="21"/>
          <w:highlight w:val="none"/>
        </w:rPr>
        <w:t>为</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人。供应商入围后，由采购单位根据实际情况进行分配。</w:t>
      </w:r>
    </w:p>
    <w:p w14:paraId="14EA6158">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内容：桂林市</w:t>
      </w:r>
      <w:r>
        <w:rPr>
          <w:rFonts w:hint="eastAsia" w:ascii="宋体" w:hAnsi="宋体" w:cs="宋体"/>
          <w:color w:val="auto"/>
          <w:szCs w:val="21"/>
          <w:highlight w:val="none"/>
          <w:lang w:eastAsia="zh-CN"/>
        </w:rPr>
        <w:t>象山区</w:t>
      </w:r>
      <w:r>
        <w:rPr>
          <w:rFonts w:hint="eastAsia" w:ascii="宋体" w:hAnsi="宋体" w:eastAsia="宋体" w:cs="宋体"/>
          <w:color w:val="auto"/>
          <w:szCs w:val="21"/>
          <w:highlight w:val="none"/>
        </w:rPr>
        <w:t>采购人指定的建筑、违建房屋、违建钢架棚等</w:t>
      </w:r>
      <w:r>
        <w:rPr>
          <w:rFonts w:hint="eastAsia" w:ascii="宋体" w:hAnsi="宋体" w:cs="宋体"/>
          <w:color w:val="auto"/>
          <w:szCs w:val="21"/>
          <w:highlight w:val="none"/>
          <w:lang w:eastAsia="zh-CN"/>
        </w:rPr>
        <w:t>建筑清运后的渣土</w:t>
      </w:r>
      <w:r>
        <w:rPr>
          <w:rFonts w:hint="eastAsia" w:ascii="宋体" w:hAnsi="宋体" w:eastAsia="宋体" w:cs="宋体"/>
          <w:color w:val="auto"/>
          <w:szCs w:val="21"/>
          <w:highlight w:val="none"/>
        </w:rPr>
        <w:t>清</w:t>
      </w:r>
      <w:r>
        <w:rPr>
          <w:rFonts w:hint="eastAsia" w:ascii="宋体" w:hAnsi="宋体" w:cs="宋体"/>
          <w:color w:val="auto"/>
          <w:szCs w:val="21"/>
          <w:highlight w:val="none"/>
          <w:lang w:eastAsia="zh-CN"/>
        </w:rPr>
        <w:t>运等工作</w:t>
      </w:r>
      <w:r>
        <w:rPr>
          <w:rFonts w:hint="eastAsia" w:ascii="宋体" w:hAnsi="宋体" w:eastAsia="宋体" w:cs="宋体"/>
          <w:color w:val="auto"/>
          <w:szCs w:val="21"/>
          <w:highlight w:val="none"/>
        </w:rPr>
        <w:t>。</w:t>
      </w:r>
    </w:p>
    <w:p w14:paraId="442D62E1">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四、服务期限：</w:t>
      </w:r>
      <w:r>
        <w:rPr>
          <w:rFonts w:hint="eastAsia" w:ascii="宋体" w:hAnsi="宋体" w:eastAsia="宋体" w:cs="宋体"/>
          <w:color w:val="auto"/>
          <w:sz w:val="21"/>
          <w:szCs w:val="21"/>
          <w:highlight w:val="none"/>
        </w:rPr>
        <w:t>自框架协议签订之日起满两年止</w:t>
      </w:r>
      <w:r>
        <w:rPr>
          <w:rFonts w:hint="eastAsia" w:ascii="宋体" w:hAnsi="宋体" w:eastAsia="宋体" w:cs="宋体"/>
          <w:color w:val="auto"/>
          <w:szCs w:val="21"/>
          <w:highlight w:val="none"/>
        </w:rPr>
        <w:t>。在服务期内按照采购人通知进行</w:t>
      </w:r>
      <w:r>
        <w:rPr>
          <w:rFonts w:hint="eastAsia" w:hAnsi="宋体" w:cs="宋体"/>
          <w:color w:val="auto"/>
          <w:szCs w:val="21"/>
          <w:highlight w:val="none"/>
          <w:lang w:eastAsia="zh-CN"/>
        </w:rPr>
        <w:t>清运后的</w:t>
      </w:r>
      <w:r>
        <w:rPr>
          <w:rFonts w:hint="eastAsia" w:ascii="宋体" w:hAnsi="宋体" w:eastAsia="宋体" w:cs="宋体"/>
          <w:color w:val="auto"/>
          <w:szCs w:val="21"/>
          <w:highlight w:val="none"/>
        </w:rPr>
        <w:t>渣土清运</w:t>
      </w:r>
      <w:r>
        <w:rPr>
          <w:rFonts w:hint="eastAsia" w:hAnsi="宋体" w:cs="宋体"/>
          <w:color w:val="auto"/>
          <w:szCs w:val="21"/>
          <w:highlight w:val="none"/>
          <w:lang w:eastAsia="zh-CN"/>
        </w:rPr>
        <w:t>等</w:t>
      </w:r>
      <w:r>
        <w:rPr>
          <w:rFonts w:hint="eastAsia" w:ascii="宋体" w:hAnsi="宋体" w:eastAsia="宋体" w:cs="宋体"/>
          <w:color w:val="auto"/>
          <w:szCs w:val="21"/>
          <w:highlight w:val="none"/>
        </w:rPr>
        <w:t>工作。</w:t>
      </w:r>
    </w:p>
    <w:p w14:paraId="09F4F026">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五、付款方式：</w:t>
      </w:r>
      <w:r>
        <w:rPr>
          <w:rFonts w:hint="eastAsia" w:hAnsi="宋体" w:cs="宋体"/>
          <w:color w:val="auto"/>
          <w:szCs w:val="21"/>
          <w:highlight w:val="none"/>
          <w:lang w:eastAsia="zh-CN"/>
        </w:rPr>
        <w:t>按每个项目的实际合同金额支付（如象山区财政有规定的按其规定执行）</w:t>
      </w:r>
      <w:r>
        <w:rPr>
          <w:rFonts w:hint="eastAsia" w:ascii="宋体" w:hAnsi="宋体" w:eastAsia="宋体" w:cs="宋体"/>
          <w:color w:val="auto"/>
          <w:szCs w:val="21"/>
          <w:highlight w:val="none"/>
        </w:rPr>
        <w:t>。</w:t>
      </w:r>
    </w:p>
    <w:p w14:paraId="1E1A2D3F">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人每次申请付款时必须向采购人提供与当次支付款数额相等的正规增值税发票后，采购人在十五个工作日内进行支付。</w:t>
      </w:r>
    </w:p>
    <w:p w14:paraId="7353DB43">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六、其他要求：</w:t>
      </w:r>
    </w:p>
    <w:p w14:paraId="3383C38F">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成交供应商</w:t>
      </w:r>
      <w:r>
        <w:rPr>
          <w:rFonts w:hint="eastAsia" w:ascii="宋体" w:hAnsi="宋体" w:eastAsia="宋体" w:cs="宋体"/>
          <w:color w:val="auto"/>
          <w:szCs w:val="21"/>
          <w:highlight w:val="none"/>
        </w:rPr>
        <w:t>在</w:t>
      </w:r>
      <w:r>
        <w:rPr>
          <w:rFonts w:hint="eastAsia" w:hAnsi="宋体" w:cs="宋体"/>
          <w:color w:val="auto"/>
          <w:szCs w:val="21"/>
          <w:highlight w:val="none"/>
          <w:lang w:eastAsia="zh-CN"/>
        </w:rPr>
        <w:t>请运</w:t>
      </w:r>
      <w:r>
        <w:rPr>
          <w:rFonts w:hint="eastAsia" w:ascii="宋体" w:hAnsi="宋体" w:eastAsia="宋体" w:cs="宋体"/>
          <w:color w:val="auto"/>
          <w:szCs w:val="21"/>
          <w:highlight w:val="none"/>
        </w:rPr>
        <w:t>现场必须按要求准备足够的专业人员和专业机械，满足作业必备条件，并接受执法队现场指挥统一安排，随时调度，能不畏违建户的谩骂和威胁，确保</w:t>
      </w:r>
      <w:r>
        <w:rPr>
          <w:rFonts w:hint="eastAsia" w:hAnsi="宋体" w:cs="宋体"/>
          <w:color w:val="auto"/>
          <w:szCs w:val="21"/>
          <w:highlight w:val="none"/>
          <w:lang w:eastAsia="zh-CN"/>
        </w:rPr>
        <w:t>清运</w:t>
      </w:r>
      <w:r>
        <w:rPr>
          <w:rFonts w:hint="eastAsia" w:ascii="宋体" w:hAnsi="宋体" w:eastAsia="宋体" w:cs="宋体"/>
          <w:color w:val="auto"/>
          <w:szCs w:val="21"/>
          <w:highlight w:val="none"/>
        </w:rPr>
        <w:t>时随叫随到，有执行力。按要求进行现场清理，确保安全无事故。</w:t>
      </w:r>
    </w:p>
    <w:p w14:paraId="22768ED3">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2、工程费用：实施清</w:t>
      </w:r>
      <w:r>
        <w:rPr>
          <w:rFonts w:hint="eastAsia" w:hAnsi="宋体" w:cs="宋体"/>
          <w:color w:val="auto"/>
          <w:szCs w:val="21"/>
          <w:highlight w:val="none"/>
          <w:lang w:eastAsia="zh-CN"/>
        </w:rPr>
        <w:t>运</w:t>
      </w:r>
      <w:r>
        <w:rPr>
          <w:rFonts w:hint="eastAsia" w:ascii="宋体" w:hAnsi="宋体" w:eastAsia="宋体" w:cs="宋体"/>
          <w:color w:val="auto"/>
          <w:szCs w:val="21"/>
          <w:highlight w:val="none"/>
        </w:rPr>
        <w:t>过程中，产生的人工、机械、安全文明施工措施等一切费用由</w:t>
      </w:r>
      <w:r>
        <w:rPr>
          <w:rFonts w:hint="eastAsia" w:ascii="宋体" w:hAnsi="宋体" w:eastAsia="宋体" w:cs="宋体"/>
          <w:color w:val="auto"/>
          <w:szCs w:val="21"/>
          <w:highlight w:val="none"/>
          <w:lang w:eastAsia="zh-CN"/>
        </w:rPr>
        <w:t>成交供应商</w:t>
      </w:r>
      <w:r>
        <w:rPr>
          <w:rFonts w:hint="eastAsia" w:ascii="宋体" w:hAnsi="宋体" w:eastAsia="宋体" w:cs="宋体"/>
          <w:color w:val="auto"/>
          <w:szCs w:val="21"/>
          <w:highlight w:val="none"/>
        </w:rPr>
        <w:t>自行承担。</w:t>
      </w:r>
    </w:p>
    <w:p w14:paraId="7CE5E632">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3、成交供应商</w:t>
      </w:r>
      <w:r>
        <w:rPr>
          <w:rFonts w:hint="eastAsia" w:ascii="宋体" w:hAnsi="宋体" w:eastAsia="宋体" w:cs="宋体"/>
          <w:color w:val="auto"/>
          <w:szCs w:val="21"/>
          <w:highlight w:val="none"/>
        </w:rPr>
        <w:t>必须负责安全文明生产，自行承担该</w:t>
      </w:r>
      <w:r>
        <w:rPr>
          <w:rFonts w:hint="eastAsia" w:hAnsi="宋体" w:cs="宋体"/>
          <w:color w:val="auto"/>
          <w:szCs w:val="21"/>
          <w:highlight w:val="none"/>
          <w:lang w:eastAsia="zh-CN"/>
        </w:rPr>
        <w:t>项目</w:t>
      </w:r>
      <w:r>
        <w:rPr>
          <w:rFonts w:hint="eastAsia" w:ascii="宋体" w:hAnsi="宋体" w:eastAsia="宋体" w:cs="宋体"/>
          <w:color w:val="auto"/>
          <w:szCs w:val="21"/>
          <w:highlight w:val="none"/>
        </w:rPr>
        <w:t>所有安全生产责任，并接受相关部门的检查、督导。施工前应做好警示标志，</w:t>
      </w:r>
      <w:r>
        <w:rPr>
          <w:rFonts w:hint="eastAsia" w:hAnsi="宋体" w:cs="宋体"/>
          <w:color w:val="auto"/>
          <w:szCs w:val="21"/>
          <w:highlight w:val="none"/>
          <w:lang w:eastAsia="zh-CN"/>
        </w:rPr>
        <w:t>规范</w:t>
      </w:r>
      <w:r>
        <w:rPr>
          <w:rFonts w:hint="eastAsia" w:ascii="宋体" w:hAnsi="宋体" w:eastAsia="宋体" w:cs="宋体"/>
          <w:color w:val="auto"/>
          <w:szCs w:val="21"/>
          <w:highlight w:val="none"/>
        </w:rPr>
        <w:t>施工。相关标牌及围挡防护应到位，施工前应仔细勘察现场，做好所有影响</w:t>
      </w:r>
      <w:r>
        <w:rPr>
          <w:rFonts w:hint="eastAsia" w:hAnsi="宋体" w:cs="宋体"/>
          <w:color w:val="auto"/>
          <w:szCs w:val="21"/>
          <w:highlight w:val="none"/>
          <w:lang w:eastAsia="zh-CN"/>
        </w:rPr>
        <w:t>清运</w:t>
      </w:r>
      <w:r>
        <w:rPr>
          <w:rFonts w:hint="eastAsia" w:ascii="宋体" w:hAnsi="宋体" w:eastAsia="宋体" w:cs="宋体"/>
          <w:color w:val="auto"/>
          <w:szCs w:val="21"/>
          <w:highlight w:val="none"/>
        </w:rPr>
        <w:t>清理因素的评估。</w:t>
      </w:r>
    </w:p>
    <w:p w14:paraId="611DA845">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桂林市象山区清运施工费用参考价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参考单价详见下表：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15"/>
        <w:gridCol w:w="1188"/>
        <w:gridCol w:w="862"/>
        <w:gridCol w:w="788"/>
        <w:gridCol w:w="1287"/>
        <w:gridCol w:w="2500"/>
      </w:tblGrid>
      <w:tr w14:paraId="4B9D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89" w:type="dxa"/>
            <w:vAlign w:val="center"/>
          </w:tcPr>
          <w:p w14:paraId="248888A0">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color w:val="auto"/>
                <w:sz w:val="22"/>
                <w:highlight w:val="none"/>
                <w:lang w:eastAsia="zh-CN"/>
              </w:rPr>
              <w:t>序号</w:t>
            </w:r>
          </w:p>
        </w:tc>
        <w:tc>
          <w:tcPr>
            <w:tcW w:w="1115" w:type="dxa"/>
            <w:vAlign w:val="center"/>
          </w:tcPr>
          <w:p w14:paraId="159D1477">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auto"/>
                <w:sz w:val="22"/>
                <w:highlight w:val="none"/>
              </w:rPr>
              <w:t>服务</w:t>
            </w:r>
            <w:r>
              <w:rPr>
                <w:rFonts w:hint="eastAsia" w:ascii="宋体" w:hAnsi="宋体"/>
                <w:color w:val="auto"/>
                <w:sz w:val="22"/>
                <w:highlight w:val="none"/>
                <w:lang w:eastAsia="zh-CN"/>
              </w:rPr>
              <w:t>名称</w:t>
            </w:r>
          </w:p>
        </w:tc>
        <w:tc>
          <w:tcPr>
            <w:tcW w:w="1188" w:type="dxa"/>
            <w:vAlign w:val="center"/>
          </w:tcPr>
          <w:p w14:paraId="3A0214D9">
            <w:pPr>
              <w:spacing w:line="322" w:lineRule="exact"/>
              <w:jc w:val="center"/>
              <w:rPr>
                <w:rFonts w:hint="eastAsia" w:ascii="宋体" w:hAnsi="宋体" w:eastAsia="宋体" w:cs="宋体"/>
                <w:color w:val="auto"/>
                <w:szCs w:val="21"/>
                <w:highlight w:val="none"/>
                <w:vertAlign w:val="baseline"/>
                <w:lang w:val="en-US" w:eastAsia="zh-CN"/>
              </w:rPr>
            </w:pPr>
            <w:r>
              <w:rPr>
                <w:rFonts w:hint="eastAsia" w:ascii="宋体" w:hAnsi="宋体"/>
                <w:color w:val="auto"/>
                <w:sz w:val="22"/>
                <w:highlight w:val="none"/>
                <w:lang w:eastAsia="zh-CN"/>
              </w:rPr>
              <w:t>服务需求</w:t>
            </w:r>
          </w:p>
        </w:tc>
        <w:tc>
          <w:tcPr>
            <w:tcW w:w="862" w:type="dxa"/>
            <w:vAlign w:val="center"/>
          </w:tcPr>
          <w:p w14:paraId="1F70B6DA">
            <w:pPr>
              <w:spacing w:line="321" w:lineRule="exact"/>
              <w:jc w:val="center"/>
              <w:rPr>
                <w:rFonts w:hint="eastAsia" w:ascii="宋体" w:hAnsi="宋体" w:eastAsia="宋体" w:cs="宋体"/>
                <w:color w:val="auto"/>
                <w:szCs w:val="21"/>
                <w:highlight w:val="none"/>
                <w:vertAlign w:val="baseline"/>
                <w:lang w:val="en-US" w:eastAsia="zh-CN"/>
              </w:rPr>
            </w:pPr>
            <w:r>
              <w:rPr>
                <w:rFonts w:hint="eastAsia" w:ascii="宋体" w:hAnsi="宋体"/>
                <w:color w:val="auto"/>
                <w:sz w:val="22"/>
                <w:highlight w:val="none"/>
                <w:lang w:eastAsia="zh-CN"/>
              </w:rPr>
              <w:t>数量</w:t>
            </w:r>
          </w:p>
        </w:tc>
        <w:tc>
          <w:tcPr>
            <w:tcW w:w="788" w:type="dxa"/>
            <w:vAlign w:val="center"/>
          </w:tcPr>
          <w:p w14:paraId="682156EF">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单位</w:t>
            </w:r>
          </w:p>
        </w:tc>
        <w:tc>
          <w:tcPr>
            <w:tcW w:w="1287" w:type="dxa"/>
            <w:vAlign w:val="center"/>
          </w:tcPr>
          <w:p w14:paraId="2D3B5EA9">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auto"/>
                <w:sz w:val="22"/>
                <w:highlight w:val="none"/>
              </w:rPr>
              <w:t>单</w:t>
            </w:r>
            <w:r>
              <w:rPr>
                <w:rFonts w:hint="eastAsia" w:ascii="宋体" w:hAnsi="宋体"/>
                <w:color w:val="auto"/>
                <w:sz w:val="22"/>
                <w:highlight w:val="none"/>
                <w:lang w:eastAsia="zh-CN"/>
              </w:rPr>
              <w:t>价（元）</w:t>
            </w:r>
          </w:p>
        </w:tc>
        <w:tc>
          <w:tcPr>
            <w:tcW w:w="2500" w:type="dxa"/>
            <w:vAlign w:val="center"/>
          </w:tcPr>
          <w:p w14:paraId="28A72D4D">
            <w:pPr>
              <w:spacing w:line="330" w:lineRule="exact"/>
              <w:jc w:val="center"/>
              <w:rPr>
                <w:rFonts w:hint="eastAsia" w:ascii="宋体" w:hAnsi="宋体" w:eastAsia="宋体"/>
                <w:color w:val="auto"/>
                <w:sz w:val="22"/>
                <w:highlight w:val="none"/>
              </w:rPr>
            </w:pPr>
            <w:r>
              <w:rPr>
                <w:rFonts w:hint="eastAsia" w:ascii="宋体" w:hAnsi="宋体" w:eastAsia="宋体"/>
                <w:color w:val="auto"/>
                <w:sz w:val="22"/>
                <w:highlight w:val="none"/>
              </w:rPr>
              <w:t>备注</w:t>
            </w:r>
          </w:p>
        </w:tc>
      </w:tr>
      <w:tr w14:paraId="2089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0D0469A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115" w:type="dxa"/>
            <w:vAlign w:val="center"/>
          </w:tcPr>
          <w:p w14:paraId="08AFB08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清运垃 圾施工 方采购</w:t>
            </w:r>
          </w:p>
        </w:tc>
        <w:tc>
          <w:tcPr>
            <w:tcW w:w="1188" w:type="dxa"/>
            <w:vAlign w:val="center"/>
          </w:tcPr>
          <w:p w14:paraId="2FBC8D6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一、清理表面附着物</w:t>
            </w:r>
          </w:p>
        </w:tc>
        <w:tc>
          <w:tcPr>
            <w:tcW w:w="862" w:type="dxa"/>
            <w:vAlign w:val="center"/>
          </w:tcPr>
          <w:p w14:paraId="2104A19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以实际测量数据 计算</w:t>
            </w:r>
          </w:p>
        </w:tc>
        <w:tc>
          <w:tcPr>
            <w:tcW w:w="788" w:type="dxa"/>
            <w:vAlign w:val="center"/>
          </w:tcPr>
          <w:p w14:paraId="7B9B737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100C3C0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m²</w:t>
            </w:r>
          </w:p>
        </w:tc>
        <w:tc>
          <w:tcPr>
            <w:tcW w:w="1287" w:type="dxa"/>
            <w:vAlign w:val="center"/>
          </w:tcPr>
          <w:p w14:paraId="502641F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60F0A63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4元</w:t>
            </w:r>
          </w:p>
        </w:tc>
        <w:tc>
          <w:tcPr>
            <w:tcW w:w="2500" w:type="dxa"/>
            <w:vAlign w:val="top"/>
          </w:tcPr>
          <w:p w14:paraId="6BCF572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1、作业时 间8小时内 按1个台班 结算。</w:t>
            </w:r>
          </w:p>
          <w:p w14:paraId="401DD5B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2、以上设备 报价所含拖 车运输费均 为桂林市四 城区内拖车 运费，四城 区以外需拖 车运输设备 报价在原有 报价基础上 加500元/次/台班。</w:t>
            </w:r>
          </w:p>
        </w:tc>
      </w:tr>
      <w:tr w14:paraId="029E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2CBC4E0A">
            <w:pPr>
              <w:spacing w:line="330" w:lineRule="exact"/>
              <w:jc w:val="center"/>
              <w:rPr>
                <w:rFonts w:hint="eastAsia" w:ascii="宋体" w:hAnsi="宋体" w:eastAsia="宋体"/>
                <w:color w:val="auto"/>
                <w:sz w:val="22"/>
                <w:highlight w:val="none"/>
                <w:lang w:val="en-US" w:eastAsia="zh-CN"/>
              </w:rPr>
            </w:pPr>
            <w:r>
              <w:rPr>
                <w:rFonts w:hint="eastAsia" w:ascii="宋体" w:hAnsi="宋体"/>
                <w:color w:val="auto"/>
                <w:sz w:val="22"/>
                <w:highlight w:val="none"/>
                <w:lang w:val="en-US" w:eastAsia="zh-CN"/>
              </w:rPr>
              <w:t>2</w:t>
            </w:r>
          </w:p>
        </w:tc>
        <w:tc>
          <w:tcPr>
            <w:tcW w:w="1115" w:type="dxa"/>
            <w:vMerge w:val="restart"/>
            <w:vAlign w:val="center"/>
          </w:tcPr>
          <w:p w14:paraId="2A67634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color w:val="auto"/>
                <w:spacing w:val="-3"/>
                <w:highlight w:val="none"/>
              </w:rPr>
              <w:t>清运垃</w:t>
            </w:r>
            <w:r>
              <w:rPr>
                <w:color w:val="auto"/>
                <w:highlight w:val="none"/>
              </w:rPr>
              <w:t xml:space="preserve"> </w:t>
            </w:r>
            <w:r>
              <w:rPr>
                <w:color w:val="auto"/>
                <w:spacing w:val="3"/>
                <w:highlight w:val="none"/>
              </w:rPr>
              <w:t>圾施工</w:t>
            </w:r>
            <w:r>
              <w:rPr>
                <w:color w:val="auto"/>
                <w:spacing w:val="1"/>
                <w:highlight w:val="none"/>
              </w:rPr>
              <w:t xml:space="preserve"> </w:t>
            </w:r>
            <w:r>
              <w:rPr>
                <w:color w:val="auto"/>
                <w:spacing w:val="-3"/>
                <w:highlight w:val="none"/>
              </w:rPr>
              <w:t>方采购</w:t>
            </w:r>
          </w:p>
        </w:tc>
        <w:tc>
          <w:tcPr>
            <w:tcW w:w="1188" w:type="dxa"/>
            <w:vAlign w:val="center"/>
          </w:tcPr>
          <w:p w14:paraId="57A7AA7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b/>
                <w:bCs/>
                <w:color w:val="auto"/>
                <w:spacing w:val="-4"/>
                <w:highlight w:val="none"/>
              </w:rPr>
              <w:t>二、运输车辆</w:t>
            </w:r>
          </w:p>
        </w:tc>
        <w:tc>
          <w:tcPr>
            <w:tcW w:w="862" w:type="dxa"/>
            <w:vAlign w:val="center"/>
          </w:tcPr>
          <w:p w14:paraId="3B3D260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8" w:type="dxa"/>
            <w:vAlign w:val="center"/>
          </w:tcPr>
          <w:p w14:paraId="78B7F7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287" w:type="dxa"/>
            <w:vAlign w:val="center"/>
          </w:tcPr>
          <w:p w14:paraId="7C37DF7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2500" w:type="dxa"/>
            <w:vAlign w:val="top"/>
          </w:tcPr>
          <w:p w14:paraId="3796880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p>
        </w:tc>
      </w:tr>
      <w:tr w14:paraId="14A2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 w:type="dxa"/>
            <w:vMerge w:val="continue"/>
            <w:vAlign w:val="center"/>
          </w:tcPr>
          <w:p w14:paraId="402EA167">
            <w:pPr>
              <w:spacing w:line="330" w:lineRule="exact"/>
              <w:jc w:val="center"/>
              <w:rPr>
                <w:rFonts w:hint="eastAsia" w:ascii="宋体" w:hAnsi="宋体" w:eastAsia="宋体"/>
                <w:color w:val="auto"/>
                <w:sz w:val="22"/>
                <w:highlight w:val="none"/>
                <w:lang w:val="en-US" w:eastAsia="zh-CN"/>
              </w:rPr>
            </w:pPr>
          </w:p>
        </w:tc>
        <w:tc>
          <w:tcPr>
            <w:tcW w:w="1115" w:type="dxa"/>
            <w:vMerge w:val="continue"/>
            <w:vAlign w:val="center"/>
          </w:tcPr>
          <w:p w14:paraId="33F9A31C">
            <w:pPr>
              <w:spacing w:line="330" w:lineRule="exact"/>
              <w:jc w:val="center"/>
              <w:rPr>
                <w:rFonts w:hint="eastAsia" w:ascii="宋体" w:hAnsi="宋体" w:eastAsia="宋体"/>
                <w:color w:val="auto"/>
                <w:sz w:val="22"/>
                <w:highlight w:val="none"/>
              </w:rPr>
            </w:pPr>
          </w:p>
        </w:tc>
        <w:tc>
          <w:tcPr>
            <w:tcW w:w="1188" w:type="dxa"/>
            <w:vAlign w:val="center"/>
          </w:tcPr>
          <w:p w14:paraId="74BFB61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大型货车(渣土密</w:t>
            </w:r>
          </w:p>
          <w:p w14:paraId="50BA50C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封专运车)</w:t>
            </w:r>
          </w:p>
        </w:tc>
        <w:tc>
          <w:tcPr>
            <w:tcW w:w="862" w:type="dxa"/>
            <w:vAlign w:val="center"/>
          </w:tcPr>
          <w:p w14:paraId="4011EE5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469C2A3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6E1890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600元</w:t>
            </w:r>
          </w:p>
        </w:tc>
        <w:tc>
          <w:tcPr>
            <w:tcW w:w="2500" w:type="dxa"/>
            <w:vAlign w:val="center"/>
          </w:tcPr>
          <w:p w14:paraId="529F22DA">
            <w:pPr>
              <w:spacing w:line="330" w:lineRule="exact"/>
              <w:jc w:val="center"/>
              <w:rPr>
                <w:rFonts w:hint="eastAsia" w:ascii="宋体" w:hAnsi="宋体" w:eastAsia="宋体"/>
                <w:color w:val="auto"/>
                <w:sz w:val="22"/>
                <w:highlight w:val="none"/>
              </w:rPr>
            </w:pPr>
          </w:p>
        </w:tc>
      </w:tr>
      <w:tr w14:paraId="7428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355087D3">
            <w:pPr>
              <w:spacing w:line="330" w:lineRule="exact"/>
              <w:jc w:val="center"/>
              <w:rPr>
                <w:rFonts w:hint="eastAsia" w:ascii="宋体" w:hAnsi="宋体" w:eastAsia="宋体"/>
                <w:color w:val="auto"/>
                <w:sz w:val="22"/>
                <w:highlight w:val="none"/>
              </w:rPr>
            </w:pPr>
          </w:p>
        </w:tc>
        <w:tc>
          <w:tcPr>
            <w:tcW w:w="1115" w:type="dxa"/>
            <w:vMerge w:val="continue"/>
            <w:vAlign w:val="center"/>
          </w:tcPr>
          <w:p w14:paraId="767CF18F">
            <w:pPr>
              <w:spacing w:line="330" w:lineRule="exact"/>
              <w:jc w:val="center"/>
              <w:rPr>
                <w:rFonts w:hint="eastAsia" w:ascii="宋体" w:hAnsi="宋体" w:eastAsia="宋体"/>
                <w:color w:val="auto"/>
                <w:sz w:val="22"/>
                <w:highlight w:val="none"/>
              </w:rPr>
            </w:pPr>
          </w:p>
        </w:tc>
        <w:tc>
          <w:tcPr>
            <w:tcW w:w="1188" w:type="dxa"/>
            <w:vAlign w:val="center"/>
          </w:tcPr>
          <w:p w14:paraId="1630CE5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中型货车(渣土密 封专运车</w:t>
            </w:r>
          </w:p>
        </w:tc>
        <w:tc>
          <w:tcPr>
            <w:tcW w:w="862" w:type="dxa"/>
            <w:vAlign w:val="center"/>
          </w:tcPr>
          <w:p w14:paraId="66B480C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6F8277A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7CD4F02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300元</w:t>
            </w:r>
          </w:p>
        </w:tc>
        <w:tc>
          <w:tcPr>
            <w:tcW w:w="2500" w:type="dxa"/>
            <w:vAlign w:val="center"/>
          </w:tcPr>
          <w:p w14:paraId="4B566007">
            <w:pPr>
              <w:spacing w:line="330" w:lineRule="exact"/>
              <w:jc w:val="center"/>
              <w:rPr>
                <w:rFonts w:hint="eastAsia" w:ascii="宋体" w:hAnsi="宋体" w:eastAsia="宋体"/>
                <w:color w:val="auto"/>
                <w:sz w:val="22"/>
                <w:highlight w:val="none"/>
              </w:rPr>
            </w:pPr>
          </w:p>
        </w:tc>
      </w:tr>
      <w:tr w14:paraId="64EE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0B0A1641">
            <w:pPr>
              <w:spacing w:line="330" w:lineRule="exact"/>
              <w:jc w:val="center"/>
              <w:rPr>
                <w:rFonts w:hint="eastAsia" w:ascii="宋体" w:hAnsi="宋体" w:eastAsia="宋体"/>
                <w:color w:val="auto"/>
                <w:sz w:val="22"/>
                <w:highlight w:val="none"/>
              </w:rPr>
            </w:pPr>
          </w:p>
        </w:tc>
        <w:tc>
          <w:tcPr>
            <w:tcW w:w="1115" w:type="dxa"/>
            <w:vMerge w:val="continue"/>
            <w:vAlign w:val="center"/>
          </w:tcPr>
          <w:p w14:paraId="4D8F5C9D">
            <w:pPr>
              <w:spacing w:line="330" w:lineRule="exact"/>
              <w:jc w:val="center"/>
              <w:rPr>
                <w:rFonts w:hint="eastAsia" w:ascii="宋体" w:hAnsi="宋体" w:eastAsia="宋体"/>
                <w:color w:val="auto"/>
                <w:sz w:val="22"/>
                <w:highlight w:val="none"/>
              </w:rPr>
            </w:pPr>
          </w:p>
        </w:tc>
        <w:tc>
          <w:tcPr>
            <w:tcW w:w="1188" w:type="dxa"/>
            <w:vAlign w:val="center"/>
          </w:tcPr>
          <w:p w14:paraId="61247E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小型货车(渣土密 封专运车</w:t>
            </w:r>
          </w:p>
        </w:tc>
        <w:tc>
          <w:tcPr>
            <w:tcW w:w="862" w:type="dxa"/>
            <w:vAlign w:val="center"/>
          </w:tcPr>
          <w:p w14:paraId="07A4A2D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3AC4997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016357B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w:t>
            </w:r>
          </w:p>
        </w:tc>
        <w:tc>
          <w:tcPr>
            <w:tcW w:w="2500" w:type="dxa"/>
            <w:vAlign w:val="center"/>
          </w:tcPr>
          <w:p w14:paraId="22A0B708">
            <w:pPr>
              <w:spacing w:line="330" w:lineRule="exact"/>
              <w:jc w:val="center"/>
              <w:rPr>
                <w:rFonts w:hint="eastAsia" w:ascii="宋体" w:hAnsi="宋体" w:eastAsia="宋体"/>
                <w:color w:val="auto"/>
                <w:sz w:val="22"/>
                <w:highlight w:val="none"/>
              </w:rPr>
            </w:pPr>
          </w:p>
        </w:tc>
      </w:tr>
      <w:tr w14:paraId="3607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55125502">
            <w:pPr>
              <w:spacing w:line="330" w:lineRule="exact"/>
              <w:jc w:val="center"/>
              <w:rPr>
                <w:rFonts w:hint="eastAsia" w:ascii="宋体" w:hAnsi="宋体" w:eastAsia="宋体"/>
                <w:color w:val="auto"/>
                <w:sz w:val="22"/>
                <w:highlight w:val="none"/>
              </w:rPr>
            </w:pPr>
          </w:p>
        </w:tc>
        <w:tc>
          <w:tcPr>
            <w:tcW w:w="1115" w:type="dxa"/>
            <w:vMerge w:val="continue"/>
            <w:vAlign w:val="center"/>
          </w:tcPr>
          <w:p w14:paraId="3D3E4CFC">
            <w:pPr>
              <w:spacing w:line="330" w:lineRule="exact"/>
              <w:jc w:val="center"/>
              <w:rPr>
                <w:rFonts w:hint="eastAsia" w:ascii="宋体" w:hAnsi="宋体" w:eastAsia="宋体"/>
                <w:color w:val="auto"/>
                <w:sz w:val="22"/>
                <w:highlight w:val="none"/>
              </w:rPr>
            </w:pPr>
          </w:p>
        </w:tc>
        <w:tc>
          <w:tcPr>
            <w:tcW w:w="1188" w:type="dxa"/>
            <w:vAlign w:val="center"/>
          </w:tcPr>
          <w:p w14:paraId="2EEE7FC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拖拉机</w:t>
            </w:r>
          </w:p>
        </w:tc>
        <w:tc>
          <w:tcPr>
            <w:tcW w:w="862" w:type="dxa"/>
            <w:vAlign w:val="center"/>
          </w:tcPr>
          <w:p w14:paraId="296E7F7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7784565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50F75B2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w:t>
            </w:r>
          </w:p>
        </w:tc>
        <w:tc>
          <w:tcPr>
            <w:tcW w:w="2500" w:type="dxa"/>
            <w:vAlign w:val="center"/>
          </w:tcPr>
          <w:p w14:paraId="59CBA0D8">
            <w:pPr>
              <w:spacing w:line="330" w:lineRule="exact"/>
              <w:jc w:val="center"/>
              <w:rPr>
                <w:rFonts w:hint="eastAsia" w:ascii="宋体" w:hAnsi="宋体" w:eastAsia="宋体"/>
                <w:color w:val="auto"/>
                <w:sz w:val="22"/>
                <w:highlight w:val="none"/>
              </w:rPr>
            </w:pPr>
          </w:p>
        </w:tc>
      </w:tr>
      <w:tr w14:paraId="7D1C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872D0FA">
            <w:pPr>
              <w:spacing w:line="330" w:lineRule="exact"/>
              <w:jc w:val="center"/>
              <w:rPr>
                <w:rFonts w:hint="eastAsia" w:ascii="宋体" w:hAnsi="宋体" w:eastAsia="宋体"/>
                <w:color w:val="auto"/>
                <w:sz w:val="22"/>
                <w:highlight w:val="none"/>
              </w:rPr>
            </w:pPr>
          </w:p>
        </w:tc>
        <w:tc>
          <w:tcPr>
            <w:tcW w:w="1115" w:type="dxa"/>
            <w:vMerge w:val="continue"/>
            <w:vAlign w:val="center"/>
          </w:tcPr>
          <w:p w14:paraId="04414016">
            <w:pPr>
              <w:spacing w:line="330" w:lineRule="exact"/>
              <w:jc w:val="center"/>
              <w:rPr>
                <w:rFonts w:hint="eastAsia" w:ascii="宋体" w:hAnsi="宋体" w:eastAsia="宋体"/>
                <w:color w:val="auto"/>
                <w:sz w:val="22"/>
                <w:highlight w:val="none"/>
              </w:rPr>
            </w:pPr>
          </w:p>
        </w:tc>
        <w:tc>
          <w:tcPr>
            <w:tcW w:w="1188" w:type="dxa"/>
            <w:vAlign w:val="center"/>
          </w:tcPr>
          <w:p w14:paraId="44DD368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箱式货车</w:t>
            </w:r>
          </w:p>
        </w:tc>
        <w:tc>
          <w:tcPr>
            <w:tcW w:w="862" w:type="dxa"/>
            <w:vAlign w:val="center"/>
          </w:tcPr>
          <w:p w14:paraId="72985B7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062BE34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65903B4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500元</w:t>
            </w:r>
          </w:p>
        </w:tc>
        <w:tc>
          <w:tcPr>
            <w:tcW w:w="2500" w:type="dxa"/>
            <w:vAlign w:val="center"/>
          </w:tcPr>
          <w:p w14:paraId="74737349">
            <w:pPr>
              <w:spacing w:line="330" w:lineRule="exact"/>
              <w:jc w:val="center"/>
              <w:rPr>
                <w:rFonts w:hint="eastAsia" w:ascii="宋体" w:hAnsi="宋体" w:eastAsia="宋体"/>
                <w:color w:val="auto"/>
                <w:sz w:val="22"/>
                <w:highlight w:val="none"/>
              </w:rPr>
            </w:pPr>
          </w:p>
        </w:tc>
      </w:tr>
      <w:tr w14:paraId="6E08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557D0CB">
            <w:pPr>
              <w:spacing w:line="330" w:lineRule="exact"/>
              <w:jc w:val="center"/>
              <w:rPr>
                <w:rFonts w:hint="eastAsia" w:ascii="宋体" w:hAnsi="宋体" w:eastAsia="宋体"/>
                <w:color w:val="auto"/>
                <w:sz w:val="22"/>
                <w:highlight w:val="none"/>
              </w:rPr>
            </w:pPr>
          </w:p>
        </w:tc>
        <w:tc>
          <w:tcPr>
            <w:tcW w:w="1115" w:type="dxa"/>
            <w:vMerge w:val="continue"/>
            <w:vAlign w:val="center"/>
          </w:tcPr>
          <w:p w14:paraId="6E853BD3">
            <w:pPr>
              <w:spacing w:line="330" w:lineRule="exact"/>
              <w:jc w:val="center"/>
              <w:rPr>
                <w:rFonts w:hint="eastAsia" w:ascii="宋体" w:hAnsi="宋体" w:eastAsia="宋体"/>
                <w:color w:val="auto"/>
                <w:sz w:val="22"/>
                <w:highlight w:val="none"/>
              </w:rPr>
            </w:pPr>
          </w:p>
        </w:tc>
        <w:tc>
          <w:tcPr>
            <w:tcW w:w="1188" w:type="dxa"/>
            <w:vAlign w:val="center"/>
          </w:tcPr>
          <w:p w14:paraId="1619E3C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皮卡车</w:t>
            </w:r>
          </w:p>
        </w:tc>
        <w:tc>
          <w:tcPr>
            <w:tcW w:w="862" w:type="dxa"/>
            <w:vAlign w:val="center"/>
          </w:tcPr>
          <w:p w14:paraId="3D81DC5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3E74D74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319E04B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w:t>
            </w:r>
          </w:p>
        </w:tc>
        <w:tc>
          <w:tcPr>
            <w:tcW w:w="2500" w:type="dxa"/>
            <w:vAlign w:val="center"/>
          </w:tcPr>
          <w:p w14:paraId="242A69B8">
            <w:pPr>
              <w:spacing w:line="330" w:lineRule="exact"/>
              <w:jc w:val="center"/>
              <w:rPr>
                <w:rFonts w:hint="eastAsia" w:ascii="宋体" w:hAnsi="宋体" w:eastAsia="宋体"/>
                <w:color w:val="auto"/>
                <w:sz w:val="22"/>
                <w:highlight w:val="none"/>
              </w:rPr>
            </w:pPr>
          </w:p>
        </w:tc>
      </w:tr>
      <w:tr w14:paraId="313D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3A5ED168">
            <w:pPr>
              <w:spacing w:line="330" w:lineRule="exact"/>
              <w:jc w:val="center"/>
              <w:rPr>
                <w:rFonts w:hint="eastAsia" w:ascii="宋体" w:hAnsi="宋体" w:eastAsia="宋体"/>
                <w:color w:val="auto"/>
                <w:sz w:val="22"/>
                <w:highlight w:val="none"/>
              </w:rPr>
            </w:pPr>
          </w:p>
        </w:tc>
        <w:tc>
          <w:tcPr>
            <w:tcW w:w="1115" w:type="dxa"/>
            <w:vMerge w:val="continue"/>
            <w:vAlign w:val="center"/>
          </w:tcPr>
          <w:p w14:paraId="71995727">
            <w:pPr>
              <w:spacing w:line="330" w:lineRule="exact"/>
              <w:jc w:val="center"/>
              <w:rPr>
                <w:rFonts w:hint="eastAsia" w:ascii="宋体" w:hAnsi="宋体" w:eastAsia="宋体"/>
                <w:color w:val="auto"/>
                <w:sz w:val="22"/>
                <w:highlight w:val="none"/>
              </w:rPr>
            </w:pPr>
          </w:p>
        </w:tc>
        <w:tc>
          <w:tcPr>
            <w:tcW w:w="1188" w:type="dxa"/>
            <w:vAlign w:val="center"/>
          </w:tcPr>
          <w:p w14:paraId="431D01C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小货车</w:t>
            </w:r>
          </w:p>
        </w:tc>
        <w:tc>
          <w:tcPr>
            <w:tcW w:w="862" w:type="dxa"/>
            <w:vAlign w:val="center"/>
          </w:tcPr>
          <w:p w14:paraId="2671C1A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1A11381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5EA7A48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w:t>
            </w:r>
          </w:p>
        </w:tc>
        <w:tc>
          <w:tcPr>
            <w:tcW w:w="2500" w:type="dxa"/>
            <w:vAlign w:val="center"/>
          </w:tcPr>
          <w:p w14:paraId="79ED4FB5">
            <w:pPr>
              <w:spacing w:line="330" w:lineRule="exact"/>
              <w:jc w:val="center"/>
              <w:rPr>
                <w:rFonts w:hint="eastAsia" w:ascii="宋体" w:hAnsi="宋体" w:eastAsia="宋体"/>
                <w:color w:val="auto"/>
                <w:sz w:val="22"/>
                <w:highlight w:val="none"/>
              </w:rPr>
            </w:pPr>
          </w:p>
        </w:tc>
      </w:tr>
      <w:tr w14:paraId="6EE0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5B1F7E06">
            <w:pPr>
              <w:spacing w:line="330" w:lineRule="exact"/>
              <w:jc w:val="center"/>
              <w:rPr>
                <w:rFonts w:hint="eastAsia" w:ascii="宋体" w:hAnsi="宋体" w:eastAsia="宋体"/>
                <w:color w:val="auto"/>
                <w:sz w:val="22"/>
                <w:highlight w:val="none"/>
              </w:rPr>
            </w:pPr>
          </w:p>
        </w:tc>
        <w:tc>
          <w:tcPr>
            <w:tcW w:w="1115" w:type="dxa"/>
            <w:vMerge w:val="continue"/>
            <w:vAlign w:val="center"/>
          </w:tcPr>
          <w:p w14:paraId="3BFAF6F3">
            <w:pPr>
              <w:spacing w:line="330" w:lineRule="exact"/>
              <w:jc w:val="center"/>
              <w:rPr>
                <w:rFonts w:hint="eastAsia" w:ascii="宋体" w:hAnsi="宋体" w:eastAsia="宋体"/>
                <w:color w:val="auto"/>
                <w:sz w:val="22"/>
                <w:highlight w:val="none"/>
              </w:rPr>
            </w:pPr>
          </w:p>
        </w:tc>
        <w:tc>
          <w:tcPr>
            <w:tcW w:w="1188" w:type="dxa"/>
            <w:vAlign w:val="center"/>
          </w:tcPr>
          <w:p w14:paraId="1BEB661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三轮车</w:t>
            </w:r>
          </w:p>
        </w:tc>
        <w:tc>
          <w:tcPr>
            <w:tcW w:w="862" w:type="dxa"/>
            <w:vAlign w:val="center"/>
          </w:tcPr>
          <w:p w14:paraId="3D88061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vAlign w:val="center"/>
          </w:tcPr>
          <w:p w14:paraId="6256B07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6E7119A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100元</w:t>
            </w:r>
          </w:p>
        </w:tc>
        <w:tc>
          <w:tcPr>
            <w:tcW w:w="2500" w:type="dxa"/>
            <w:vAlign w:val="center"/>
          </w:tcPr>
          <w:p w14:paraId="29553C9C">
            <w:pPr>
              <w:spacing w:line="330" w:lineRule="exact"/>
              <w:jc w:val="center"/>
              <w:rPr>
                <w:rFonts w:hint="eastAsia" w:ascii="宋体" w:hAnsi="宋体" w:eastAsia="宋体"/>
                <w:color w:val="auto"/>
                <w:sz w:val="22"/>
                <w:highlight w:val="none"/>
              </w:rPr>
            </w:pPr>
          </w:p>
        </w:tc>
      </w:tr>
      <w:tr w14:paraId="293A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3025C14D">
            <w:pPr>
              <w:spacing w:line="330" w:lineRule="exact"/>
              <w:jc w:val="center"/>
              <w:rPr>
                <w:rFonts w:hint="eastAsia" w:ascii="宋体" w:hAnsi="宋体" w:eastAsia="宋体"/>
                <w:color w:val="auto"/>
                <w:sz w:val="22"/>
                <w:highlight w:val="none"/>
              </w:rPr>
            </w:pPr>
          </w:p>
        </w:tc>
        <w:tc>
          <w:tcPr>
            <w:tcW w:w="1115" w:type="dxa"/>
            <w:vMerge w:val="continue"/>
            <w:vAlign w:val="center"/>
          </w:tcPr>
          <w:p w14:paraId="2106365B">
            <w:pPr>
              <w:spacing w:line="330" w:lineRule="exact"/>
              <w:jc w:val="center"/>
              <w:rPr>
                <w:rFonts w:hint="eastAsia" w:ascii="宋体" w:hAnsi="宋体" w:eastAsia="宋体"/>
                <w:color w:val="auto"/>
                <w:sz w:val="22"/>
                <w:highlight w:val="none"/>
              </w:rPr>
            </w:pPr>
          </w:p>
        </w:tc>
        <w:tc>
          <w:tcPr>
            <w:tcW w:w="1188" w:type="dxa"/>
            <w:vAlign w:val="center"/>
          </w:tcPr>
          <w:p w14:paraId="3EA6D85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农用车</w:t>
            </w:r>
          </w:p>
        </w:tc>
        <w:tc>
          <w:tcPr>
            <w:tcW w:w="862" w:type="dxa"/>
            <w:shd w:val="clear" w:color="auto" w:fill="auto"/>
            <w:vAlign w:val="center"/>
          </w:tcPr>
          <w:p w14:paraId="53DFA13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88" w:type="dxa"/>
            <w:shd w:val="clear" w:color="auto" w:fill="auto"/>
            <w:vAlign w:val="center"/>
          </w:tcPr>
          <w:p w14:paraId="2E93C42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1287" w:type="dxa"/>
            <w:vAlign w:val="center"/>
          </w:tcPr>
          <w:p w14:paraId="7609B32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30</w:t>
            </w:r>
            <w:r>
              <w:rPr>
                <w:rFonts w:hint="eastAsia" w:ascii="宋体" w:hAnsi="宋体" w:eastAsia="宋体" w:cs="宋体"/>
                <w:i w:val="0"/>
                <w:iCs w:val="0"/>
                <w:color w:val="auto"/>
                <w:kern w:val="0"/>
                <w:sz w:val="21"/>
                <w:szCs w:val="21"/>
                <w:highlight w:val="none"/>
                <w:u w:val="none"/>
                <w:lang w:val="en-US" w:eastAsia="zh-CN" w:bidi="ar"/>
              </w:rPr>
              <w:t>0元</w:t>
            </w:r>
          </w:p>
        </w:tc>
        <w:tc>
          <w:tcPr>
            <w:tcW w:w="2500" w:type="dxa"/>
            <w:vAlign w:val="center"/>
          </w:tcPr>
          <w:p w14:paraId="2F7639AA">
            <w:pPr>
              <w:spacing w:line="330" w:lineRule="exact"/>
              <w:jc w:val="center"/>
              <w:rPr>
                <w:rFonts w:hint="eastAsia" w:ascii="宋体" w:hAnsi="宋体" w:eastAsia="宋体"/>
                <w:color w:val="auto"/>
                <w:sz w:val="22"/>
                <w:highlight w:val="none"/>
              </w:rPr>
            </w:pPr>
          </w:p>
        </w:tc>
      </w:tr>
    </w:tbl>
    <w:p w14:paraId="41DAABED">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最终结算价格=</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桂林市象山区清运施工费用参考价</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中的单价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成交供应商折扣率报价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实际发生量</w:t>
      </w:r>
    </w:p>
    <w:p w14:paraId="039838BB">
      <w:pPr>
        <w:pStyle w:val="15"/>
        <w:keepNext w:val="0"/>
        <w:keepLines w:val="0"/>
        <w:pageBreakBefore w:val="0"/>
        <w:kinsoku/>
        <w:wordWrap/>
        <w:overflowPunct/>
        <w:topLinePunct w:val="0"/>
        <w:autoSpaceDE/>
        <w:autoSpaceDN/>
        <w:bidi w:val="0"/>
        <w:snapToGrid w:val="0"/>
        <w:spacing w:line="340" w:lineRule="exac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注：</w:t>
      </w:r>
      <w:r>
        <w:rPr>
          <w:rFonts w:hint="eastAsia" w:hAnsi="宋体" w:cs="宋体"/>
          <w:color w:val="auto"/>
          <w:szCs w:val="21"/>
          <w:highlight w:val="none"/>
          <w:lang w:eastAsia="zh-CN"/>
        </w:rPr>
        <w:t>本项目按折扣率报价，最高限价为</w:t>
      </w:r>
      <w:r>
        <w:rPr>
          <w:rFonts w:hint="eastAsia" w:hAnsi="宋体" w:cs="宋体"/>
          <w:color w:val="auto"/>
          <w:szCs w:val="21"/>
          <w:highlight w:val="none"/>
          <w:lang w:val="en-US" w:eastAsia="zh-CN"/>
        </w:rPr>
        <w:t>95%</w:t>
      </w:r>
    </w:p>
    <w:p w14:paraId="15909D04">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、结算方式：</w:t>
      </w:r>
    </w:p>
    <w:p w14:paraId="4B1160DC">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本框架协议服务费采取谁委托谁付费的方式，具体付款方式由采购人与成交供应商在采购合同中约定。</w:t>
      </w:r>
      <w:r>
        <w:rPr>
          <w:rFonts w:hint="eastAsia" w:ascii="宋体" w:hAnsi="宋体" w:eastAsia="宋体" w:cs="宋体"/>
          <w:color w:val="auto"/>
          <w:szCs w:val="21"/>
          <w:highlight w:val="none"/>
        </w:rPr>
        <w:t>项目结算由相关部门进行审核，审定的最终结算价格作为结算价。</w:t>
      </w:r>
    </w:p>
    <w:p w14:paraId="043BCF72">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人在签订后须为其工作人员购买人身意外伤亡险（以保单为准），并向采购人提交保单复印件并加盖公章备案，原件核查。</w:t>
      </w:r>
    </w:p>
    <w:p w14:paraId="02F05BD2">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应在投标文件中明确本项目的总协调人，并在投标文件中提供总协调人的姓名和详尽的联系办法（含手机号码、电子邮箱等）。全权负责对</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项目班子及企业信息更新和有关咨询、查询、合同履约、接受投诉等事务。</w:t>
      </w:r>
    </w:p>
    <w:p w14:paraId="28EC20AA">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、招标人不保证所有</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供应商在合同期内都能承接到业务，请自行考虑其风险。</w:t>
      </w:r>
    </w:p>
    <w:p w14:paraId="2E490F97">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七、</w:t>
      </w:r>
      <w:r>
        <w:rPr>
          <w:rFonts w:hint="eastAsia" w:ascii="宋体" w:hAnsi="宋体" w:eastAsia="宋体" w:cs="宋体"/>
          <w:color w:val="auto"/>
          <w:szCs w:val="21"/>
          <w:highlight w:val="none"/>
        </w:rPr>
        <w:t>框架协议签订期：征集人自入围通知书发出之日起</w:t>
      </w:r>
      <w:r>
        <w:rPr>
          <w:rFonts w:hint="eastAsia" w:hAnsi="宋体" w:cs="宋体"/>
          <w:color w:val="auto"/>
          <w:szCs w:val="21"/>
          <w:highlight w:val="none"/>
          <w:lang w:val="en-US" w:eastAsia="zh-CN"/>
        </w:rPr>
        <w:t>28个工作日内和入</w:t>
      </w:r>
      <w:r>
        <w:rPr>
          <w:rFonts w:hint="eastAsia" w:ascii="宋体" w:hAnsi="宋体" w:eastAsia="宋体" w:cs="宋体"/>
          <w:color w:val="auto"/>
          <w:szCs w:val="21"/>
          <w:highlight w:val="none"/>
        </w:rPr>
        <w:t>围供应商签订框架协议。</w:t>
      </w:r>
    </w:p>
    <w:p w14:paraId="2762E551">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八、</w:t>
      </w:r>
      <w:r>
        <w:rPr>
          <w:rFonts w:hint="eastAsia" w:ascii="宋体" w:hAnsi="宋体" w:eastAsia="宋体" w:cs="宋体"/>
          <w:color w:val="auto"/>
          <w:szCs w:val="21"/>
          <w:highlight w:val="none"/>
        </w:rPr>
        <w:t>其它约定：详见后附《框架协议合同文本》。</w:t>
      </w:r>
    </w:p>
    <w:p w14:paraId="120F493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40DD0FC3">
      <w:pPr>
        <w:spacing w:line="600" w:lineRule="exact"/>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第四章</w:t>
      </w:r>
      <w:bookmarkStart w:id="43" w:name="_Toc25068"/>
      <w:r>
        <w:rPr>
          <w:rFonts w:hint="eastAsia" w:ascii="宋体" w:hAnsi="宋体" w:eastAsia="宋体" w:cs="宋体"/>
          <w:b/>
          <w:color w:val="auto"/>
          <w:sz w:val="32"/>
          <w:szCs w:val="32"/>
          <w:highlight w:val="none"/>
        </w:rPr>
        <w:t>、评标办法</w:t>
      </w:r>
      <w:bookmarkEnd w:id="39"/>
      <w:bookmarkEnd w:id="40"/>
      <w:bookmarkEnd w:id="41"/>
      <w:bookmarkEnd w:id="43"/>
    </w:p>
    <w:p w14:paraId="3A1DBC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一、评标依据及方式</w:t>
      </w:r>
    </w:p>
    <w:p w14:paraId="75F86DE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1.评标依据：评标委员会以征集文件和响应文件为评标依据，对供应商的响应文件内容按百分制打分。</w:t>
      </w:r>
    </w:p>
    <w:p w14:paraId="5125EB9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2.评标方式：以封闭方式进行评标。</w:t>
      </w:r>
    </w:p>
    <w:p w14:paraId="2A5B0B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3.根据财库〔2012〕69号文及87号令的相关规定，</w:t>
      </w:r>
      <w:r>
        <w:rPr>
          <w:rFonts w:hint="eastAsia" w:ascii="宋体" w:hAnsi="宋体" w:cs="宋体"/>
          <w:color w:val="auto"/>
          <w:kern w:val="0"/>
          <w:szCs w:val="21"/>
          <w:highlight w:val="none"/>
          <w:lang w:eastAsia="zh-CN"/>
        </w:rPr>
        <w:t>采购人</w:t>
      </w:r>
      <w:r>
        <w:rPr>
          <w:rFonts w:hint="eastAsia" w:ascii="宋体" w:hAnsi="宋体" w:eastAsia="宋体" w:cs="宋体"/>
          <w:color w:val="auto"/>
          <w:kern w:val="0"/>
          <w:szCs w:val="21"/>
          <w:highlight w:val="none"/>
        </w:rPr>
        <w:t>和</w:t>
      </w:r>
      <w:r>
        <w:rPr>
          <w:rFonts w:hint="eastAsia" w:ascii="宋体" w:hAnsi="宋体" w:cs="宋体"/>
          <w:color w:val="auto"/>
          <w:kern w:val="0"/>
          <w:szCs w:val="21"/>
          <w:highlight w:val="none"/>
          <w:lang w:eastAsia="zh-CN"/>
        </w:rPr>
        <w:t>采购代理机构</w:t>
      </w:r>
      <w:r>
        <w:rPr>
          <w:rFonts w:hint="eastAsia" w:ascii="宋体" w:hAnsi="宋体" w:eastAsia="宋体" w:cs="宋体"/>
          <w:color w:val="auto"/>
          <w:kern w:val="0"/>
          <w:szCs w:val="21"/>
          <w:highlight w:val="none"/>
        </w:rPr>
        <w:t>、评标委员会成员要严格遵守政府采购相关法律制度，依法履行各自职责，公正、客观、审慎地组织和参与评标工作。</w:t>
      </w:r>
    </w:p>
    <w:p w14:paraId="64DE474E">
      <w:pPr>
        <w:pStyle w:val="1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二、评标程序</w:t>
      </w:r>
    </w:p>
    <w:p w14:paraId="7BC5E5F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1、本项目采用质量优先法进行评审。</w:t>
      </w:r>
    </w:p>
    <w:p w14:paraId="68B5C2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质量优先法是指对满足采购需求、响应报价不超过最高限制单价且资格审查合格的供应商响应内容进行质量综合评分，按照质量评分从高到低排序，且根据中华人民共和国财政部令第110号《政府采购框架协议采购方式管理暂行办法》第二十七条的规定，确定第一阶段入围供应商时，提交响应文件和符合资格条件、实质</w:t>
      </w:r>
      <w:r>
        <w:rPr>
          <w:rFonts w:hint="eastAsia" w:ascii="宋体" w:hAnsi="宋体" w:cs="宋体"/>
          <w:color w:val="auto"/>
          <w:kern w:val="0"/>
          <w:szCs w:val="21"/>
          <w:highlight w:val="none"/>
        </w:rPr>
        <w:t>性要求的供应商应当均不少于</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家，</w:t>
      </w:r>
      <w:r>
        <w:rPr>
          <w:rFonts w:hint="eastAsia" w:ascii="宋体" w:hAnsi="宋体" w:cs="宋体"/>
          <w:color w:val="auto"/>
          <w:kern w:val="0"/>
          <w:szCs w:val="21"/>
          <w:highlight w:val="none"/>
        </w:rPr>
        <w:t>淘汰比例不得低于20%，且至少淘汰一家供应商。</w:t>
      </w:r>
    </w:p>
    <w:tbl>
      <w:tblPr>
        <w:tblStyle w:val="25"/>
        <w:tblW w:w="8459"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9"/>
      </w:tblGrid>
      <w:tr w14:paraId="3A402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trPr>
        <w:tc>
          <w:tcPr>
            <w:tcW w:w="8459" w:type="dxa"/>
            <w:vAlign w:val="top"/>
          </w:tcPr>
          <w:p w14:paraId="7D8161B8">
            <w:pPr>
              <w:pStyle w:val="52"/>
              <w:keepNext w:val="0"/>
              <w:keepLines w:val="0"/>
              <w:pageBreakBefore w:val="0"/>
              <w:widowControl w:val="0"/>
              <w:kinsoku/>
              <w:wordWrap/>
              <w:overflowPunct/>
              <w:topLinePunct w:val="0"/>
              <w:autoSpaceDE/>
              <w:autoSpaceDN/>
              <w:bidi w:val="0"/>
              <w:adjustRightInd/>
              <w:snapToGrid/>
              <w:spacing w:before="92" w:line="360" w:lineRule="exact"/>
              <w:ind w:right="56" w:firstLine="210" w:firstLineChars="100"/>
              <w:jc w:val="both"/>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入围供应商推荐规则：①淘汰率按20%计算，且至少淘汰一家供应商（通过资格性及符合性供应商家数×淘汰率=Y，Y=A+B，A为Y的整数部分，B为Y的小数部分。当B为零时，淘汰家数为A；当B不为零时，淘汰家数为A+1。）；②剩余的供应商家数＞3家时，推荐排序前三位的供应商为入围供应商；③剩余的供应商家数等于3家时，推荐前二位供应商为入围供应商。</w:t>
            </w:r>
          </w:p>
          <w:p w14:paraId="5DF0D539">
            <w:pPr>
              <w:pStyle w:val="52"/>
              <w:keepNext w:val="0"/>
              <w:keepLines w:val="0"/>
              <w:pageBreakBefore w:val="0"/>
              <w:widowControl w:val="0"/>
              <w:kinsoku/>
              <w:wordWrap/>
              <w:overflowPunct/>
              <w:topLinePunct w:val="0"/>
              <w:autoSpaceDE/>
              <w:autoSpaceDN/>
              <w:bidi w:val="0"/>
              <w:adjustRightInd/>
              <w:snapToGrid/>
              <w:spacing w:before="92" w:line="360" w:lineRule="exact"/>
              <w:ind w:right="56" w:firstLine="210" w:firstLineChars="100"/>
              <w:jc w:val="both"/>
              <w:textAlignment w:val="auto"/>
              <w:rPr>
                <w:rFonts w:hint="default" w:ascii="宋体" w:hAnsi="宋体" w:eastAsia="宋体" w:cs="宋体"/>
                <w:b/>
                <w:bCs/>
                <w:color w:val="auto"/>
                <w:kern w:val="0"/>
                <w:sz w:val="21"/>
                <w:szCs w:val="21"/>
                <w:highlight w:val="none"/>
                <w:lang w:val="en-US" w:eastAsia="zh-CN" w:bidi="ar-SA"/>
              </w:rPr>
            </w:pPr>
            <w:r>
              <w:rPr>
                <w:rFonts w:hint="eastAsia" w:ascii="宋体" w:hAnsi="宋体" w:cs="宋体"/>
                <w:b/>
                <w:bCs/>
                <w:color w:val="auto"/>
                <w:szCs w:val="21"/>
                <w:highlight w:val="none"/>
                <w:u w:val="none"/>
              </w:rPr>
              <w:t>评审时，评审委员会认为供应商的投标</w:t>
            </w:r>
            <w:r>
              <w:rPr>
                <w:rFonts w:hint="eastAsia" w:ascii="宋体" w:hAnsi="宋体" w:cs="宋体"/>
                <w:b/>
                <w:bCs/>
                <w:color w:val="auto"/>
                <w:szCs w:val="21"/>
                <w:highlight w:val="none"/>
                <w:u w:val="none"/>
                <w:lang w:val="en-US" w:eastAsia="zh-CN"/>
              </w:rPr>
              <w:t>响应报价</w:t>
            </w:r>
            <w:r>
              <w:rPr>
                <w:rFonts w:hint="eastAsia" w:ascii="宋体" w:hAnsi="宋体" w:cs="宋体"/>
                <w:b/>
                <w:bCs/>
                <w:color w:val="auto"/>
                <w:szCs w:val="21"/>
                <w:highlight w:val="none"/>
                <w:u w:val="none"/>
              </w:rPr>
              <w:t>明显</w:t>
            </w:r>
            <w:r>
              <w:rPr>
                <w:rFonts w:hint="eastAsia" w:ascii="宋体" w:hAnsi="宋体" w:cs="宋体"/>
                <w:b/>
                <w:bCs/>
                <w:color w:val="auto"/>
                <w:szCs w:val="21"/>
                <w:highlight w:val="none"/>
                <w:u w:val="none"/>
                <w:lang w:eastAsia="zh-CN"/>
              </w:rPr>
              <w:t>低于</w:t>
            </w:r>
            <w:r>
              <w:rPr>
                <w:rFonts w:hint="eastAsia" w:ascii="宋体" w:hAnsi="宋体" w:cs="宋体"/>
                <w:b/>
                <w:bCs/>
                <w:color w:val="auto"/>
                <w:szCs w:val="21"/>
                <w:highlight w:val="none"/>
                <w:u w:val="none"/>
              </w:rPr>
              <w:t>其他通过符合性审查供应商的报价，有可能影响产品（服务）质量或者不能诚信履约的，应当要求其在合理的时间内在线提供书面说明，必要时提交相关证明材料；供应商不能证明其报价合理性的，评审委员会应当将其作为无效响应处理。</w:t>
            </w:r>
          </w:p>
        </w:tc>
      </w:tr>
    </w:tbl>
    <w:p w14:paraId="60994758">
      <w:pPr>
        <w:keepNext w:val="0"/>
        <w:keepLines w:val="0"/>
        <w:pageBreakBefore w:val="0"/>
        <w:widowControl w:val="0"/>
        <w:tabs>
          <w:tab w:val="left" w:pos="1116"/>
        </w:tabs>
        <w:kinsoku/>
        <w:wordWrap/>
        <w:overflowPunct/>
        <w:topLinePunct w:val="0"/>
        <w:autoSpaceDE/>
        <w:autoSpaceDN/>
        <w:bidi w:val="0"/>
        <w:adjustRightInd/>
        <w:snapToGrid/>
        <w:spacing w:before="170"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征集人应当确定评标委员会推荐的入围供应商为中标人。征集人将组织有关人员对其对入围供应商进行实地考察。经考察，供应商投标时所提供的资料与实际情况相符的则将被授予签订框架协议的资格，成为</w:t>
      </w:r>
      <w:r>
        <w:rPr>
          <w:rFonts w:hint="eastAsia" w:ascii="宋体" w:hAnsi="宋体" w:cs="宋体"/>
          <w:color w:val="auto"/>
          <w:szCs w:val="21"/>
          <w:highlight w:val="none"/>
          <w:lang w:eastAsia="zh-CN"/>
        </w:rPr>
        <w:t>桂林市象山区城市管理局清运服务项目</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。如果某入围供应商投标时所提供的资料与实际情况不符的，将取消其入围供应商资格，按《中华人民共和国政府采购法》及相关法规对其进行处罚。本项目入围供应商按评标委员会所排名的顺序递补。</w:t>
      </w:r>
      <w:r>
        <w:rPr>
          <w:rFonts w:hint="eastAsia" w:ascii="宋体" w:hAnsi="宋体" w:eastAsia="宋体" w:cs="宋体"/>
          <w:color w:val="auto"/>
          <w:spacing w:val="-4"/>
          <w:highlight w:val="none"/>
        </w:rPr>
        <w:t>已确定入围供应商但尚未签订框架协议前，如发现入围供应商存在第二章第25.4.3</w:t>
      </w:r>
      <w:r>
        <w:rPr>
          <w:rFonts w:hint="eastAsia" w:ascii="宋体" w:hAnsi="宋体" w:eastAsia="宋体" w:cs="宋体"/>
          <w:color w:val="auto"/>
          <w:spacing w:val="-3"/>
          <w:highlight w:val="none"/>
        </w:rPr>
        <w:t>的六种情形之</w:t>
      </w:r>
      <w:r>
        <w:rPr>
          <w:rFonts w:hint="eastAsia" w:ascii="宋体" w:hAnsi="宋体" w:eastAsia="宋体" w:cs="宋体"/>
          <w:color w:val="auto"/>
          <w:spacing w:val="-11"/>
          <w:highlight w:val="none"/>
        </w:rPr>
        <w:t>一，认定其入围资格无效的，造成入围供应商不足入围供应商最大数量时，征集人可以</w:t>
      </w:r>
      <w:r>
        <w:rPr>
          <w:rFonts w:hint="eastAsia" w:ascii="宋体" w:hAnsi="宋体" w:eastAsia="宋体" w:cs="宋体"/>
          <w:color w:val="auto"/>
          <w:szCs w:val="21"/>
          <w:highlight w:val="none"/>
        </w:rPr>
        <w:t>按评标委员会所排名的顺序</w:t>
      </w:r>
      <w:r>
        <w:rPr>
          <w:rFonts w:hint="eastAsia" w:ascii="宋体" w:hAnsi="宋体" w:eastAsia="宋体" w:cs="宋体"/>
          <w:color w:val="auto"/>
          <w:spacing w:val="-6"/>
          <w:highlight w:val="none"/>
        </w:rPr>
        <w:t>中依次另行确定入围供应商，</w:t>
      </w:r>
      <w:r>
        <w:rPr>
          <w:rFonts w:hint="eastAsia" w:ascii="宋体" w:hAnsi="宋体" w:eastAsia="宋体" w:cs="宋体"/>
          <w:color w:val="auto"/>
          <w:szCs w:val="21"/>
          <w:highlight w:val="none"/>
        </w:rPr>
        <w:t>并依此类推。</w:t>
      </w:r>
    </w:p>
    <w:p w14:paraId="7CE586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kern w:val="0"/>
          <w:szCs w:val="21"/>
          <w:highlight w:val="none"/>
        </w:rPr>
      </w:pPr>
      <w:r>
        <w:rPr>
          <w:rFonts w:hint="eastAsia" w:ascii="宋体" w:hAnsi="宋体" w:eastAsia="宋体" w:cs="宋体"/>
          <w:b/>
          <w:color w:val="auto"/>
          <w:szCs w:val="21"/>
          <w:highlight w:val="none"/>
        </w:rPr>
        <w:t>三</w:t>
      </w:r>
      <w:r>
        <w:rPr>
          <w:rFonts w:hint="eastAsia" w:ascii="宋体" w:hAnsi="宋体" w:eastAsia="宋体" w:cs="宋体"/>
          <w:b/>
          <w:bCs/>
          <w:color w:val="auto"/>
          <w:kern w:val="0"/>
          <w:szCs w:val="21"/>
          <w:highlight w:val="none"/>
        </w:rPr>
        <w:t>、评标办法</w:t>
      </w:r>
    </w:p>
    <w:p w14:paraId="46891C4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本项目第一阶段采用质量优先法进行评审。</w:t>
      </w:r>
    </w:p>
    <w:p w14:paraId="3BB351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质量优先法是指对满足采购需求、响应报价不超过最高限制单价且资格申查合格的供应商响应内容进行质量评分，按照质量评分从高到低排序，确定入围供应商的评标方法。</w:t>
      </w:r>
    </w:p>
    <w:p w14:paraId="7CCB073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bl>
      <w:tblPr>
        <w:tblStyle w:val="25"/>
        <w:tblW w:w="51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165"/>
        <w:gridCol w:w="6243"/>
        <w:gridCol w:w="1225"/>
      </w:tblGrid>
      <w:tr w14:paraId="64E4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77A57750">
            <w:pPr>
              <w:pStyle w:val="15"/>
              <w:spacing w:line="360" w:lineRule="auto"/>
              <w:jc w:val="center"/>
              <w:rPr>
                <w:rFonts w:hint="eastAsia" w:ascii="宋体" w:hAnsi="宋体" w:eastAsia="宋体" w:cs="宋体"/>
                <w:b/>
                <w:bCs w:val="0"/>
                <w:color w:val="auto"/>
                <w:sz w:val="21"/>
                <w:szCs w:val="21"/>
                <w:highlight w:val="none"/>
              </w:rPr>
            </w:pPr>
            <w:bookmarkStart w:id="44" w:name="PO_TDCUS_ITEM_SM_TABLE_1"/>
            <w:r>
              <w:rPr>
                <w:rFonts w:hint="eastAsia" w:ascii="宋体" w:hAnsi="宋体" w:eastAsia="宋体" w:cs="宋体"/>
                <w:b/>
                <w:bCs w:val="0"/>
                <w:color w:val="auto"/>
                <w:sz w:val="21"/>
                <w:szCs w:val="21"/>
                <w:highlight w:val="none"/>
              </w:rPr>
              <w:t>序号</w:t>
            </w:r>
          </w:p>
        </w:tc>
        <w:tc>
          <w:tcPr>
            <w:tcW w:w="626" w:type="pct"/>
            <w:noWrap w:val="0"/>
            <w:vAlign w:val="center"/>
          </w:tcPr>
          <w:p w14:paraId="232194A1">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评分类型</w:t>
            </w:r>
          </w:p>
        </w:tc>
        <w:tc>
          <w:tcPr>
            <w:tcW w:w="3354" w:type="pct"/>
            <w:noWrap w:val="0"/>
            <w:vAlign w:val="center"/>
          </w:tcPr>
          <w:p w14:paraId="7A41ADA1">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评分标准</w:t>
            </w:r>
          </w:p>
        </w:tc>
        <w:tc>
          <w:tcPr>
            <w:tcW w:w="658" w:type="pct"/>
            <w:noWrap w:val="0"/>
            <w:vAlign w:val="center"/>
          </w:tcPr>
          <w:p w14:paraId="2A7126C1">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分值</w:t>
            </w:r>
          </w:p>
        </w:tc>
      </w:tr>
      <w:tr w14:paraId="36B6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792C49D7">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626" w:type="pct"/>
            <w:noWrap w:val="0"/>
            <w:vAlign w:val="center"/>
          </w:tcPr>
          <w:p w14:paraId="149EF88D">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报价分</w:t>
            </w:r>
          </w:p>
        </w:tc>
        <w:tc>
          <w:tcPr>
            <w:tcW w:w="3354" w:type="pct"/>
            <w:noWrap w:val="0"/>
            <w:vAlign w:val="center"/>
          </w:tcPr>
          <w:p w14:paraId="4F63A178">
            <w:pPr>
              <w:pStyle w:val="15"/>
              <w:spacing w:line="360" w:lineRule="auto"/>
              <w:rPr>
                <w:rFonts w:hint="eastAsia" w:ascii="宋体" w:hAnsi="宋体" w:eastAsia="宋体" w:cs="宋体"/>
                <w:bCs/>
                <w:color w:val="auto"/>
                <w:sz w:val="21"/>
                <w:szCs w:val="21"/>
                <w:highlight w:val="none"/>
              </w:rPr>
            </w:pPr>
          </w:p>
        </w:tc>
        <w:tc>
          <w:tcPr>
            <w:tcW w:w="658" w:type="pct"/>
            <w:noWrap w:val="0"/>
            <w:vAlign w:val="center"/>
          </w:tcPr>
          <w:p w14:paraId="6A461908">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满分0分</w:t>
            </w:r>
          </w:p>
        </w:tc>
      </w:tr>
      <w:tr w14:paraId="093D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43946F41">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626" w:type="pct"/>
            <w:noWrap w:val="0"/>
            <w:vAlign w:val="center"/>
          </w:tcPr>
          <w:p w14:paraId="63936CE8">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报价</w:t>
            </w:r>
          </w:p>
        </w:tc>
        <w:tc>
          <w:tcPr>
            <w:tcW w:w="3354" w:type="pct"/>
            <w:noWrap w:val="0"/>
            <w:vAlign w:val="center"/>
          </w:tcPr>
          <w:p w14:paraId="5F098C4A">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按服务需求一览表中关于响应报价的说明执行</w:t>
            </w:r>
          </w:p>
        </w:tc>
        <w:tc>
          <w:tcPr>
            <w:tcW w:w="658" w:type="pct"/>
            <w:noWrap w:val="0"/>
            <w:vAlign w:val="center"/>
          </w:tcPr>
          <w:p w14:paraId="7B42AFA4">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0</w:t>
            </w:r>
          </w:p>
        </w:tc>
      </w:tr>
      <w:tr w14:paraId="516E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0" w:type="pct"/>
            <w:noWrap w:val="0"/>
            <w:vAlign w:val="center"/>
          </w:tcPr>
          <w:p w14:paraId="5D2FA4CE">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p>
        </w:tc>
        <w:tc>
          <w:tcPr>
            <w:tcW w:w="626" w:type="pct"/>
            <w:noWrap w:val="0"/>
            <w:vAlign w:val="center"/>
          </w:tcPr>
          <w:p w14:paraId="3A3EA781">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技术分</w:t>
            </w:r>
          </w:p>
        </w:tc>
        <w:tc>
          <w:tcPr>
            <w:tcW w:w="3354" w:type="pct"/>
            <w:noWrap w:val="0"/>
            <w:vAlign w:val="center"/>
          </w:tcPr>
          <w:p w14:paraId="152089D4">
            <w:pPr>
              <w:pStyle w:val="15"/>
              <w:spacing w:line="360" w:lineRule="auto"/>
              <w:rPr>
                <w:rFonts w:hint="eastAsia" w:ascii="宋体" w:hAnsi="宋体" w:eastAsia="宋体" w:cs="宋体"/>
                <w:b/>
                <w:bCs w:val="0"/>
                <w:color w:val="auto"/>
                <w:sz w:val="21"/>
                <w:szCs w:val="21"/>
                <w:highlight w:val="none"/>
              </w:rPr>
            </w:pPr>
          </w:p>
        </w:tc>
        <w:tc>
          <w:tcPr>
            <w:tcW w:w="658" w:type="pct"/>
            <w:noWrap w:val="0"/>
            <w:vAlign w:val="center"/>
          </w:tcPr>
          <w:p w14:paraId="09299DC2">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满分</w:t>
            </w:r>
            <w:r>
              <w:rPr>
                <w:rFonts w:hint="eastAsia" w:hAnsi="宋体" w:cs="宋体"/>
                <w:b/>
                <w:bCs w:val="0"/>
                <w:color w:val="auto"/>
                <w:sz w:val="21"/>
                <w:szCs w:val="21"/>
                <w:highlight w:val="none"/>
                <w:lang w:val="en-US" w:eastAsia="zh-CN"/>
              </w:rPr>
              <w:t>96</w:t>
            </w:r>
            <w:r>
              <w:rPr>
                <w:rFonts w:hint="eastAsia" w:ascii="宋体" w:hAnsi="宋体" w:eastAsia="宋体" w:cs="宋体"/>
                <w:b/>
                <w:bCs w:val="0"/>
                <w:color w:val="auto"/>
                <w:sz w:val="21"/>
                <w:szCs w:val="21"/>
                <w:highlight w:val="none"/>
              </w:rPr>
              <w:t>分</w:t>
            </w:r>
          </w:p>
        </w:tc>
      </w:tr>
      <w:tr w14:paraId="2368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vMerge w:val="restart"/>
            <w:noWrap w:val="0"/>
            <w:vAlign w:val="center"/>
          </w:tcPr>
          <w:p w14:paraId="6A50553A">
            <w:pPr>
              <w:pStyle w:val="15"/>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626" w:type="pct"/>
            <w:vMerge w:val="restart"/>
            <w:noWrap w:val="0"/>
            <w:vAlign w:val="center"/>
          </w:tcPr>
          <w:p w14:paraId="763AC4C4">
            <w:pPr>
              <w:pStyle w:val="15"/>
              <w:spacing w:line="360" w:lineRule="auto"/>
              <w:jc w:val="center"/>
              <w:rPr>
                <w:rFonts w:hint="eastAsia" w:ascii="宋体" w:hAnsi="宋体" w:eastAsia="宋体" w:cs="宋体"/>
                <w:bCs/>
                <w:color w:val="auto"/>
                <w:sz w:val="21"/>
                <w:szCs w:val="21"/>
                <w:highlight w:val="none"/>
              </w:rPr>
            </w:pPr>
            <w:r>
              <w:rPr>
                <w:rFonts w:hint="eastAsia" w:ascii="宋体" w:hAnsi="宋体"/>
                <w:b/>
                <w:color w:val="auto"/>
                <w:sz w:val="21"/>
                <w:szCs w:val="21"/>
                <w:highlight w:val="none"/>
              </w:rPr>
              <w:t>项目实施方案分</w:t>
            </w:r>
          </w:p>
        </w:tc>
        <w:tc>
          <w:tcPr>
            <w:tcW w:w="3354" w:type="pct"/>
            <w:noWrap w:val="0"/>
            <w:vAlign w:val="center"/>
          </w:tcPr>
          <w:p w14:paraId="6EF4B96D">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管理规章制度及员工培训计划分（1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分） </w:t>
            </w:r>
          </w:p>
          <w:p w14:paraId="5963BC44">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由评委在打分前根据各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的管理规章制度及员工培训计划方案确定各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 xml:space="preserve">所属档次并进行打分。 </w:t>
            </w:r>
          </w:p>
          <w:p w14:paraId="2DE13AB8">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有管理规章制度及员工培训计划方案，但内容简单； </w:t>
            </w:r>
          </w:p>
          <w:p w14:paraId="1A7611A9">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制定管理规章制度及员工培训计划方案，各项目内容齐全，内容一般，操作性一般； </w:t>
            </w:r>
          </w:p>
          <w:p w14:paraId="5309DBA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根据项目情况及服务特点，有针对性的制定管理规章制度及员工培训计划方案，各项目内容齐全，陈述较详细，培训方案内容具体明确，操作性强且科学合理。</w:t>
            </w:r>
          </w:p>
        </w:tc>
        <w:tc>
          <w:tcPr>
            <w:tcW w:w="658" w:type="pct"/>
            <w:noWrap w:val="0"/>
            <w:vAlign w:val="center"/>
          </w:tcPr>
          <w:p w14:paraId="1FF391AB">
            <w:pPr>
              <w:pStyle w:val="15"/>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tc>
      </w:tr>
      <w:tr w14:paraId="0326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vMerge w:val="continue"/>
            <w:noWrap w:val="0"/>
            <w:vAlign w:val="center"/>
          </w:tcPr>
          <w:p w14:paraId="17B97935">
            <w:pPr>
              <w:pStyle w:val="15"/>
              <w:spacing w:line="360" w:lineRule="auto"/>
              <w:jc w:val="center"/>
              <w:rPr>
                <w:rFonts w:hint="eastAsia" w:ascii="宋体" w:hAnsi="宋体" w:eastAsia="宋体" w:cs="宋体"/>
                <w:bCs/>
                <w:color w:val="auto"/>
                <w:sz w:val="21"/>
                <w:szCs w:val="21"/>
                <w:highlight w:val="none"/>
                <w:lang w:val="en-US" w:eastAsia="zh-CN"/>
              </w:rPr>
            </w:pPr>
          </w:p>
        </w:tc>
        <w:tc>
          <w:tcPr>
            <w:tcW w:w="626" w:type="pct"/>
            <w:vMerge w:val="continue"/>
            <w:noWrap w:val="0"/>
            <w:vAlign w:val="center"/>
          </w:tcPr>
          <w:p w14:paraId="2CEF9AA6">
            <w:pPr>
              <w:pStyle w:val="15"/>
              <w:spacing w:line="360" w:lineRule="auto"/>
              <w:jc w:val="center"/>
              <w:rPr>
                <w:rFonts w:hint="eastAsia" w:ascii="宋体" w:hAnsi="宋体"/>
                <w:b/>
                <w:color w:val="auto"/>
                <w:sz w:val="21"/>
                <w:szCs w:val="21"/>
                <w:highlight w:val="none"/>
              </w:rPr>
            </w:pPr>
          </w:p>
        </w:tc>
        <w:tc>
          <w:tcPr>
            <w:tcW w:w="3354" w:type="pct"/>
            <w:noWrap w:val="0"/>
            <w:vAlign w:val="center"/>
          </w:tcPr>
          <w:p w14:paraId="69BDC74D">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（2）根据本项目特点提出合理的方案，包括人员、设备配置方案及管理方式、计划方案（1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分） </w:t>
            </w:r>
          </w:p>
          <w:p w14:paraId="64D031F3">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由评委在打分前根据各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就本项目特点提出合理的方案，包括人员、设备配置方案及管理方式、计划方案确定各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 xml:space="preserve">所属档次并进行打分。 </w:t>
            </w:r>
          </w:p>
          <w:p w14:paraId="6427673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方案一般，较为合理，可操作性一般； </w:t>
            </w:r>
          </w:p>
          <w:p w14:paraId="03CF4FC6">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方案较详细、合理，可操作性较好； </w:t>
            </w:r>
          </w:p>
          <w:p w14:paraId="07805CB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根据项目情况及服务特点，有针对性的制定方案，方案内容详细、合理，可操作性强、机械设备投入充足。</w:t>
            </w:r>
          </w:p>
        </w:tc>
        <w:tc>
          <w:tcPr>
            <w:tcW w:w="658" w:type="pct"/>
            <w:noWrap w:val="0"/>
            <w:vAlign w:val="center"/>
          </w:tcPr>
          <w:p w14:paraId="7339243C">
            <w:pPr>
              <w:pStyle w:val="15"/>
              <w:spacing w:line="360" w:lineRule="auto"/>
              <w:jc w:val="center"/>
              <w:rPr>
                <w:rFonts w:hint="eastAsia"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15分</w:t>
            </w:r>
          </w:p>
        </w:tc>
      </w:tr>
      <w:tr w14:paraId="66BC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vMerge w:val="continue"/>
            <w:noWrap w:val="0"/>
            <w:vAlign w:val="center"/>
          </w:tcPr>
          <w:p w14:paraId="2C1282F6">
            <w:pPr>
              <w:pStyle w:val="15"/>
              <w:spacing w:line="360" w:lineRule="auto"/>
              <w:jc w:val="center"/>
              <w:rPr>
                <w:rFonts w:hint="eastAsia" w:ascii="宋体" w:hAnsi="宋体" w:eastAsia="宋体" w:cs="宋体"/>
                <w:bCs/>
                <w:color w:val="auto"/>
                <w:sz w:val="21"/>
                <w:szCs w:val="21"/>
                <w:highlight w:val="none"/>
                <w:lang w:val="en-US" w:eastAsia="zh-CN"/>
              </w:rPr>
            </w:pPr>
          </w:p>
        </w:tc>
        <w:tc>
          <w:tcPr>
            <w:tcW w:w="626" w:type="pct"/>
            <w:vMerge w:val="continue"/>
            <w:noWrap w:val="0"/>
            <w:vAlign w:val="center"/>
          </w:tcPr>
          <w:p w14:paraId="45E2EF4C">
            <w:pPr>
              <w:pStyle w:val="15"/>
              <w:spacing w:line="360" w:lineRule="auto"/>
              <w:jc w:val="center"/>
              <w:rPr>
                <w:rFonts w:hint="eastAsia" w:ascii="宋体" w:hAnsi="宋体"/>
                <w:b/>
                <w:color w:val="auto"/>
                <w:sz w:val="21"/>
                <w:szCs w:val="21"/>
                <w:highlight w:val="none"/>
              </w:rPr>
            </w:pPr>
          </w:p>
        </w:tc>
        <w:tc>
          <w:tcPr>
            <w:tcW w:w="3354" w:type="pct"/>
            <w:noWrap w:val="0"/>
            <w:vAlign w:val="center"/>
          </w:tcPr>
          <w:p w14:paraId="24A03E8B">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（3）突发事件应急预案、工人意外事故应急预案及重大活动、节假日工作安排（满分 </w:t>
            </w:r>
            <w:r>
              <w:rPr>
                <w:rFonts w:hint="eastAsia" w:ascii="宋体" w:hAnsi="宋体" w:eastAsia="宋体" w:cs="宋体"/>
                <w:bCs/>
                <w:color w:val="auto"/>
                <w:sz w:val="21"/>
                <w:szCs w:val="21"/>
                <w:highlight w:val="none"/>
                <w:lang w:val="en-US" w:eastAsia="zh-CN"/>
              </w:rPr>
              <w:t>18</w:t>
            </w:r>
            <w:r>
              <w:rPr>
                <w:rFonts w:hint="eastAsia" w:ascii="宋体" w:hAnsi="宋体" w:eastAsia="宋体" w:cs="宋体"/>
                <w:bCs/>
                <w:color w:val="auto"/>
                <w:sz w:val="21"/>
                <w:szCs w:val="21"/>
                <w:highlight w:val="none"/>
              </w:rPr>
              <w:t xml:space="preserve"> 分） </w:t>
            </w:r>
          </w:p>
          <w:p w14:paraId="788EEBE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由评委在打分前根据各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的突发事件应急预案及工人意外事故应急预案及重大活动、节假日工作安排方案编写内容确定各</w:t>
            </w:r>
            <w:r>
              <w:rPr>
                <w:rFonts w:hint="eastAsia" w:ascii="宋体" w:hAnsi="宋体" w:eastAsia="宋体" w:cs="宋体"/>
                <w:bCs/>
                <w:color w:val="auto"/>
                <w:sz w:val="21"/>
                <w:szCs w:val="21"/>
                <w:highlight w:val="none"/>
                <w:lang w:eastAsia="zh-CN"/>
              </w:rPr>
              <w:t>投标单位</w:t>
            </w:r>
            <w:r>
              <w:rPr>
                <w:rFonts w:hint="eastAsia" w:ascii="宋体" w:hAnsi="宋体" w:eastAsia="宋体" w:cs="宋体"/>
                <w:bCs/>
                <w:color w:val="auto"/>
                <w:sz w:val="21"/>
                <w:szCs w:val="21"/>
                <w:highlight w:val="none"/>
              </w:rPr>
              <w:t xml:space="preserve">所属档次并进行独立打分。 </w:t>
            </w:r>
          </w:p>
          <w:p w14:paraId="76F8EFAF">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有突发事件应急预案、工人意外事故应急预案及重大活动、节假日工作安排方案， 但内容简单，总体较差； </w:t>
            </w:r>
          </w:p>
          <w:p w14:paraId="7E26ACA9">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有突发事件应急预案、工人意外事故应急预案及重大活动、节假日工作安排方案，内容齐全，总体一般，操作性一般； </w:t>
            </w:r>
          </w:p>
          <w:p w14:paraId="31ED990B">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三档（1</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 xml:space="preserve"> 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有突发事件应急预案、工人意外事故应急预案及重大活动、节假日工作安排方案，内容齐全，切合实际，总体较好，操作性强。</w:t>
            </w:r>
          </w:p>
        </w:tc>
        <w:tc>
          <w:tcPr>
            <w:tcW w:w="658" w:type="pct"/>
            <w:noWrap w:val="0"/>
            <w:vAlign w:val="center"/>
          </w:tcPr>
          <w:p w14:paraId="139A602F">
            <w:pPr>
              <w:pStyle w:val="15"/>
              <w:spacing w:line="360" w:lineRule="auto"/>
              <w:jc w:val="center"/>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18分</w:t>
            </w:r>
          </w:p>
        </w:tc>
      </w:tr>
      <w:tr w14:paraId="4B14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3E4ED0DB">
            <w:pPr>
              <w:pStyle w:val="15"/>
              <w:spacing w:line="360" w:lineRule="auto"/>
              <w:jc w:val="center"/>
              <w:rPr>
                <w:rFonts w:hint="default" w:ascii="宋体" w:hAnsi="宋体" w:eastAsia="宋体" w:cs="宋体"/>
                <w:bCs/>
                <w:color w:val="auto"/>
                <w:sz w:val="21"/>
                <w:szCs w:val="21"/>
                <w:highlight w:val="none"/>
                <w:lang w:val="en-US" w:eastAsia="zh-CN"/>
              </w:rPr>
            </w:pPr>
            <w:r>
              <w:rPr>
                <w:rFonts w:hint="eastAsia" w:hAnsi="宋体" w:eastAsia="宋体" w:cs="宋体"/>
                <w:bCs/>
                <w:color w:val="auto"/>
                <w:sz w:val="21"/>
                <w:szCs w:val="21"/>
                <w:highlight w:val="none"/>
                <w:lang w:val="en-US" w:eastAsia="zh-CN"/>
              </w:rPr>
              <w:t>2.2</w:t>
            </w:r>
          </w:p>
        </w:tc>
        <w:tc>
          <w:tcPr>
            <w:tcW w:w="626" w:type="pct"/>
            <w:noWrap w:val="0"/>
            <w:vAlign w:val="center"/>
          </w:tcPr>
          <w:p w14:paraId="34858179">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GB"/>
              </w:rPr>
              <w:t>拟投入的机械设备分</w:t>
            </w:r>
          </w:p>
        </w:tc>
        <w:tc>
          <w:tcPr>
            <w:tcW w:w="3354" w:type="pct"/>
            <w:noWrap w:val="0"/>
            <w:vAlign w:val="center"/>
          </w:tcPr>
          <w:p w14:paraId="059BDFA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分）投入的</w:t>
            </w:r>
            <w:r>
              <w:rPr>
                <w:rFonts w:hint="eastAsia" w:hAnsi="宋体" w:cs="宋体"/>
                <w:bCs/>
                <w:color w:val="auto"/>
                <w:sz w:val="21"/>
                <w:szCs w:val="21"/>
                <w:highlight w:val="none"/>
                <w:lang w:eastAsia="zh-CN"/>
              </w:rPr>
              <w:t>渣土清运机械及车辆</w:t>
            </w:r>
            <w:r>
              <w:rPr>
                <w:rFonts w:hint="eastAsia" w:ascii="宋体" w:hAnsi="宋体" w:eastAsia="宋体" w:cs="宋体"/>
                <w:bCs/>
                <w:color w:val="auto"/>
                <w:sz w:val="21"/>
                <w:szCs w:val="21"/>
                <w:highlight w:val="none"/>
              </w:rPr>
              <w:t>具有的组织计划一般；</w:t>
            </w:r>
          </w:p>
          <w:p w14:paraId="39FE605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分）投入的</w:t>
            </w:r>
            <w:r>
              <w:rPr>
                <w:rFonts w:hint="eastAsia" w:hAnsi="宋体" w:cs="宋体"/>
                <w:bCs/>
                <w:color w:val="auto"/>
                <w:sz w:val="21"/>
                <w:szCs w:val="21"/>
                <w:highlight w:val="none"/>
                <w:lang w:eastAsia="zh-CN"/>
              </w:rPr>
              <w:t>渣土清运机械及车辆具</w:t>
            </w:r>
            <w:r>
              <w:rPr>
                <w:rFonts w:hint="eastAsia" w:ascii="宋体" w:hAnsi="宋体" w:eastAsia="宋体" w:cs="宋体"/>
                <w:bCs/>
                <w:color w:val="auto"/>
                <w:sz w:val="21"/>
                <w:szCs w:val="21"/>
                <w:highlight w:val="none"/>
              </w:rPr>
              <w:t>有的组织计划且计划较合理，设备数量、选型配置、进场时间安排较合理，能满足施工需要；</w:t>
            </w:r>
          </w:p>
          <w:p w14:paraId="6649944F">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w:t>
            </w:r>
            <w:r>
              <w:rPr>
                <w:rFonts w:hint="eastAsia"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分）投入的</w:t>
            </w:r>
            <w:r>
              <w:rPr>
                <w:rFonts w:hint="eastAsia" w:hAnsi="宋体" w:cs="宋体"/>
                <w:bCs/>
                <w:color w:val="auto"/>
                <w:sz w:val="21"/>
                <w:szCs w:val="21"/>
                <w:highlight w:val="none"/>
                <w:lang w:eastAsia="zh-CN"/>
              </w:rPr>
              <w:t>清运机械及车辆</w:t>
            </w:r>
            <w:r>
              <w:rPr>
                <w:rFonts w:hint="eastAsia" w:ascii="宋体" w:hAnsi="宋体" w:eastAsia="宋体" w:cs="宋体"/>
                <w:bCs/>
                <w:color w:val="auto"/>
                <w:sz w:val="21"/>
                <w:szCs w:val="21"/>
                <w:highlight w:val="none"/>
              </w:rPr>
              <w:t>具有的组织计划且计划合理，设备数量、选型配置、进场时间安排合理，较满足施工需要；</w:t>
            </w:r>
          </w:p>
          <w:p w14:paraId="7348CB7B">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四档（</w:t>
            </w:r>
            <w:r>
              <w:rPr>
                <w:rFonts w:hint="eastAsia" w:hAnsi="宋体" w:eastAsia="宋体" w:cs="宋体"/>
                <w:bCs/>
                <w:color w:val="auto"/>
                <w:sz w:val="21"/>
                <w:szCs w:val="21"/>
                <w:highlight w:val="none"/>
                <w:lang w:val="en-US" w:eastAsia="zh-CN"/>
              </w:rPr>
              <w:t>18</w:t>
            </w:r>
            <w:r>
              <w:rPr>
                <w:rFonts w:hint="eastAsia" w:ascii="宋体" w:hAnsi="宋体" w:eastAsia="宋体" w:cs="宋体"/>
                <w:bCs/>
                <w:color w:val="auto"/>
                <w:sz w:val="21"/>
                <w:szCs w:val="21"/>
                <w:highlight w:val="none"/>
              </w:rPr>
              <w:t>分）投入的</w:t>
            </w:r>
            <w:r>
              <w:rPr>
                <w:rFonts w:hint="eastAsia" w:hAnsi="宋体" w:cs="宋体"/>
                <w:bCs/>
                <w:color w:val="auto"/>
                <w:sz w:val="21"/>
                <w:szCs w:val="21"/>
                <w:highlight w:val="none"/>
                <w:lang w:eastAsia="zh-CN"/>
              </w:rPr>
              <w:t>清运机械及车辆</w:t>
            </w:r>
            <w:r>
              <w:rPr>
                <w:rFonts w:hint="eastAsia" w:ascii="宋体" w:hAnsi="宋体" w:eastAsia="宋体" w:cs="宋体"/>
                <w:bCs/>
                <w:color w:val="auto"/>
                <w:sz w:val="21"/>
                <w:szCs w:val="21"/>
                <w:highlight w:val="none"/>
              </w:rPr>
              <w:t>具有详细的组织计划且计划周密，设备数量、选型配置、进场时间安排周密，完全满足施工需要。</w:t>
            </w:r>
          </w:p>
        </w:tc>
        <w:tc>
          <w:tcPr>
            <w:tcW w:w="658" w:type="pct"/>
            <w:noWrap w:val="0"/>
            <w:vAlign w:val="center"/>
          </w:tcPr>
          <w:p w14:paraId="606BD55C">
            <w:pPr>
              <w:pStyle w:val="15"/>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tc>
      </w:tr>
      <w:tr w14:paraId="4DA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61376C9D">
            <w:pPr>
              <w:pStyle w:val="15"/>
              <w:spacing w:line="360" w:lineRule="auto"/>
              <w:jc w:val="center"/>
              <w:rPr>
                <w:rFonts w:hint="default" w:ascii="宋体" w:hAnsi="宋体" w:eastAsia="宋体" w:cs="宋体"/>
                <w:bCs/>
                <w:color w:val="auto"/>
                <w:sz w:val="21"/>
                <w:szCs w:val="21"/>
                <w:highlight w:val="none"/>
                <w:lang w:val="en-US" w:eastAsia="zh-CN"/>
              </w:rPr>
            </w:pPr>
            <w:r>
              <w:rPr>
                <w:rFonts w:hint="eastAsia" w:hAnsi="宋体" w:eastAsia="宋体" w:cs="宋体"/>
                <w:bCs/>
                <w:color w:val="auto"/>
                <w:sz w:val="21"/>
                <w:szCs w:val="21"/>
                <w:highlight w:val="none"/>
                <w:lang w:val="en-US" w:eastAsia="zh-CN"/>
              </w:rPr>
              <w:t>2.</w:t>
            </w:r>
            <w:r>
              <w:rPr>
                <w:rFonts w:hint="eastAsia" w:hAnsi="宋体" w:cs="宋体"/>
                <w:bCs/>
                <w:color w:val="auto"/>
                <w:sz w:val="21"/>
                <w:szCs w:val="21"/>
                <w:highlight w:val="none"/>
                <w:lang w:val="en-US" w:eastAsia="zh-CN"/>
              </w:rPr>
              <w:t>3</w:t>
            </w:r>
          </w:p>
        </w:tc>
        <w:tc>
          <w:tcPr>
            <w:tcW w:w="626" w:type="pct"/>
            <w:noWrap w:val="0"/>
            <w:vAlign w:val="center"/>
          </w:tcPr>
          <w:p w14:paraId="7B25C42F">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质量、安全文明施工保证措施方案</w:t>
            </w:r>
            <w:r>
              <w:rPr>
                <w:rFonts w:hint="eastAsia" w:ascii="宋体" w:hAnsi="宋体" w:eastAsia="宋体" w:cs="宋体"/>
                <w:b/>
                <w:bCs w:val="0"/>
                <w:color w:val="auto"/>
                <w:sz w:val="21"/>
                <w:szCs w:val="21"/>
                <w:highlight w:val="none"/>
                <w:lang w:eastAsia="zh-CN"/>
              </w:rPr>
              <w:t>分</w:t>
            </w:r>
          </w:p>
        </w:tc>
        <w:tc>
          <w:tcPr>
            <w:tcW w:w="3354" w:type="pct"/>
            <w:noWrap w:val="0"/>
            <w:vAlign w:val="center"/>
          </w:tcPr>
          <w:p w14:paraId="47E8DDA2">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由</w:t>
            </w:r>
            <w:r>
              <w:rPr>
                <w:rFonts w:hint="eastAsia" w:hAnsi="宋体" w:eastAsia="宋体" w:cs="宋体"/>
                <w:bCs/>
                <w:color w:val="auto"/>
                <w:sz w:val="21"/>
                <w:szCs w:val="21"/>
                <w:highlight w:val="none"/>
                <w:lang w:eastAsia="zh-CN"/>
              </w:rPr>
              <w:t>评标委员会</w:t>
            </w:r>
            <w:r>
              <w:rPr>
                <w:rFonts w:hint="eastAsia" w:ascii="宋体" w:hAnsi="宋体" w:eastAsia="宋体" w:cs="宋体"/>
                <w:bCs/>
                <w:color w:val="auto"/>
                <w:sz w:val="21"/>
                <w:szCs w:val="21"/>
                <w:highlight w:val="none"/>
              </w:rPr>
              <w:t>在打分前根据采购文件要求，对比各供应商的质量、安全文明施工保证措施方案（包含专门的质量技术管理班子和制度、有质量技术保证措施和手段、有专门的安全管理人员和制度、有安全技术保障措施方案、有文明施工保证措施方案、有环境保护措施方案），集体讨论确定供应商“一档、二档、三档”各所属档次并形成书面材料（等级评定表），由</w:t>
            </w:r>
            <w:r>
              <w:rPr>
                <w:rFonts w:hint="eastAsia" w:hAnsi="宋体" w:eastAsia="宋体" w:cs="宋体"/>
                <w:bCs/>
                <w:color w:val="auto"/>
                <w:sz w:val="21"/>
                <w:szCs w:val="21"/>
                <w:highlight w:val="none"/>
                <w:lang w:eastAsia="zh-CN"/>
              </w:rPr>
              <w:t>评标委员会</w:t>
            </w:r>
            <w:r>
              <w:rPr>
                <w:rFonts w:hint="eastAsia" w:ascii="宋体" w:hAnsi="宋体" w:eastAsia="宋体" w:cs="宋体"/>
                <w:bCs/>
                <w:color w:val="auto"/>
                <w:sz w:val="21"/>
                <w:szCs w:val="21"/>
                <w:highlight w:val="none"/>
              </w:rPr>
              <w:t xml:space="preserve">按确定后的各供应商所属档次以及等级评定说明内容,在相应档次内独立打分。                              </w:t>
            </w:r>
          </w:p>
          <w:p w14:paraId="6A5BFBEB">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分）质量、安全文明施工保证措施方案的针对性、合理性、完整性不够完善详细；</w:t>
            </w:r>
          </w:p>
          <w:p w14:paraId="12C3FB14">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 xml:space="preserve">分）质量、安全文明施工保证措施方案的针对性、合理性、完整性基本完善但不够详细； </w:t>
            </w:r>
          </w:p>
          <w:p w14:paraId="70762E1A">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w:t>
            </w:r>
            <w:r>
              <w:rPr>
                <w:rFonts w:hint="eastAsia"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分）质量、安全文明施工保证措施方案的针对性、合理性、完整性满足采购文件；</w:t>
            </w:r>
          </w:p>
          <w:p w14:paraId="06153877">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四档（1</w:t>
            </w:r>
            <w:r>
              <w:rPr>
                <w:rFonts w:hint="eastAsia"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分）质量、安全文明施工保证措施方案的针对性、合理性、完整性完全满足，并完善详细具有很好的执行性。</w:t>
            </w:r>
          </w:p>
        </w:tc>
        <w:tc>
          <w:tcPr>
            <w:tcW w:w="658" w:type="pct"/>
            <w:noWrap w:val="0"/>
            <w:vAlign w:val="center"/>
          </w:tcPr>
          <w:p w14:paraId="0E5911AC">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tc>
      </w:tr>
      <w:tr w14:paraId="5774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36044BF9">
            <w:pPr>
              <w:pStyle w:val="15"/>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w:t>
            </w:r>
            <w:r>
              <w:rPr>
                <w:rFonts w:hint="eastAsia" w:hAnsi="宋体" w:cs="宋体"/>
                <w:bCs/>
                <w:color w:val="auto"/>
                <w:sz w:val="21"/>
                <w:szCs w:val="21"/>
                <w:highlight w:val="none"/>
                <w:lang w:val="en-US" w:eastAsia="zh-CN"/>
              </w:rPr>
              <w:t>4</w:t>
            </w:r>
          </w:p>
        </w:tc>
        <w:tc>
          <w:tcPr>
            <w:tcW w:w="626" w:type="pct"/>
            <w:noWrap w:val="0"/>
            <w:vAlign w:val="center"/>
          </w:tcPr>
          <w:p w14:paraId="68D2BF25">
            <w:pPr>
              <w:pStyle w:val="15"/>
              <w:spacing w:line="360" w:lineRule="auto"/>
              <w:jc w:val="center"/>
              <w:rPr>
                <w:rFonts w:hint="eastAsia" w:ascii="宋体" w:hAnsi="宋体" w:eastAsia="宋体" w:cs="宋体"/>
                <w:bCs/>
                <w:color w:val="auto"/>
                <w:sz w:val="21"/>
                <w:szCs w:val="21"/>
                <w:highlight w:val="none"/>
              </w:rPr>
            </w:pPr>
            <w:r>
              <w:rPr>
                <w:rFonts w:hint="eastAsia" w:ascii="宋体" w:hAnsi="宋体" w:cs="宋体"/>
                <w:b/>
                <w:bCs/>
                <w:color w:val="auto"/>
                <w:sz w:val="21"/>
                <w:szCs w:val="21"/>
                <w:highlight w:val="none"/>
              </w:rPr>
              <w:t>服务承诺分</w:t>
            </w:r>
          </w:p>
        </w:tc>
        <w:tc>
          <w:tcPr>
            <w:tcW w:w="3354" w:type="pct"/>
            <w:noWrap w:val="0"/>
            <w:vAlign w:val="center"/>
          </w:tcPr>
          <w:p w14:paraId="75D3C940">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由</w:t>
            </w:r>
            <w:r>
              <w:rPr>
                <w:rFonts w:hint="eastAsia" w:ascii="宋体" w:hAnsi="宋体" w:eastAsia="宋体" w:cs="宋体"/>
                <w:bCs/>
                <w:color w:val="auto"/>
                <w:sz w:val="21"/>
                <w:szCs w:val="21"/>
                <w:highlight w:val="none"/>
                <w:lang w:val="en-US" w:eastAsia="zh-CN"/>
              </w:rPr>
              <w:t>评标委员会</w:t>
            </w: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val="en-US" w:eastAsia="zh-CN"/>
              </w:rPr>
              <w:t>投标</w:t>
            </w:r>
            <w:r>
              <w:rPr>
                <w:rFonts w:hint="eastAsia" w:ascii="宋体" w:hAnsi="宋体" w:eastAsia="宋体" w:cs="宋体"/>
                <w:bCs/>
                <w:color w:val="auto"/>
                <w:sz w:val="21"/>
                <w:szCs w:val="21"/>
                <w:highlight w:val="none"/>
              </w:rPr>
              <w:t>文件中的服务承诺【包括：（1）按国家法律法规开展各项服务及经营的承诺；（2）承诺做到</w:t>
            </w:r>
            <w:r>
              <w:rPr>
                <w:rFonts w:hint="eastAsia" w:ascii="宋体" w:hAnsi="宋体" w:eastAsia="宋体" w:cs="宋体"/>
                <w:bCs/>
                <w:color w:val="auto"/>
                <w:sz w:val="21"/>
                <w:szCs w:val="21"/>
                <w:highlight w:val="none"/>
                <w:lang w:val="en-US" w:eastAsia="zh-CN"/>
              </w:rPr>
              <w:t>招标</w:t>
            </w:r>
            <w:r>
              <w:rPr>
                <w:rFonts w:hint="eastAsia" w:ascii="宋体" w:hAnsi="宋体" w:eastAsia="宋体" w:cs="宋体"/>
                <w:bCs/>
                <w:color w:val="auto"/>
                <w:sz w:val="21"/>
                <w:szCs w:val="21"/>
                <w:highlight w:val="none"/>
              </w:rPr>
              <w:t>文件规定及</w:t>
            </w:r>
            <w:r>
              <w:rPr>
                <w:rFonts w:hint="eastAsia" w:ascii="宋体" w:hAnsi="宋体" w:eastAsia="宋体" w:cs="宋体"/>
                <w:bCs/>
                <w:color w:val="auto"/>
                <w:sz w:val="21"/>
                <w:szCs w:val="21"/>
                <w:highlight w:val="none"/>
                <w:lang w:val="en-US" w:eastAsia="zh-CN"/>
              </w:rPr>
              <w:t>投标</w:t>
            </w:r>
            <w:r>
              <w:rPr>
                <w:rFonts w:hint="eastAsia" w:ascii="宋体" w:hAnsi="宋体" w:eastAsia="宋体" w:cs="宋体"/>
                <w:bCs/>
                <w:color w:val="auto"/>
                <w:sz w:val="21"/>
                <w:szCs w:val="21"/>
                <w:highlight w:val="none"/>
              </w:rPr>
              <w:t>文件提供的实施方案内容的承诺；（3）服务态度、服务效率、服务质量承诺；（4）按时足额发放员工工资的承诺；（5）对责任事故的处理承诺；（6）其他服务承诺等内容】进行评定。</w:t>
            </w:r>
          </w:p>
          <w:p w14:paraId="5B077F57">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服务承诺内容基本齐全，陈述简单；</w:t>
            </w:r>
          </w:p>
          <w:p w14:paraId="4567ED40">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服务承诺各项目内容齐全，陈述较详细，操作性一般；</w:t>
            </w:r>
          </w:p>
          <w:p w14:paraId="5B8D9D35">
            <w:pPr>
              <w:pStyle w:val="15"/>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三档（</w:t>
            </w:r>
            <w:r>
              <w:rPr>
                <w:rFonts w:hint="eastAsia" w:ascii="宋体" w:hAnsi="宋体" w:eastAsia="宋体" w:cs="宋体"/>
                <w:bCs/>
                <w:color w:val="auto"/>
                <w:sz w:val="21"/>
                <w:szCs w:val="21"/>
                <w:highlight w:val="none"/>
                <w:lang w:val="en-US" w:eastAsia="zh-CN"/>
              </w:rPr>
              <w:t>14</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根据实际情况及服务特点，有针对性的制定服务承诺书，服务承诺书各项目内容齐全，陈述详细，承诺具体明确，操作性强且科学合理。</w:t>
            </w:r>
          </w:p>
        </w:tc>
        <w:tc>
          <w:tcPr>
            <w:tcW w:w="658" w:type="pct"/>
            <w:noWrap w:val="0"/>
            <w:vAlign w:val="center"/>
          </w:tcPr>
          <w:p w14:paraId="4FBEF647">
            <w:pPr>
              <w:pStyle w:val="15"/>
              <w:spacing w:line="360" w:lineRule="auto"/>
              <w:jc w:val="center"/>
              <w:rPr>
                <w:rFonts w:hint="eastAsia" w:ascii="宋体" w:hAnsi="宋体" w:eastAsia="宋体" w:cs="宋体"/>
                <w:bCs/>
                <w:color w:val="auto"/>
                <w:sz w:val="21"/>
                <w:szCs w:val="21"/>
                <w:highlight w:val="none"/>
                <w:lang w:eastAsia="zh-CN"/>
              </w:rPr>
            </w:pPr>
            <w:r>
              <w:rPr>
                <w:rFonts w:hint="eastAsia" w:hAnsi="宋体" w:cs="宋体"/>
                <w:bCs/>
                <w:color w:val="auto"/>
                <w:sz w:val="21"/>
                <w:szCs w:val="21"/>
                <w:highlight w:val="none"/>
                <w:lang w:val="en-US" w:eastAsia="zh-CN"/>
              </w:rPr>
              <w:t>14</w:t>
            </w:r>
            <w:r>
              <w:rPr>
                <w:rFonts w:hint="eastAsia" w:hAnsi="宋体" w:eastAsia="宋体" w:cs="宋体"/>
                <w:bCs/>
                <w:color w:val="auto"/>
                <w:sz w:val="21"/>
                <w:szCs w:val="21"/>
                <w:highlight w:val="none"/>
                <w:lang w:val="en-US" w:eastAsia="zh-CN"/>
              </w:rPr>
              <w:t>分</w:t>
            </w:r>
          </w:p>
        </w:tc>
      </w:tr>
      <w:tr w14:paraId="5FC1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 w:type="pct"/>
            <w:noWrap w:val="0"/>
            <w:vAlign w:val="center"/>
          </w:tcPr>
          <w:p w14:paraId="26BCCF76">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p>
        </w:tc>
        <w:tc>
          <w:tcPr>
            <w:tcW w:w="626" w:type="pct"/>
            <w:noWrap w:val="0"/>
            <w:vAlign w:val="center"/>
          </w:tcPr>
          <w:p w14:paraId="30B1C8F3">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商务分</w:t>
            </w:r>
          </w:p>
        </w:tc>
        <w:tc>
          <w:tcPr>
            <w:tcW w:w="3354" w:type="pct"/>
            <w:noWrap w:val="0"/>
            <w:vAlign w:val="center"/>
          </w:tcPr>
          <w:p w14:paraId="6BA78B99">
            <w:pPr>
              <w:pStyle w:val="15"/>
              <w:spacing w:line="360" w:lineRule="auto"/>
              <w:rPr>
                <w:rFonts w:hint="eastAsia" w:ascii="宋体" w:hAnsi="宋体" w:eastAsia="宋体" w:cs="宋体"/>
                <w:b/>
                <w:bCs w:val="0"/>
                <w:color w:val="auto"/>
                <w:sz w:val="21"/>
                <w:szCs w:val="21"/>
                <w:highlight w:val="none"/>
              </w:rPr>
            </w:pPr>
          </w:p>
        </w:tc>
        <w:tc>
          <w:tcPr>
            <w:tcW w:w="658" w:type="pct"/>
            <w:noWrap w:val="0"/>
            <w:vAlign w:val="center"/>
          </w:tcPr>
          <w:p w14:paraId="3F2B3370">
            <w:pPr>
              <w:pStyle w:val="15"/>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满分</w:t>
            </w:r>
            <w:r>
              <w:rPr>
                <w:rFonts w:hint="eastAsia"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分</w:t>
            </w:r>
          </w:p>
        </w:tc>
      </w:tr>
      <w:tr w14:paraId="7302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360" w:type="pct"/>
            <w:noWrap w:val="0"/>
            <w:vAlign w:val="center"/>
          </w:tcPr>
          <w:p w14:paraId="6DE792EE">
            <w:pPr>
              <w:pStyle w:val="15"/>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3.</w:t>
            </w:r>
            <w:r>
              <w:rPr>
                <w:rFonts w:hint="eastAsia" w:hAnsi="宋体" w:cs="宋体"/>
                <w:bCs/>
                <w:color w:val="auto"/>
                <w:sz w:val="21"/>
                <w:szCs w:val="21"/>
                <w:highlight w:val="none"/>
                <w:lang w:val="en-US" w:eastAsia="zh-CN"/>
              </w:rPr>
              <w:t>1</w:t>
            </w:r>
          </w:p>
        </w:tc>
        <w:tc>
          <w:tcPr>
            <w:tcW w:w="626" w:type="pct"/>
            <w:noWrap w:val="0"/>
            <w:vAlign w:val="center"/>
          </w:tcPr>
          <w:p w14:paraId="42ACE2D4">
            <w:pPr>
              <w:pStyle w:val="15"/>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业绩</w:t>
            </w:r>
          </w:p>
        </w:tc>
        <w:tc>
          <w:tcPr>
            <w:tcW w:w="3354" w:type="pct"/>
            <w:noWrap w:val="0"/>
            <w:vAlign w:val="center"/>
          </w:tcPr>
          <w:p w14:paraId="63EC662B">
            <w:pPr>
              <w:rPr>
                <w:rFonts w:hint="eastAsia" w:ascii="宋体" w:hAnsi="宋体" w:eastAsia="宋体" w:cs="宋体"/>
                <w:bCs/>
                <w:color w:val="auto"/>
                <w:sz w:val="21"/>
                <w:szCs w:val="21"/>
                <w:highlight w:val="none"/>
              </w:rPr>
            </w:pPr>
            <w:bookmarkStart w:id="61" w:name="_GoBack"/>
            <w:r>
              <w:rPr>
                <w:rFonts w:hint="eastAsia" w:ascii="宋体" w:hAnsi="宋体" w:eastAsia="宋体" w:cs="宋体"/>
                <w:bCs/>
                <w:color w:val="auto"/>
                <w:sz w:val="21"/>
                <w:szCs w:val="21"/>
                <w:highlight w:val="none"/>
              </w:rPr>
              <w:t>（1）供应商</w:t>
            </w:r>
            <w:r>
              <w:rPr>
                <w:rFonts w:hint="eastAsia" w:ascii="宋体" w:hAnsi="宋体" w:cs="宋体"/>
                <w:bCs/>
                <w:color w:val="auto"/>
                <w:sz w:val="21"/>
                <w:szCs w:val="21"/>
                <w:highlight w:val="none"/>
                <w:lang w:eastAsia="zh-CN"/>
              </w:rPr>
              <w:t>202</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lang w:eastAsia="zh-CN"/>
              </w:rPr>
              <w:t>年以来</w:t>
            </w:r>
            <w:r>
              <w:rPr>
                <w:rFonts w:hint="eastAsia" w:ascii="宋体" w:hAnsi="宋体" w:eastAsia="宋体" w:cs="宋体"/>
                <w:bCs/>
                <w:color w:val="auto"/>
                <w:sz w:val="21"/>
                <w:szCs w:val="21"/>
                <w:highlight w:val="none"/>
              </w:rPr>
              <w:t>承接的建筑</w:t>
            </w:r>
            <w:r>
              <w:rPr>
                <w:rFonts w:hint="eastAsia" w:ascii="宋体" w:hAnsi="宋体" w:cs="宋体"/>
                <w:bCs/>
                <w:color w:val="auto"/>
                <w:sz w:val="21"/>
                <w:szCs w:val="21"/>
                <w:highlight w:val="none"/>
                <w:lang w:eastAsia="zh-CN"/>
              </w:rPr>
              <w:t>清运项目</w:t>
            </w:r>
            <w:r>
              <w:rPr>
                <w:rFonts w:hint="eastAsia" w:ascii="宋体" w:hAnsi="宋体" w:eastAsia="宋体" w:cs="宋体"/>
                <w:bCs/>
                <w:color w:val="auto"/>
                <w:sz w:val="21"/>
                <w:szCs w:val="21"/>
                <w:highlight w:val="none"/>
              </w:rPr>
              <w:t>施工业绩每个</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分【供应商须提供有效的中标（成交）通知书或合同的复印件或竣工验收材料并加盖供应商公章作为计分依据，要求清晰体现项目名称、项目类别，同一个编号的项目有两个或两个以上的中标的只算一次】。</w:t>
            </w:r>
            <w:bookmarkEnd w:id="61"/>
          </w:p>
        </w:tc>
        <w:tc>
          <w:tcPr>
            <w:tcW w:w="658" w:type="pct"/>
            <w:noWrap w:val="0"/>
            <w:vAlign w:val="center"/>
          </w:tcPr>
          <w:p w14:paraId="4CCD2310">
            <w:pPr>
              <w:pStyle w:val="15"/>
              <w:spacing w:line="360" w:lineRule="auto"/>
              <w:jc w:val="center"/>
              <w:rPr>
                <w:rFonts w:hint="eastAsia" w:ascii="宋体" w:hAnsi="宋体" w:eastAsia="宋体" w:cs="宋体"/>
                <w:bCs/>
                <w:color w:val="auto"/>
                <w:sz w:val="21"/>
                <w:szCs w:val="21"/>
                <w:highlight w:val="none"/>
                <w:lang w:eastAsia="zh-CN"/>
              </w:rPr>
            </w:pPr>
            <w:r>
              <w:rPr>
                <w:rFonts w:hint="eastAsia" w:hAnsi="宋体" w:cs="宋体"/>
                <w:bCs/>
                <w:color w:val="auto"/>
                <w:sz w:val="21"/>
                <w:szCs w:val="21"/>
                <w:highlight w:val="none"/>
                <w:lang w:val="en-US" w:eastAsia="zh-CN"/>
              </w:rPr>
              <w:t>4</w:t>
            </w:r>
            <w:r>
              <w:rPr>
                <w:rFonts w:hint="eastAsia" w:hAnsi="宋体" w:eastAsia="宋体" w:cs="宋体"/>
                <w:bCs/>
                <w:color w:val="auto"/>
                <w:sz w:val="21"/>
                <w:szCs w:val="21"/>
                <w:highlight w:val="none"/>
                <w:lang w:val="en-US" w:eastAsia="zh-CN"/>
              </w:rPr>
              <w:t>分</w:t>
            </w:r>
          </w:p>
        </w:tc>
      </w:tr>
      <w:bookmarkEnd w:id="44"/>
    </w:tbl>
    <w:p w14:paraId="1EC56AD4">
      <w:pPr>
        <w:pStyle w:val="15"/>
        <w:spacing w:line="360" w:lineRule="auto"/>
        <w:ind w:firstLine="420"/>
        <w:rPr>
          <w:rFonts w:hint="eastAsia" w:hAnsi="宋体" w:cs="宋体"/>
          <w:bCs/>
          <w:color w:val="auto"/>
          <w:highlight w:val="none"/>
        </w:rPr>
      </w:pPr>
      <w:r>
        <w:rPr>
          <w:rFonts w:hint="eastAsia" w:hAnsi="宋体" w:cs="宋体"/>
          <w:bCs/>
          <w:color w:val="auto"/>
          <w:highlight w:val="none"/>
        </w:rPr>
        <w:t>注：评分分值按四舍五入取至</w:t>
      </w:r>
      <w:r>
        <w:rPr>
          <w:rFonts w:hint="eastAsia" w:hAnsi="宋体" w:cs="宋体"/>
          <w:color w:val="auto"/>
          <w:highlight w:val="none"/>
        </w:rPr>
        <w:t>小数点后二位</w:t>
      </w:r>
      <w:r>
        <w:rPr>
          <w:rFonts w:hint="eastAsia" w:hAnsi="宋体" w:cs="宋体"/>
          <w:bCs/>
          <w:color w:val="auto"/>
          <w:highlight w:val="none"/>
        </w:rPr>
        <w:t>。</w:t>
      </w:r>
    </w:p>
    <w:p w14:paraId="7E55F2F2">
      <w:pPr>
        <w:keepNext w:val="0"/>
        <w:keepLines w:val="0"/>
        <w:pageBreakBefore w:val="0"/>
        <w:widowControl w:val="0"/>
        <w:kinsoku/>
        <w:wordWrap/>
        <w:overflowPunct/>
        <w:topLinePunct w:val="0"/>
        <w:bidi w:val="0"/>
        <w:snapToGrid/>
        <w:spacing w:line="360" w:lineRule="atLeast"/>
        <w:ind w:firstLine="411" w:firstLineChars="196"/>
        <w:textAlignment w:val="auto"/>
        <w:rPr>
          <w:rFonts w:hint="eastAsia" w:ascii="宋体" w:hAnsi="宋体" w:eastAsia="宋体" w:cs="宋体"/>
          <w:b/>
          <w:bCs/>
          <w:color w:val="auto"/>
          <w:szCs w:val="21"/>
          <w:highlight w:val="none"/>
        </w:rPr>
        <w:sectPr>
          <w:footerReference r:id="rId4" w:type="default"/>
          <w:pgSz w:w="11906" w:h="16838"/>
          <w:pgMar w:top="1417" w:right="1417" w:bottom="1417" w:left="1701" w:header="850" w:footer="992" w:gutter="0"/>
          <w:pgNumType w:fmt="decimal" w:start="1"/>
          <w:cols w:space="0" w:num="1"/>
          <w:docGrid w:type="linesAndChars" w:linePitch="318" w:charSpace="0"/>
        </w:sectPr>
      </w:pPr>
    </w:p>
    <w:p w14:paraId="5F53CB90">
      <w:pPr>
        <w:rPr>
          <w:rFonts w:hint="eastAsia" w:ascii="宋体" w:hAnsi="宋体" w:eastAsia="宋体" w:cs="宋体"/>
          <w:b/>
          <w:bCs/>
          <w:color w:val="auto"/>
          <w:highlight w:val="none"/>
        </w:rPr>
      </w:pPr>
      <w:r>
        <w:rPr>
          <w:rFonts w:hint="eastAsia" w:ascii="宋体" w:hAnsi="宋体" w:eastAsia="宋体" w:cs="宋体"/>
          <w:b/>
          <w:bCs/>
          <w:color w:val="auto"/>
          <w:sz w:val="30"/>
          <w:szCs w:val="30"/>
          <w:highlight w:val="none"/>
        </w:rPr>
        <w:t>附表</w:t>
      </w:r>
    </w:p>
    <w:p w14:paraId="1552F813">
      <w:pPr>
        <w:widowControl/>
        <w:spacing w:beforeLines="50" w:afterLines="50" w:line="400" w:lineRule="exact"/>
        <w:jc w:val="center"/>
        <w:rPr>
          <w:rFonts w:hint="eastAsia" w:ascii="宋体" w:hAnsi="宋体" w:eastAsia="宋体" w:cs="宋体"/>
          <w:b/>
          <w:bCs/>
          <w:color w:val="auto"/>
          <w:kern w:val="0"/>
          <w:sz w:val="30"/>
          <w:szCs w:val="30"/>
          <w:highlight w:val="none"/>
        </w:rPr>
      </w:pPr>
      <w:bookmarkStart w:id="45" w:name="_Toc28361_WPSOffice_Level2"/>
      <w:r>
        <w:rPr>
          <w:rFonts w:hint="eastAsia" w:ascii="宋体" w:hAnsi="宋体" w:eastAsia="宋体" w:cs="宋体"/>
          <w:b/>
          <w:bCs/>
          <w:color w:val="auto"/>
          <w:kern w:val="0"/>
          <w:sz w:val="30"/>
          <w:szCs w:val="30"/>
          <w:highlight w:val="none"/>
        </w:rPr>
        <w:t>统计上大中小微型企业划分标准</w:t>
      </w:r>
      <w:bookmarkEnd w:id="45"/>
    </w:p>
    <w:tbl>
      <w:tblPr>
        <w:tblStyle w:val="25"/>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369"/>
        <w:gridCol w:w="709"/>
        <w:gridCol w:w="1125"/>
        <w:gridCol w:w="1701"/>
        <w:gridCol w:w="1426"/>
        <w:gridCol w:w="992"/>
      </w:tblGrid>
      <w:tr w14:paraId="1138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1675" w:type="dxa"/>
            <w:shd w:val="clear" w:color="auto" w:fill="8DB3E2"/>
            <w:vAlign w:val="center"/>
          </w:tcPr>
          <w:p w14:paraId="624A780C">
            <w:pPr>
              <w:widowControl/>
              <w:spacing w:line="24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8DB3E2"/>
            <w:vAlign w:val="center"/>
          </w:tcPr>
          <w:p w14:paraId="0B7EAC7F">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8DB3E2"/>
            <w:vAlign w:val="center"/>
          </w:tcPr>
          <w:p w14:paraId="194EFDC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r>
              <w:rPr>
                <w:rFonts w:hint="eastAsia" w:ascii="宋体" w:hAnsi="宋体" w:eastAsia="宋体" w:cs="宋体"/>
                <w:b/>
                <w:bCs/>
                <w:color w:val="auto"/>
                <w:kern w:val="0"/>
                <w:sz w:val="18"/>
                <w:szCs w:val="18"/>
                <w:highlight w:val="none"/>
              </w:rPr>
              <w:br w:type="textWrapping"/>
            </w:r>
            <w:r>
              <w:rPr>
                <w:rFonts w:hint="eastAsia" w:ascii="宋体" w:hAnsi="宋体" w:eastAsia="宋体" w:cs="宋体"/>
                <w:b/>
                <w:bCs/>
                <w:color w:val="auto"/>
                <w:kern w:val="0"/>
                <w:sz w:val="18"/>
                <w:szCs w:val="18"/>
                <w:highlight w:val="none"/>
              </w:rPr>
              <w:t>单位</w:t>
            </w:r>
          </w:p>
        </w:tc>
        <w:tc>
          <w:tcPr>
            <w:tcW w:w="1125" w:type="dxa"/>
            <w:shd w:val="clear" w:color="auto" w:fill="8DB3E2"/>
            <w:vAlign w:val="center"/>
          </w:tcPr>
          <w:p w14:paraId="2A543B1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8DB3E2"/>
            <w:vAlign w:val="center"/>
          </w:tcPr>
          <w:p w14:paraId="2ED526D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8DB3E2"/>
            <w:vAlign w:val="center"/>
          </w:tcPr>
          <w:p w14:paraId="06FBA1D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8DB3E2"/>
            <w:vAlign w:val="center"/>
          </w:tcPr>
          <w:p w14:paraId="1D31C6E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53F3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Align w:val="center"/>
          </w:tcPr>
          <w:p w14:paraId="312E4438">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vAlign w:val="center"/>
          </w:tcPr>
          <w:p w14:paraId="75553F9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ADA059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10A764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25CD37A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1A635F8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vAlign w:val="center"/>
          </w:tcPr>
          <w:p w14:paraId="4806352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656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71AD6708">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w:t>
            </w:r>
          </w:p>
        </w:tc>
        <w:tc>
          <w:tcPr>
            <w:tcW w:w="1369" w:type="dxa"/>
            <w:vAlign w:val="center"/>
          </w:tcPr>
          <w:p w14:paraId="039E91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01863CA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552904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3A54A19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5417B0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7911441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5A3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6D690858">
            <w:pPr>
              <w:widowControl/>
              <w:jc w:val="left"/>
              <w:rPr>
                <w:rFonts w:hint="eastAsia" w:ascii="宋体" w:hAnsi="宋体" w:eastAsia="宋体" w:cs="宋体"/>
                <w:color w:val="auto"/>
                <w:kern w:val="0"/>
                <w:sz w:val="18"/>
                <w:szCs w:val="18"/>
                <w:highlight w:val="none"/>
              </w:rPr>
            </w:pPr>
          </w:p>
        </w:tc>
        <w:tc>
          <w:tcPr>
            <w:tcW w:w="1369" w:type="dxa"/>
            <w:vAlign w:val="center"/>
          </w:tcPr>
          <w:p w14:paraId="22C2E6AE">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5D4113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6B73DF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1678221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vAlign w:val="center"/>
          </w:tcPr>
          <w:p w14:paraId="3FFD71C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vAlign w:val="center"/>
          </w:tcPr>
          <w:p w14:paraId="132F7B8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B7F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1001D3E6">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vAlign w:val="center"/>
          </w:tcPr>
          <w:p w14:paraId="36F977D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023ECD9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C0BB80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vAlign w:val="center"/>
          </w:tcPr>
          <w:p w14:paraId="1DE2DC51">
            <w:pPr>
              <w:widowControl/>
              <w:jc w:val="center"/>
              <w:rPr>
                <w:rFonts w:hint="eastAsia" w:ascii="宋体" w:hAnsi="宋体" w:eastAsia="宋体" w:cs="宋体"/>
                <w:color w:val="auto"/>
                <w:kern w:val="0"/>
                <w:sz w:val="18"/>
                <w:szCs w:val="18"/>
                <w:highlight w:val="none"/>
              </w:rPr>
            </w:pPr>
            <w:r>
              <w:rPr>
                <w:rFonts w:hint="eastAsia" w:ascii="宋体" w:hAnsi="宋体" w:cs="宋体"/>
                <w:color w:val="auto"/>
                <w:kern w:val="0"/>
                <w:sz w:val="18"/>
                <w:szCs w:val="18"/>
                <w:highlight w:val="none"/>
                <w:lang w:eastAsia="zh-CN"/>
              </w:rPr>
              <w:t>8000</w:t>
            </w:r>
            <w:r>
              <w:rPr>
                <w:rFonts w:hint="eastAsia" w:ascii="宋体" w:hAnsi="宋体" w:eastAsia="宋体" w:cs="宋体"/>
                <w:color w:val="auto"/>
                <w:kern w:val="0"/>
                <w:sz w:val="18"/>
                <w:szCs w:val="18"/>
                <w:highlight w:val="none"/>
              </w:rPr>
              <w:t>≤Y＜80000</w:t>
            </w:r>
          </w:p>
        </w:tc>
        <w:tc>
          <w:tcPr>
            <w:tcW w:w="1426" w:type="dxa"/>
            <w:vAlign w:val="center"/>
          </w:tcPr>
          <w:p w14:paraId="3DF7B92E">
            <w:pPr>
              <w:widowControl/>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300≤Y＜</w:t>
            </w:r>
            <w:r>
              <w:rPr>
                <w:rFonts w:hint="eastAsia" w:ascii="宋体" w:hAnsi="宋体" w:cs="宋体"/>
                <w:color w:val="auto"/>
                <w:kern w:val="0"/>
                <w:sz w:val="18"/>
                <w:szCs w:val="18"/>
                <w:highlight w:val="none"/>
                <w:lang w:eastAsia="zh-CN"/>
              </w:rPr>
              <w:t>8000</w:t>
            </w:r>
          </w:p>
        </w:tc>
        <w:tc>
          <w:tcPr>
            <w:tcW w:w="992" w:type="dxa"/>
            <w:vAlign w:val="center"/>
          </w:tcPr>
          <w:p w14:paraId="0A6CEE4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072D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69B0758B">
            <w:pPr>
              <w:widowControl/>
              <w:jc w:val="left"/>
              <w:rPr>
                <w:rFonts w:hint="eastAsia" w:ascii="宋体" w:hAnsi="宋体" w:eastAsia="宋体" w:cs="宋体"/>
                <w:color w:val="auto"/>
                <w:kern w:val="0"/>
                <w:sz w:val="18"/>
                <w:szCs w:val="18"/>
                <w:highlight w:val="none"/>
              </w:rPr>
            </w:pPr>
          </w:p>
        </w:tc>
        <w:tc>
          <w:tcPr>
            <w:tcW w:w="1369" w:type="dxa"/>
            <w:vAlign w:val="center"/>
          </w:tcPr>
          <w:p w14:paraId="317796F9">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17461E6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D2CBF1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vAlign w:val="center"/>
          </w:tcPr>
          <w:p w14:paraId="32FD295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vAlign w:val="center"/>
          </w:tcPr>
          <w:p w14:paraId="35740DA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vAlign w:val="center"/>
          </w:tcPr>
          <w:p w14:paraId="7C5C047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6EFE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05C27F05">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vAlign w:val="center"/>
          </w:tcPr>
          <w:p w14:paraId="5ED4D51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D9DE8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42A4987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72E87D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vAlign w:val="center"/>
          </w:tcPr>
          <w:p w14:paraId="15CE9E6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vAlign w:val="center"/>
          </w:tcPr>
          <w:p w14:paraId="07B840B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2335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118D6D50">
            <w:pPr>
              <w:widowControl/>
              <w:jc w:val="left"/>
              <w:rPr>
                <w:rFonts w:hint="eastAsia" w:ascii="宋体" w:hAnsi="宋体" w:eastAsia="宋体" w:cs="宋体"/>
                <w:color w:val="auto"/>
                <w:kern w:val="0"/>
                <w:sz w:val="18"/>
                <w:szCs w:val="18"/>
                <w:highlight w:val="none"/>
              </w:rPr>
            </w:pPr>
          </w:p>
        </w:tc>
        <w:tc>
          <w:tcPr>
            <w:tcW w:w="1369" w:type="dxa"/>
            <w:vAlign w:val="center"/>
          </w:tcPr>
          <w:p w14:paraId="392AC275">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7B1B8A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5FB939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0082905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vAlign w:val="center"/>
          </w:tcPr>
          <w:p w14:paraId="667C5782">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vAlign w:val="center"/>
          </w:tcPr>
          <w:p w14:paraId="1791DBE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38E1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4361EB72">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vAlign w:val="center"/>
          </w:tcPr>
          <w:p w14:paraId="15BAD40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E73CDF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61E139A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3DA9709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vAlign w:val="center"/>
          </w:tcPr>
          <w:p w14:paraId="6A44F7A1">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992" w:type="dxa"/>
            <w:vAlign w:val="center"/>
          </w:tcPr>
          <w:p w14:paraId="53C9DC7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87D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6D2DC4E9">
            <w:pPr>
              <w:widowControl/>
              <w:jc w:val="left"/>
              <w:rPr>
                <w:rFonts w:hint="eastAsia" w:ascii="宋体" w:hAnsi="宋体" w:eastAsia="宋体" w:cs="宋体"/>
                <w:color w:val="auto"/>
                <w:kern w:val="0"/>
                <w:sz w:val="18"/>
                <w:szCs w:val="18"/>
                <w:highlight w:val="none"/>
              </w:rPr>
            </w:pPr>
          </w:p>
        </w:tc>
        <w:tc>
          <w:tcPr>
            <w:tcW w:w="1369" w:type="dxa"/>
            <w:vAlign w:val="center"/>
          </w:tcPr>
          <w:p w14:paraId="2BE67D55">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BEDB13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7CF2AC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776EBFE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3C46BEE0">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vAlign w:val="center"/>
          </w:tcPr>
          <w:p w14:paraId="0F22069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FBF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3A0A4224">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w:t>
            </w:r>
          </w:p>
        </w:tc>
        <w:tc>
          <w:tcPr>
            <w:tcW w:w="1369" w:type="dxa"/>
            <w:vAlign w:val="center"/>
          </w:tcPr>
          <w:p w14:paraId="476BB6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35F8E92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8CF206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2BF2234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7D46A9E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1EA79C1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F58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2A137CD0">
            <w:pPr>
              <w:widowControl/>
              <w:jc w:val="left"/>
              <w:rPr>
                <w:rFonts w:hint="eastAsia" w:ascii="宋体" w:hAnsi="宋体" w:eastAsia="宋体" w:cs="宋体"/>
                <w:color w:val="auto"/>
                <w:kern w:val="0"/>
                <w:sz w:val="18"/>
                <w:szCs w:val="18"/>
                <w:highlight w:val="none"/>
              </w:rPr>
            </w:pPr>
          </w:p>
        </w:tc>
        <w:tc>
          <w:tcPr>
            <w:tcW w:w="1369" w:type="dxa"/>
            <w:vAlign w:val="center"/>
          </w:tcPr>
          <w:p w14:paraId="0D62E35A">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54E8523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51B98D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45597D2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vAlign w:val="center"/>
          </w:tcPr>
          <w:p w14:paraId="11268E3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vAlign w:val="center"/>
          </w:tcPr>
          <w:p w14:paraId="4CB30AA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0EAA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4BEE6547">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vAlign w:val="center"/>
          </w:tcPr>
          <w:p w14:paraId="12F6401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2D9B76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6C65C6D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1FA42176">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vAlign w:val="center"/>
          </w:tcPr>
          <w:p w14:paraId="6787172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vAlign w:val="center"/>
          </w:tcPr>
          <w:p w14:paraId="5265CAD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C4E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0C4D3CE5">
            <w:pPr>
              <w:widowControl/>
              <w:jc w:val="left"/>
              <w:rPr>
                <w:rFonts w:hint="eastAsia" w:ascii="宋体" w:hAnsi="宋体" w:eastAsia="宋体" w:cs="宋体"/>
                <w:color w:val="auto"/>
                <w:kern w:val="0"/>
                <w:sz w:val="18"/>
                <w:szCs w:val="18"/>
                <w:highlight w:val="none"/>
              </w:rPr>
            </w:pPr>
          </w:p>
        </w:tc>
        <w:tc>
          <w:tcPr>
            <w:tcW w:w="1369" w:type="dxa"/>
            <w:vAlign w:val="center"/>
          </w:tcPr>
          <w:p w14:paraId="2F0897FF">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D51392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141C40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1EEF035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vAlign w:val="center"/>
          </w:tcPr>
          <w:p w14:paraId="6A56D2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08A0968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84F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041B403D">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vAlign w:val="center"/>
          </w:tcPr>
          <w:p w14:paraId="716425B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0DF4CE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BC3B49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1BD2FE3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3E59AC7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74B4B34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102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4DFFADBC">
            <w:pPr>
              <w:widowControl/>
              <w:jc w:val="left"/>
              <w:rPr>
                <w:rFonts w:hint="eastAsia" w:ascii="宋体" w:hAnsi="宋体" w:eastAsia="宋体" w:cs="宋体"/>
                <w:color w:val="auto"/>
                <w:kern w:val="0"/>
                <w:sz w:val="18"/>
                <w:szCs w:val="18"/>
                <w:highlight w:val="none"/>
              </w:rPr>
            </w:pPr>
          </w:p>
        </w:tc>
        <w:tc>
          <w:tcPr>
            <w:tcW w:w="1369" w:type="dxa"/>
            <w:vAlign w:val="center"/>
          </w:tcPr>
          <w:p w14:paraId="69600B8E">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2E3799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F47BE4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762150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vAlign w:val="center"/>
          </w:tcPr>
          <w:p w14:paraId="0F024B0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0BD2333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EB8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2BD40E0D">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vAlign w:val="center"/>
          </w:tcPr>
          <w:p w14:paraId="2B4B565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7B008C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43DD418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02BBE282">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79242E8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EE12D0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32B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744CEBBC">
            <w:pPr>
              <w:widowControl/>
              <w:jc w:val="left"/>
              <w:rPr>
                <w:rFonts w:hint="eastAsia" w:ascii="宋体" w:hAnsi="宋体" w:eastAsia="宋体" w:cs="宋体"/>
                <w:color w:val="auto"/>
                <w:kern w:val="0"/>
                <w:sz w:val="18"/>
                <w:szCs w:val="18"/>
                <w:highlight w:val="none"/>
              </w:rPr>
            </w:pPr>
          </w:p>
        </w:tc>
        <w:tc>
          <w:tcPr>
            <w:tcW w:w="1369" w:type="dxa"/>
            <w:vAlign w:val="center"/>
          </w:tcPr>
          <w:p w14:paraId="6F4CB47D">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2EB0EB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32A47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2E217CA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3506FDC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0D02FEA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F2B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7A999DB1">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vAlign w:val="center"/>
          </w:tcPr>
          <w:p w14:paraId="3217A76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CF28BE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E85B8A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7AB145B8">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4F9FFB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5E7343F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E59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352D93CA">
            <w:pPr>
              <w:widowControl/>
              <w:jc w:val="left"/>
              <w:rPr>
                <w:rFonts w:hint="eastAsia" w:ascii="宋体" w:hAnsi="宋体" w:eastAsia="宋体" w:cs="宋体"/>
                <w:color w:val="auto"/>
                <w:kern w:val="0"/>
                <w:sz w:val="18"/>
                <w:szCs w:val="18"/>
                <w:highlight w:val="none"/>
              </w:rPr>
            </w:pPr>
          </w:p>
        </w:tc>
        <w:tc>
          <w:tcPr>
            <w:tcW w:w="1369" w:type="dxa"/>
            <w:vAlign w:val="center"/>
          </w:tcPr>
          <w:p w14:paraId="70592F34">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5AF6D20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13509B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489EBFC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7654691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314B411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B1F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5CBDE07A">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w:t>
            </w:r>
          </w:p>
        </w:tc>
        <w:tc>
          <w:tcPr>
            <w:tcW w:w="1369" w:type="dxa"/>
            <w:vAlign w:val="center"/>
          </w:tcPr>
          <w:p w14:paraId="60726FC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D553E8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36F6B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vAlign w:val="center"/>
          </w:tcPr>
          <w:p w14:paraId="4547E9F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vAlign w:val="center"/>
          </w:tcPr>
          <w:p w14:paraId="02B3EFE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FC3735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621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741F110C">
            <w:pPr>
              <w:widowControl/>
              <w:jc w:val="left"/>
              <w:rPr>
                <w:rFonts w:hint="eastAsia" w:ascii="宋体" w:hAnsi="宋体" w:eastAsia="宋体" w:cs="宋体"/>
                <w:color w:val="auto"/>
                <w:kern w:val="0"/>
                <w:sz w:val="18"/>
                <w:szCs w:val="18"/>
                <w:highlight w:val="none"/>
              </w:rPr>
            </w:pPr>
          </w:p>
        </w:tc>
        <w:tc>
          <w:tcPr>
            <w:tcW w:w="1369" w:type="dxa"/>
            <w:vAlign w:val="center"/>
          </w:tcPr>
          <w:p w14:paraId="79401EB9">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812C7A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32F1F76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vAlign w:val="center"/>
          </w:tcPr>
          <w:p w14:paraId="316DAE0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vAlign w:val="center"/>
          </w:tcPr>
          <w:p w14:paraId="0A26DE4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3111678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0A4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5210353E">
            <w:pPr>
              <w:widowControl/>
              <w:spacing w:line="24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vAlign w:val="center"/>
          </w:tcPr>
          <w:p w14:paraId="2CEE3DB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FCD1C6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7BDC49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773616C5">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4E63F86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3B4624D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F56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2FF37547">
            <w:pPr>
              <w:widowControl/>
              <w:jc w:val="left"/>
              <w:rPr>
                <w:rFonts w:hint="eastAsia" w:ascii="宋体" w:hAnsi="宋体" w:eastAsia="宋体" w:cs="宋体"/>
                <w:color w:val="auto"/>
                <w:spacing w:val="-12"/>
                <w:kern w:val="0"/>
                <w:sz w:val="18"/>
                <w:szCs w:val="18"/>
                <w:highlight w:val="none"/>
              </w:rPr>
            </w:pPr>
          </w:p>
        </w:tc>
        <w:tc>
          <w:tcPr>
            <w:tcW w:w="1369" w:type="dxa"/>
            <w:vAlign w:val="center"/>
          </w:tcPr>
          <w:p w14:paraId="2D5E08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58BC53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7A11AD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5E03070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vAlign w:val="center"/>
          </w:tcPr>
          <w:p w14:paraId="5DE0CFF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vAlign w:val="center"/>
          </w:tcPr>
          <w:p w14:paraId="645A5BC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28E3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06F78B04">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vAlign w:val="center"/>
          </w:tcPr>
          <w:p w14:paraId="2D5082D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B23588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93E648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vAlign w:val="center"/>
          </w:tcPr>
          <w:p w14:paraId="75D3188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vAlign w:val="center"/>
          </w:tcPr>
          <w:p w14:paraId="693203D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241AFFC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324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15CD9E8F">
            <w:pPr>
              <w:widowControl/>
              <w:jc w:val="left"/>
              <w:rPr>
                <w:rFonts w:hint="eastAsia" w:ascii="宋体" w:hAnsi="宋体" w:eastAsia="宋体" w:cs="宋体"/>
                <w:color w:val="auto"/>
                <w:kern w:val="0"/>
                <w:sz w:val="18"/>
                <w:szCs w:val="18"/>
                <w:highlight w:val="none"/>
              </w:rPr>
            </w:pPr>
          </w:p>
        </w:tc>
        <w:tc>
          <w:tcPr>
            <w:tcW w:w="1369" w:type="dxa"/>
            <w:vAlign w:val="center"/>
          </w:tcPr>
          <w:p w14:paraId="453535BC">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10D9209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7701ACF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vAlign w:val="center"/>
          </w:tcPr>
          <w:p w14:paraId="2420856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vAlign w:val="center"/>
          </w:tcPr>
          <w:p w14:paraId="63703DA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vAlign w:val="center"/>
          </w:tcPr>
          <w:p w14:paraId="4E4DBBD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2701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65D6A42A">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vAlign w:val="center"/>
          </w:tcPr>
          <w:p w14:paraId="3810D82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839680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62E83A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5063533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748EB94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vAlign w:val="center"/>
          </w:tcPr>
          <w:p w14:paraId="650501D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5B1C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5B382F52">
            <w:pPr>
              <w:widowControl/>
              <w:jc w:val="left"/>
              <w:rPr>
                <w:rFonts w:hint="eastAsia" w:ascii="宋体" w:hAnsi="宋体" w:eastAsia="宋体" w:cs="宋体"/>
                <w:color w:val="auto"/>
                <w:kern w:val="0"/>
                <w:sz w:val="18"/>
                <w:szCs w:val="18"/>
                <w:highlight w:val="none"/>
              </w:rPr>
            </w:pPr>
          </w:p>
        </w:tc>
        <w:tc>
          <w:tcPr>
            <w:tcW w:w="1369" w:type="dxa"/>
            <w:vAlign w:val="center"/>
          </w:tcPr>
          <w:p w14:paraId="446F30A4">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36CA7A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47D9E9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vAlign w:val="center"/>
          </w:tcPr>
          <w:p w14:paraId="36000BA5">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vAlign w:val="center"/>
          </w:tcPr>
          <w:p w14:paraId="422FE37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vAlign w:val="center"/>
          </w:tcPr>
          <w:p w14:paraId="3B771D9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562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1614603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vAlign w:val="center"/>
          </w:tcPr>
          <w:p w14:paraId="34BF8A9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6FCED0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024408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72C9586A">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63EF78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7BAEFB3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E7A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17906BF1">
            <w:pPr>
              <w:widowControl/>
              <w:jc w:val="left"/>
              <w:rPr>
                <w:rFonts w:hint="eastAsia" w:ascii="宋体" w:hAnsi="宋体" w:eastAsia="宋体" w:cs="宋体"/>
                <w:color w:val="auto"/>
                <w:kern w:val="0"/>
                <w:sz w:val="18"/>
                <w:szCs w:val="18"/>
                <w:highlight w:val="none"/>
              </w:rPr>
            </w:pPr>
          </w:p>
        </w:tc>
        <w:tc>
          <w:tcPr>
            <w:tcW w:w="1369" w:type="dxa"/>
            <w:vAlign w:val="center"/>
          </w:tcPr>
          <w:p w14:paraId="18CE88EB">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15447AA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6532D7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vAlign w:val="center"/>
          </w:tcPr>
          <w:p w14:paraId="597DEEC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vAlign w:val="center"/>
          </w:tcPr>
          <w:p w14:paraId="5346BE0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vAlign w:val="center"/>
          </w:tcPr>
          <w:p w14:paraId="36517AA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6E1D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Align w:val="center"/>
          </w:tcPr>
          <w:p w14:paraId="1041CCED">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w:t>
            </w:r>
          </w:p>
        </w:tc>
        <w:tc>
          <w:tcPr>
            <w:tcW w:w="1369" w:type="dxa"/>
            <w:vAlign w:val="center"/>
          </w:tcPr>
          <w:p w14:paraId="6954FB7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3B91B43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260890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5B93A644">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4BD2A3F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798659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3F7A0BBE">
      <w:pPr>
        <w:widowControl/>
        <w:spacing w:line="600" w:lineRule="exact"/>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说明：</w:t>
      </w:r>
    </w:p>
    <w:p w14:paraId="5A976A47">
      <w:pPr>
        <w:pStyle w:val="15"/>
        <w:adjustRightInd w:val="0"/>
        <w:spacing w:line="60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1.大型、中型和小型企业须同时满足所列指标的下限，否则下划一档；微型企业只</w:t>
      </w:r>
    </w:p>
    <w:p w14:paraId="7F53C4EA">
      <w:pPr>
        <w:tabs>
          <w:tab w:val="left" w:pos="2569"/>
        </w:tabs>
        <w:spacing w:line="600" w:lineRule="exact"/>
        <w:jc w:val="left"/>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须满足所列指标中的一项即可。</w:t>
      </w:r>
    </w:p>
    <w:p w14:paraId="0747508E">
      <w:pPr>
        <w:pStyle w:val="15"/>
        <w:adjustRightInd w:val="0"/>
        <w:spacing w:line="60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715965D">
      <w:pPr>
        <w:pStyle w:val="15"/>
        <w:adjustRightInd w:val="0"/>
        <w:spacing w:line="600" w:lineRule="exact"/>
        <w:ind w:firstLine="452" w:firstLineChars="200"/>
        <w:contextualSpacing/>
        <w:rPr>
          <w:rFonts w:hint="eastAsia" w:ascii="宋体" w:hAnsi="宋体" w:eastAsia="宋体" w:cs="宋体"/>
          <w:color w:val="auto"/>
          <w:spacing w:val="8"/>
          <w:szCs w:val="21"/>
          <w:highlight w:val="none"/>
        </w:rPr>
        <w:sectPr>
          <w:pgSz w:w="11906" w:h="16838"/>
          <w:pgMar w:top="1417" w:right="1417" w:bottom="1417" w:left="1701" w:header="850" w:footer="992" w:gutter="0"/>
          <w:pgNumType w:fmt="decimal"/>
          <w:cols w:space="0" w:num="1"/>
          <w:docGrid w:type="linesAndChars" w:linePitch="318" w:charSpace="0"/>
        </w:sectPr>
      </w:pPr>
      <w:r>
        <w:rPr>
          <w:rFonts w:hint="eastAsia" w:ascii="宋体" w:hAnsi="宋体" w:eastAsia="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bookmarkEnd w:id="42"/>
    <w:p w14:paraId="076E92D1">
      <w:pPr>
        <w:spacing w:line="360" w:lineRule="auto"/>
        <w:jc w:val="center"/>
        <w:rPr>
          <w:rFonts w:hint="eastAsia" w:ascii="宋体" w:hAnsi="宋体" w:cs="宋体"/>
          <w:b/>
          <w:bCs/>
          <w:color w:val="auto"/>
          <w:sz w:val="52"/>
          <w:highlight w:val="none"/>
        </w:rPr>
      </w:pPr>
      <w:bookmarkStart w:id="46" w:name="_Toc15060"/>
      <w:r>
        <w:rPr>
          <w:rFonts w:hint="eastAsia" w:ascii="宋体" w:hAnsi="宋体" w:cs="宋体"/>
          <w:b/>
          <w:bCs/>
          <w:color w:val="auto"/>
          <w:sz w:val="52"/>
          <w:highlight w:val="none"/>
        </w:rPr>
        <w:t>政 府 采 购</w:t>
      </w:r>
    </w:p>
    <w:p w14:paraId="3646F5FB">
      <w:pPr>
        <w:spacing w:line="360" w:lineRule="auto"/>
        <w:jc w:val="center"/>
        <w:rPr>
          <w:rFonts w:hint="eastAsia" w:ascii="宋体" w:hAnsi="宋体" w:cs="宋体"/>
          <w:color w:val="auto"/>
          <w:highlight w:val="none"/>
        </w:rPr>
      </w:pPr>
    </w:p>
    <w:p w14:paraId="5DC6D690">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lang w:eastAsia="zh-CN"/>
        </w:rPr>
        <w:t>桂林市象山区城市管理局垃圾清运项目</w:t>
      </w:r>
      <w:r>
        <w:rPr>
          <w:rFonts w:hint="eastAsia" w:ascii="宋体" w:hAnsi="宋体" w:cs="宋体"/>
          <w:b/>
          <w:bCs/>
          <w:color w:val="auto"/>
          <w:sz w:val="44"/>
          <w:highlight w:val="none"/>
        </w:rPr>
        <w:t>框架协议</w:t>
      </w:r>
    </w:p>
    <w:p w14:paraId="60592001">
      <w:pPr>
        <w:spacing w:line="360" w:lineRule="auto"/>
        <w:jc w:val="center"/>
        <w:rPr>
          <w:rFonts w:hint="eastAsia" w:ascii="宋体" w:hAnsi="宋体" w:cs="宋体"/>
          <w:b/>
          <w:bCs/>
          <w:color w:val="auto"/>
          <w:sz w:val="44"/>
          <w:highlight w:val="none"/>
        </w:rPr>
      </w:pPr>
    </w:p>
    <w:p w14:paraId="4A36E31E">
      <w:pPr>
        <w:spacing w:line="360" w:lineRule="auto"/>
        <w:jc w:val="center"/>
        <w:rPr>
          <w:rFonts w:hint="eastAsia" w:ascii="宋体" w:hAnsi="宋体" w:cs="宋体"/>
          <w:b/>
          <w:bCs/>
          <w:color w:val="auto"/>
          <w:sz w:val="44"/>
          <w:highlight w:val="none"/>
        </w:rPr>
      </w:pPr>
    </w:p>
    <w:p w14:paraId="0A1EBF67">
      <w:pPr>
        <w:spacing w:line="360" w:lineRule="auto"/>
        <w:ind w:firstLine="3507" w:firstLineChars="794"/>
        <w:rPr>
          <w:rFonts w:hint="eastAsia" w:ascii="宋体" w:hAnsi="宋体" w:cs="宋体"/>
          <w:b/>
          <w:bCs/>
          <w:color w:val="auto"/>
          <w:sz w:val="44"/>
          <w:highlight w:val="none"/>
        </w:rPr>
      </w:pPr>
    </w:p>
    <w:p w14:paraId="37B58129">
      <w:pPr>
        <w:spacing w:line="360" w:lineRule="auto"/>
        <w:ind w:firstLine="3507" w:firstLineChars="794"/>
        <w:rPr>
          <w:rFonts w:hint="eastAsia" w:ascii="宋体" w:hAnsi="宋体" w:cs="宋体"/>
          <w:b/>
          <w:bCs/>
          <w:color w:val="auto"/>
          <w:sz w:val="44"/>
          <w:highlight w:val="none"/>
        </w:rPr>
      </w:pPr>
    </w:p>
    <w:p w14:paraId="57699A6F">
      <w:pPr>
        <w:ind w:firstLine="1995"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项目编号：</w:t>
      </w:r>
      <w:r>
        <w:rPr>
          <w:rFonts w:hint="eastAsia" w:ascii="宋体" w:hAnsi="宋体" w:cs="宋体"/>
          <w:b/>
          <w:color w:val="auto"/>
          <w:sz w:val="36"/>
          <w:szCs w:val="36"/>
          <w:highlight w:val="none"/>
          <w:u w:val="single"/>
        </w:rPr>
        <w:t xml:space="preserve">                     </w:t>
      </w:r>
    </w:p>
    <w:p w14:paraId="770D2C8F">
      <w:pPr>
        <w:ind w:firstLine="1995" w:firstLineChars="552"/>
        <w:rPr>
          <w:rFonts w:hint="eastAsia" w:ascii="宋体" w:hAnsi="宋体" w:cs="宋体"/>
          <w:b/>
          <w:color w:val="auto"/>
          <w:sz w:val="36"/>
          <w:szCs w:val="36"/>
          <w:highlight w:val="none"/>
          <w:u w:val="single"/>
        </w:rPr>
      </w:pPr>
    </w:p>
    <w:p w14:paraId="5AC459BF">
      <w:pPr>
        <w:ind w:firstLine="1995" w:firstLineChars="552"/>
        <w:rPr>
          <w:rFonts w:hint="eastAsia" w:ascii="宋体" w:hAnsi="宋体" w:cs="宋体"/>
          <w:b/>
          <w:color w:val="auto"/>
          <w:sz w:val="36"/>
          <w:szCs w:val="36"/>
          <w:highlight w:val="none"/>
          <w:u w:val="single"/>
        </w:rPr>
      </w:pPr>
    </w:p>
    <w:p w14:paraId="54A75173">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征集人：</w:t>
      </w:r>
      <w:r>
        <w:rPr>
          <w:rFonts w:hint="eastAsia" w:ascii="宋体" w:hAnsi="宋体" w:cs="宋体"/>
          <w:b/>
          <w:color w:val="auto"/>
          <w:sz w:val="36"/>
          <w:szCs w:val="36"/>
          <w:highlight w:val="none"/>
          <w:u w:val="single"/>
          <w:lang w:eastAsia="zh-CN"/>
        </w:rPr>
        <w:t>桂林市象山区城市管理局</w:t>
      </w:r>
      <w:r>
        <w:rPr>
          <w:rFonts w:hint="eastAsia" w:ascii="宋体" w:hAnsi="宋体" w:cs="宋体"/>
          <w:b/>
          <w:color w:val="auto"/>
          <w:sz w:val="36"/>
          <w:szCs w:val="36"/>
          <w:highlight w:val="none"/>
          <w:u w:val="single"/>
        </w:rPr>
        <w:t xml:space="preserve">    </w:t>
      </w:r>
    </w:p>
    <w:p w14:paraId="48F47060">
      <w:pPr>
        <w:tabs>
          <w:tab w:val="left" w:pos="7380"/>
        </w:tabs>
        <w:spacing w:line="360" w:lineRule="auto"/>
        <w:ind w:firstLine="1995" w:firstLineChars="552"/>
        <w:rPr>
          <w:rFonts w:hint="eastAsia" w:ascii="宋体" w:hAnsi="宋体" w:cs="宋体"/>
          <w:b/>
          <w:bCs/>
          <w:color w:val="auto"/>
          <w:sz w:val="44"/>
          <w:highlight w:val="none"/>
        </w:rPr>
      </w:pPr>
      <w:r>
        <w:rPr>
          <w:rFonts w:hint="eastAsia" w:ascii="宋体" w:hAnsi="宋体" w:cs="宋体"/>
          <w:b/>
          <w:color w:val="auto"/>
          <w:sz w:val="36"/>
          <w:szCs w:val="36"/>
          <w:highlight w:val="none"/>
        </w:rPr>
        <w:t>入围供应商：</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 xml:space="preserve">           </w:t>
      </w:r>
    </w:p>
    <w:p w14:paraId="162ED629">
      <w:pPr>
        <w:tabs>
          <w:tab w:val="left" w:pos="7380"/>
        </w:tabs>
        <w:spacing w:line="360" w:lineRule="auto"/>
        <w:rPr>
          <w:rFonts w:hint="eastAsia" w:ascii="宋体" w:hAnsi="宋体" w:cs="宋体"/>
          <w:b/>
          <w:bCs/>
          <w:color w:val="auto"/>
          <w:sz w:val="44"/>
          <w:highlight w:val="none"/>
        </w:rPr>
      </w:pPr>
    </w:p>
    <w:p w14:paraId="00674953">
      <w:pPr>
        <w:tabs>
          <w:tab w:val="left" w:pos="7380"/>
        </w:tabs>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rPr>
        <w:t>日期   年  月  日</w:t>
      </w:r>
      <w:r>
        <w:rPr>
          <w:rFonts w:hint="eastAsia" w:ascii="宋体" w:hAnsi="宋体" w:cs="宋体"/>
          <w:b/>
          <w:bCs/>
          <w:color w:val="auto"/>
          <w:sz w:val="44"/>
          <w:highlight w:val="none"/>
        </w:rPr>
        <w:br w:type="page"/>
      </w:r>
    </w:p>
    <w:p w14:paraId="43007960">
      <w:pPr>
        <w:tabs>
          <w:tab w:val="left" w:pos="7380"/>
        </w:tabs>
        <w:spacing w:line="360" w:lineRule="auto"/>
        <w:jc w:val="center"/>
        <w:rPr>
          <w:rFonts w:hint="eastAsia" w:ascii="宋体" w:hAnsi="宋体" w:cs="宋体"/>
          <w:b/>
          <w:bCs/>
          <w:color w:val="auto"/>
          <w:sz w:val="44"/>
          <w:highlight w:val="none"/>
        </w:rPr>
      </w:pPr>
      <w:r>
        <w:rPr>
          <w:rFonts w:hint="eastAsia" w:ascii="宋体" w:hAnsi="宋体" w:cs="宋体"/>
          <w:b/>
          <w:color w:val="auto"/>
          <w:sz w:val="36"/>
          <w:szCs w:val="36"/>
          <w:highlight w:val="none"/>
        </w:rPr>
        <w:t>目  录</w:t>
      </w:r>
    </w:p>
    <w:p w14:paraId="1EA1E63F">
      <w:pPr>
        <w:tabs>
          <w:tab w:val="left" w:pos="1170"/>
        </w:tabs>
        <w:spacing w:line="360" w:lineRule="auto"/>
        <w:ind w:left="359" w:leftChars="171" w:firstLine="198" w:firstLineChars="71"/>
        <w:rPr>
          <w:rFonts w:hint="eastAsia" w:ascii="宋体" w:hAnsi="宋体" w:cs="宋体"/>
          <w:color w:val="auto"/>
          <w:sz w:val="28"/>
          <w:highlight w:val="none"/>
        </w:rPr>
      </w:pPr>
      <w:r>
        <w:rPr>
          <w:rFonts w:hint="eastAsia" w:ascii="宋体" w:hAnsi="宋体" w:cs="宋体"/>
          <w:color w:val="auto"/>
          <w:sz w:val="28"/>
          <w:highlight w:val="none"/>
        </w:rPr>
        <w:tab/>
      </w:r>
    </w:p>
    <w:p w14:paraId="067865C9">
      <w:pPr>
        <w:rPr>
          <w:rFonts w:hint="eastAsia" w:ascii="宋体" w:hAnsi="宋体" w:cs="宋体"/>
          <w:b/>
          <w:color w:val="auto"/>
          <w:sz w:val="30"/>
          <w:szCs w:val="30"/>
          <w:highlight w:val="none"/>
        </w:rPr>
      </w:pPr>
      <w:r>
        <w:rPr>
          <w:rFonts w:hint="eastAsia" w:ascii="宋体" w:hAnsi="宋体" w:cs="宋体"/>
          <w:b/>
          <w:color w:val="auto"/>
          <w:sz w:val="30"/>
          <w:szCs w:val="30"/>
          <w:highlight w:val="none"/>
        </w:rPr>
        <w:t>一、框架协议合同文本</w:t>
      </w:r>
    </w:p>
    <w:p w14:paraId="7B2BA71D">
      <w:pPr>
        <w:rPr>
          <w:rFonts w:hint="eastAsia" w:ascii="宋体" w:hAnsi="宋体" w:cs="宋体"/>
          <w:b/>
          <w:color w:val="auto"/>
          <w:sz w:val="30"/>
          <w:szCs w:val="30"/>
          <w:highlight w:val="none"/>
        </w:rPr>
      </w:pPr>
      <w:r>
        <w:rPr>
          <w:rFonts w:hint="eastAsia" w:ascii="宋体" w:hAnsi="宋体" w:cs="宋体"/>
          <w:b/>
          <w:color w:val="auto"/>
          <w:sz w:val="30"/>
          <w:szCs w:val="30"/>
          <w:highlight w:val="none"/>
        </w:rPr>
        <w:t>二、合同附件</w:t>
      </w:r>
    </w:p>
    <w:p w14:paraId="43F14FA8">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1.中标通知书</w:t>
      </w:r>
    </w:p>
    <w:p w14:paraId="40F947A0">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2.征集文件服务需求一览表</w:t>
      </w:r>
    </w:p>
    <w:p w14:paraId="0E3FDBDB">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3.征集文件的</w:t>
      </w:r>
      <w:r>
        <w:rPr>
          <w:rFonts w:hint="eastAsia" w:hAnsi="宋体" w:cs="宋体"/>
          <w:color w:val="auto"/>
          <w:sz w:val="28"/>
          <w:highlight w:val="none"/>
        </w:rPr>
        <w:t>更改通知（如有）</w:t>
      </w:r>
    </w:p>
    <w:p w14:paraId="1BEC2016">
      <w:pPr>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4.响应函</w:t>
      </w:r>
    </w:p>
    <w:p w14:paraId="5EFECB31">
      <w:pPr>
        <w:pStyle w:val="15"/>
        <w:spacing w:line="360" w:lineRule="auto"/>
        <w:ind w:firstLine="560" w:firstLineChars="200"/>
        <w:rPr>
          <w:rFonts w:hint="eastAsia" w:hAnsi="宋体" w:eastAsia="宋体" w:cs="宋体"/>
          <w:color w:val="auto"/>
          <w:sz w:val="28"/>
          <w:szCs w:val="28"/>
          <w:highlight w:val="none"/>
          <w:lang w:eastAsia="zh-CN"/>
        </w:rPr>
      </w:pPr>
      <w:r>
        <w:rPr>
          <w:rFonts w:hint="eastAsia" w:hAnsi="宋体" w:cs="宋体"/>
          <w:color w:val="auto"/>
          <w:sz w:val="28"/>
          <w:szCs w:val="28"/>
          <w:highlight w:val="none"/>
        </w:rPr>
        <w:t>5.</w:t>
      </w:r>
      <w:r>
        <w:rPr>
          <w:rFonts w:hint="eastAsia" w:hAnsi="宋体" w:cs="宋体"/>
          <w:color w:val="auto"/>
          <w:sz w:val="28"/>
          <w:szCs w:val="28"/>
          <w:highlight w:val="none"/>
          <w:lang w:eastAsia="zh-CN"/>
        </w:rPr>
        <w:t>投标报价表</w:t>
      </w:r>
    </w:p>
    <w:p w14:paraId="0C89B156">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6.响应服务技术需求偏离表</w:t>
      </w:r>
    </w:p>
    <w:p w14:paraId="717C1918">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7.商务条款偏离表</w:t>
      </w:r>
    </w:p>
    <w:p w14:paraId="32C74664">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8.中标供应商澄清函（如有请提</w:t>
      </w:r>
      <w:r>
        <w:rPr>
          <w:rFonts w:hint="eastAsia" w:hAnsi="宋体" w:cs="宋体"/>
          <w:color w:val="auto"/>
          <w:sz w:val="30"/>
          <w:szCs w:val="30"/>
          <w:highlight w:val="none"/>
        </w:rPr>
        <w:t>供</w:t>
      </w:r>
      <w:r>
        <w:rPr>
          <w:rFonts w:hint="eastAsia" w:hAnsi="宋体" w:cs="宋体"/>
          <w:color w:val="auto"/>
          <w:sz w:val="28"/>
          <w:szCs w:val="28"/>
          <w:highlight w:val="none"/>
        </w:rPr>
        <w:t>）</w:t>
      </w:r>
    </w:p>
    <w:p w14:paraId="5CADD806">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9.人员配备一览表</w:t>
      </w:r>
    </w:p>
    <w:p w14:paraId="0D13C8EF">
      <w:pPr>
        <w:pStyle w:val="15"/>
        <w:spacing w:line="360" w:lineRule="auto"/>
        <w:ind w:firstLine="560" w:firstLineChars="200"/>
        <w:rPr>
          <w:rFonts w:hint="eastAsia" w:hAnsi="宋体" w:cs="宋体"/>
          <w:color w:val="auto"/>
          <w:sz w:val="28"/>
          <w:szCs w:val="28"/>
          <w:highlight w:val="none"/>
        </w:rPr>
      </w:pPr>
      <w:r>
        <w:rPr>
          <w:rFonts w:hint="eastAsia" w:hAnsi="宋体" w:cs="宋体"/>
          <w:color w:val="auto"/>
          <w:sz w:val="28"/>
          <w:szCs w:val="28"/>
          <w:highlight w:val="none"/>
        </w:rPr>
        <w:t>10.其他与本合同相关的资料（如有请提</w:t>
      </w:r>
      <w:r>
        <w:rPr>
          <w:rFonts w:hint="eastAsia" w:hAnsi="宋体" w:cs="宋体"/>
          <w:color w:val="auto"/>
          <w:sz w:val="30"/>
          <w:szCs w:val="30"/>
          <w:highlight w:val="none"/>
        </w:rPr>
        <w:t>供</w:t>
      </w:r>
      <w:r>
        <w:rPr>
          <w:rFonts w:hint="eastAsia" w:hAnsi="宋体" w:cs="宋体"/>
          <w:color w:val="auto"/>
          <w:sz w:val="28"/>
          <w:szCs w:val="28"/>
          <w:highlight w:val="none"/>
        </w:rPr>
        <w:t>）</w:t>
      </w:r>
      <w:r>
        <w:rPr>
          <w:rFonts w:hint="eastAsia" w:hAnsi="宋体" w:cs="宋体"/>
          <w:color w:val="auto"/>
          <w:sz w:val="44"/>
          <w:highlight w:val="none"/>
        </w:rPr>
        <w:t xml:space="preserve"> </w:t>
      </w:r>
    </w:p>
    <w:p w14:paraId="1603D7EE">
      <w:pPr>
        <w:spacing w:line="360" w:lineRule="auto"/>
        <w:jc w:val="center"/>
        <w:rPr>
          <w:rFonts w:hint="eastAsia" w:ascii="宋体" w:hAnsi="宋体" w:cs="宋体"/>
          <w:b/>
          <w:color w:val="auto"/>
          <w:sz w:val="30"/>
          <w:szCs w:val="30"/>
          <w:highlight w:val="none"/>
        </w:rPr>
      </w:pPr>
    </w:p>
    <w:p w14:paraId="4E1C1D4C">
      <w:pPr>
        <w:pStyle w:val="10"/>
        <w:rPr>
          <w:rFonts w:hint="eastAsia"/>
          <w:color w:val="auto"/>
          <w:highlight w:val="none"/>
        </w:rPr>
      </w:pPr>
    </w:p>
    <w:p w14:paraId="68F35255">
      <w:pPr>
        <w:spacing w:line="360" w:lineRule="auto"/>
        <w:jc w:val="center"/>
        <w:rPr>
          <w:rFonts w:hint="eastAsia" w:ascii="宋体" w:hAnsi="宋体" w:cs="宋体"/>
          <w:b/>
          <w:color w:val="auto"/>
          <w:sz w:val="30"/>
          <w:szCs w:val="30"/>
          <w:highlight w:val="none"/>
        </w:rPr>
      </w:pPr>
    </w:p>
    <w:p w14:paraId="7BDE89D8">
      <w:pPr>
        <w:spacing w:line="360" w:lineRule="auto"/>
        <w:jc w:val="center"/>
        <w:rPr>
          <w:rFonts w:hint="eastAsia" w:ascii="宋体" w:hAnsi="宋体" w:cs="宋体"/>
          <w:b/>
          <w:color w:val="auto"/>
          <w:sz w:val="30"/>
          <w:szCs w:val="30"/>
          <w:highlight w:val="none"/>
        </w:rPr>
      </w:pPr>
    </w:p>
    <w:p w14:paraId="113C308B">
      <w:pPr>
        <w:spacing w:line="360" w:lineRule="auto"/>
        <w:jc w:val="center"/>
        <w:rPr>
          <w:rFonts w:hint="eastAsia" w:ascii="宋体" w:hAnsi="宋体" w:cs="宋体"/>
          <w:b/>
          <w:color w:val="auto"/>
          <w:sz w:val="30"/>
          <w:szCs w:val="30"/>
          <w:highlight w:val="none"/>
        </w:rPr>
      </w:pPr>
    </w:p>
    <w:p w14:paraId="3C44D540">
      <w:pPr>
        <w:spacing w:line="360" w:lineRule="auto"/>
        <w:jc w:val="center"/>
        <w:rPr>
          <w:rFonts w:hint="eastAsia" w:ascii="宋体" w:hAnsi="宋体" w:cs="宋体"/>
          <w:b/>
          <w:color w:val="auto"/>
          <w:sz w:val="30"/>
          <w:szCs w:val="30"/>
          <w:highlight w:val="none"/>
        </w:rPr>
      </w:pPr>
    </w:p>
    <w:p w14:paraId="2C133597">
      <w:pPr>
        <w:spacing w:line="360" w:lineRule="auto"/>
        <w:jc w:val="center"/>
        <w:rPr>
          <w:rFonts w:hint="eastAsia" w:ascii="宋体" w:hAnsi="宋体" w:cs="宋体"/>
          <w:b/>
          <w:color w:val="auto"/>
          <w:sz w:val="30"/>
          <w:szCs w:val="30"/>
          <w:highlight w:val="none"/>
        </w:rPr>
      </w:pPr>
    </w:p>
    <w:p w14:paraId="7F61DCD5">
      <w:pPr>
        <w:spacing w:line="360" w:lineRule="auto"/>
        <w:jc w:val="center"/>
        <w:rPr>
          <w:rFonts w:hint="eastAsia" w:ascii="宋体" w:hAnsi="宋体" w:cs="宋体"/>
          <w:b/>
          <w:color w:val="auto"/>
          <w:sz w:val="30"/>
          <w:szCs w:val="30"/>
          <w:highlight w:val="none"/>
        </w:rPr>
      </w:pPr>
    </w:p>
    <w:p w14:paraId="5CAEE64F">
      <w:pPr>
        <w:keepNext w:val="0"/>
        <w:keepLines w:val="0"/>
        <w:pageBreakBefore w:val="0"/>
        <w:kinsoku/>
        <w:wordWrap/>
        <w:overflowPunct/>
        <w:topLinePunct w:val="0"/>
        <w:bidi w:val="0"/>
        <w:spacing w:line="380" w:lineRule="exact"/>
        <w:jc w:val="center"/>
        <w:rPr>
          <w:rFonts w:hint="eastAsia" w:ascii="宋体" w:hAnsi="宋体" w:cs="宋体"/>
          <w:b/>
          <w:bCs/>
          <w:color w:val="auto"/>
          <w:sz w:val="30"/>
          <w:szCs w:val="30"/>
          <w:highlight w:val="none"/>
        </w:rPr>
      </w:pPr>
      <w:r>
        <w:rPr>
          <w:rFonts w:hint="eastAsia" w:ascii="宋体" w:hAnsi="宋体" w:cs="宋体"/>
          <w:b/>
          <w:color w:val="auto"/>
          <w:sz w:val="30"/>
          <w:szCs w:val="30"/>
          <w:highlight w:val="none"/>
        </w:rPr>
        <w:t>政府采购框架协议</w:t>
      </w:r>
    </w:p>
    <w:p w14:paraId="54E4EB48">
      <w:pPr>
        <w:pStyle w:val="15"/>
        <w:keepNext w:val="0"/>
        <w:keepLines w:val="0"/>
        <w:pageBreakBefore w:val="0"/>
        <w:kinsoku/>
        <w:wordWrap/>
        <w:overflowPunct/>
        <w:topLinePunct w:val="0"/>
        <w:bidi w:val="0"/>
        <w:spacing w:line="380" w:lineRule="exact"/>
        <w:rPr>
          <w:rFonts w:hint="eastAsia" w:hAnsi="宋体" w:cs="宋体"/>
          <w:color w:val="auto"/>
          <w:sz w:val="20"/>
          <w:highlight w:val="none"/>
        </w:rPr>
      </w:pPr>
    </w:p>
    <w:p w14:paraId="100897D9">
      <w:pPr>
        <w:keepNext w:val="0"/>
        <w:keepLines w:val="0"/>
        <w:pageBreakBefore w:val="0"/>
        <w:kinsoku/>
        <w:wordWrap/>
        <w:overflowPunct/>
        <w:topLinePunct w:val="0"/>
        <w:bidi w:val="0"/>
        <w:spacing w:line="380" w:lineRule="exact"/>
        <w:rPr>
          <w:rFonts w:hint="eastAsia" w:ascii="宋体" w:hAnsi="宋体" w:cs="宋体"/>
          <w:color w:val="auto"/>
          <w:szCs w:val="20"/>
          <w:highlight w:val="none"/>
        </w:rPr>
      </w:pPr>
      <w:r>
        <w:rPr>
          <w:rFonts w:hint="eastAsia" w:ascii="宋体" w:hAnsi="宋体" w:cs="宋体"/>
          <w:color w:val="auto"/>
          <w:szCs w:val="20"/>
          <w:highlight w:val="none"/>
        </w:rPr>
        <w:t>合同名称：</w:t>
      </w:r>
      <w:r>
        <w:rPr>
          <w:rFonts w:hint="eastAsia" w:ascii="宋体" w:hAnsi="宋体" w:cs="宋体"/>
          <w:color w:val="auto"/>
          <w:szCs w:val="20"/>
          <w:highlight w:val="none"/>
          <w:lang w:eastAsia="zh-CN"/>
        </w:rPr>
        <w:t>桂林市象山区城市管理局垃圾清运项目</w:t>
      </w:r>
      <w:r>
        <w:rPr>
          <w:rFonts w:hint="eastAsia" w:ascii="宋体" w:hAnsi="宋体" w:cs="宋体"/>
          <w:color w:val="auto"/>
          <w:szCs w:val="20"/>
          <w:highlight w:val="none"/>
        </w:rPr>
        <w:t>服务框架协议</w:t>
      </w:r>
    </w:p>
    <w:p w14:paraId="12D33BC2">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r>
        <w:rPr>
          <w:rFonts w:hint="eastAsia" w:hAnsi="宋体" w:cs="宋体"/>
          <w:color w:val="auto"/>
          <w:highlight w:val="none"/>
        </w:rPr>
        <w:t>合同编号：</w:t>
      </w:r>
      <w:r>
        <w:rPr>
          <w:rFonts w:hint="eastAsia" w:hAnsi="宋体" w:cs="宋体"/>
          <w:color w:val="auto"/>
          <w:highlight w:val="none"/>
          <w:u w:val="single"/>
        </w:rPr>
        <w:t xml:space="preserve">                             </w:t>
      </w:r>
    </w:p>
    <w:p w14:paraId="594E964E">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征集人（甲方）：</w:t>
      </w:r>
      <w:r>
        <w:rPr>
          <w:rFonts w:hint="eastAsia" w:hAnsi="宋体" w:cs="宋体"/>
          <w:color w:val="auto"/>
          <w:highlight w:val="none"/>
          <w:u w:val="single"/>
          <w:lang w:eastAsia="zh-CN"/>
        </w:rPr>
        <w:t>桂林市象山区城市管理局</w:t>
      </w:r>
      <w:r>
        <w:rPr>
          <w:rFonts w:hint="eastAsia" w:hAnsi="宋体" w:cs="宋体"/>
          <w:color w:val="auto"/>
          <w:highlight w:val="none"/>
          <w:u w:val="single"/>
        </w:rPr>
        <w:t xml:space="preserve">        </w:t>
      </w:r>
    </w:p>
    <w:p w14:paraId="0BC9F8F7">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入围供应商（乙方）：</w:t>
      </w:r>
      <w:r>
        <w:rPr>
          <w:rFonts w:hint="eastAsia" w:hAnsi="宋体" w:cs="宋体"/>
          <w:b/>
          <w:color w:val="auto"/>
          <w:highlight w:val="none"/>
        </w:rPr>
        <w:t xml:space="preserve"> </w:t>
      </w:r>
      <w:r>
        <w:rPr>
          <w:rFonts w:hint="eastAsia" w:hAnsi="宋体" w:cs="宋体"/>
          <w:color w:val="auto"/>
          <w:highlight w:val="none"/>
          <w:u w:val="single"/>
        </w:rPr>
        <w:t xml:space="preserve">                    </w:t>
      </w:r>
    </w:p>
    <w:p w14:paraId="15D74B89">
      <w:pPr>
        <w:pStyle w:val="15"/>
        <w:keepNext w:val="0"/>
        <w:keepLines w:val="0"/>
        <w:pageBreakBefore w:val="0"/>
        <w:kinsoku/>
        <w:wordWrap/>
        <w:overflowPunct/>
        <w:topLinePunct w:val="0"/>
        <w:bidi w:val="0"/>
        <w:spacing w:line="380" w:lineRule="exact"/>
        <w:rPr>
          <w:rFonts w:hint="eastAsia" w:hAnsi="宋体" w:cs="宋体"/>
          <w:b/>
          <w:color w:val="auto"/>
          <w:highlight w:val="none"/>
        </w:rPr>
      </w:pPr>
      <w:r>
        <w:rPr>
          <w:rFonts w:hint="eastAsia" w:hAnsi="宋体" w:cs="宋体"/>
          <w:color w:val="auto"/>
          <w:highlight w:val="none"/>
        </w:rPr>
        <w:t xml:space="preserve">    根据</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日政府采购项目的征集结果，甲方接受乙方对本项目的响应，甲、乙双方同意签署本框架协议（以下简称框架协议）。</w:t>
      </w:r>
    </w:p>
    <w:p w14:paraId="3579D215">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一、框架协议内容</w:t>
      </w:r>
    </w:p>
    <w:p w14:paraId="34B577C2">
      <w:pPr>
        <w:keepNext w:val="0"/>
        <w:keepLines w:val="0"/>
        <w:pageBreakBefore w:val="0"/>
        <w:kinsoku/>
        <w:wordWrap/>
        <w:overflowPunct/>
        <w:topLinePunct w:val="0"/>
        <w:bidi w:val="0"/>
        <w:spacing w:line="380" w:lineRule="exact"/>
        <w:ind w:firstLine="525" w:firstLineChars="250"/>
        <w:rPr>
          <w:rFonts w:hint="eastAsia" w:ascii="宋体" w:hAnsi="宋体" w:eastAsia="宋体" w:cs="宋体"/>
          <w:color w:val="auto"/>
          <w:szCs w:val="21"/>
          <w:highlight w:val="none"/>
        </w:rPr>
      </w:pPr>
      <w:r>
        <w:rPr>
          <w:rFonts w:hint="eastAsia" w:ascii="宋体" w:hAnsi="宋体" w:cs="宋体"/>
          <w:color w:val="auto"/>
          <w:szCs w:val="21"/>
          <w:highlight w:val="none"/>
        </w:rPr>
        <w:t>经框架协议采购，乙方成为</w:t>
      </w:r>
      <w:r>
        <w:rPr>
          <w:rFonts w:hint="eastAsia" w:ascii="宋体" w:hAnsi="宋体" w:cs="宋体"/>
          <w:color w:val="auto"/>
          <w:szCs w:val="20"/>
          <w:highlight w:val="none"/>
          <w:lang w:eastAsia="zh-CN"/>
        </w:rPr>
        <w:t>桂林市象山区城市管理局桂林市象山区城市管理局垃圾清运项目</w:t>
      </w:r>
      <w:r>
        <w:rPr>
          <w:rFonts w:hint="eastAsia" w:ascii="宋体" w:hAnsi="宋体" w:cs="宋体"/>
          <w:color w:val="auto"/>
          <w:szCs w:val="20"/>
          <w:highlight w:val="none"/>
        </w:rPr>
        <w:t>入围供应商</w:t>
      </w:r>
      <w:r>
        <w:rPr>
          <w:rFonts w:hint="eastAsia" w:ascii="宋体" w:hAnsi="宋体" w:cs="宋体"/>
          <w:color w:val="auto"/>
          <w:szCs w:val="21"/>
          <w:highlight w:val="none"/>
        </w:rPr>
        <w:t>。</w:t>
      </w:r>
      <w:r>
        <w:rPr>
          <w:rFonts w:hint="eastAsia" w:ascii="宋体" w:hAnsi="宋体" w:cs="宋体"/>
          <w:color w:val="auto"/>
          <w:highlight w:val="none"/>
        </w:rPr>
        <w:t>乙方必须服从甲方的管理和监督，与采购人签订</w:t>
      </w:r>
      <w:r>
        <w:rPr>
          <w:rFonts w:hint="eastAsia" w:ascii="宋体" w:hAnsi="宋体" w:cs="宋体"/>
          <w:bCs/>
          <w:color w:val="auto"/>
          <w:highlight w:val="none"/>
        </w:rPr>
        <w:t>采购</w:t>
      </w:r>
      <w:r>
        <w:rPr>
          <w:rFonts w:hint="eastAsia" w:ascii="宋体" w:hAnsi="宋体" w:cs="宋体"/>
          <w:color w:val="auto"/>
          <w:highlight w:val="none"/>
        </w:rPr>
        <w:t>合同，并服从采购人的安排，按时、</w:t>
      </w:r>
      <w:r>
        <w:rPr>
          <w:rFonts w:hint="eastAsia" w:ascii="宋体" w:hAnsi="宋体" w:eastAsia="宋体" w:cs="宋体"/>
          <w:color w:val="auto"/>
          <w:szCs w:val="21"/>
          <w:highlight w:val="none"/>
        </w:rPr>
        <w:t>保质、保量地完成</w:t>
      </w:r>
      <w:r>
        <w:rPr>
          <w:rFonts w:hint="eastAsia" w:ascii="宋体" w:hAnsi="宋体" w:eastAsia="宋体" w:cs="宋体"/>
          <w:color w:val="auto"/>
          <w:szCs w:val="21"/>
          <w:highlight w:val="none"/>
          <w:lang w:eastAsia="zh-CN"/>
        </w:rPr>
        <w:t>相关</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工作。</w:t>
      </w:r>
    </w:p>
    <w:p w14:paraId="2D37E272">
      <w:pPr>
        <w:keepNext w:val="0"/>
        <w:keepLines w:val="0"/>
        <w:pageBreakBefore w:val="0"/>
        <w:kinsoku/>
        <w:wordWrap/>
        <w:overflowPunct/>
        <w:topLinePunct w:val="0"/>
        <w:bidi w:val="0"/>
        <w:spacing w:line="38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乙方入围后，由甲方根据实际情况进行分配，甲方无义务确保乙方承接项目数量。乙方接到</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项目后，须按规定与项目单位签订单项</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合同</w:t>
      </w:r>
    </w:p>
    <w:p w14:paraId="7AD395E7">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二、框架协议有效期：</w:t>
      </w:r>
    </w:p>
    <w:p w14:paraId="6C15F085">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本框架协议期限为</w:t>
      </w:r>
      <w:r>
        <w:rPr>
          <w:rFonts w:hint="eastAsia" w:ascii="宋体" w:hAnsi="宋体" w:cs="宋体"/>
          <w:color w:val="auto"/>
          <w:szCs w:val="21"/>
          <w:highlight w:val="none"/>
          <w:lang w:eastAsia="zh-CN"/>
        </w:rPr>
        <w:t>两</w:t>
      </w:r>
      <w:r>
        <w:rPr>
          <w:rFonts w:hint="eastAsia" w:ascii="宋体" w:hAnsi="宋体" w:cs="宋体"/>
          <w:color w:val="auto"/>
          <w:szCs w:val="21"/>
          <w:highlight w:val="none"/>
        </w:rPr>
        <w:t>年，从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日起至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日止。</w:t>
      </w:r>
    </w:p>
    <w:p w14:paraId="6D223782">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三、合同价款</w:t>
      </w:r>
    </w:p>
    <w:p w14:paraId="2F87C4C9">
      <w:pPr>
        <w:keepNext w:val="0"/>
        <w:keepLines w:val="0"/>
        <w:pageBreakBefore w:val="0"/>
        <w:kinsoku/>
        <w:wordWrap/>
        <w:overflowPunct/>
        <w:topLinePunct w:val="0"/>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本合同成交系数为</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1E1C947">
      <w:pPr>
        <w:pStyle w:val="15"/>
        <w:keepNext w:val="0"/>
        <w:keepLines w:val="0"/>
        <w:pageBreakBefore w:val="0"/>
        <w:kinsoku/>
        <w:wordWrap/>
        <w:overflowPunct/>
        <w:topLinePunct w:val="0"/>
        <w:autoSpaceDE/>
        <w:autoSpaceDN/>
        <w:bidi w:val="0"/>
        <w:snapToGrid w:val="0"/>
        <w:spacing w:line="38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最终结算价格=</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桂林市象山区清运施工费用参考价</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的单价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成交供应商折扣率报价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实际发生量</w:t>
      </w:r>
    </w:p>
    <w:p w14:paraId="0E70E146">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lang w:eastAsia="ar-SA"/>
        </w:rPr>
      </w:pPr>
      <w:r>
        <w:rPr>
          <w:rFonts w:hint="eastAsia" w:ascii="宋体" w:hAnsi="宋体" w:cs="宋体"/>
          <w:b/>
          <w:color w:val="auto"/>
          <w:szCs w:val="21"/>
          <w:highlight w:val="none"/>
        </w:rPr>
        <w:t>四、履约保证金</w:t>
      </w:r>
    </w:p>
    <w:p w14:paraId="6A325477">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本项目无履约保证金</w:t>
      </w:r>
    </w:p>
    <w:p w14:paraId="6AE165A8">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五、付款方式</w:t>
      </w:r>
    </w:p>
    <w:p w14:paraId="7FAB6E56">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cs="宋体"/>
          <w:color w:val="auto"/>
          <w:kern w:val="0"/>
          <w:szCs w:val="21"/>
          <w:highlight w:val="none"/>
          <w:lang w:val="zh-CN"/>
        </w:rPr>
        <w:t>付</w:t>
      </w:r>
      <w:r>
        <w:rPr>
          <w:rFonts w:hint="eastAsia" w:ascii="宋体" w:hAnsi="宋体" w:cs="宋体"/>
          <w:color w:val="auto"/>
          <w:kern w:val="0"/>
          <w:szCs w:val="21"/>
          <w:highlight w:val="none"/>
          <w:lang w:val="zh-CN"/>
        </w:rPr>
        <w:t>款方式：</w:t>
      </w:r>
      <w:r>
        <w:rPr>
          <w:rFonts w:hint="eastAsia" w:hAnsi="宋体" w:cs="宋体"/>
          <w:color w:val="auto"/>
          <w:szCs w:val="21"/>
          <w:highlight w:val="none"/>
          <w:lang w:eastAsia="zh-CN"/>
        </w:rPr>
        <w:t>按每个项目的实际合同金额支付（如象山区财政有规定的按其规定执行）</w:t>
      </w:r>
      <w:r>
        <w:rPr>
          <w:rFonts w:hint="eastAsia" w:ascii="宋体" w:hAnsi="宋体" w:eastAsia="宋体" w:cs="宋体"/>
          <w:color w:val="auto"/>
          <w:szCs w:val="21"/>
          <w:highlight w:val="none"/>
        </w:rPr>
        <w:t>。</w:t>
      </w:r>
    </w:p>
    <w:p w14:paraId="63279752">
      <w:pPr>
        <w:pStyle w:val="15"/>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人每次申请付款时必须向采购人提供与当次支付款数额相等的正规增值税发票后，采购人在十五个工作日内进行支付。</w:t>
      </w:r>
    </w:p>
    <w:p w14:paraId="3D9FE273">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、确定第二阶段成交供应商的方式</w:t>
      </w:r>
    </w:p>
    <w:p w14:paraId="0FC74965">
      <w:pPr>
        <w:keepNext w:val="0"/>
        <w:keepLines w:val="0"/>
        <w:pageBreakBefore w:val="0"/>
        <w:kinsoku/>
        <w:wordWrap/>
        <w:overflowPunct/>
        <w:topLinePunct w:val="0"/>
        <w:bidi w:val="0"/>
        <w:spacing w:line="380" w:lineRule="exact"/>
        <w:ind w:firstLine="420" w:firstLineChars="2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确定第二阶段成交供应商的方式为直接选定。由</w:t>
      </w:r>
      <w:r>
        <w:rPr>
          <w:rFonts w:hint="eastAsia" w:ascii="宋体" w:hAnsi="宋体" w:cs="宋体"/>
          <w:color w:val="auto"/>
          <w:kern w:val="0"/>
          <w:szCs w:val="21"/>
          <w:highlight w:val="none"/>
          <w:lang w:val="zh-CN"/>
        </w:rPr>
        <w:t>采购人依据项目实际情况、供应商服务质量、价格及服务便利性、用户评价等因素，从第一阶段入围供应商中直接选定。</w:t>
      </w:r>
    </w:p>
    <w:p w14:paraId="2B6ED0E4">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、采购合同文本</w:t>
      </w:r>
    </w:p>
    <w:p w14:paraId="4A57D0B8">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详见本章第二节。</w:t>
      </w:r>
    </w:p>
    <w:p w14:paraId="15E33348">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、权利和义务</w:t>
      </w:r>
    </w:p>
    <w:p w14:paraId="733B0D0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8、双方权利义务</w:t>
      </w:r>
    </w:p>
    <w:p w14:paraId="68D8DEA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8.1甲方的权利与义务</w:t>
      </w:r>
    </w:p>
    <w:p w14:paraId="62449C8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8.1.1审核乙方编制的施工组织设计，并提出修改意见。甲方的审核并不解除、削减乙方的合同义务。</w:t>
      </w:r>
    </w:p>
    <w:p w14:paraId="3D4B45A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8.1.2对乙方的安全环保措施进行监督，并提出整改意见。甲方的监督并不解除、消减乙方的合同义务。</w:t>
      </w:r>
    </w:p>
    <w:p w14:paraId="27CDBAD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8.1.3对于乙方的违章作业，甲方有权予以制止，并可要求乙方停工。</w:t>
      </w:r>
    </w:p>
    <w:p w14:paraId="4F9AC6B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8.1.4协调处理施工现场周边管线、临近建筑物、构筑物、古迹名木的保护工作；并协调处理各种纠纷和矛盾。</w:t>
      </w:r>
    </w:p>
    <w:p w14:paraId="700C314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 8.2乙方权利与义务</w:t>
      </w:r>
    </w:p>
    <w:p w14:paraId="4CF0F56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8.2.1有权拒绝甲方违章指挥。</w:t>
      </w:r>
    </w:p>
    <w:p w14:paraId="6E92DD9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8.2.2发生严重未及乙方生命安全的紧急情况时，乙方有权采取必要的避险措施。</w:t>
      </w:r>
    </w:p>
    <w:p w14:paraId="4C7D000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8.2.3全面了解</w:t>
      </w:r>
      <w:r>
        <w:rPr>
          <w:rFonts w:hint="eastAsia" w:ascii="宋体" w:hAnsi="宋体" w:cs="宋体"/>
          <w:color w:val="auto"/>
          <w:kern w:val="0"/>
          <w:szCs w:val="21"/>
          <w:highlight w:val="none"/>
          <w:lang w:val="zh-CN"/>
        </w:rPr>
        <w:t>清运项目</w:t>
      </w:r>
      <w:r>
        <w:rPr>
          <w:rFonts w:hint="eastAsia" w:ascii="宋体" w:hAnsi="宋体" w:eastAsia="宋体" w:cs="宋体"/>
          <w:color w:val="auto"/>
          <w:kern w:val="0"/>
          <w:szCs w:val="21"/>
          <w:highlight w:val="none"/>
          <w:lang w:val="zh-CN"/>
        </w:rPr>
        <w:t>的相关资料。乙方经现场踏勘获取有关现场的资料和数据，甲方对乙方由此而作出的推论、理解和结论均不负责任。如乙方经现场踏勘获取的资料不足且又未及时向甲方索取，而造成</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过程中损坏公共管线及管网的，其责任由</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方承担。</w:t>
      </w:r>
    </w:p>
    <w:p w14:paraId="7A0FE02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8.2.4对</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施工人员进行技术交底，做好安全教育，配备安全防护用品，同时填写书面记录，特殊作业人员必须持证上岗；为其工作人员购买人身意外伤亡险。</w:t>
      </w:r>
    </w:p>
    <w:p w14:paraId="6E6FCC6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8.2.5</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时应该划定危险区域，做好警戒和警示标志，在施工现场应设置消防车通道，保证充足的消防水源，配备足够的灭火器材。对周围相邻建筑安全可能产生危险时，必须采取相应保护措施。</w:t>
      </w:r>
    </w:p>
    <w:p w14:paraId="1F1CB07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8.2.6在</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作业过程中，如发现不明电线（缆）、管道等，应停止施工，并采取必要的应急措施，经处理后方可施工。</w:t>
      </w:r>
    </w:p>
    <w:p w14:paraId="5D68F27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8.2.7清运渣土的车辆应封闭或覆盖，出入现场时应有专人指挥。清运渣土的作业时间应遵守过程所在地的有关规定，严格执行桂林市扬尘治理条例。</w:t>
      </w:r>
    </w:p>
    <w:p w14:paraId="14E84F2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8.2.8在</w:t>
      </w:r>
      <w:r>
        <w:rPr>
          <w:rFonts w:hint="eastAsia" w:ascii="宋体" w:hAnsi="宋体" w:cs="宋体"/>
          <w:color w:val="auto"/>
          <w:kern w:val="0"/>
          <w:szCs w:val="21"/>
          <w:highlight w:val="none"/>
          <w:lang w:val="zh-CN"/>
        </w:rPr>
        <w:t>清运</w:t>
      </w:r>
      <w:r>
        <w:rPr>
          <w:rFonts w:hint="eastAsia" w:ascii="宋体" w:hAnsi="宋体" w:eastAsia="宋体" w:cs="宋体"/>
          <w:color w:val="auto"/>
          <w:kern w:val="0"/>
          <w:szCs w:val="21"/>
          <w:highlight w:val="none"/>
          <w:lang w:val="zh-CN"/>
        </w:rPr>
        <w:t>作业过程中，发生重大险情事故，如有毒有害气体外溢、火灾爆炸、坍塌掩埋、重大机械设备故障等，或发生重大人身伤亡事故时，应及时排除险情，组织抢救，保护事故现场，并在12小时内向甲方和有关部门报告。</w:t>
      </w:r>
    </w:p>
    <w:p w14:paraId="202B871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w:t>
      </w:r>
      <w:r>
        <w:rPr>
          <w:rFonts w:hint="eastAsia" w:ascii="宋体" w:hAnsi="宋体" w:cs="宋体"/>
          <w:color w:val="auto"/>
          <w:kern w:val="0"/>
          <w:szCs w:val="21"/>
          <w:highlight w:val="none"/>
          <w:lang w:val="en-US" w:eastAsia="zh-CN"/>
        </w:rPr>
        <w:t>9</w:t>
      </w:r>
      <w:r>
        <w:rPr>
          <w:rFonts w:hint="eastAsia" w:ascii="宋体" w:hAnsi="宋体" w:eastAsia="宋体" w:cs="宋体"/>
          <w:color w:val="auto"/>
          <w:kern w:val="0"/>
          <w:szCs w:val="21"/>
          <w:highlight w:val="none"/>
          <w:lang w:val="zh-CN"/>
        </w:rPr>
        <w:t>乙方须自行与居民(村民)处里好关系，妥善解决涉及周边居民(村民)纠纷问题，保证不影响项目的工期及质量。</w:t>
      </w:r>
    </w:p>
    <w:p w14:paraId="6B2441FF">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8.2.1</w:t>
      </w:r>
      <w:r>
        <w:rPr>
          <w:rFonts w:hint="eastAsia" w:ascii="宋体" w:hAnsi="宋体" w:cs="宋体"/>
          <w:color w:val="auto"/>
          <w:kern w:val="0"/>
          <w:szCs w:val="21"/>
          <w:highlight w:val="none"/>
          <w:lang w:val="en-US" w:eastAsia="zh-CN"/>
        </w:rPr>
        <w:t>0</w:t>
      </w:r>
      <w:r>
        <w:rPr>
          <w:rFonts w:hint="eastAsia" w:ascii="宋体" w:hAnsi="宋体" w:eastAsia="宋体" w:cs="宋体"/>
          <w:color w:val="auto"/>
          <w:kern w:val="0"/>
          <w:szCs w:val="21"/>
          <w:highlight w:val="none"/>
          <w:lang w:val="zh-CN"/>
        </w:rPr>
        <w:t>因乙方在施工作业过程中发生安全事故，造成人员伤亡或财产损失的，由乙方承担全部赔偿责任。</w:t>
      </w:r>
    </w:p>
    <w:p w14:paraId="66BF68D3">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、双方约定</w:t>
      </w:r>
    </w:p>
    <w:p w14:paraId="7C6CE26A">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1现场条件：甲方向乙方移交房屋时的现状交付施工，道路、施工现场等均为现状交付施工，进场施工后，乙方负责处理施工场地出现的任何与当地村民纠纷干扰施工的问题，物料堆放场所、办公生活场所由乙方在工程区域范围外自行解决，施工及生活用水、电等由乙方自行解决。</w:t>
      </w:r>
    </w:p>
    <w:p w14:paraId="0F2707AE">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.2道路、施工现场等均为现状交付，且在施工过程中会不断发生变化，乙方须充分考虑交通条件、现场施工条件等制约因素所带来的问题，并不再向甲方提出相关费用要求。</w:t>
      </w:r>
    </w:p>
    <w:p w14:paraId="7EBF6435">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装运弃物车辆，沿途不得出现抛洒现象，如出现被交警扣车问题，乙方自行解决。</w:t>
      </w:r>
    </w:p>
    <w:p w14:paraId="2FD392AB">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乙方须安排具有相应从业资格的人员进行施工作业。</w:t>
      </w:r>
    </w:p>
    <w:p w14:paraId="461258E7">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乙方须在甲方现场代表指定的时间内进场施工，如不能按期进场施工，则甲方有权终止本合同。</w:t>
      </w:r>
    </w:p>
    <w:p w14:paraId="0D46CCF3">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.9乙方须按相关规定为施工人员购买意外伤害险及其他相关保险，若发生安全事故，一切责任由乙方承担，同时甲方有权终止合同。</w:t>
      </w:r>
    </w:p>
    <w:p w14:paraId="3443B3B8">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因乙方未按合同约定履行工期、质量以及其他义务给甲方造成的损失，乙方应据实赔偿。因甲方未按合同约定履行义务给乙方造成损失，甲方应据实赔偿。</w:t>
      </w:r>
    </w:p>
    <w:p w14:paraId="280565B1">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.11乙方须根据施工环境和现场情况，合理编制施工设计，优化施工方案。</w:t>
      </w:r>
    </w:p>
    <w:p w14:paraId="5919E6E5">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lang w:val="en-US" w:eastAsia="zh-CN"/>
        </w:rPr>
        <w:t>9.12</w:t>
      </w:r>
      <w:r>
        <w:rPr>
          <w:rFonts w:hint="eastAsia" w:ascii="宋体" w:hAnsi="宋体" w:cs="宋体"/>
          <w:color w:val="auto"/>
          <w:szCs w:val="21"/>
          <w:highlight w:val="none"/>
        </w:rPr>
        <w:t>.其它约定：</w:t>
      </w:r>
      <w:r>
        <w:rPr>
          <w:rFonts w:hint="eastAsia" w:ascii="宋体" w:hAnsi="宋体" w:cs="宋体"/>
          <w:color w:val="auto"/>
          <w:szCs w:val="21"/>
          <w:highlight w:val="none"/>
          <w:u w:val="single"/>
        </w:rPr>
        <w:t xml:space="preserve">（由甲方根据项目具体情况约定）     </w:t>
      </w:r>
    </w:p>
    <w:p w14:paraId="240A85B5">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十、用户反馈和评价机制</w:t>
      </w:r>
    </w:p>
    <w:p w14:paraId="034FEFA9">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本项目将建立用户反馈和评价机制。</w:t>
      </w:r>
    </w:p>
    <w:p w14:paraId="30D03492">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一</w:t>
      </w:r>
      <w:r>
        <w:rPr>
          <w:rFonts w:hint="eastAsia" w:ascii="宋体" w:hAnsi="宋体" w:cs="宋体"/>
          <w:b/>
          <w:color w:val="auto"/>
          <w:szCs w:val="21"/>
          <w:highlight w:val="none"/>
        </w:rPr>
        <w:t>、入围供应商的清退和补充规则</w:t>
      </w:r>
    </w:p>
    <w:p w14:paraId="6EBF3A40">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11.1 </w:t>
      </w:r>
      <w:r>
        <w:rPr>
          <w:rFonts w:hint="eastAsia" w:ascii="宋体" w:hAnsi="宋体" w:cs="宋体"/>
          <w:color w:val="auto"/>
          <w:szCs w:val="21"/>
          <w:highlight w:val="none"/>
        </w:rPr>
        <w:t>乙方有下列情形之一，尚未签订框架协议的，取消其入围资格；已经签订框架协议的，解除与其签订的框架协议： </w:t>
      </w:r>
    </w:p>
    <w:p w14:paraId="3FAD4647">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（1）恶意串通谋取入围或者合同成交的； </w:t>
      </w:r>
    </w:p>
    <w:p w14:paraId="754F09F3">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（2）提供虚假材料谋取入围或者合同成交的； </w:t>
      </w:r>
    </w:p>
    <w:p w14:paraId="501E35EE">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（3）无正当理由拒不接受合同授予的； </w:t>
      </w:r>
    </w:p>
    <w:p w14:paraId="582F5246">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（4）不履行合同义务或者履行合同义务不符合约定，经采购人请求履行后仍不履行或者仍未按约定履行的； </w:t>
      </w:r>
    </w:p>
    <w:p w14:paraId="36501C36">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（5）框架协议有效期内，因违法行为被禁止或限制参加政府采购活动的； </w:t>
      </w:r>
    </w:p>
    <w:p w14:paraId="6137EC1A">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（6）供应商违反职业道德，有违规违纪问题的；</w:t>
      </w:r>
    </w:p>
    <w:p w14:paraId="4CE03BD5">
      <w:pPr>
        <w:keepNext w:val="0"/>
        <w:keepLines w:val="0"/>
        <w:pageBreakBefore w:val="0"/>
        <w:kinsoku/>
        <w:wordWrap/>
        <w:overflowPunct/>
        <w:topLinePunct w:val="0"/>
        <w:bidi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（7）框架协议约定的其他情形。 </w:t>
      </w:r>
    </w:p>
    <w:p w14:paraId="27E04C20">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11.2 </w:t>
      </w:r>
      <w:r>
        <w:rPr>
          <w:rFonts w:hint="eastAsia" w:ascii="宋体" w:hAnsi="宋体" w:cs="宋体"/>
          <w:color w:val="auto"/>
          <w:szCs w:val="21"/>
          <w:highlight w:val="none"/>
        </w:rPr>
        <w:t>补充规则：框架协议有效期内，不再补充征集供应商。</w:t>
      </w:r>
    </w:p>
    <w:p w14:paraId="6C12CF67">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、违约责任</w:t>
      </w:r>
    </w:p>
    <w:p w14:paraId="38FAA03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.1在</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过程中，乙方不按合同约定履行义务，给甲方造成损失的，乙方须足额</w:t>
      </w:r>
      <w:r>
        <w:rPr>
          <w:rFonts w:hint="eastAsia" w:ascii="宋体" w:hAnsi="宋体" w:cs="宋体"/>
          <w:color w:val="auto"/>
          <w:szCs w:val="21"/>
          <w:highlight w:val="none"/>
          <w:lang w:eastAsia="zh-CN"/>
        </w:rPr>
        <w:t>赔偿</w:t>
      </w:r>
      <w:r>
        <w:rPr>
          <w:rFonts w:hint="eastAsia" w:ascii="宋体" w:hAnsi="宋体" w:eastAsia="宋体" w:cs="宋体"/>
          <w:color w:val="auto"/>
          <w:szCs w:val="21"/>
          <w:highlight w:val="none"/>
        </w:rPr>
        <w:t>。</w:t>
      </w:r>
    </w:p>
    <w:p w14:paraId="62021B2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.2未按合同约定的完工日期或甲方同意顺延的工期完工的，每逾期1日，应向甲方支付违约金2000元，</w:t>
      </w:r>
      <w:r>
        <w:rPr>
          <w:rFonts w:hint="eastAsia" w:ascii="宋体" w:hAnsi="宋体" w:cs="宋体"/>
          <w:color w:val="auto"/>
          <w:szCs w:val="21"/>
          <w:highlight w:val="none"/>
          <w:lang w:eastAsia="zh-CN"/>
        </w:rPr>
        <w:t>从合同金中</w:t>
      </w:r>
      <w:r>
        <w:rPr>
          <w:rFonts w:hint="eastAsia" w:ascii="宋体" w:hAnsi="宋体" w:eastAsia="宋体" w:cs="宋体"/>
          <w:color w:val="auto"/>
          <w:szCs w:val="21"/>
          <w:highlight w:val="none"/>
        </w:rPr>
        <w:t>扣除。</w:t>
      </w:r>
    </w:p>
    <w:p w14:paraId="1961465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.3乙方未经甲方同意擅自对</w:t>
      </w:r>
      <w:r>
        <w:rPr>
          <w:rFonts w:hint="eastAsia" w:ascii="宋体" w:hAnsi="宋体" w:cs="宋体"/>
          <w:color w:val="auto"/>
          <w:szCs w:val="21"/>
          <w:highlight w:val="none"/>
          <w:lang w:eastAsia="zh-CN"/>
        </w:rPr>
        <w:t>清运项目</w:t>
      </w:r>
      <w:r>
        <w:rPr>
          <w:rFonts w:hint="eastAsia" w:ascii="宋体" w:hAnsi="宋体" w:eastAsia="宋体" w:cs="宋体"/>
          <w:color w:val="auto"/>
          <w:szCs w:val="21"/>
          <w:highlight w:val="none"/>
        </w:rPr>
        <w:t>进行分包的违约责任：每发现一次甲方有权处违约金10000元/次（人民币），</w:t>
      </w:r>
      <w:r>
        <w:rPr>
          <w:rFonts w:hint="eastAsia" w:ascii="宋体" w:hAnsi="宋体" w:cs="宋体"/>
          <w:color w:val="auto"/>
          <w:szCs w:val="21"/>
          <w:highlight w:val="none"/>
          <w:lang w:eastAsia="zh-CN"/>
        </w:rPr>
        <w:t>从合同金中</w:t>
      </w:r>
      <w:r>
        <w:rPr>
          <w:rFonts w:hint="eastAsia" w:ascii="宋体" w:hAnsi="宋体" w:eastAsia="宋体" w:cs="宋体"/>
          <w:color w:val="auto"/>
          <w:szCs w:val="21"/>
          <w:highlight w:val="none"/>
        </w:rPr>
        <w:t>扣除。</w:t>
      </w:r>
    </w:p>
    <w:p w14:paraId="086962C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.4乙方配备的单项</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人员须在投标时配备的人员表内，乙方未经甲方同意擅自更换配备的</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人员的违约责任：未经发包人书面同意，乙方擅自更换</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人员的视为违约，每发现一次甲方有权处违约金1000元/人•次（人民币）。</w:t>
      </w:r>
    </w:p>
    <w:p w14:paraId="0585CB3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.5乙方无正当理由不按甲方通知的要求及时进场组织工作或不按签订合同时商定的进度计划有效地开展工作准备造成工期延误的或</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作业不合格且不及时修改等涉及不履行合同的违约责任，违约金的计算方法为：每拖延一天支付给甲方违约金2000元，</w:t>
      </w:r>
      <w:r>
        <w:rPr>
          <w:rFonts w:hint="eastAsia" w:ascii="宋体" w:hAnsi="宋体" w:cs="宋体"/>
          <w:color w:val="auto"/>
          <w:szCs w:val="21"/>
          <w:highlight w:val="none"/>
          <w:lang w:eastAsia="zh-CN"/>
        </w:rPr>
        <w:t>从合同金中</w:t>
      </w:r>
      <w:r>
        <w:rPr>
          <w:rFonts w:hint="eastAsia" w:ascii="宋体" w:hAnsi="宋体" w:eastAsia="宋体" w:cs="宋体"/>
          <w:color w:val="auto"/>
          <w:szCs w:val="21"/>
          <w:highlight w:val="none"/>
        </w:rPr>
        <w:t>扣除。</w:t>
      </w:r>
    </w:p>
    <w:p w14:paraId="6398F65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.6未达到合同约定的</w:t>
      </w:r>
      <w:r>
        <w:rPr>
          <w:rFonts w:hint="eastAsia" w:ascii="宋体" w:hAnsi="宋体" w:cs="宋体"/>
          <w:color w:val="auto"/>
          <w:szCs w:val="21"/>
          <w:highlight w:val="none"/>
          <w:lang w:eastAsia="zh-CN"/>
        </w:rPr>
        <w:t>清运</w:t>
      </w:r>
      <w:r>
        <w:rPr>
          <w:rFonts w:hint="eastAsia" w:ascii="宋体" w:hAnsi="宋体" w:eastAsia="宋体" w:cs="宋体"/>
          <w:color w:val="auto"/>
          <w:szCs w:val="21"/>
          <w:highlight w:val="none"/>
        </w:rPr>
        <w:t>要求的，应无条件返工至本合同约定的要求。因返工造成工期延误的，工期不予顺延，乙方承担工期延误责任。如经返工，仍达不到约定要求的，甲方有权单方解除合同。</w:t>
      </w:r>
    </w:p>
    <w:p w14:paraId="1ED460D2">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三</w:t>
      </w:r>
      <w:r>
        <w:rPr>
          <w:rFonts w:hint="eastAsia" w:ascii="宋体" w:hAnsi="宋体" w:cs="宋体"/>
          <w:b/>
          <w:color w:val="auto"/>
          <w:szCs w:val="21"/>
          <w:highlight w:val="none"/>
        </w:rPr>
        <w:t>、不可抗力事件处理</w:t>
      </w:r>
    </w:p>
    <w:p w14:paraId="6F74DE6D">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1.不可抗力事件发生后，应立即通知对方，并附送有关权威机构出具的证明。</w:t>
      </w:r>
    </w:p>
    <w:p w14:paraId="5EB5ED95">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2.不可抗力事件延续120天以上，双方应通过友好协商，确定是否继续履行框架协议。</w:t>
      </w:r>
    </w:p>
    <w:p w14:paraId="0B7965D0">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四</w:t>
      </w:r>
      <w:r>
        <w:rPr>
          <w:rFonts w:hint="eastAsia" w:ascii="宋体" w:hAnsi="宋体" w:cs="宋体"/>
          <w:b/>
          <w:color w:val="auto"/>
          <w:szCs w:val="21"/>
          <w:highlight w:val="none"/>
        </w:rPr>
        <w:t>、诉讼</w:t>
      </w:r>
    </w:p>
    <w:p w14:paraId="3B8F504D">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双方在执行框架协议中所发生的一切争议，应通过协商解决。如协商不成，双方可就争议共同提请桂林市仲裁委员会申请仲裁或向桂林市人民法院提起诉讼。</w:t>
      </w:r>
    </w:p>
    <w:p w14:paraId="38C949F3">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五</w:t>
      </w:r>
      <w:r>
        <w:rPr>
          <w:rFonts w:hint="eastAsia" w:ascii="宋体" w:hAnsi="宋体" w:cs="宋体"/>
          <w:b/>
          <w:color w:val="auto"/>
          <w:szCs w:val="21"/>
          <w:highlight w:val="none"/>
        </w:rPr>
        <w:t>、框架协议生效及其它</w:t>
      </w:r>
    </w:p>
    <w:p w14:paraId="4F32D1B8">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1.框架协议经双方法定代表人或授权委托代理人签字并加盖单位公章后生效。</w:t>
      </w:r>
    </w:p>
    <w:p w14:paraId="5E9A0CC3">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2.框架协议执行中，如需修改或补充框架协议内容，由双方协商另签署书面修改或补充协议作为主框架协议不可分割的一部分。</w:t>
      </w:r>
    </w:p>
    <w:p w14:paraId="35464449">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当事人一方要求变更或解除框架协议时，应当在变更或解除框架协议前5个工作日通知对方，因变更或解除框架协议使一方遭受损失的，除依法可以免除的责任外，应由责任方负责赔偿。变更或解除框架协议的通知或协议必须采取书面形式，协议未达成之前，原框架协议仍然有效。</w:t>
      </w:r>
    </w:p>
    <w:p w14:paraId="055F5263">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4.下述框架协议附件为本框架协议不可分割的部分并与本框架协议具有同等效力：</w:t>
      </w:r>
    </w:p>
    <w:p w14:paraId="2FC6CDF8">
      <w:pPr>
        <w:pStyle w:val="15"/>
        <w:keepNext w:val="0"/>
        <w:keepLines w:val="0"/>
        <w:pageBreakBefore w:val="0"/>
        <w:kinsoku/>
        <w:wordWrap/>
        <w:overflowPunct/>
        <w:topLinePunct w:val="0"/>
        <w:bidi w:val="0"/>
        <w:spacing w:line="380" w:lineRule="exact"/>
        <w:ind w:firstLine="357"/>
        <w:rPr>
          <w:rFonts w:hint="eastAsia" w:hAnsi="宋体" w:eastAsia="宋体" w:cs="宋体"/>
          <w:color w:val="auto"/>
          <w:highlight w:val="none"/>
          <w:lang w:eastAsia="zh-CN"/>
        </w:rPr>
      </w:pPr>
      <w:r>
        <w:rPr>
          <w:rFonts w:hint="eastAsia" w:hAnsi="宋体" w:cs="宋体"/>
          <w:color w:val="auto"/>
          <w:highlight w:val="none"/>
        </w:rPr>
        <w:t>（1）</w:t>
      </w:r>
      <w:r>
        <w:rPr>
          <w:rFonts w:hint="eastAsia" w:hAnsi="宋体" w:cs="宋体"/>
          <w:color w:val="auto"/>
          <w:highlight w:val="none"/>
          <w:lang w:eastAsia="zh-CN"/>
        </w:rPr>
        <w:t>中标通知书</w:t>
      </w:r>
    </w:p>
    <w:p w14:paraId="2AE10E0A">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（2）征</w:t>
      </w:r>
      <w:r>
        <w:rPr>
          <w:rFonts w:hint="eastAsia" w:hAnsi="宋体" w:cs="宋体"/>
          <w:color w:val="auto"/>
          <w:highlight w:val="none"/>
          <w:lang w:val="en-US" w:eastAsia="zh-CN"/>
        </w:rPr>
        <w:t xml:space="preserve"> </w:t>
      </w:r>
      <w:r>
        <w:rPr>
          <w:rFonts w:hint="eastAsia" w:hAnsi="宋体" w:cs="宋体"/>
          <w:color w:val="auto"/>
          <w:highlight w:val="none"/>
        </w:rPr>
        <w:t>集文件服务</w:t>
      </w:r>
      <w:r>
        <w:rPr>
          <w:rFonts w:hint="eastAsia" w:hAnsi="宋体" w:cs="宋体"/>
          <w:color w:val="auto"/>
          <w:highlight w:val="none"/>
          <w:lang w:eastAsia="zh-CN"/>
        </w:rPr>
        <w:t>采购</w:t>
      </w:r>
      <w:r>
        <w:rPr>
          <w:rFonts w:hint="eastAsia" w:hAnsi="宋体" w:cs="宋体"/>
          <w:color w:val="auto"/>
          <w:highlight w:val="none"/>
        </w:rPr>
        <w:t>需求一览表</w:t>
      </w:r>
    </w:p>
    <w:p w14:paraId="00D048F3">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（3）征集文件的澄清和修改（如有请提供）</w:t>
      </w:r>
    </w:p>
    <w:p w14:paraId="6705AEAA">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（4）响应函</w:t>
      </w:r>
    </w:p>
    <w:p w14:paraId="1D457F5C">
      <w:pPr>
        <w:pStyle w:val="15"/>
        <w:keepNext w:val="0"/>
        <w:keepLines w:val="0"/>
        <w:pageBreakBefore w:val="0"/>
        <w:kinsoku/>
        <w:wordWrap/>
        <w:overflowPunct/>
        <w:topLinePunct w:val="0"/>
        <w:bidi w:val="0"/>
        <w:spacing w:line="380" w:lineRule="exact"/>
        <w:ind w:firstLine="357"/>
        <w:rPr>
          <w:rFonts w:hint="eastAsia" w:hAnsi="宋体" w:eastAsia="宋体" w:cs="宋体"/>
          <w:color w:val="auto"/>
          <w:highlight w:val="none"/>
          <w:lang w:eastAsia="zh-CN"/>
        </w:rPr>
      </w:pPr>
      <w:r>
        <w:rPr>
          <w:rFonts w:hint="eastAsia" w:hAnsi="宋体" w:cs="宋体"/>
          <w:color w:val="auto"/>
          <w:highlight w:val="none"/>
        </w:rPr>
        <w:t>（5）</w:t>
      </w:r>
      <w:r>
        <w:rPr>
          <w:rFonts w:hint="eastAsia" w:hAnsi="宋体" w:cs="宋体"/>
          <w:color w:val="auto"/>
          <w:highlight w:val="none"/>
          <w:lang w:eastAsia="zh-CN"/>
        </w:rPr>
        <w:t>投标报价表</w:t>
      </w:r>
    </w:p>
    <w:p w14:paraId="4B425E5E">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（8）响应文件</w:t>
      </w:r>
    </w:p>
    <w:p w14:paraId="116C865A">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（9）成交供应商澄清函（如有请提供）</w:t>
      </w:r>
    </w:p>
    <w:p w14:paraId="7AB5B0DC">
      <w:pPr>
        <w:pStyle w:val="15"/>
        <w:keepNext w:val="0"/>
        <w:keepLines w:val="0"/>
        <w:pageBreakBefore w:val="0"/>
        <w:kinsoku/>
        <w:wordWrap/>
        <w:overflowPunct/>
        <w:topLinePunct w:val="0"/>
        <w:bidi w:val="0"/>
        <w:spacing w:line="380" w:lineRule="exact"/>
        <w:ind w:firstLine="357"/>
        <w:rPr>
          <w:rFonts w:hint="eastAsia" w:hAnsi="宋体" w:cs="宋体"/>
          <w:color w:val="auto"/>
          <w:highlight w:val="none"/>
        </w:rPr>
      </w:pPr>
      <w:r>
        <w:rPr>
          <w:rFonts w:hint="eastAsia" w:hAnsi="宋体" w:cs="宋体"/>
          <w:color w:val="auto"/>
          <w:highlight w:val="none"/>
        </w:rPr>
        <w:t>（12）其他与本框架协议相关的资料（如有请提供）</w:t>
      </w:r>
    </w:p>
    <w:p w14:paraId="5A80BD8E">
      <w:pPr>
        <w:keepNext w:val="0"/>
        <w:keepLines w:val="0"/>
        <w:pageBreakBefore w:val="0"/>
        <w:kinsoku/>
        <w:wordWrap/>
        <w:overflowPunct/>
        <w:topLinePunct w:val="0"/>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5.本框架协议未尽事宜，遵照《中华人民共和国民法典》有关条文执行。</w:t>
      </w:r>
    </w:p>
    <w:p w14:paraId="09FC65CD">
      <w:pPr>
        <w:keepNext w:val="0"/>
        <w:keepLines w:val="0"/>
        <w:pageBreakBefore w:val="0"/>
        <w:kinsoku/>
        <w:wordWrap/>
        <w:overflowPunct/>
        <w:topLinePunct w:val="0"/>
        <w:bidi w:val="0"/>
        <w:adjustRightInd/>
        <w:snapToGrid/>
        <w:spacing w:line="360" w:lineRule="auto"/>
        <w:ind w:firstLine="420" w:firstLineChars="200"/>
        <w:textAlignment w:val="auto"/>
        <w:rPr>
          <w:rFonts w:hint="eastAsia" w:hAnsi="宋体" w:cs="宋体"/>
          <w:color w:val="auto"/>
          <w:highlight w:val="none"/>
        </w:rPr>
      </w:pPr>
      <w:r>
        <w:rPr>
          <w:rFonts w:hint="eastAsia" w:hAnsi="宋体" w:cs="宋体"/>
          <w:color w:val="auto"/>
          <w:szCs w:val="21"/>
          <w:highlight w:val="none"/>
        </w:rPr>
        <w:t xml:space="preserve"> 6.</w:t>
      </w:r>
      <w:r>
        <w:rPr>
          <w:rFonts w:hint="eastAsia" w:hAnsi="宋体" w:cs="宋体"/>
          <w:color w:val="auto"/>
          <w:highlight w:val="none"/>
        </w:rPr>
        <w:t>本合同正本一式两份，具有同等法律效力，甲乙双方各执一份；副本两份，采购代理机构存副本一份，并报</w:t>
      </w:r>
      <w:r>
        <w:rPr>
          <w:rFonts w:hint="eastAsia" w:ascii="宋体" w:hAnsi="宋体" w:cs="宋体"/>
          <w:color w:val="auto"/>
          <w:szCs w:val="21"/>
          <w:highlight w:val="none"/>
          <w:lang w:eastAsia="zh-CN"/>
        </w:rPr>
        <w:t>桂林市财政局</w:t>
      </w:r>
      <w:r>
        <w:rPr>
          <w:rFonts w:hint="eastAsia" w:hAnsi="宋体" w:cs="宋体"/>
          <w:color w:val="auto"/>
          <w:highlight w:val="none"/>
        </w:rPr>
        <w:t>备案副本一份。</w:t>
      </w:r>
    </w:p>
    <w:p w14:paraId="2A59A383">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r>
        <w:rPr>
          <w:rFonts w:hint="eastAsia" w:hAnsi="宋体" w:cs="宋体"/>
          <w:color w:val="auto"/>
          <w:highlight w:val="none"/>
        </w:rPr>
        <w:t>甲方：</w:t>
      </w:r>
      <w:r>
        <w:rPr>
          <w:rFonts w:hint="eastAsia" w:hAnsi="宋体" w:cs="宋体"/>
          <w:color w:val="auto"/>
          <w:highlight w:val="none"/>
          <w:u w:val="single"/>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 xml:space="preserve">      </w:t>
      </w:r>
      <w:r>
        <w:rPr>
          <w:rFonts w:hint="eastAsia" w:hAnsi="宋体" w:cs="宋体"/>
          <w:color w:val="auto"/>
          <w:highlight w:val="none"/>
          <w:u w:val="single"/>
        </w:rPr>
        <w:t xml:space="preserve"> </w:t>
      </w:r>
      <w:r>
        <w:rPr>
          <w:rFonts w:hint="eastAsia" w:hAnsi="宋体" w:cs="宋体"/>
          <w:color w:val="auto"/>
          <w:highlight w:val="none"/>
        </w:rPr>
        <w:t xml:space="preserve">         乙方：</w:t>
      </w:r>
      <w:r>
        <w:rPr>
          <w:rFonts w:hint="eastAsia" w:hAnsi="宋体" w:cs="宋体"/>
          <w:color w:val="auto"/>
          <w:highlight w:val="none"/>
          <w:u w:val="single"/>
        </w:rPr>
        <w:t xml:space="preserve">                                    </w:t>
      </w:r>
    </w:p>
    <w:p w14:paraId="13CC5EAE">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地址：</w:t>
      </w:r>
      <w:r>
        <w:rPr>
          <w:rFonts w:hint="eastAsia" w:hAnsi="宋体" w:cs="宋体"/>
          <w:color w:val="auto"/>
          <w:highlight w:val="none"/>
          <w:u w:val="single"/>
        </w:rPr>
        <w:t xml:space="preserve">                                    </w:t>
      </w:r>
      <w:r>
        <w:rPr>
          <w:rFonts w:hint="eastAsia" w:hAnsi="宋体" w:cs="宋体"/>
          <w:color w:val="auto"/>
          <w:highlight w:val="none"/>
        </w:rPr>
        <w:t xml:space="preserve">    地址：</w:t>
      </w:r>
      <w:r>
        <w:rPr>
          <w:rFonts w:hint="eastAsia" w:hAnsi="宋体" w:cs="宋体"/>
          <w:color w:val="auto"/>
          <w:highlight w:val="none"/>
          <w:u w:val="single"/>
        </w:rPr>
        <w:t xml:space="preserve">                                    </w:t>
      </w:r>
      <w:r>
        <w:rPr>
          <w:rFonts w:hint="eastAsia" w:hAnsi="宋体" w:cs="宋体"/>
          <w:color w:val="auto"/>
          <w:highlight w:val="none"/>
        </w:rPr>
        <w:t xml:space="preserve">     </w:t>
      </w:r>
    </w:p>
    <w:p w14:paraId="207F4B71">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法定代表人：</w:t>
      </w:r>
      <w:r>
        <w:rPr>
          <w:rFonts w:hint="eastAsia" w:hAnsi="宋体" w:cs="宋体"/>
          <w:color w:val="auto"/>
          <w:highlight w:val="none"/>
          <w:u w:val="single"/>
        </w:rPr>
        <w:t xml:space="preserve">                              </w:t>
      </w:r>
      <w:r>
        <w:rPr>
          <w:rFonts w:hint="eastAsia" w:hAnsi="宋体" w:cs="宋体"/>
          <w:color w:val="auto"/>
          <w:highlight w:val="none"/>
        </w:rPr>
        <w:t xml:space="preserve">    法定代表人：</w:t>
      </w:r>
      <w:r>
        <w:rPr>
          <w:rFonts w:hint="eastAsia" w:hAnsi="宋体" w:cs="宋体"/>
          <w:color w:val="auto"/>
          <w:highlight w:val="none"/>
          <w:u w:val="single"/>
        </w:rPr>
        <w:t xml:space="preserve">                              </w:t>
      </w:r>
    </w:p>
    <w:p w14:paraId="4787B6DB">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委托代理人：</w:t>
      </w:r>
      <w:r>
        <w:rPr>
          <w:rFonts w:hint="eastAsia" w:hAnsi="宋体" w:cs="宋体"/>
          <w:color w:val="auto"/>
          <w:highlight w:val="none"/>
          <w:u w:val="single"/>
        </w:rPr>
        <w:t xml:space="preserve">                              </w:t>
      </w:r>
      <w:r>
        <w:rPr>
          <w:rFonts w:hint="eastAsia" w:hAnsi="宋体" w:cs="宋体"/>
          <w:color w:val="auto"/>
          <w:highlight w:val="none"/>
        </w:rPr>
        <w:t xml:space="preserve">    委托代理人：</w:t>
      </w:r>
      <w:r>
        <w:rPr>
          <w:rFonts w:hint="eastAsia" w:hAnsi="宋体" w:cs="宋体"/>
          <w:color w:val="auto"/>
          <w:highlight w:val="none"/>
          <w:u w:val="single"/>
        </w:rPr>
        <w:t xml:space="preserve">                              </w:t>
      </w:r>
    </w:p>
    <w:p w14:paraId="004C04BB">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电话：</w:t>
      </w:r>
      <w:r>
        <w:rPr>
          <w:rFonts w:hint="eastAsia" w:hAnsi="宋体" w:cs="宋体"/>
          <w:color w:val="auto"/>
          <w:highlight w:val="none"/>
          <w:u w:val="single"/>
        </w:rPr>
        <w:t xml:space="preserve">                                    </w:t>
      </w:r>
      <w:r>
        <w:rPr>
          <w:rFonts w:hint="eastAsia" w:hAnsi="宋体" w:cs="宋体"/>
          <w:color w:val="auto"/>
          <w:highlight w:val="none"/>
        </w:rPr>
        <w:t xml:space="preserve">    电话：</w:t>
      </w:r>
      <w:r>
        <w:rPr>
          <w:rFonts w:hint="eastAsia" w:hAnsi="宋体" w:cs="宋体"/>
          <w:color w:val="auto"/>
          <w:highlight w:val="none"/>
          <w:u w:val="single"/>
        </w:rPr>
        <w:t xml:space="preserve">                                    </w:t>
      </w:r>
      <w:r>
        <w:rPr>
          <w:rFonts w:hint="eastAsia" w:hAnsi="宋体" w:cs="宋体"/>
          <w:color w:val="auto"/>
          <w:highlight w:val="none"/>
        </w:rPr>
        <w:t xml:space="preserve">       </w:t>
      </w:r>
    </w:p>
    <w:p w14:paraId="31E10C12">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传真：</w:t>
      </w:r>
      <w:r>
        <w:rPr>
          <w:rFonts w:hint="eastAsia" w:hAnsi="宋体" w:cs="宋体"/>
          <w:color w:val="auto"/>
          <w:highlight w:val="none"/>
          <w:u w:val="single"/>
        </w:rPr>
        <w:t xml:space="preserve">                                    </w:t>
      </w:r>
      <w:r>
        <w:rPr>
          <w:rFonts w:hint="eastAsia" w:hAnsi="宋体" w:cs="宋体"/>
          <w:color w:val="auto"/>
          <w:highlight w:val="none"/>
        </w:rPr>
        <w:t xml:space="preserve">    传真：</w:t>
      </w:r>
      <w:r>
        <w:rPr>
          <w:rFonts w:hint="eastAsia" w:hAnsi="宋体" w:cs="宋体"/>
          <w:color w:val="auto"/>
          <w:highlight w:val="none"/>
          <w:u w:val="single"/>
        </w:rPr>
        <w:t xml:space="preserve">                                    </w:t>
      </w:r>
      <w:r>
        <w:rPr>
          <w:rFonts w:hint="eastAsia" w:hAnsi="宋体" w:cs="宋体"/>
          <w:color w:val="auto"/>
          <w:highlight w:val="none"/>
        </w:rPr>
        <w:t xml:space="preserve">    </w:t>
      </w:r>
    </w:p>
    <w:p w14:paraId="54685201">
      <w:pPr>
        <w:pStyle w:val="15"/>
        <w:keepNext w:val="0"/>
        <w:keepLines w:val="0"/>
        <w:pageBreakBefore w:val="0"/>
        <w:kinsoku/>
        <w:wordWrap/>
        <w:overflowPunct/>
        <w:topLinePunct w:val="0"/>
        <w:bidi w:val="0"/>
        <w:spacing w:line="380" w:lineRule="exact"/>
        <w:rPr>
          <w:rFonts w:hint="eastAsia" w:hAnsi="宋体" w:cs="宋体"/>
          <w:color w:val="auto"/>
          <w:highlight w:val="none"/>
        </w:rPr>
      </w:pPr>
      <w:r>
        <w:rPr>
          <w:rFonts w:hint="eastAsia" w:hAnsi="宋体" w:cs="宋体"/>
          <w:color w:val="auto"/>
          <w:highlight w:val="none"/>
        </w:rPr>
        <w:t>邮政编码：</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hAnsi="宋体" w:cs="宋体"/>
          <w:color w:val="auto"/>
          <w:highlight w:val="none"/>
        </w:rPr>
        <w:t xml:space="preserve">    邮政编码：</w:t>
      </w:r>
      <w:r>
        <w:rPr>
          <w:rFonts w:hint="eastAsia" w:hAnsi="宋体" w:cs="宋体"/>
          <w:color w:val="auto"/>
          <w:highlight w:val="none"/>
          <w:u w:val="single"/>
        </w:rPr>
        <w:t xml:space="preserve">                                </w:t>
      </w:r>
    </w:p>
    <w:p w14:paraId="01031260">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r>
        <w:rPr>
          <w:rFonts w:hint="eastAsia" w:hAnsi="宋体" w:cs="宋体"/>
          <w:color w:val="auto"/>
          <w:highlight w:val="none"/>
        </w:rPr>
        <w:t xml:space="preserve">                                              开户银行：</w:t>
      </w:r>
      <w:r>
        <w:rPr>
          <w:rFonts w:hint="eastAsia" w:hAnsi="宋体" w:cs="宋体"/>
          <w:color w:val="auto"/>
          <w:highlight w:val="none"/>
          <w:u w:val="single"/>
        </w:rPr>
        <w:t xml:space="preserve">                                </w:t>
      </w:r>
    </w:p>
    <w:p w14:paraId="3997FACB">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r>
        <w:rPr>
          <w:rFonts w:hint="eastAsia" w:hAnsi="宋体" w:cs="宋体"/>
          <w:color w:val="auto"/>
          <w:highlight w:val="none"/>
        </w:rPr>
        <w:t xml:space="preserve">                                              开户名称：</w:t>
      </w:r>
      <w:r>
        <w:rPr>
          <w:rFonts w:hint="eastAsia" w:hAnsi="宋体" w:cs="宋体"/>
          <w:color w:val="auto"/>
          <w:highlight w:val="none"/>
          <w:u w:val="single"/>
        </w:rPr>
        <w:t xml:space="preserve">                                </w:t>
      </w:r>
    </w:p>
    <w:p w14:paraId="0B84A343">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r>
        <w:rPr>
          <w:rFonts w:hint="eastAsia" w:hAnsi="宋体" w:cs="宋体"/>
          <w:color w:val="auto"/>
          <w:highlight w:val="none"/>
        </w:rPr>
        <w:t xml:space="preserve">                                              银行账号：</w:t>
      </w:r>
      <w:r>
        <w:rPr>
          <w:rFonts w:hint="eastAsia" w:hAnsi="宋体" w:cs="宋体"/>
          <w:color w:val="auto"/>
          <w:highlight w:val="none"/>
          <w:u w:val="single"/>
        </w:rPr>
        <w:t xml:space="preserve">                                </w:t>
      </w:r>
    </w:p>
    <w:p w14:paraId="45D81608">
      <w:pPr>
        <w:pStyle w:val="15"/>
        <w:keepNext w:val="0"/>
        <w:keepLines w:val="0"/>
        <w:pageBreakBefore w:val="0"/>
        <w:kinsoku/>
        <w:wordWrap/>
        <w:overflowPunct/>
        <w:topLinePunct w:val="0"/>
        <w:bidi w:val="0"/>
        <w:spacing w:line="380" w:lineRule="exact"/>
        <w:ind w:left="178" w:leftChars="85"/>
        <w:rPr>
          <w:rFonts w:hint="eastAsia" w:hAnsi="宋体" w:cs="宋体"/>
          <w:color w:val="auto"/>
          <w:highlight w:val="none"/>
        </w:rPr>
      </w:pPr>
      <w:r>
        <w:rPr>
          <w:rFonts w:hint="eastAsia" w:hAnsi="宋体" w:cs="宋体"/>
          <w:color w:val="auto"/>
          <w:highlight w:val="none"/>
        </w:rPr>
        <w:t>合同签订日期：</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 xml:space="preserve">日           合同签订地点：             </w:t>
      </w:r>
    </w:p>
    <w:p w14:paraId="07B33B43">
      <w:pPr>
        <w:keepNext w:val="0"/>
        <w:keepLines w:val="0"/>
        <w:pageBreakBefore w:val="0"/>
        <w:kinsoku/>
        <w:wordWrap/>
        <w:overflowPunct/>
        <w:topLinePunct w:val="0"/>
        <w:bidi w:val="0"/>
        <w:spacing w:line="380" w:lineRule="exact"/>
        <w:ind w:firstLine="422" w:firstLineChars="200"/>
        <w:rPr>
          <w:rFonts w:hint="eastAsia" w:hAnsi="宋体" w:cs="宋体"/>
          <w:b/>
          <w:color w:val="auto"/>
          <w:highlight w:val="none"/>
        </w:rPr>
      </w:pPr>
    </w:p>
    <w:p w14:paraId="190ED6D7">
      <w:pPr>
        <w:rPr>
          <w:rFonts w:hint="eastAsia" w:hAnsi="宋体" w:cs="宋体"/>
          <w:b/>
          <w:color w:val="auto"/>
          <w:highlight w:val="none"/>
        </w:rPr>
      </w:pPr>
      <w:r>
        <w:rPr>
          <w:rFonts w:hint="eastAsia" w:hAnsi="宋体" w:cs="宋体"/>
          <w:b/>
          <w:color w:val="auto"/>
          <w:highlight w:val="none"/>
        </w:rPr>
        <w:br w:type="page"/>
      </w:r>
    </w:p>
    <w:p w14:paraId="4AACD023">
      <w:pPr>
        <w:keepNext w:val="0"/>
        <w:keepLines w:val="0"/>
        <w:pageBreakBefore w:val="0"/>
        <w:kinsoku/>
        <w:wordWrap/>
        <w:overflowPunct/>
        <w:topLinePunct w:val="0"/>
        <w:bidi w:val="0"/>
        <w:spacing w:line="380" w:lineRule="exact"/>
        <w:ind w:firstLine="422" w:firstLineChars="200"/>
        <w:rPr>
          <w:rFonts w:hint="eastAsia" w:ascii="宋体" w:hAnsi="宋体" w:cs="宋体"/>
          <w:b/>
          <w:color w:val="auto"/>
          <w:kern w:val="0"/>
          <w:sz w:val="24"/>
          <w:highlight w:val="none"/>
        </w:rPr>
      </w:pPr>
      <w:r>
        <w:rPr>
          <w:rFonts w:hint="eastAsia" w:hAnsi="宋体" w:cs="宋体"/>
          <w:b/>
          <w:color w:val="auto"/>
          <w:highlight w:val="none"/>
        </w:rPr>
        <w:t>附件：</w:t>
      </w:r>
      <w:r>
        <w:rPr>
          <w:rFonts w:hint="eastAsia" w:ascii="宋体" w:hAnsi="宋体" w:cs="宋体"/>
          <w:b/>
          <w:color w:val="auto"/>
          <w:kern w:val="0"/>
          <w:sz w:val="24"/>
          <w:highlight w:val="none"/>
        </w:rPr>
        <w:t>廉洁从业承诺书</w:t>
      </w:r>
    </w:p>
    <w:p w14:paraId="69FE79A3">
      <w:pPr>
        <w:keepNext w:val="0"/>
        <w:keepLines w:val="0"/>
        <w:pageBreakBefore w:val="0"/>
        <w:kinsoku/>
        <w:wordWrap/>
        <w:overflowPunct/>
        <w:topLinePunct w:val="0"/>
        <w:bidi w:val="0"/>
        <w:spacing w:line="380" w:lineRule="exact"/>
        <w:jc w:val="center"/>
        <w:rPr>
          <w:rFonts w:hint="eastAsia" w:ascii="宋体" w:hAnsi="宋体" w:cs="宋体"/>
          <w:b/>
          <w:color w:val="auto"/>
          <w:sz w:val="32"/>
          <w:highlight w:val="none"/>
        </w:rPr>
      </w:pPr>
      <w:r>
        <w:rPr>
          <w:rFonts w:hint="eastAsia" w:ascii="宋体" w:hAnsi="宋体" w:cs="宋体"/>
          <w:b/>
          <w:color w:val="auto"/>
          <w:sz w:val="32"/>
          <w:highlight w:val="none"/>
        </w:rPr>
        <w:t>廉洁从业承诺书（格式）</w:t>
      </w:r>
    </w:p>
    <w:p w14:paraId="48CEBCE8">
      <w:pPr>
        <w:pStyle w:val="59"/>
        <w:keepNext w:val="0"/>
        <w:keepLines w:val="0"/>
        <w:pageBreakBefore w:val="0"/>
        <w:shd w:val="clear" w:color="auto" w:fill="FFFFFF"/>
        <w:kinsoku/>
        <w:wordWrap/>
        <w:overflowPunct/>
        <w:topLinePunct w:val="0"/>
        <w:bidi w:val="0"/>
        <w:spacing w:before="0" w:beforeAutospacing="0" w:after="0" w:afterAutospacing="0" w:line="380" w:lineRule="exact"/>
        <w:rPr>
          <w:rFonts w:hint="eastAsia"/>
          <w:color w:val="auto"/>
          <w:kern w:val="2"/>
          <w:sz w:val="21"/>
          <w:szCs w:val="22"/>
          <w:highlight w:val="none"/>
        </w:rPr>
      </w:pPr>
      <w:r>
        <w:rPr>
          <w:rFonts w:hint="eastAsia"/>
          <w:color w:val="auto"/>
          <w:kern w:val="2"/>
          <w:sz w:val="21"/>
          <w:szCs w:val="22"/>
          <w:highlight w:val="none"/>
        </w:rPr>
        <w:t>我公司将遵守国家有关法律法规和廉政建设责任制规定，并作出如下承诺：</w:t>
      </w:r>
    </w:p>
    <w:p w14:paraId="0DAF12EE">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1.向征集人提供的公司及从业人员登记备案有关证件及资料详实，不弄虚作假；</w:t>
      </w:r>
    </w:p>
    <w:p w14:paraId="771CF577">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2.在项目评审过程中，秉承诚实、信用、公平、公正的原则开展工作，发出的各类书面文件均真实、有效；</w:t>
      </w:r>
    </w:p>
    <w:p w14:paraId="28833DF2">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4.严格按照现行有关法律、法规和各类规范性文件的要求进行操作，遵守征集人、采购人的有关规定，并接受管理和考核；</w:t>
      </w:r>
    </w:p>
    <w:p w14:paraId="50AEA39B">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5.不采用行贿、欺骗、弄虚作假等不正当手段承接编审业务；</w:t>
      </w:r>
    </w:p>
    <w:p w14:paraId="0F2FDE12">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6.不向外界泄露评审工作机密；</w:t>
      </w:r>
    </w:p>
    <w:p w14:paraId="4DE08B4C">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7.不为公司从事具体工作当事人的违法违章行为说情、解脱；</w:t>
      </w:r>
    </w:p>
    <w:p w14:paraId="60968D25">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8.不接受相关单位组织的有可能影响项目评审公平、公正的宴请及各类娱乐活动。</w:t>
      </w:r>
    </w:p>
    <w:p w14:paraId="2A67B74D">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color w:val="auto"/>
          <w:kern w:val="2"/>
          <w:sz w:val="21"/>
          <w:szCs w:val="22"/>
          <w:highlight w:val="none"/>
        </w:rPr>
      </w:pPr>
      <w:r>
        <w:rPr>
          <w:rFonts w:hint="eastAsia"/>
          <w:color w:val="auto"/>
          <w:kern w:val="2"/>
          <w:sz w:val="21"/>
          <w:szCs w:val="22"/>
          <w:highlight w:val="none"/>
        </w:rPr>
        <w:t>如违背上述承诺，本公司自愿承担相应责任，接受监督管理部门、纪检监察机关或司法机关调查处理。</w:t>
      </w:r>
    </w:p>
    <w:p w14:paraId="24449446">
      <w:pPr>
        <w:pStyle w:val="15"/>
        <w:keepNext w:val="0"/>
        <w:keepLines w:val="0"/>
        <w:pageBreakBefore w:val="0"/>
        <w:kinsoku/>
        <w:wordWrap/>
        <w:overflowPunct/>
        <w:topLinePunct w:val="0"/>
        <w:bidi w:val="0"/>
        <w:spacing w:line="380" w:lineRule="exact"/>
        <w:ind w:firstLine="2165" w:firstLineChars="1027"/>
        <w:rPr>
          <w:rFonts w:hint="eastAsia" w:hAnsi="宋体" w:cs="宋体"/>
          <w:b/>
          <w:color w:val="auto"/>
          <w:highlight w:val="none"/>
          <w:u w:val="single"/>
        </w:rPr>
      </w:pPr>
      <w:r>
        <w:rPr>
          <w:rFonts w:hint="eastAsia" w:hAnsi="宋体" w:cs="宋体"/>
          <w:b/>
          <w:color w:val="auto"/>
          <w:highlight w:val="none"/>
        </w:rPr>
        <w:t>供应商（盖单位公章）：</w:t>
      </w:r>
      <w:r>
        <w:rPr>
          <w:rFonts w:hint="eastAsia" w:hAnsi="宋体" w:cs="宋体"/>
          <w:b/>
          <w:color w:val="auto"/>
          <w:highlight w:val="none"/>
          <w:u w:val="single"/>
        </w:rPr>
        <w:t xml:space="preserve">                                    </w:t>
      </w:r>
    </w:p>
    <w:p w14:paraId="372E837B">
      <w:pPr>
        <w:pStyle w:val="15"/>
        <w:keepNext w:val="0"/>
        <w:keepLines w:val="0"/>
        <w:pageBreakBefore w:val="0"/>
        <w:kinsoku/>
        <w:wordWrap/>
        <w:overflowPunct/>
        <w:topLinePunct w:val="0"/>
        <w:bidi w:val="0"/>
        <w:spacing w:line="380" w:lineRule="exact"/>
        <w:ind w:firstLine="2376" w:firstLineChars="1127"/>
        <w:rPr>
          <w:rFonts w:hint="eastAsia" w:hAnsi="宋体" w:cs="宋体"/>
          <w:b/>
          <w:color w:val="auto"/>
          <w:highlight w:val="none"/>
          <w:u w:val="single"/>
        </w:rPr>
      </w:pPr>
      <w:r>
        <w:rPr>
          <w:rFonts w:hint="eastAsia" w:hAnsi="宋体" w:cs="宋体"/>
          <w:b/>
          <w:color w:val="auto"/>
          <w:highlight w:val="none"/>
        </w:rPr>
        <w:t>法定代表人或其委托代理人（签字或盖章）：</w:t>
      </w:r>
      <w:r>
        <w:rPr>
          <w:rFonts w:hint="eastAsia" w:hAnsi="宋体" w:cs="宋体"/>
          <w:b/>
          <w:color w:val="auto"/>
          <w:highlight w:val="none"/>
          <w:u w:val="single"/>
        </w:rPr>
        <w:t xml:space="preserve">                             </w:t>
      </w:r>
    </w:p>
    <w:p w14:paraId="3932A87E">
      <w:pPr>
        <w:pStyle w:val="59"/>
        <w:keepNext w:val="0"/>
        <w:keepLines w:val="0"/>
        <w:pageBreakBefore w:val="0"/>
        <w:shd w:val="clear" w:color="auto" w:fill="FFFFFF"/>
        <w:kinsoku/>
        <w:wordWrap/>
        <w:overflowPunct/>
        <w:topLinePunct w:val="0"/>
        <w:bidi w:val="0"/>
        <w:spacing w:before="0" w:beforeAutospacing="0" w:after="0" w:afterAutospacing="0" w:line="380" w:lineRule="exact"/>
        <w:ind w:right="420" w:firstLine="2368" w:firstLineChars="1123"/>
        <w:rPr>
          <w:rFonts w:hint="eastAsia"/>
          <w:b/>
          <w:color w:val="auto"/>
          <w:kern w:val="2"/>
          <w:sz w:val="21"/>
          <w:szCs w:val="22"/>
          <w:highlight w:val="none"/>
        </w:rPr>
      </w:pPr>
      <w:r>
        <w:rPr>
          <w:rFonts w:hint="eastAsia"/>
          <w:b/>
          <w:color w:val="auto"/>
          <w:kern w:val="2"/>
          <w:sz w:val="21"/>
          <w:szCs w:val="22"/>
          <w:highlight w:val="none"/>
        </w:rPr>
        <w:t>年  月  日</w:t>
      </w:r>
    </w:p>
    <w:p w14:paraId="0613794C">
      <w:pPr>
        <w:keepNext w:val="0"/>
        <w:keepLines w:val="0"/>
        <w:pageBreakBefore w:val="0"/>
        <w:kinsoku/>
        <w:wordWrap/>
        <w:overflowPunct/>
        <w:topLinePunct w:val="0"/>
        <w:bidi w:val="0"/>
        <w:spacing w:line="380" w:lineRule="exact"/>
        <w:rPr>
          <w:rFonts w:hint="eastAsia" w:ascii="宋体" w:hAnsi="宋体" w:cs="宋体"/>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27CE26E1">
      <w:pPr>
        <w:keepNext w:val="0"/>
        <w:keepLines w:val="0"/>
        <w:pageBreakBefore w:val="0"/>
        <w:kinsoku/>
        <w:wordWrap/>
        <w:overflowPunct/>
        <w:topLinePunct w:val="0"/>
        <w:bidi w:val="0"/>
        <w:spacing w:line="380" w:lineRule="exact"/>
        <w:jc w:val="center"/>
        <w:rPr>
          <w:rFonts w:hint="eastAsia" w:ascii="宋体" w:hAnsi="宋体" w:cs="宋体"/>
          <w:b/>
          <w:bCs/>
          <w:color w:val="auto"/>
          <w:sz w:val="52"/>
          <w:highlight w:val="none"/>
        </w:rPr>
      </w:pPr>
    </w:p>
    <w:p w14:paraId="03D547F4">
      <w:pPr>
        <w:keepNext w:val="0"/>
        <w:keepLines w:val="0"/>
        <w:pageBreakBefore w:val="0"/>
        <w:kinsoku/>
        <w:wordWrap/>
        <w:overflowPunct/>
        <w:topLinePunct w:val="0"/>
        <w:bidi w:val="0"/>
        <w:spacing w:line="380" w:lineRule="exact"/>
        <w:jc w:val="center"/>
        <w:rPr>
          <w:rFonts w:hint="eastAsia" w:ascii="宋体" w:hAnsi="宋体" w:cs="宋体"/>
          <w:b/>
          <w:bCs/>
          <w:color w:val="auto"/>
          <w:sz w:val="52"/>
          <w:highlight w:val="none"/>
        </w:rPr>
      </w:pPr>
    </w:p>
    <w:p w14:paraId="25D9A7E8">
      <w:pPr>
        <w:keepNext w:val="0"/>
        <w:keepLines w:val="0"/>
        <w:pageBreakBefore w:val="0"/>
        <w:kinsoku/>
        <w:wordWrap/>
        <w:overflowPunct/>
        <w:topLinePunct w:val="0"/>
        <w:bidi w:val="0"/>
        <w:spacing w:line="380" w:lineRule="exact"/>
        <w:jc w:val="center"/>
        <w:rPr>
          <w:rFonts w:hint="eastAsia" w:ascii="宋体" w:hAnsi="宋体" w:cs="宋体"/>
          <w:b/>
          <w:bCs/>
          <w:color w:val="auto"/>
          <w:sz w:val="52"/>
          <w:highlight w:val="none"/>
        </w:rPr>
      </w:pPr>
    </w:p>
    <w:p w14:paraId="268D7020">
      <w:pPr>
        <w:keepNext w:val="0"/>
        <w:keepLines w:val="0"/>
        <w:pageBreakBefore w:val="0"/>
        <w:kinsoku/>
        <w:wordWrap/>
        <w:overflowPunct/>
        <w:topLinePunct w:val="0"/>
        <w:bidi w:val="0"/>
        <w:spacing w:line="380" w:lineRule="exact"/>
        <w:jc w:val="center"/>
        <w:rPr>
          <w:rFonts w:hint="eastAsia" w:ascii="宋体" w:hAnsi="宋体" w:cs="宋体"/>
          <w:b/>
          <w:bCs/>
          <w:color w:val="auto"/>
          <w:sz w:val="52"/>
          <w:highlight w:val="none"/>
        </w:rPr>
      </w:pPr>
    </w:p>
    <w:p w14:paraId="6AD02944">
      <w:pPr>
        <w:keepNext w:val="0"/>
        <w:keepLines w:val="0"/>
        <w:pageBreakBefore w:val="0"/>
        <w:kinsoku/>
        <w:wordWrap/>
        <w:overflowPunct/>
        <w:topLinePunct w:val="0"/>
        <w:bidi w:val="0"/>
        <w:spacing w:line="380" w:lineRule="exact"/>
        <w:jc w:val="center"/>
        <w:rPr>
          <w:rFonts w:hint="eastAsia" w:ascii="宋体" w:hAnsi="宋体" w:cs="宋体"/>
          <w:b/>
          <w:bCs/>
          <w:color w:val="auto"/>
          <w:sz w:val="52"/>
          <w:highlight w:val="none"/>
        </w:rPr>
      </w:pPr>
    </w:p>
    <w:p w14:paraId="3B1C5514">
      <w:pPr>
        <w:keepNext w:val="0"/>
        <w:keepLines w:val="0"/>
        <w:pageBreakBefore w:val="0"/>
        <w:kinsoku/>
        <w:wordWrap/>
        <w:overflowPunct/>
        <w:topLinePunct w:val="0"/>
        <w:autoSpaceDE w:val="0"/>
        <w:autoSpaceDN w:val="0"/>
        <w:bidi w:val="0"/>
        <w:adjustRightInd w:val="0"/>
        <w:spacing w:line="380" w:lineRule="exact"/>
        <w:jc w:val="center"/>
        <w:rPr>
          <w:rFonts w:hint="eastAsia" w:ascii="宋体" w:hAnsi="宋体" w:cs="宋体"/>
          <w:color w:val="auto"/>
          <w:kern w:val="0"/>
          <w:sz w:val="28"/>
          <w:szCs w:val="28"/>
          <w:highlight w:val="none"/>
        </w:rPr>
      </w:pPr>
      <w:r>
        <w:rPr>
          <w:rFonts w:hint="eastAsia" w:ascii="宋体" w:hAnsi="宋体" w:cs="宋体"/>
          <w:b/>
          <w:bCs/>
          <w:color w:val="auto"/>
          <w:sz w:val="30"/>
          <w:szCs w:val="30"/>
          <w:highlight w:val="none"/>
        </w:rPr>
        <w:t>第二节   采购合同文本</w:t>
      </w:r>
      <w:r>
        <w:rPr>
          <w:rFonts w:hint="eastAsia" w:ascii="宋体" w:hAnsi="宋体" w:cs="宋体"/>
          <w:b/>
          <w:bCs/>
          <w:color w:val="auto"/>
          <w:sz w:val="30"/>
          <w:szCs w:val="30"/>
          <w:highlight w:val="none"/>
        </w:rPr>
        <w:br w:type="page"/>
      </w:r>
      <w:r>
        <w:rPr>
          <w:rFonts w:hint="eastAsia" w:ascii="宋体" w:hAnsi="宋体" w:cs="宋体"/>
          <w:b/>
          <w:bCs/>
          <w:color w:val="auto"/>
          <w:sz w:val="52"/>
          <w:highlight w:val="none"/>
        </w:rPr>
        <w:t xml:space="preserve">           </w:t>
      </w:r>
      <w:r>
        <w:rPr>
          <w:rFonts w:hint="eastAsia" w:ascii="宋体" w:hAnsi="宋体" w:cs="宋体"/>
          <w:color w:val="auto"/>
          <w:kern w:val="0"/>
          <w:sz w:val="28"/>
          <w:szCs w:val="28"/>
          <w:highlight w:val="none"/>
        </w:rPr>
        <w:t>合同编号：</w:t>
      </w:r>
    </w:p>
    <w:p w14:paraId="73F71F87">
      <w:pPr>
        <w:keepNext w:val="0"/>
        <w:keepLines w:val="0"/>
        <w:pageBreakBefore w:val="0"/>
        <w:kinsoku/>
        <w:wordWrap/>
        <w:overflowPunct/>
        <w:topLinePunct w:val="0"/>
        <w:autoSpaceDE w:val="0"/>
        <w:autoSpaceDN w:val="0"/>
        <w:bidi w:val="0"/>
        <w:adjustRightInd w:val="0"/>
        <w:spacing w:line="380" w:lineRule="exact"/>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采 购 合 同</w:t>
      </w:r>
    </w:p>
    <w:p w14:paraId="6C4C56C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项目名称：</w:t>
      </w:r>
    </w:p>
    <w:p w14:paraId="267C77A2">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项目编号：</w:t>
      </w:r>
    </w:p>
    <w:p w14:paraId="5C6436A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甲方：桂林市象山区城市管理局</w:t>
      </w:r>
    </w:p>
    <w:p w14:paraId="31DA207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default" w:ascii="宋体" w:hAnsi="宋体" w:eastAsia="宋体" w:cs="宋体"/>
          <w:snapToGrid/>
          <w:color w:val="auto"/>
          <w:kern w:val="2"/>
          <w:szCs w:val="21"/>
          <w:highlight w:val="none"/>
          <w:lang w:val="en-US" w:eastAsia="zh-CN"/>
        </w:rPr>
      </w:pPr>
      <w:r>
        <w:rPr>
          <w:rFonts w:hint="eastAsia" w:ascii="宋体" w:hAnsi="宋体" w:eastAsia="宋体" w:cs="宋体"/>
          <w:snapToGrid/>
          <w:color w:val="auto"/>
          <w:kern w:val="2"/>
          <w:szCs w:val="21"/>
          <w:highlight w:val="none"/>
          <w:lang w:eastAsia="zh-CN"/>
        </w:rPr>
        <w:t>乙方：</w:t>
      </w:r>
      <w:r>
        <w:rPr>
          <w:rFonts w:hint="eastAsia" w:ascii="宋体" w:hAnsi="宋体" w:eastAsia="宋体" w:cs="宋体"/>
          <w:snapToGrid/>
          <w:color w:val="auto"/>
          <w:kern w:val="2"/>
          <w:szCs w:val="21"/>
          <w:highlight w:val="none"/>
          <w:u w:val="single"/>
          <w:lang w:val="en-US" w:eastAsia="zh-CN"/>
        </w:rPr>
        <w:t xml:space="preserve">                       </w:t>
      </w:r>
      <w:r>
        <w:rPr>
          <w:rFonts w:hint="eastAsia" w:ascii="宋体" w:hAnsi="宋体" w:eastAsia="宋体" w:cs="宋体"/>
          <w:snapToGrid/>
          <w:color w:val="auto"/>
          <w:kern w:val="2"/>
          <w:szCs w:val="21"/>
          <w:highlight w:val="none"/>
          <w:lang w:val="en-US" w:eastAsia="zh-CN"/>
        </w:rPr>
        <w:t xml:space="preserve">            </w:t>
      </w:r>
    </w:p>
    <w:p w14:paraId="10FDE12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drawing>
          <wp:anchor distT="0" distB="0" distL="0" distR="0" simplePos="0" relativeHeight="251659264" behindDoc="0" locked="0" layoutInCell="0" allowOverlap="1">
            <wp:simplePos x="0" y="0"/>
            <wp:positionH relativeFrom="page">
              <wp:posOffset>-826770</wp:posOffset>
            </wp:positionH>
            <wp:positionV relativeFrom="page">
              <wp:posOffset>2498090</wp:posOffset>
            </wp:positionV>
            <wp:extent cx="628650" cy="1384300"/>
            <wp:effectExtent l="0" t="0" r="0" b="635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628681" cy="1384339"/>
                    </a:xfrm>
                    <a:prstGeom prst="rect">
                      <a:avLst/>
                    </a:prstGeom>
                  </pic:spPr>
                </pic:pic>
              </a:graphicData>
            </a:graphic>
          </wp:anchor>
        </w:drawing>
      </w:r>
      <w:r>
        <w:rPr>
          <w:rFonts w:hint="eastAsia" w:ascii="宋体" w:hAnsi="宋体" w:eastAsia="宋体" w:cs="宋体"/>
          <w:snapToGrid/>
          <w:color w:val="auto"/>
          <w:kern w:val="2"/>
          <w:szCs w:val="21"/>
          <w:highlight w:val="none"/>
          <w:lang w:eastAsia="zh-CN"/>
        </w:rPr>
        <w:t>根据《中华人民共和国政府采购法》、《中华人民共和国政府采购法实施条例》、《中华人 民共和国民法典》等法律、法规规定，按照采购文件(以下简称谈采购文件)、投标文件规定条款和中标供应商的承诺、甲乙双方签订本采购合同。</w:t>
      </w:r>
    </w:p>
    <w:p w14:paraId="3E368EDF">
      <w:pPr>
        <w:rPr>
          <w:rFonts w:hint="eastAsia" w:ascii="宋体" w:hAnsi="宋体" w:eastAsia="宋体" w:cs="宋体"/>
          <w:b/>
          <w:bCs/>
          <w:snapToGrid/>
          <w:color w:val="auto"/>
          <w:kern w:val="2"/>
          <w:szCs w:val="21"/>
          <w:highlight w:val="none"/>
          <w:lang w:eastAsia="zh-CN"/>
        </w:rPr>
      </w:pPr>
      <w:r>
        <w:rPr>
          <w:rFonts w:hint="eastAsia" w:ascii="宋体" w:hAnsi="宋体" w:eastAsia="宋体" w:cs="宋体"/>
          <w:b/>
          <w:bCs/>
          <w:snapToGrid/>
          <w:color w:val="auto"/>
          <w:kern w:val="2"/>
          <w:szCs w:val="21"/>
          <w:highlight w:val="none"/>
          <w:lang w:eastAsia="zh-CN"/>
        </w:rPr>
        <w:t>第一条、委托管理内容及范围</w:t>
      </w:r>
    </w:p>
    <w:tbl>
      <w:tblPr>
        <w:tblStyle w:val="26"/>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065"/>
        <w:gridCol w:w="1200"/>
        <w:gridCol w:w="1155"/>
        <w:gridCol w:w="750"/>
        <w:gridCol w:w="870"/>
        <w:gridCol w:w="3454"/>
      </w:tblGrid>
      <w:tr w14:paraId="3147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center"/>
          </w:tcPr>
          <w:p w14:paraId="29F10568">
            <w:pPr>
              <w:widowControl/>
              <w:kinsoku w:val="0"/>
              <w:autoSpaceDE w:val="0"/>
              <w:autoSpaceDN w:val="0"/>
              <w:adjustRightInd w:val="0"/>
              <w:snapToGrid w:val="0"/>
              <w:spacing w:line="330"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Arial" w:cs="Arial"/>
                <w:snapToGrid w:val="0"/>
                <w:color w:val="auto"/>
                <w:kern w:val="0"/>
                <w:sz w:val="22"/>
                <w:szCs w:val="21"/>
                <w:highlight w:val="none"/>
                <w:lang w:eastAsia="zh-CN"/>
              </w:rPr>
              <w:t>序号</w:t>
            </w:r>
          </w:p>
        </w:tc>
        <w:tc>
          <w:tcPr>
            <w:tcW w:w="1065" w:type="dxa"/>
            <w:vAlign w:val="center"/>
          </w:tcPr>
          <w:p w14:paraId="74457F27">
            <w:pPr>
              <w:widowControl/>
              <w:kinsoku w:val="0"/>
              <w:autoSpaceDE w:val="0"/>
              <w:autoSpaceDN w:val="0"/>
              <w:adjustRightInd w:val="0"/>
              <w:snapToGrid w:val="0"/>
              <w:spacing w:line="330"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Arial"/>
                <w:snapToGrid w:val="0"/>
                <w:color w:val="auto"/>
                <w:kern w:val="0"/>
                <w:sz w:val="22"/>
                <w:szCs w:val="21"/>
                <w:highlight w:val="none"/>
                <w:lang w:eastAsia="en-US"/>
              </w:rPr>
              <w:t>服务</w:t>
            </w:r>
            <w:r>
              <w:rPr>
                <w:rFonts w:hint="eastAsia" w:ascii="宋体" w:hAnsi="宋体" w:eastAsia="Arial" w:cs="Arial"/>
                <w:snapToGrid w:val="0"/>
                <w:color w:val="auto"/>
                <w:kern w:val="0"/>
                <w:sz w:val="22"/>
                <w:szCs w:val="21"/>
                <w:highlight w:val="none"/>
                <w:lang w:eastAsia="zh-CN"/>
              </w:rPr>
              <w:t>名称</w:t>
            </w:r>
          </w:p>
        </w:tc>
        <w:tc>
          <w:tcPr>
            <w:tcW w:w="1200" w:type="dxa"/>
            <w:vAlign w:val="center"/>
          </w:tcPr>
          <w:p w14:paraId="3A3034F4">
            <w:pPr>
              <w:widowControl/>
              <w:kinsoku w:val="0"/>
              <w:autoSpaceDE w:val="0"/>
              <w:autoSpaceDN w:val="0"/>
              <w:adjustRightInd w:val="0"/>
              <w:snapToGrid w:val="0"/>
              <w:spacing w:line="322"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Arial" w:cs="Arial"/>
                <w:snapToGrid w:val="0"/>
                <w:color w:val="auto"/>
                <w:kern w:val="0"/>
                <w:sz w:val="22"/>
                <w:szCs w:val="21"/>
                <w:highlight w:val="none"/>
                <w:lang w:eastAsia="zh-CN"/>
              </w:rPr>
              <w:t>服务需求</w:t>
            </w:r>
          </w:p>
        </w:tc>
        <w:tc>
          <w:tcPr>
            <w:tcW w:w="1155" w:type="dxa"/>
            <w:vAlign w:val="center"/>
          </w:tcPr>
          <w:p w14:paraId="66CE7E9B">
            <w:pPr>
              <w:widowControl/>
              <w:kinsoku w:val="0"/>
              <w:autoSpaceDE w:val="0"/>
              <w:autoSpaceDN w:val="0"/>
              <w:adjustRightInd w:val="0"/>
              <w:snapToGrid w:val="0"/>
              <w:spacing w:line="321"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Arial" w:cs="Arial"/>
                <w:snapToGrid w:val="0"/>
                <w:color w:val="auto"/>
                <w:kern w:val="0"/>
                <w:sz w:val="22"/>
                <w:szCs w:val="21"/>
                <w:highlight w:val="none"/>
                <w:lang w:eastAsia="zh-CN"/>
              </w:rPr>
              <w:t>数量</w:t>
            </w:r>
          </w:p>
        </w:tc>
        <w:tc>
          <w:tcPr>
            <w:tcW w:w="750" w:type="dxa"/>
            <w:vAlign w:val="center"/>
          </w:tcPr>
          <w:p w14:paraId="3611F901">
            <w:pPr>
              <w:widowControl/>
              <w:kinsoku w:val="0"/>
              <w:autoSpaceDE w:val="0"/>
              <w:autoSpaceDN w:val="0"/>
              <w:adjustRightInd w:val="0"/>
              <w:snapToGrid w:val="0"/>
              <w:spacing w:line="330"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Arial" w:cs="宋体"/>
                <w:snapToGrid w:val="0"/>
                <w:color w:val="auto"/>
                <w:kern w:val="0"/>
                <w:szCs w:val="21"/>
                <w:highlight w:val="none"/>
                <w:vertAlign w:val="baseline"/>
                <w:lang w:val="en-US" w:eastAsia="zh-CN"/>
              </w:rPr>
              <w:t>单位</w:t>
            </w:r>
          </w:p>
        </w:tc>
        <w:tc>
          <w:tcPr>
            <w:tcW w:w="870" w:type="dxa"/>
            <w:vAlign w:val="center"/>
          </w:tcPr>
          <w:p w14:paraId="7F3834D4">
            <w:pPr>
              <w:widowControl/>
              <w:kinsoku w:val="0"/>
              <w:autoSpaceDE w:val="0"/>
              <w:autoSpaceDN w:val="0"/>
              <w:adjustRightInd w:val="0"/>
              <w:snapToGrid w:val="0"/>
              <w:spacing w:line="330"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Arial"/>
                <w:snapToGrid w:val="0"/>
                <w:color w:val="auto"/>
                <w:kern w:val="0"/>
                <w:sz w:val="22"/>
                <w:szCs w:val="21"/>
                <w:highlight w:val="none"/>
                <w:lang w:eastAsia="en-US"/>
              </w:rPr>
              <w:t>单</w:t>
            </w:r>
            <w:r>
              <w:rPr>
                <w:rFonts w:hint="eastAsia" w:ascii="宋体" w:hAnsi="宋体" w:eastAsia="Arial" w:cs="Arial"/>
                <w:snapToGrid w:val="0"/>
                <w:color w:val="auto"/>
                <w:kern w:val="0"/>
                <w:sz w:val="22"/>
                <w:szCs w:val="21"/>
                <w:highlight w:val="none"/>
                <w:lang w:eastAsia="zh-CN"/>
              </w:rPr>
              <w:t>价（元）</w:t>
            </w:r>
          </w:p>
        </w:tc>
        <w:tc>
          <w:tcPr>
            <w:tcW w:w="3454" w:type="dxa"/>
            <w:vAlign w:val="center"/>
          </w:tcPr>
          <w:p w14:paraId="158138AE">
            <w:pPr>
              <w:widowControl/>
              <w:kinsoku w:val="0"/>
              <w:autoSpaceDE w:val="0"/>
              <w:autoSpaceDN w:val="0"/>
              <w:adjustRightInd w:val="0"/>
              <w:snapToGrid w:val="0"/>
              <w:spacing w:line="330" w:lineRule="exact"/>
              <w:jc w:val="center"/>
              <w:textAlignment w:val="baseline"/>
              <w:rPr>
                <w:rFonts w:hint="eastAsia" w:ascii="宋体" w:hAnsi="宋体" w:eastAsia="宋体" w:cs="Arial"/>
                <w:snapToGrid w:val="0"/>
                <w:color w:val="auto"/>
                <w:kern w:val="0"/>
                <w:sz w:val="22"/>
                <w:szCs w:val="21"/>
                <w:highlight w:val="none"/>
                <w:lang w:eastAsia="en-US"/>
              </w:rPr>
            </w:pPr>
            <w:r>
              <w:rPr>
                <w:rFonts w:hint="eastAsia" w:ascii="宋体" w:hAnsi="宋体" w:eastAsia="宋体" w:cs="Arial"/>
                <w:snapToGrid w:val="0"/>
                <w:color w:val="auto"/>
                <w:kern w:val="0"/>
                <w:sz w:val="22"/>
                <w:szCs w:val="21"/>
                <w:highlight w:val="none"/>
                <w:lang w:eastAsia="en-US"/>
              </w:rPr>
              <w:t>备注</w:t>
            </w:r>
          </w:p>
        </w:tc>
      </w:tr>
      <w:tr w14:paraId="0DEA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center"/>
          </w:tcPr>
          <w:p w14:paraId="4D38FF23">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1065" w:type="dxa"/>
            <w:vAlign w:val="center"/>
          </w:tcPr>
          <w:p w14:paraId="43B8C0FD">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清运垃 圾施工 方采购</w:t>
            </w:r>
          </w:p>
        </w:tc>
        <w:tc>
          <w:tcPr>
            <w:tcW w:w="1200" w:type="dxa"/>
            <w:vAlign w:val="center"/>
          </w:tcPr>
          <w:p w14:paraId="4AA0D9DF">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一、清理表面附着物</w:t>
            </w:r>
          </w:p>
        </w:tc>
        <w:tc>
          <w:tcPr>
            <w:tcW w:w="1155" w:type="dxa"/>
            <w:vAlign w:val="center"/>
          </w:tcPr>
          <w:p w14:paraId="28D3E1E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以实际测量数据 计算</w:t>
            </w:r>
          </w:p>
        </w:tc>
        <w:tc>
          <w:tcPr>
            <w:tcW w:w="750" w:type="dxa"/>
            <w:vAlign w:val="center"/>
          </w:tcPr>
          <w:p w14:paraId="0D4B30FD">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p w14:paraId="2A88B7A0">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m²</w:t>
            </w:r>
          </w:p>
        </w:tc>
        <w:tc>
          <w:tcPr>
            <w:tcW w:w="870" w:type="dxa"/>
            <w:vAlign w:val="center"/>
          </w:tcPr>
          <w:p w14:paraId="4D5B3DFA">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p w14:paraId="2C4B13D2">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4元</w:t>
            </w:r>
          </w:p>
        </w:tc>
        <w:tc>
          <w:tcPr>
            <w:tcW w:w="3454" w:type="dxa"/>
            <w:vAlign w:val="top"/>
          </w:tcPr>
          <w:p w14:paraId="5D509D38">
            <w:pPr>
              <w:keepNext w:val="0"/>
              <w:keepLines w:val="0"/>
              <w:pageBreakBefore w:val="0"/>
              <w:widowControl/>
              <w:suppressLineNumbers w:val="0"/>
              <w:kinsoku/>
              <w:wordWrap/>
              <w:overflowPunct/>
              <w:topLinePunct w:val="0"/>
              <w:autoSpaceDE/>
              <w:autoSpaceDN/>
              <w:bidi w:val="0"/>
              <w:adjustRightInd w:val="0"/>
              <w:snapToGrid w:val="0"/>
              <w:spacing w:line="340" w:lineRule="exact"/>
              <w:jc w:val="both"/>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1、作业时 间8小时内 按1个台班 结算。</w:t>
            </w:r>
          </w:p>
          <w:p w14:paraId="14E7840B">
            <w:pPr>
              <w:keepNext w:val="0"/>
              <w:keepLines w:val="0"/>
              <w:pageBreakBefore w:val="0"/>
              <w:widowControl/>
              <w:suppressLineNumbers w:val="0"/>
              <w:kinsoku/>
              <w:wordWrap/>
              <w:overflowPunct/>
              <w:topLinePunct w:val="0"/>
              <w:autoSpaceDE/>
              <w:autoSpaceDN/>
              <w:bidi w:val="0"/>
              <w:adjustRightInd w:val="0"/>
              <w:snapToGrid w:val="0"/>
              <w:spacing w:line="340" w:lineRule="exact"/>
              <w:jc w:val="both"/>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2、以上设备 报价所含拖 车运输费均 为桂林市四 城区内拖车 运费，四城 区以外需拖 车运输设备 报价在原有 报价基础上 加500元/次/台班。</w:t>
            </w:r>
          </w:p>
        </w:tc>
      </w:tr>
      <w:tr w14:paraId="2CE1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restart"/>
            <w:vAlign w:val="center"/>
          </w:tcPr>
          <w:p w14:paraId="3486A289">
            <w:pPr>
              <w:widowControl/>
              <w:kinsoku w:val="0"/>
              <w:autoSpaceDE w:val="0"/>
              <w:autoSpaceDN w:val="0"/>
              <w:adjustRightInd w:val="0"/>
              <w:snapToGrid w:val="0"/>
              <w:spacing w:line="330" w:lineRule="exact"/>
              <w:jc w:val="center"/>
              <w:textAlignment w:val="baseline"/>
              <w:rPr>
                <w:rFonts w:hint="eastAsia" w:ascii="宋体" w:hAnsi="宋体" w:eastAsia="宋体" w:cs="宋体"/>
                <w:snapToGrid/>
                <w:color w:val="auto"/>
                <w:kern w:val="2"/>
                <w:szCs w:val="21"/>
                <w:highlight w:val="none"/>
                <w:vertAlign w:val="baseline"/>
                <w:lang w:eastAsia="zh-CN"/>
              </w:rPr>
            </w:pPr>
            <w:r>
              <w:rPr>
                <w:rFonts w:hint="eastAsia" w:ascii="宋体" w:hAnsi="宋体" w:eastAsia="Arial" w:cs="Arial"/>
                <w:snapToGrid w:val="0"/>
                <w:color w:val="auto"/>
                <w:kern w:val="0"/>
                <w:sz w:val="22"/>
                <w:szCs w:val="21"/>
                <w:highlight w:val="none"/>
                <w:lang w:val="en-US" w:eastAsia="zh-CN"/>
              </w:rPr>
              <w:t>2</w:t>
            </w:r>
          </w:p>
        </w:tc>
        <w:tc>
          <w:tcPr>
            <w:tcW w:w="1065" w:type="dxa"/>
            <w:vMerge w:val="restart"/>
            <w:vAlign w:val="center"/>
          </w:tcPr>
          <w:p w14:paraId="617F2A62">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ascii="Arial" w:hAnsi="Arial" w:eastAsia="Arial" w:cs="Arial"/>
                <w:snapToGrid w:val="0"/>
                <w:color w:val="auto"/>
                <w:spacing w:val="-3"/>
                <w:kern w:val="0"/>
                <w:szCs w:val="21"/>
                <w:highlight w:val="none"/>
                <w:lang w:eastAsia="en-US"/>
              </w:rPr>
              <w:t>清运垃</w:t>
            </w:r>
            <w:r>
              <w:rPr>
                <w:rFonts w:ascii="Arial" w:hAnsi="Arial" w:eastAsia="Arial" w:cs="Arial"/>
                <w:snapToGrid w:val="0"/>
                <w:color w:val="auto"/>
                <w:kern w:val="0"/>
                <w:szCs w:val="21"/>
                <w:highlight w:val="none"/>
                <w:lang w:eastAsia="en-US"/>
              </w:rPr>
              <w:t xml:space="preserve"> </w:t>
            </w:r>
            <w:r>
              <w:rPr>
                <w:rFonts w:ascii="Arial" w:hAnsi="Arial" w:eastAsia="Arial" w:cs="Arial"/>
                <w:snapToGrid w:val="0"/>
                <w:color w:val="auto"/>
                <w:spacing w:val="3"/>
                <w:kern w:val="0"/>
                <w:szCs w:val="21"/>
                <w:highlight w:val="none"/>
                <w:lang w:eastAsia="en-US"/>
              </w:rPr>
              <w:t>圾施工</w:t>
            </w:r>
            <w:r>
              <w:rPr>
                <w:rFonts w:ascii="Arial" w:hAnsi="Arial" w:eastAsia="Arial" w:cs="Arial"/>
                <w:snapToGrid w:val="0"/>
                <w:color w:val="auto"/>
                <w:spacing w:val="1"/>
                <w:kern w:val="0"/>
                <w:szCs w:val="21"/>
                <w:highlight w:val="none"/>
                <w:lang w:eastAsia="en-US"/>
              </w:rPr>
              <w:t xml:space="preserve"> </w:t>
            </w:r>
            <w:r>
              <w:rPr>
                <w:rFonts w:ascii="Arial" w:hAnsi="Arial" w:eastAsia="Arial" w:cs="Arial"/>
                <w:snapToGrid w:val="0"/>
                <w:color w:val="auto"/>
                <w:spacing w:val="-3"/>
                <w:kern w:val="0"/>
                <w:szCs w:val="21"/>
                <w:highlight w:val="none"/>
                <w:lang w:eastAsia="en-US"/>
              </w:rPr>
              <w:t>方采购</w:t>
            </w:r>
          </w:p>
        </w:tc>
        <w:tc>
          <w:tcPr>
            <w:tcW w:w="1200" w:type="dxa"/>
          </w:tcPr>
          <w:p w14:paraId="337E193A">
            <w:pPr>
              <w:rPr>
                <w:rFonts w:hint="eastAsia" w:ascii="宋体" w:hAnsi="宋体" w:eastAsia="宋体" w:cs="宋体"/>
                <w:snapToGrid/>
                <w:color w:val="auto"/>
                <w:kern w:val="2"/>
                <w:szCs w:val="21"/>
                <w:highlight w:val="none"/>
                <w:vertAlign w:val="baseline"/>
                <w:lang w:eastAsia="zh-CN"/>
              </w:rPr>
            </w:pPr>
            <w:r>
              <w:rPr>
                <w:rFonts w:ascii="Arial" w:hAnsi="Arial" w:eastAsia="Arial" w:cs="Arial"/>
                <w:b/>
                <w:bCs/>
                <w:snapToGrid w:val="0"/>
                <w:color w:val="auto"/>
                <w:spacing w:val="-4"/>
                <w:kern w:val="0"/>
                <w:szCs w:val="21"/>
                <w:highlight w:val="none"/>
                <w:lang w:eastAsia="en-US"/>
              </w:rPr>
              <w:t>二、运输车辆</w:t>
            </w:r>
          </w:p>
        </w:tc>
        <w:tc>
          <w:tcPr>
            <w:tcW w:w="1155" w:type="dxa"/>
          </w:tcPr>
          <w:p w14:paraId="3DA85B6D">
            <w:pPr>
              <w:rPr>
                <w:rFonts w:hint="eastAsia" w:ascii="宋体" w:hAnsi="宋体" w:eastAsia="宋体" w:cs="宋体"/>
                <w:snapToGrid/>
                <w:color w:val="auto"/>
                <w:kern w:val="2"/>
                <w:szCs w:val="21"/>
                <w:highlight w:val="none"/>
                <w:vertAlign w:val="baseline"/>
                <w:lang w:eastAsia="zh-CN"/>
              </w:rPr>
            </w:pPr>
          </w:p>
        </w:tc>
        <w:tc>
          <w:tcPr>
            <w:tcW w:w="750" w:type="dxa"/>
          </w:tcPr>
          <w:p w14:paraId="0EBBA3FE">
            <w:pPr>
              <w:rPr>
                <w:rFonts w:hint="eastAsia" w:ascii="宋体" w:hAnsi="宋体" w:eastAsia="宋体" w:cs="宋体"/>
                <w:snapToGrid/>
                <w:color w:val="auto"/>
                <w:kern w:val="2"/>
                <w:szCs w:val="21"/>
                <w:highlight w:val="none"/>
                <w:vertAlign w:val="baseline"/>
                <w:lang w:eastAsia="zh-CN"/>
              </w:rPr>
            </w:pPr>
          </w:p>
        </w:tc>
        <w:tc>
          <w:tcPr>
            <w:tcW w:w="870" w:type="dxa"/>
          </w:tcPr>
          <w:p w14:paraId="4CF54852">
            <w:pPr>
              <w:rPr>
                <w:rFonts w:hint="eastAsia" w:ascii="宋体" w:hAnsi="宋体" w:eastAsia="宋体" w:cs="宋体"/>
                <w:snapToGrid/>
                <w:color w:val="auto"/>
                <w:kern w:val="2"/>
                <w:szCs w:val="21"/>
                <w:highlight w:val="none"/>
                <w:vertAlign w:val="baseline"/>
                <w:lang w:eastAsia="zh-CN"/>
              </w:rPr>
            </w:pPr>
          </w:p>
        </w:tc>
        <w:tc>
          <w:tcPr>
            <w:tcW w:w="3454" w:type="dxa"/>
          </w:tcPr>
          <w:p w14:paraId="1B094589">
            <w:pPr>
              <w:rPr>
                <w:rFonts w:hint="eastAsia" w:ascii="宋体" w:hAnsi="宋体" w:eastAsia="宋体" w:cs="宋体"/>
                <w:snapToGrid/>
                <w:color w:val="auto"/>
                <w:kern w:val="2"/>
                <w:szCs w:val="21"/>
                <w:highlight w:val="none"/>
                <w:vertAlign w:val="baseline"/>
                <w:lang w:eastAsia="zh-CN"/>
              </w:rPr>
            </w:pPr>
          </w:p>
        </w:tc>
      </w:tr>
      <w:tr w14:paraId="2481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0C772ACF">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32B6345E">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2F1D5B6A">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大型货车(渣土密</w:t>
            </w:r>
          </w:p>
          <w:p w14:paraId="3F3B8ABF">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封专运车)</w:t>
            </w:r>
          </w:p>
        </w:tc>
        <w:tc>
          <w:tcPr>
            <w:tcW w:w="1155" w:type="dxa"/>
            <w:vAlign w:val="center"/>
          </w:tcPr>
          <w:p w14:paraId="7C92FA0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7A4DBAE6">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5A693495">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600元</w:t>
            </w:r>
          </w:p>
        </w:tc>
        <w:tc>
          <w:tcPr>
            <w:tcW w:w="3454" w:type="dxa"/>
          </w:tcPr>
          <w:p w14:paraId="68B2BCC2">
            <w:pPr>
              <w:rPr>
                <w:rFonts w:hint="eastAsia" w:ascii="宋体" w:hAnsi="宋体" w:eastAsia="宋体" w:cs="宋体"/>
                <w:snapToGrid/>
                <w:color w:val="auto"/>
                <w:kern w:val="2"/>
                <w:szCs w:val="21"/>
                <w:highlight w:val="none"/>
                <w:vertAlign w:val="baseline"/>
                <w:lang w:eastAsia="zh-CN"/>
              </w:rPr>
            </w:pPr>
          </w:p>
        </w:tc>
      </w:tr>
      <w:tr w14:paraId="3B95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62146852">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30A50384">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7EFE21ED">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中型货车(渣土密 封专运车</w:t>
            </w:r>
          </w:p>
        </w:tc>
        <w:tc>
          <w:tcPr>
            <w:tcW w:w="1155" w:type="dxa"/>
            <w:vAlign w:val="center"/>
          </w:tcPr>
          <w:p w14:paraId="3BB560DC">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35FACC2E">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2C661B50">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300元</w:t>
            </w:r>
          </w:p>
        </w:tc>
        <w:tc>
          <w:tcPr>
            <w:tcW w:w="3454" w:type="dxa"/>
          </w:tcPr>
          <w:p w14:paraId="5A24097A">
            <w:pPr>
              <w:rPr>
                <w:rFonts w:hint="eastAsia" w:ascii="宋体" w:hAnsi="宋体" w:eastAsia="宋体" w:cs="宋体"/>
                <w:snapToGrid/>
                <w:color w:val="auto"/>
                <w:kern w:val="2"/>
                <w:szCs w:val="21"/>
                <w:highlight w:val="none"/>
                <w:vertAlign w:val="baseline"/>
                <w:lang w:eastAsia="zh-CN"/>
              </w:rPr>
            </w:pPr>
          </w:p>
        </w:tc>
      </w:tr>
      <w:tr w14:paraId="0433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59D835CE">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18D31D2F">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64D46273">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小型货车(渣土密 封专运车</w:t>
            </w:r>
          </w:p>
        </w:tc>
        <w:tc>
          <w:tcPr>
            <w:tcW w:w="1155" w:type="dxa"/>
            <w:vAlign w:val="center"/>
          </w:tcPr>
          <w:p w14:paraId="1D0D9D7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2980A33C">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679879B1">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200元</w:t>
            </w:r>
          </w:p>
        </w:tc>
        <w:tc>
          <w:tcPr>
            <w:tcW w:w="3454" w:type="dxa"/>
          </w:tcPr>
          <w:p w14:paraId="4916B05D">
            <w:pPr>
              <w:rPr>
                <w:rFonts w:hint="eastAsia" w:ascii="宋体" w:hAnsi="宋体" w:eastAsia="宋体" w:cs="宋体"/>
                <w:snapToGrid/>
                <w:color w:val="auto"/>
                <w:kern w:val="2"/>
                <w:szCs w:val="21"/>
                <w:highlight w:val="none"/>
                <w:vertAlign w:val="baseline"/>
                <w:lang w:eastAsia="zh-CN"/>
              </w:rPr>
            </w:pPr>
          </w:p>
        </w:tc>
      </w:tr>
      <w:tr w14:paraId="2760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224EF8F9">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259D7DE6">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7416FD4E">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拖拉机</w:t>
            </w:r>
          </w:p>
        </w:tc>
        <w:tc>
          <w:tcPr>
            <w:tcW w:w="1155" w:type="dxa"/>
            <w:vAlign w:val="center"/>
          </w:tcPr>
          <w:p w14:paraId="61F34642">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0BDABDCB">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542975BA">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200元</w:t>
            </w:r>
          </w:p>
        </w:tc>
        <w:tc>
          <w:tcPr>
            <w:tcW w:w="3454" w:type="dxa"/>
          </w:tcPr>
          <w:p w14:paraId="61980862">
            <w:pPr>
              <w:rPr>
                <w:rFonts w:hint="eastAsia" w:ascii="宋体" w:hAnsi="宋体" w:eastAsia="宋体" w:cs="宋体"/>
                <w:snapToGrid/>
                <w:color w:val="auto"/>
                <w:kern w:val="2"/>
                <w:szCs w:val="21"/>
                <w:highlight w:val="none"/>
                <w:vertAlign w:val="baseline"/>
                <w:lang w:eastAsia="zh-CN"/>
              </w:rPr>
            </w:pPr>
          </w:p>
        </w:tc>
      </w:tr>
      <w:tr w14:paraId="0122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508912E8">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716BEED4">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12766825">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箱式货车</w:t>
            </w:r>
          </w:p>
        </w:tc>
        <w:tc>
          <w:tcPr>
            <w:tcW w:w="1155" w:type="dxa"/>
            <w:vAlign w:val="center"/>
          </w:tcPr>
          <w:p w14:paraId="7D8B179D">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71C24E27">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7F33DA55">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500元</w:t>
            </w:r>
          </w:p>
        </w:tc>
        <w:tc>
          <w:tcPr>
            <w:tcW w:w="3454" w:type="dxa"/>
          </w:tcPr>
          <w:p w14:paraId="34F9548C">
            <w:pPr>
              <w:rPr>
                <w:rFonts w:hint="eastAsia" w:ascii="宋体" w:hAnsi="宋体" w:eastAsia="宋体" w:cs="宋体"/>
                <w:snapToGrid/>
                <w:color w:val="auto"/>
                <w:kern w:val="2"/>
                <w:szCs w:val="21"/>
                <w:highlight w:val="none"/>
                <w:vertAlign w:val="baseline"/>
                <w:lang w:eastAsia="zh-CN"/>
              </w:rPr>
            </w:pPr>
          </w:p>
        </w:tc>
      </w:tr>
      <w:tr w14:paraId="3A16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62D70EB9">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29C7CB9E">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1D38D52A">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皮卡车</w:t>
            </w:r>
          </w:p>
        </w:tc>
        <w:tc>
          <w:tcPr>
            <w:tcW w:w="1155" w:type="dxa"/>
            <w:vAlign w:val="center"/>
          </w:tcPr>
          <w:p w14:paraId="09DC79E4">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788AF32A">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42A7EDF1">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200元</w:t>
            </w:r>
          </w:p>
        </w:tc>
        <w:tc>
          <w:tcPr>
            <w:tcW w:w="3454" w:type="dxa"/>
          </w:tcPr>
          <w:p w14:paraId="4AAB88F3">
            <w:pPr>
              <w:rPr>
                <w:rFonts w:hint="eastAsia" w:ascii="宋体" w:hAnsi="宋体" w:eastAsia="宋体" w:cs="宋体"/>
                <w:snapToGrid/>
                <w:color w:val="auto"/>
                <w:kern w:val="2"/>
                <w:szCs w:val="21"/>
                <w:highlight w:val="none"/>
                <w:vertAlign w:val="baseline"/>
                <w:lang w:eastAsia="zh-CN"/>
              </w:rPr>
            </w:pPr>
          </w:p>
        </w:tc>
      </w:tr>
      <w:tr w14:paraId="5392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02562073">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150C0383">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749D4AFE">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小货车</w:t>
            </w:r>
          </w:p>
        </w:tc>
        <w:tc>
          <w:tcPr>
            <w:tcW w:w="1155" w:type="dxa"/>
            <w:vAlign w:val="center"/>
          </w:tcPr>
          <w:p w14:paraId="7EF75DF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0108E4F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19D08556">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200元</w:t>
            </w:r>
          </w:p>
        </w:tc>
        <w:tc>
          <w:tcPr>
            <w:tcW w:w="3454" w:type="dxa"/>
          </w:tcPr>
          <w:p w14:paraId="037D9E68">
            <w:pPr>
              <w:rPr>
                <w:rFonts w:hint="eastAsia" w:ascii="宋体" w:hAnsi="宋体" w:eastAsia="宋体" w:cs="宋体"/>
                <w:snapToGrid/>
                <w:color w:val="auto"/>
                <w:kern w:val="2"/>
                <w:szCs w:val="21"/>
                <w:highlight w:val="none"/>
                <w:vertAlign w:val="baseline"/>
                <w:lang w:eastAsia="zh-CN"/>
              </w:rPr>
            </w:pPr>
          </w:p>
        </w:tc>
      </w:tr>
      <w:tr w14:paraId="2A20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3F11F5BD">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641501DC">
            <w:pPr>
              <w:rPr>
                <w:rFonts w:hint="eastAsia" w:ascii="宋体" w:hAnsi="宋体" w:eastAsia="宋体" w:cs="宋体"/>
                <w:snapToGrid/>
                <w:color w:val="auto"/>
                <w:kern w:val="2"/>
                <w:szCs w:val="21"/>
                <w:highlight w:val="none"/>
                <w:vertAlign w:val="baseline"/>
                <w:lang w:eastAsia="zh-CN"/>
              </w:rPr>
            </w:pPr>
          </w:p>
        </w:tc>
        <w:tc>
          <w:tcPr>
            <w:tcW w:w="1200" w:type="dxa"/>
            <w:vAlign w:val="center"/>
          </w:tcPr>
          <w:p w14:paraId="1784564D">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三轮车</w:t>
            </w:r>
          </w:p>
        </w:tc>
        <w:tc>
          <w:tcPr>
            <w:tcW w:w="1155" w:type="dxa"/>
            <w:vAlign w:val="center"/>
          </w:tcPr>
          <w:p w14:paraId="13119459">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按实际工程量结 算</w:t>
            </w:r>
          </w:p>
        </w:tc>
        <w:tc>
          <w:tcPr>
            <w:tcW w:w="750" w:type="dxa"/>
            <w:vAlign w:val="center"/>
          </w:tcPr>
          <w:p w14:paraId="045506E0">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车</w:t>
            </w:r>
          </w:p>
        </w:tc>
        <w:tc>
          <w:tcPr>
            <w:tcW w:w="870" w:type="dxa"/>
            <w:vAlign w:val="center"/>
          </w:tcPr>
          <w:p w14:paraId="3D45F607">
            <w:pPr>
              <w:keepNext w:val="0"/>
              <w:keepLines w:val="0"/>
              <w:pageBreakBefore w:val="0"/>
              <w:widowControl/>
              <w:suppressLineNumbers w:val="0"/>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snapToGrid/>
                <w:color w:val="auto"/>
                <w:kern w:val="2"/>
                <w:szCs w:val="21"/>
                <w:highlight w:val="none"/>
                <w:vertAlign w:val="baseline"/>
                <w:lang w:eastAsia="zh-CN"/>
              </w:rPr>
            </w:pPr>
            <w:r>
              <w:rPr>
                <w:rFonts w:hint="eastAsia" w:ascii="宋体" w:hAnsi="宋体" w:eastAsia="宋体" w:cs="宋体"/>
                <w:i w:val="0"/>
                <w:iCs w:val="0"/>
                <w:snapToGrid w:val="0"/>
                <w:color w:val="auto"/>
                <w:kern w:val="0"/>
                <w:sz w:val="21"/>
                <w:szCs w:val="21"/>
                <w:highlight w:val="none"/>
                <w:u w:val="none"/>
                <w:lang w:val="en-US" w:eastAsia="zh-CN" w:bidi="ar"/>
              </w:rPr>
              <w:t>100元</w:t>
            </w:r>
          </w:p>
        </w:tc>
        <w:tc>
          <w:tcPr>
            <w:tcW w:w="3454" w:type="dxa"/>
          </w:tcPr>
          <w:p w14:paraId="3EED17EB">
            <w:pPr>
              <w:rPr>
                <w:rFonts w:hint="eastAsia" w:ascii="宋体" w:hAnsi="宋体" w:eastAsia="宋体" w:cs="宋体"/>
                <w:snapToGrid/>
                <w:color w:val="auto"/>
                <w:kern w:val="2"/>
                <w:szCs w:val="21"/>
                <w:highlight w:val="none"/>
                <w:vertAlign w:val="baseline"/>
                <w:lang w:eastAsia="zh-CN"/>
              </w:rPr>
            </w:pPr>
          </w:p>
        </w:tc>
      </w:tr>
      <w:tr w14:paraId="416F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Merge w:val="continue"/>
          </w:tcPr>
          <w:p w14:paraId="00668C75">
            <w:pPr>
              <w:rPr>
                <w:rFonts w:hint="eastAsia" w:ascii="宋体" w:hAnsi="宋体" w:eastAsia="宋体" w:cs="宋体"/>
                <w:snapToGrid/>
                <w:color w:val="auto"/>
                <w:kern w:val="2"/>
                <w:szCs w:val="21"/>
                <w:highlight w:val="none"/>
                <w:vertAlign w:val="baseline"/>
                <w:lang w:eastAsia="zh-CN"/>
              </w:rPr>
            </w:pPr>
          </w:p>
        </w:tc>
        <w:tc>
          <w:tcPr>
            <w:tcW w:w="1065" w:type="dxa"/>
            <w:vMerge w:val="continue"/>
          </w:tcPr>
          <w:p w14:paraId="18C1DC6B">
            <w:pPr>
              <w:rPr>
                <w:rFonts w:hint="eastAsia" w:ascii="宋体" w:hAnsi="宋体" w:eastAsia="宋体" w:cs="宋体"/>
                <w:snapToGrid/>
                <w:color w:val="auto"/>
                <w:kern w:val="2"/>
                <w:szCs w:val="21"/>
                <w:highlight w:val="none"/>
                <w:vertAlign w:val="baseline"/>
                <w:lang w:eastAsia="zh-CN"/>
              </w:rPr>
            </w:pPr>
          </w:p>
        </w:tc>
        <w:tc>
          <w:tcPr>
            <w:tcW w:w="1200" w:type="dxa"/>
            <w:shd w:val="clear" w:color="auto" w:fill="auto"/>
            <w:vAlign w:val="center"/>
          </w:tcPr>
          <w:p w14:paraId="1F1F99E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农用车</w:t>
            </w:r>
          </w:p>
        </w:tc>
        <w:tc>
          <w:tcPr>
            <w:tcW w:w="1155" w:type="dxa"/>
            <w:shd w:val="clear" w:color="auto" w:fill="auto"/>
            <w:vAlign w:val="center"/>
          </w:tcPr>
          <w:p w14:paraId="4999521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按实际工程量结 算</w:t>
            </w:r>
          </w:p>
        </w:tc>
        <w:tc>
          <w:tcPr>
            <w:tcW w:w="750" w:type="dxa"/>
            <w:shd w:val="clear" w:color="auto" w:fill="auto"/>
            <w:vAlign w:val="center"/>
          </w:tcPr>
          <w:p w14:paraId="2E564DD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w:t>
            </w:r>
          </w:p>
        </w:tc>
        <w:tc>
          <w:tcPr>
            <w:tcW w:w="870" w:type="dxa"/>
            <w:shd w:val="clear" w:color="auto" w:fill="auto"/>
            <w:vAlign w:val="center"/>
          </w:tcPr>
          <w:p w14:paraId="65BA7A6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30</w:t>
            </w:r>
            <w:r>
              <w:rPr>
                <w:rFonts w:hint="eastAsia" w:ascii="宋体" w:hAnsi="宋体" w:eastAsia="宋体" w:cs="宋体"/>
                <w:i w:val="0"/>
                <w:iCs w:val="0"/>
                <w:color w:val="auto"/>
                <w:kern w:val="0"/>
                <w:sz w:val="21"/>
                <w:szCs w:val="21"/>
                <w:highlight w:val="none"/>
                <w:u w:val="none"/>
                <w:lang w:val="en-US" w:eastAsia="zh-CN" w:bidi="ar"/>
              </w:rPr>
              <w:t>0元</w:t>
            </w:r>
          </w:p>
        </w:tc>
        <w:tc>
          <w:tcPr>
            <w:tcW w:w="3454" w:type="dxa"/>
          </w:tcPr>
          <w:p w14:paraId="3689386F">
            <w:pPr>
              <w:rPr>
                <w:rFonts w:hint="eastAsia" w:ascii="宋体" w:hAnsi="宋体" w:eastAsia="宋体" w:cs="宋体"/>
                <w:snapToGrid/>
                <w:color w:val="auto"/>
                <w:kern w:val="2"/>
                <w:szCs w:val="21"/>
                <w:highlight w:val="none"/>
                <w:vertAlign w:val="baseline"/>
                <w:lang w:eastAsia="zh-CN"/>
              </w:rPr>
            </w:pPr>
          </w:p>
        </w:tc>
      </w:tr>
    </w:tbl>
    <w:p w14:paraId="1144261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color w:val="auto"/>
          <w:kern w:val="2"/>
          <w:szCs w:val="21"/>
          <w:highlight w:val="none"/>
          <w:lang w:eastAsia="zh-CN"/>
        </w:rPr>
      </w:pPr>
    </w:p>
    <w:p w14:paraId="4CBA666F">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根据《中标通知书》的中标内容，合同的总金额折扣率为：</w:t>
      </w:r>
      <w:r>
        <w:rPr>
          <w:rFonts w:hint="eastAsia" w:ascii="宋体" w:hAnsi="宋体" w:eastAsia="宋体" w:cs="宋体"/>
          <w:snapToGrid/>
          <w:color w:val="auto"/>
          <w:kern w:val="2"/>
          <w:szCs w:val="21"/>
          <w:highlight w:val="none"/>
          <w:u w:val="single"/>
          <w:lang w:val="en-US" w:eastAsia="zh-CN"/>
        </w:rPr>
        <w:t xml:space="preserve">     </w:t>
      </w:r>
      <w:r>
        <w:rPr>
          <w:rFonts w:hint="eastAsia" w:ascii="宋体" w:hAnsi="宋体" w:eastAsia="宋体" w:cs="宋体"/>
          <w:snapToGrid/>
          <w:color w:val="auto"/>
          <w:kern w:val="2"/>
          <w:szCs w:val="21"/>
          <w:highlight w:val="none"/>
          <w:lang w:val="en-US" w:eastAsia="zh-CN"/>
        </w:rPr>
        <w:t xml:space="preserve"> </w:t>
      </w:r>
      <w:r>
        <w:rPr>
          <w:rFonts w:hint="eastAsia" w:ascii="宋体" w:hAnsi="宋体" w:eastAsia="宋体" w:cs="宋体"/>
          <w:snapToGrid/>
          <w:color w:val="auto"/>
          <w:kern w:val="2"/>
          <w:szCs w:val="21"/>
          <w:highlight w:val="none"/>
          <w:lang w:eastAsia="zh-CN"/>
        </w:rPr>
        <w:t>%。</w:t>
      </w:r>
    </w:p>
    <w:p w14:paraId="5B739B1D">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b/>
          <w:bCs/>
          <w:snapToGrid/>
          <w:color w:val="auto"/>
          <w:kern w:val="2"/>
          <w:szCs w:val="21"/>
          <w:highlight w:val="none"/>
          <w:lang w:eastAsia="zh-CN"/>
        </w:rPr>
        <w:t>第二条、质量保证</w:t>
      </w:r>
    </w:p>
    <w:p w14:paraId="52B7617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1.乙方应按响应文件承诺的服务需求、服务范围及服务期等向甲方提供服务，且在服务期内各项指标均达到服务需求标准。</w:t>
      </w:r>
    </w:p>
    <w:p w14:paraId="4DB6942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2.乙方提供服务期为.  2 年。在服务期内因供应商本身的服务 质量问题发生故障，乙方应负责免费修理和更换零部件。对达不到技术要求者，根据实际情况，经双方协商，可按以下办法处理：</w:t>
      </w:r>
    </w:p>
    <w:p w14:paraId="515C484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(1)更换：由乙方承担所有发生的全部费用。</w:t>
      </w:r>
    </w:p>
    <w:p w14:paraId="1AE1774F">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(2)贬值处理：由甲乙双方合议定价。</w:t>
      </w:r>
    </w:p>
    <w:p w14:paraId="4285CDA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(3)退货处理：乙方应退还甲方支付的合同款，同时应承担该服务的直接费用(运输、</w:t>
      </w:r>
    </w:p>
    <w:p w14:paraId="30499E2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zh-CN"/>
        </w:rPr>
        <w:t>保险、检验、贷款利息及银行手续费等)。</w:t>
      </w:r>
    </w:p>
    <w:p w14:paraId="7358386B">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p>
    <w:p w14:paraId="6CF2EEC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color w:val="auto"/>
          <w:kern w:val="2"/>
          <w:szCs w:val="21"/>
          <w:highlight w:val="none"/>
          <w:lang w:eastAsia="en-US"/>
        </w:rPr>
      </w:pPr>
      <w:r>
        <w:rPr>
          <w:rFonts w:hint="eastAsia" w:ascii="宋体" w:hAnsi="宋体" w:eastAsia="宋体" w:cs="宋体"/>
          <w:b/>
          <w:bCs/>
          <w:snapToGrid/>
          <w:color w:val="auto"/>
          <w:kern w:val="2"/>
          <w:szCs w:val="21"/>
          <w:highlight w:val="none"/>
          <w:lang w:eastAsia="en-US"/>
        </w:rPr>
        <w:t>第三条 权力保证</w:t>
      </w:r>
    </w:p>
    <w:p w14:paraId="0B101B3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乙方应保证所提供服务过程中不会侵犯任何第三方的专利权、商标权、工业设计权或其他权利。</w:t>
      </w:r>
    </w:p>
    <w:p w14:paraId="3944923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乙方应按谈判文件规定的时间向甲方提供服务需求的有关技术资料。</w:t>
      </w:r>
    </w:p>
    <w:p w14:paraId="01845EF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乙方保证所提供的服务的所有权完全属于乙方且无任何抵押、质押、查封等产权瑕</w:t>
      </w:r>
    </w:p>
    <w:p w14:paraId="5E5CD9B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drawing>
          <wp:anchor distT="0" distB="0" distL="0" distR="0" simplePos="0" relativeHeight="251660288" behindDoc="0" locked="0" layoutInCell="0" allowOverlap="1">
            <wp:simplePos x="0" y="0"/>
            <wp:positionH relativeFrom="page">
              <wp:posOffset>-719455</wp:posOffset>
            </wp:positionH>
            <wp:positionV relativeFrom="page">
              <wp:posOffset>6697980</wp:posOffset>
            </wp:positionV>
            <wp:extent cx="584200" cy="1358900"/>
            <wp:effectExtent l="0" t="0" r="6350" b="1270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584216" cy="1358851"/>
                    </a:xfrm>
                    <a:prstGeom prst="rect">
                      <a:avLst/>
                    </a:prstGeom>
                  </pic:spPr>
                </pic:pic>
              </a:graphicData>
            </a:graphic>
          </wp:anchor>
        </w:drawing>
      </w:r>
      <w:r>
        <w:rPr>
          <w:rFonts w:hint="eastAsia" w:ascii="宋体" w:hAnsi="宋体" w:eastAsia="宋体" w:cs="宋体"/>
          <w:snapToGrid/>
          <w:color w:val="auto"/>
          <w:kern w:val="2"/>
          <w:szCs w:val="21"/>
          <w:highlight w:val="none"/>
          <w:lang w:eastAsia="en-US"/>
        </w:rPr>
        <w:t>疵。</w:t>
      </w:r>
    </w:p>
    <w:p w14:paraId="7ACCD954">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bCs/>
          <w:snapToGrid/>
          <w:color w:val="auto"/>
          <w:kern w:val="2"/>
          <w:szCs w:val="21"/>
          <w:highlight w:val="none"/>
          <w:lang w:eastAsia="en-US"/>
        </w:rPr>
      </w:pPr>
      <w:r>
        <w:rPr>
          <w:rFonts w:hint="eastAsia" w:ascii="宋体" w:hAnsi="宋体" w:eastAsia="宋体" w:cs="宋体"/>
          <w:b/>
          <w:bCs/>
          <w:snapToGrid/>
          <w:color w:val="auto"/>
          <w:kern w:val="2"/>
          <w:szCs w:val="21"/>
          <w:highlight w:val="none"/>
          <w:lang w:eastAsia="en-US"/>
        </w:rPr>
        <w:t>第四条  服务响应、处理时限及要求</w:t>
      </w:r>
    </w:p>
    <w:p w14:paraId="5D443ED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技术支持服务：乙方应按项目采购方服务期限范围内完成满足采购方的维护保养服</w:t>
      </w:r>
    </w:p>
    <w:p w14:paraId="73BFC69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务要求，并提供具有常设每周7天×8小时服务专线和长期的免费技术支持。</w:t>
      </w:r>
    </w:p>
    <w:p w14:paraId="42D192E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现场服务响应时效：在接到甲方的报修请求后的5分钟内，安排专人与甲方电话具</w:t>
      </w:r>
    </w:p>
    <w:p w14:paraId="417663C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体联系，确定上门维修事宜。</w:t>
      </w:r>
    </w:p>
    <w:p w14:paraId="7C99EC1B">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现场服务：1小时内到达现场，4小时内解决问题，4小时内解决不了的，提供备用</w:t>
      </w:r>
    </w:p>
    <w:p w14:paraId="4B37E3B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机服务。</w:t>
      </w:r>
    </w:p>
    <w:p w14:paraId="37DB278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(1)乙方现场技术支持人员应能在30分钟内准确诊断并告知具体项目需求方用户故障</w:t>
      </w:r>
    </w:p>
    <w:p w14:paraId="62A3AC2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原因，诊断差错率要控制在5%以内。并向最终用户解释故障发生原因，可能导致的后果，</w:t>
      </w:r>
    </w:p>
    <w:p w14:paraId="1FF600F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以及拟采取的措施。</w:t>
      </w:r>
    </w:p>
    <w:p w14:paraId="02C54CE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(2)故障修复过程中可能影响用户工作或对系统应用数据有影响的，要先咨询具体项</w:t>
      </w:r>
    </w:p>
    <w:p w14:paraId="5A12ECC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目需求方用户意见再处理。</w:t>
      </w:r>
    </w:p>
    <w:p w14:paraId="3347F18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val="0"/>
          <w:color w:val="auto"/>
          <w:spacing w:val="-5"/>
          <w:kern w:val="0"/>
          <w:sz w:val="21"/>
          <w:szCs w:val="21"/>
          <w:highlight w:val="none"/>
          <w:lang w:eastAsia="zh-CN"/>
        </w:rPr>
      </w:pPr>
      <w:r>
        <w:rPr>
          <w:rFonts w:hint="eastAsia" w:ascii="宋体" w:hAnsi="宋体" w:eastAsia="宋体" w:cs="宋体"/>
          <w:snapToGrid/>
          <w:color w:val="auto"/>
          <w:kern w:val="2"/>
          <w:szCs w:val="21"/>
          <w:highlight w:val="none"/>
          <w:lang w:eastAsia="en-US"/>
        </w:rPr>
        <w:t>(3)如果配件需要送修或更换，需要配合具体项目需求方用户登记故障配件的型号和</w:t>
      </w:r>
      <w:r>
        <w:rPr>
          <w:rFonts w:ascii="宋体" w:hAnsi="宋体" w:eastAsia="宋体" w:cs="宋体"/>
          <w:snapToGrid w:val="0"/>
          <w:color w:val="auto"/>
          <w:spacing w:val="-5"/>
          <w:kern w:val="0"/>
          <w:sz w:val="21"/>
          <w:szCs w:val="21"/>
          <w:highlight w:val="none"/>
          <w:lang w:eastAsia="en-US"/>
        </w:rPr>
        <w:t>产品序列号，并由用户签字记录后再送维修</w:t>
      </w:r>
      <w:r>
        <w:rPr>
          <w:rFonts w:hint="eastAsia" w:ascii="宋体" w:hAnsi="宋体" w:eastAsia="宋体" w:cs="宋体"/>
          <w:snapToGrid w:val="0"/>
          <w:color w:val="auto"/>
          <w:spacing w:val="-5"/>
          <w:kern w:val="0"/>
          <w:sz w:val="21"/>
          <w:szCs w:val="21"/>
          <w:highlight w:val="none"/>
          <w:lang w:eastAsia="zh-CN"/>
        </w:rPr>
        <w:t>。</w:t>
      </w:r>
    </w:p>
    <w:p w14:paraId="065FCA2B">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(4)如果机器送修，需要保护好磁盘等存储设备，先将用户数据备份好，再送维修。</w:t>
      </w:r>
    </w:p>
    <w:p w14:paraId="2D160FEE">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(5)如需更换配件，乙方须以书面形式出具设备故障原因及解决办法的函(加盖公司公章)给甲方，甲方确认后方可进行配件更换。</w:t>
      </w:r>
    </w:p>
    <w:p w14:paraId="0F9604CB">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(6)如果甲方委托乙方采购更换的零配件，每次更换应同时填写有关保修卡交用户方 保管，如部分零配件没有保修卡，也应出具乙方的维护期保证书，现统一所有的零配件保修期为不少于三个月，以方便用户方日后的维护工作。</w:t>
      </w:r>
    </w:p>
    <w:p w14:paraId="1E589EC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(7)乙方应建立季检制度：所有设备进行季度检查，记录设备状况，列出注意事项，并反馈给具体项目需求方。</w:t>
      </w:r>
    </w:p>
    <w:p w14:paraId="7E090BB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(8)设备维修结束后，乙方维修人员需向具体项目需求方出示服务维修单。服务维修单上需注明维修日期、维修人员、维修地点、故障、故障原因分析、修复结果等。</w:t>
      </w:r>
    </w:p>
    <w:p w14:paraId="5E50AB52">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(9)配件更换后，在非人为条件下，两个月内同一故障不得再次发生，否则乙方负责免费修复，直至具体项目需求方满意为止。</w:t>
      </w:r>
    </w:p>
    <w:p w14:paraId="285F935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(10)维护过程中，因乙方单方面造成的设备机件损坏，其费用由乙方承担。</w:t>
      </w:r>
    </w:p>
    <w:p w14:paraId="509B66D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en-US"/>
        </w:rPr>
        <w:t>(11)乙方须向用户提供项目负责人及维护人员的详细联系方式</w:t>
      </w:r>
      <w:r>
        <w:rPr>
          <w:rFonts w:hint="eastAsia" w:ascii="宋体" w:hAnsi="宋体" w:eastAsia="宋体" w:cs="宋体"/>
          <w:snapToGrid/>
          <w:color w:val="auto"/>
          <w:kern w:val="2"/>
          <w:szCs w:val="21"/>
          <w:highlight w:val="none"/>
          <w:lang w:eastAsia="zh-CN"/>
        </w:rPr>
        <w:t>。</w:t>
      </w:r>
    </w:p>
    <w:p w14:paraId="3123030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4、 响应类型要求：热线服务、驻场服务、派单服务、咨询服务。</w:t>
      </w:r>
    </w:p>
    <w:p w14:paraId="0339B1F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5、 服务类型要求：送修、现场、特殊服务要求(如购件、升级等)。</w:t>
      </w:r>
    </w:p>
    <w:p w14:paraId="1ABE2AA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6、维护统计：</w:t>
      </w:r>
    </w:p>
    <w:p w14:paraId="310348A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(1)现场维护确认表：工程师现场维护填写现场维护表，故障排除后由具体项目需求</w:t>
      </w:r>
    </w:p>
    <w:p w14:paraId="36400CE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方签名确认。</w:t>
      </w:r>
    </w:p>
    <w:p w14:paraId="43A4A80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(2)网络运行、故障分析报告和报表：乙方应每月统计、整理故障情况、运行报告、</w:t>
      </w:r>
    </w:p>
    <w:p w14:paraId="7442A80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故障分析报告，提交至甲方。</w:t>
      </w:r>
    </w:p>
    <w:p w14:paraId="2FADFE1D">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en-US"/>
        </w:rPr>
        <w:t>服务在交付甲方前发生的风险均由乙方负责</w:t>
      </w:r>
      <w:r>
        <w:rPr>
          <w:rFonts w:hint="eastAsia" w:ascii="宋体" w:hAnsi="宋体" w:eastAsia="宋体" w:cs="宋体"/>
          <w:snapToGrid/>
          <w:color w:val="auto"/>
          <w:kern w:val="2"/>
          <w:szCs w:val="21"/>
          <w:highlight w:val="none"/>
          <w:lang w:eastAsia="zh-CN"/>
        </w:rPr>
        <w:t>。</w:t>
      </w:r>
    </w:p>
    <w:p w14:paraId="33652ECD">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ascii="宋体" w:hAnsi="宋体" w:eastAsia="宋体" w:cs="宋体"/>
          <w:b/>
          <w:bCs/>
          <w:snapToGrid w:val="0"/>
          <w:color w:val="auto"/>
          <w:spacing w:val="5"/>
          <w:kern w:val="0"/>
          <w:sz w:val="21"/>
          <w:szCs w:val="21"/>
          <w:highlight w:val="none"/>
          <w:lang w:eastAsia="en-US"/>
        </w:rPr>
      </w:pPr>
      <w:r>
        <w:rPr>
          <w:rFonts w:ascii="宋体" w:hAnsi="宋体" w:eastAsia="宋体" w:cs="宋体"/>
          <w:b/>
          <w:bCs/>
          <w:snapToGrid w:val="0"/>
          <w:color w:val="auto"/>
          <w:spacing w:val="5"/>
          <w:kern w:val="0"/>
          <w:sz w:val="21"/>
          <w:szCs w:val="21"/>
          <w:highlight w:val="none"/>
          <w:lang w:eastAsia="en-US"/>
        </w:rPr>
        <w:t>第五条</w:t>
      </w:r>
      <w:r>
        <w:rPr>
          <w:rFonts w:ascii="宋体" w:hAnsi="宋体" w:eastAsia="宋体" w:cs="宋体"/>
          <w:snapToGrid w:val="0"/>
          <w:color w:val="auto"/>
          <w:spacing w:val="50"/>
          <w:kern w:val="0"/>
          <w:sz w:val="21"/>
          <w:szCs w:val="21"/>
          <w:highlight w:val="none"/>
          <w:lang w:eastAsia="en-US"/>
        </w:rPr>
        <w:t xml:space="preserve"> </w:t>
      </w:r>
      <w:r>
        <w:rPr>
          <w:rFonts w:ascii="宋体" w:hAnsi="宋体" w:eastAsia="宋体" w:cs="宋体"/>
          <w:b/>
          <w:bCs/>
          <w:snapToGrid w:val="0"/>
          <w:color w:val="auto"/>
          <w:spacing w:val="5"/>
          <w:kern w:val="0"/>
          <w:sz w:val="21"/>
          <w:szCs w:val="21"/>
          <w:highlight w:val="none"/>
          <w:lang w:eastAsia="en-US"/>
        </w:rPr>
        <w:t>交付</w:t>
      </w:r>
    </w:p>
    <w:p w14:paraId="348D303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交付时间： 按照实际工程具体要求 ;交付地点：  按照实际工程具体要求_。</w:t>
      </w:r>
    </w:p>
    <w:p w14:paraId="00B0C2E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乙方提供不符合谈判文件、响应文件和本合同规定的服务，甲方有权拒绝接受。</w:t>
      </w:r>
    </w:p>
    <w:p w14:paraId="3D0B9834">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ascii="宋体" w:hAnsi="宋体" w:eastAsia="宋体" w:cs="宋体"/>
          <w:b/>
          <w:bCs/>
          <w:snapToGrid w:val="0"/>
          <w:color w:val="auto"/>
          <w:spacing w:val="5"/>
          <w:kern w:val="0"/>
          <w:sz w:val="21"/>
          <w:szCs w:val="21"/>
          <w:highlight w:val="none"/>
          <w:lang w:eastAsia="en-US"/>
        </w:rPr>
      </w:pPr>
      <w:r>
        <w:rPr>
          <w:rFonts w:ascii="宋体" w:hAnsi="宋体" w:eastAsia="宋体" w:cs="宋体"/>
          <w:b/>
          <w:bCs/>
          <w:snapToGrid w:val="0"/>
          <w:color w:val="auto"/>
          <w:spacing w:val="5"/>
          <w:kern w:val="0"/>
          <w:sz w:val="21"/>
          <w:szCs w:val="21"/>
          <w:highlight w:val="none"/>
          <w:lang w:eastAsia="en-US"/>
        </w:rPr>
        <w:t>第六条 售后服务</w:t>
      </w:r>
    </w:p>
    <w:p w14:paraId="78556830">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乙方应按照国家有关法律规定和“三包”规定以及响应文件和本合同所附的《服务</w:t>
      </w:r>
    </w:p>
    <w:p w14:paraId="7ECCDDA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承诺》,为甲方提供售后服务。</w:t>
      </w:r>
    </w:p>
    <w:p w14:paraId="5F9AD94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如在使用过程中发生质量问题，乙方在接到甲方通知后在响应文件承诺的时间内到</w:t>
      </w:r>
    </w:p>
    <w:p w14:paraId="37DE618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达甲方现场处理。</w:t>
      </w:r>
    </w:p>
    <w:p w14:paraId="077998C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在服务期内，乙方应对服务出现的质量及安全问题负责处理解决并承担一切费用。</w:t>
      </w:r>
    </w:p>
    <w:p w14:paraId="32B52E8B">
      <w:pPr>
        <w:widowControl/>
        <w:kinsoku w:val="0"/>
        <w:autoSpaceDE w:val="0"/>
        <w:autoSpaceDN w:val="0"/>
        <w:adjustRightInd w:val="0"/>
        <w:snapToGrid w:val="0"/>
        <w:spacing w:before="158" w:line="219" w:lineRule="auto"/>
        <w:jc w:val="left"/>
        <w:textAlignment w:val="baseline"/>
        <w:rPr>
          <w:rFonts w:ascii="宋体" w:hAnsi="宋体" w:eastAsia="宋体" w:cs="宋体"/>
          <w:snapToGrid w:val="0"/>
          <w:color w:val="auto"/>
          <w:kern w:val="0"/>
          <w:sz w:val="21"/>
          <w:szCs w:val="21"/>
          <w:highlight w:val="none"/>
          <w:lang w:eastAsia="en-US"/>
        </w:rPr>
      </w:pPr>
      <w:r>
        <w:rPr>
          <w:rFonts w:ascii="宋体" w:hAnsi="宋体" w:eastAsia="宋体" w:cs="宋体"/>
          <w:b/>
          <w:bCs/>
          <w:snapToGrid w:val="0"/>
          <w:color w:val="auto"/>
          <w:spacing w:val="6"/>
          <w:kern w:val="0"/>
          <w:sz w:val="21"/>
          <w:szCs w:val="21"/>
          <w:highlight w:val="none"/>
          <w:lang w:eastAsia="en-US"/>
        </w:rPr>
        <w:t>第七条</w:t>
      </w:r>
      <w:r>
        <w:rPr>
          <w:rFonts w:ascii="宋体" w:hAnsi="宋体" w:eastAsia="宋体" w:cs="宋体"/>
          <w:snapToGrid w:val="0"/>
          <w:color w:val="auto"/>
          <w:spacing w:val="49"/>
          <w:kern w:val="0"/>
          <w:sz w:val="21"/>
          <w:szCs w:val="21"/>
          <w:highlight w:val="none"/>
          <w:lang w:eastAsia="en-US"/>
        </w:rPr>
        <w:t xml:space="preserve"> </w:t>
      </w:r>
      <w:r>
        <w:rPr>
          <w:rFonts w:ascii="宋体" w:hAnsi="宋体" w:eastAsia="宋体" w:cs="宋体"/>
          <w:b/>
          <w:bCs/>
          <w:snapToGrid w:val="0"/>
          <w:color w:val="auto"/>
          <w:spacing w:val="6"/>
          <w:kern w:val="0"/>
          <w:sz w:val="21"/>
          <w:szCs w:val="21"/>
          <w:highlight w:val="none"/>
          <w:lang w:eastAsia="en-US"/>
        </w:rPr>
        <w:t>税费</w:t>
      </w:r>
    </w:p>
    <w:p w14:paraId="55296B4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en-US"/>
        </w:rPr>
        <w:t>本合同执行中相关的一切税费均由乙方负担</w:t>
      </w:r>
      <w:r>
        <w:rPr>
          <w:rFonts w:hint="eastAsia" w:ascii="宋体" w:hAnsi="宋体" w:eastAsia="宋体" w:cs="宋体"/>
          <w:snapToGrid/>
          <w:color w:val="auto"/>
          <w:kern w:val="2"/>
          <w:szCs w:val="21"/>
          <w:highlight w:val="none"/>
          <w:lang w:eastAsia="zh-CN"/>
        </w:rPr>
        <w:t>。</w:t>
      </w:r>
    </w:p>
    <w:p w14:paraId="78039F3E">
      <w:pPr>
        <w:widowControl/>
        <w:kinsoku w:val="0"/>
        <w:autoSpaceDE w:val="0"/>
        <w:autoSpaceDN w:val="0"/>
        <w:adjustRightInd w:val="0"/>
        <w:snapToGrid w:val="0"/>
        <w:spacing w:before="158" w:line="219" w:lineRule="auto"/>
        <w:jc w:val="left"/>
        <w:textAlignment w:val="baseline"/>
        <w:rPr>
          <w:rFonts w:ascii="宋体" w:hAnsi="宋体" w:eastAsia="宋体" w:cs="宋体"/>
          <w:b/>
          <w:bCs/>
          <w:snapToGrid w:val="0"/>
          <w:color w:val="auto"/>
          <w:spacing w:val="6"/>
          <w:kern w:val="0"/>
          <w:sz w:val="21"/>
          <w:szCs w:val="21"/>
          <w:highlight w:val="none"/>
          <w:lang w:eastAsia="en-US"/>
        </w:rPr>
      </w:pPr>
      <w:r>
        <w:rPr>
          <w:rFonts w:ascii="宋体" w:hAnsi="宋体" w:eastAsia="宋体" w:cs="宋体"/>
          <w:b/>
          <w:bCs/>
          <w:snapToGrid w:val="0"/>
          <w:color w:val="auto"/>
          <w:spacing w:val="6"/>
          <w:kern w:val="0"/>
          <w:sz w:val="21"/>
          <w:szCs w:val="21"/>
          <w:highlight w:val="none"/>
          <w:lang w:eastAsia="en-US"/>
        </w:rPr>
        <w:t>第八条 付款方式</w:t>
      </w:r>
    </w:p>
    <w:p w14:paraId="60598D13">
      <w:pPr>
        <w:keepNext w:val="0"/>
        <w:keepLines w:val="0"/>
        <w:pageBreakBefore w:val="0"/>
        <w:widowControl w:val="0"/>
        <w:kinsoku/>
        <w:wordWrap/>
        <w:overflowPunct/>
        <w:topLinePunct w:val="0"/>
        <w:autoSpaceDE/>
        <w:autoSpaceDN/>
        <w:bidi w:val="0"/>
        <w:adjustRightInd/>
        <w:snapToGrid/>
        <w:spacing w:line="380" w:lineRule="exact"/>
        <w:ind w:firstLine="396" w:firstLineChars="200"/>
        <w:jc w:val="both"/>
        <w:textAlignment w:val="auto"/>
        <w:rPr>
          <w:rFonts w:hint="eastAsia" w:ascii="宋体" w:hAnsi="宋体" w:eastAsia="宋体" w:cs="宋体"/>
          <w:snapToGrid w:val="0"/>
          <w:color w:val="auto"/>
          <w:spacing w:val="-6"/>
          <w:kern w:val="0"/>
          <w:sz w:val="21"/>
          <w:szCs w:val="21"/>
          <w:highlight w:val="none"/>
          <w:lang w:eastAsia="zh-CN"/>
        </w:rPr>
      </w:pPr>
      <w:r>
        <w:rPr>
          <w:rFonts w:ascii="宋体" w:hAnsi="宋体" w:eastAsia="宋体" w:cs="宋体"/>
          <w:snapToGrid w:val="0"/>
          <w:color w:val="auto"/>
          <w:spacing w:val="-6"/>
          <w:kern w:val="0"/>
          <w:sz w:val="21"/>
          <w:szCs w:val="21"/>
          <w:highlight w:val="none"/>
          <w:lang w:eastAsia="en-US"/>
        </w:rPr>
        <w:t>按每个项目的实际合同金额支付</w:t>
      </w:r>
      <w:r>
        <w:rPr>
          <w:rFonts w:hint="eastAsia" w:ascii="宋体" w:hAnsi="宋体" w:eastAsia="宋体" w:cs="宋体"/>
          <w:snapToGrid w:val="0"/>
          <w:color w:val="auto"/>
          <w:spacing w:val="-6"/>
          <w:kern w:val="0"/>
          <w:sz w:val="21"/>
          <w:szCs w:val="21"/>
          <w:highlight w:val="none"/>
          <w:lang w:eastAsia="zh-CN"/>
        </w:rPr>
        <w:t>。</w:t>
      </w:r>
    </w:p>
    <w:p w14:paraId="365498C6">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ascii="宋体" w:hAnsi="宋体" w:eastAsia="宋体" w:cs="宋体"/>
          <w:b/>
          <w:bCs/>
          <w:snapToGrid w:val="0"/>
          <w:color w:val="auto"/>
          <w:spacing w:val="2"/>
          <w:kern w:val="0"/>
          <w:sz w:val="21"/>
          <w:szCs w:val="21"/>
          <w:highlight w:val="none"/>
          <w:lang w:eastAsia="en-US"/>
        </w:rPr>
      </w:pPr>
      <w:r>
        <w:rPr>
          <w:rFonts w:ascii="宋体" w:hAnsi="宋体" w:eastAsia="宋体" w:cs="宋体"/>
          <w:b/>
          <w:bCs/>
          <w:snapToGrid w:val="0"/>
          <w:color w:val="auto"/>
          <w:spacing w:val="2"/>
          <w:kern w:val="0"/>
          <w:sz w:val="21"/>
          <w:szCs w:val="21"/>
          <w:highlight w:val="none"/>
          <w:lang w:eastAsia="en-US"/>
        </w:rPr>
        <w:t>第九条</w:t>
      </w:r>
      <w:r>
        <w:rPr>
          <w:rFonts w:ascii="宋体" w:hAnsi="宋体" w:eastAsia="宋体" w:cs="宋体"/>
          <w:snapToGrid w:val="0"/>
          <w:color w:val="auto"/>
          <w:spacing w:val="27"/>
          <w:kern w:val="0"/>
          <w:sz w:val="21"/>
          <w:szCs w:val="21"/>
          <w:highlight w:val="none"/>
          <w:lang w:eastAsia="en-US"/>
        </w:rPr>
        <w:t xml:space="preserve"> </w:t>
      </w:r>
      <w:r>
        <w:rPr>
          <w:rFonts w:ascii="宋体" w:hAnsi="宋体" w:eastAsia="宋体" w:cs="宋体"/>
          <w:b/>
          <w:bCs/>
          <w:snapToGrid w:val="0"/>
          <w:color w:val="auto"/>
          <w:spacing w:val="2"/>
          <w:kern w:val="0"/>
          <w:sz w:val="21"/>
          <w:szCs w:val="21"/>
          <w:highlight w:val="none"/>
          <w:lang w:eastAsia="en-US"/>
        </w:rPr>
        <w:t>违约责任</w:t>
      </w:r>
    </w:p>
    <w:p w14:paraId="4FE98DF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乙方所提供的服务需求、服务范围等质量不合格的，应及时更换，更换不及时的按逾期交货处罚，乙方应向甲方支付合同金额 5  %违约金并赔偿甲方经济损失。</w:t>
      </w:r>
    </w:p>
    <w:p w14:paraId="02A4128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乙方提供的服务过程如果侵犯了第三方合法权益而引发的任何纠纷或诉讼，均由乙方负责交涉并承担全部责任。</w:t>
      </w:r>
    </w:p>
    <w:p w14:paraId="2464482B">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甲方无故延期接收服务、乙方逾期服务的，每天向对方偿付违约货款额 3 % 违约金但违约金累计不得超过违约货款额5%,超过10天对方有权解除合同，违约方承担因此给对 方造成经济损失；甲方延期付货款的，每天向乙方偿付延期货款额3%滞纳金，但滞纳金累计不得超过延期货款额5%。</w:t>
      </w:r>
    </w:p>
    <w:p w14:paraId="4F7C5C4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5. 乙方未按本合同和响应文件中规定的服务承诺提供售后服务的，乙方应按本合同合同金额  5%向甲方支付违约金。</w:t>
      </w:r>
    </w:p>
    <w:p w14:paraId="21A35EA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6. 乙方提供的服务期内，因设计、工艺或材料的缺陷和其他质量原因造成的问题，由乙方负责，费用从质量保证金中扣除，不足另补。</w:t>
      </w:r>
    </w:p>
    <w:p w14:paraId="5D5A6CA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7. 其他违约行为按违约货款额</w:t>
      </w:r>
      <w:r>
        <w:rPr>
          <w:rFonts w:hint="eastAsia" w:ascii="宋体" w:hAnsi="宋体" w:eastAsia="宋体" w:cs="宋体"/>
          <w:snapToGrid/>
          <w:color w:val="auto"/>
          <w:kern w:val="2"/>
          <w:szCs w:val="21"/>
          <w:highlight w:val="none"/>
          <w:u w:val="single"/>
          <w:lang w:eastAsia="en-US"/>
        </w:rPr>
        <w:t xml:space="preserve">   5  </w:t>
      </w:r>
      <w:r>
        <w:rPr>
          <w:rFonts w:hint="eastAsia" w:ascii="宋体" w:hAnsi="宋体" w:eastAsia="宋体" w:cs="宋体"/>
          <w:snapToGrid/>
          <w:color w:val="auto"/>
          <w:kern w:val="2"/>
          <w:szCs w:val="21"/>
          <w:highlight w:val="none"/>
          <w:lang w:eastAsia="en-US"/>
        </w:rPr>
        <w:t>%收取违约金并赔偿经济损失。</w:t>
      </w:r>
    </w:p>
    <w:p w14:paraId="0166BBBB">
      <w:pPr>
        <w:widowControl/>
        <w:kinsoku w:val="0"/>
        <w:autoSpaceDE w:val="0"/>
        <w:autoSpaceDN w:val="0"/>
        <w:adjustRightInd w:val="0"/>
        <w:snapToGrid w:val="0"/>
        <w:spacing w:before="179" w:line="219" w:lineRule="auto"/>
        <w:jc w:val="left"/>
        <w:textAlignment w:val="baseline"/>
        <w:rPr>
          <w:rFonts w:ascii="宋体" w:hAnsi="宋体" w:eastAsia="宋体" w:cs="宋体"/>
          <w:snapToGrid w:val="0"/>
          <w:color w:val="auto"/>
          <w:kern w:val="0"/>
          <w:sz w:val="21"/>
          <w:szCs w:val="21"/>
          <w:highlight w:val="none"/>
          <w:lang w:eastAsia="en-US"/>
        </w:rPr>
      </w:pPr>
      <w:r>
        <w:rPr>
          <w:rFonts w:ascii="宋体" w:hAnsi="宋体" w:eastAsia="宋体" w:cs="宋体"/>
          <w:b/>
          <w:bCs/>
          <w:snapToGrid w:val="0"/>
          <w:color w:val="auto"/>
          <w:spacing w:val="12"/>
          <w:kern w:val="0"/>
          <w:sz w:val="21"/>
          <w:szCs w:val="21"/>
          <w:highlight w:val="none"/>
          <w:lang w:eastAsia="en-US"/>
        </w:rPr>
        <w:t>第十二条不可抗力事件处理</w:t>
      </w:r>
    </w:p>
    <w:p w14:paraId="7DB4B1D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在合同有效期内，乙方因不可抗力事件导致不能履行合同，则合同履行期可延长，其延长期与不可抗力影响期相同。</w:t>
      </w:r>
    </w:p>
    <w:p w14:paraId="2A2648C8">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不可抗力事件发生后，应立即通知对方，并寄送有关权威机构出具的证明。</w:t>
      </w:r>
    </w:p>
    <w:p w14:paraId="645ACFBF">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en-US"/>
        </w:rPr>
        <w:t>3. 不可抗力事件延续一百二十天以上，双方应通过友好协商，确定是否继续履行合同</w:t>
      </w:r>
      <w:r>
        <w:rPr>
          <w:rFonts w:hint="eastAsia" w:ascii="宋体" w:hAnsi="宋体" w:eastAsia="宋体" w:cs="宋体"/>
          <w:snapToGrid/>
          <w:color w:val="auto"/>
          <w:kern w:val="2"/>
          <w:szCs w:val="21"/>
          <w:highlight w:val="none"/>
          <w:lang w:eastAsia="zh-CN"/>
        </w:rPr>
        <w:t>。</w:t>
      </w:r>
    </w:p>
    <w:p w14:paraId="3A333F2B">
      <w:pPr>
        <w:widowControl/>
        <w:kinsoku w:val="0"/>
        <w:autoSpaceDE w:val="0"/>
        <w:autoSpaceDN w:val="0"/>
        <w:adjustRightInd w:val="0"/>
        <w:snapToGrid w:val="0"/>
        <w:spacing w:before="158" w:line="219" w:lineRule="auto"/>
        <w:jc w:val="left"/>
        <w:textAlignment w:val="baseline"/>
        <w:rPr>
          <w:rFonts w:ascii="宋体" w:hAnsi="宋体" w:eastAsia="宋体" w:cs="宋体"/>
          <w:snapToGrid w:val="0"/>
          <w:color w:val="auto"/>
          <w:kern w:val="0"/>
          <w:sz w:val="21"/>
          <w:szCs w:val="21"/>
          <w:highlight w:val="none"/>
          <w:lang w:eastAsia="en-US"/>
        </w:rPr>
      </w:pPr>
      <w:r>
        <w:rPr>
          <w:rFonts w:ascii="宋体" w:hAnsi="宋体" w:eastAsia="宋体" w:cs="宋体"/>
          <w:b/>
          <w:bCs/>
          <w:snapToGrid w:val="0"/>
          <w:color w:val="auto"/>
          <w:spacing w:val="-4"/>
          <w:kern w:val="0"/>
          <w:sz w:val="21"/>
          <w:szCs w:val="21"/>
          <w:highlight w:val="none"/>
          <w:lang w:eastAsia="en-US"/>
        </w:rPr>
        <w:t>第十三条</w:t>
      </w:r>
      <w:r>
        <w:rPr>
          <w:rFonts w:ascii="宋体" w:hAnsi="宋体" w:eastAsia="宋体" w:cs="宋体"/>
          <w:snapToGrid w:val="0"/>
          <w:color w:val="auto"/>
          <w:spacing w:val="104"/>
          <w:kern w:val="0"/>
          <w:sz w:val="21"/>
          <w:szCs w:val="21"/>
          <w:highlight w:val="none"/>
          <w:lang w:eastAsia="en-US"/>
        </w:rPr>
        <w:t xml:space="preserve"> </w:t>
      </w:r>
      <w:r>
        <w:rPr>
          <w:rFonts w:ascii="宋体" w:hAnsi="宋体" w:eastAsia="宋体" w:cs="宋体"/>
          <w:b/>
          <w:bCs/>
          <w:snapToGrid w:val="0"/>
          <w:color w:val="auto"/>
          <w:spacing w:val="-4"/>
          <w:kern w:val="0"/>
          <w:sz w:val="21"/>
          <w:szCs w:val="21"/>
          <w:highlight w:val="none"/>
          <w:lang w:eastAsia="en-US"/>
        </w:rPr>
        <w:t>合同争议解决</w:t>
      </w:r>
    </w:p>
    <w:p w14:paraId="575088D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因服务质量问题发生争议的，应邀请国家认可的质量检测机构对货物质量进行鉴定。服务符合标准的，鉴定费由甲方承担；服务不符合标准的，鉴定费由乙方承担。</w:t>
      </w:r>
    </w:p>
    <w:p w14:paraId="7E62B47D">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因履行本合同引起的或与本合同有关的争议，甲乙双方应首先通过友好协商解决，如果协商不能解决，可向象山区仲裁委员会申请仲裁或向象山区人民法院提起诉讼。</w:t>
      </w:r>
    </w:p>
    <w:p w14:paraId="6F358F3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诉讼期间，本合同继续履行。</w:t>
      </w:r>
    </w:p>
    <w:p w14:paraId="543C584E">
      <w:pPr>
        <w:widowControl/>
        <w:kinsoku w:val="0"/>
        <w:autoSpaceDE w:val="0"/>
        <w:autoSpaceDN w:val="0"/>
        <w:adjustRightInd w:val="0"/>
        <w:snapToGrid w:val="0"/>
        <w:spacing w:before="150" w:line="219" w:lineRule="auto"/>
        <w:jc w:val="left"/>
        <w:textAlignment w:val="baseline"/>
        <w:rPr>
          <w:rFonts w:ascii="宋体" w:hAnsi="宋体" w:eastAsia="宋体" w:cs="宋体"/>
          <w:snapToGrid w:val="0"/>
          <w:color w:val="auto"/>
          <w:kern w:val="0"/>
          <w:sz w:val="21"/>
          <w:szCs w:val="21"/>
          <w:highlight w:val="none"/>
          <w:lang w:eastAsia="en-US"/>
        </w:rPr>
      </w:pPr>
      <w:r>
        <w:rPr>
          <w:rFonts w:ascii="宋体" w:hAnsi="宋体" w:eastAsia="宋体" w:cs="宋体"/>
          <w:b/>
          <w:bCs/>
          <w:snapToGrid w:val="0"/>
          <w:color w:val="auto"/>
          <w:spacing w:val="1"/>
          <w:kern w:val="0"/>
          <w:sz w:val="21"/>
          <w:szCs w:val="21"/>
          <w:highlight w:val="none"/>
          <w:lang w:eastAsia="en-US"/>
        </w:rPr>
        <w:t>第十四条</w:t>
      </w:r>
      <w:r>
        <w:rPr>
          <w:rFonts w:ascii="宋体" w:hAnsi="宋体" w:eastAsia="宋体" w:cs="宋体"/>
          <w:snapToGrid w:val="0"/>
          <w:color w:val="auto"/>
          <w:spacing w:val="1"/>
          <w:kern w:val="0"/>
          <w:sz w:val="21"/>
          <w:szCs w:val="21"/>
          <w:highlight w:val="none"/>
          <w:lang w:eastAsia="en-US"/>
        </w:rPr>
        <w:t xml:space="preserve"> </w:t>
      </w:r>
      <w:r>
        <w:rPr>
          <w:rFonts w:ascii="宋体" w:hAnsi="宋体" w:eastAsia="宋体" w:cs="宋体"/>
          <w:b/>
          <w:bCs/>
          <w:snapToGrid w:val="0"/>
          <w:color w:val="auto"/>
          <w:spacing w:val="1"/>
          <w:kern w:val="0"/>
          <w:sz w:val="21"/>
          <w:szCs w:val="21"/>
          <w:highlight w:val="none"/>
          <w:lang w:eastAsia="en-US"/>
        </w:rPr>
        <w:t>合同生效及其它</w:t>
      </w:r>
    </w:p>
    <w:p w14:paraId="413FA53A">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合同经甲乙双方法定代表人、负责人、自然人或相应的授权代表签字并加盖单位公章后生效。</w:t>
      </w:r>
    </w:p>
    <w:p w14:paraId="5FC8626C">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合同执行中涉及采购资金和采购内容修改或补充的，需经桂林市象山区财政部门审 批，并签订书面补充协议报桂林市象山区政府采购办公室，方可作为主合同不可分割的一部分。</w:t>
      </w:r>
    </w:p>
    <w:p w14:paraId="1537F34F">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本合同未尽事宜，遵照《</w:t>
      </w:r>
      <w:r>
        <w:rPr>
          <w:rFonts w:hint="eastAsia" w:ascii="宋体" w:hAnsi="宋体" w:eastAsia="宋体" w:cs="宋体"/>
          <w:snapToGrid/>
          <w:color w:val="auto"/>
          <w:kern w:val="2"/>
          <w:szCs w:val="21"/>
          <w:highlight w:val="none"/>
          <w:lang w:eastAsia="zh-CN"/>
        </w:rPr>
        <w:t>民法典</w:t>
      </w:r>
      <w:r>
        <w:rPr>
          <w:rFonts w:hint="eastAsia" w:ascii="宋体" w:hAnsi="宋体" w:eastAsia="宋体" w:cs="宋体"/>
          <w:snapToGrid/>
          <w:color w:val="auto"/>
          <w:kern w:val="2"/>
          <w:szCs w:val="21"/>
          <w:highlight w:val="none"/>
          <w:lang w:eastAsia="en-US"/>
        </w:rPr>
        <w:t>》有关条文执行。</w:t>
      </w:r>
    </w:p>
    <w:p w14:paraId="46EB2467">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ascii="宋体" w:hAnsi="宋体" w:eastAsia="宋体" w:cs="宋体"/>
          <w:b/>
          <w:bCs/>
          <w:snapToGrid w:val="0"/>
          <w:color w:val="auto"/>
          <w:spacing w:val="-6"/>
          <w:kern w:val="0"/>
          <w:sz w:val="21"/>
          <w:szCs w:val="21"/>
          <w:highlight w:val="none"/>
          <w:lang w:eastAsia="en-US"/>
        </w:rPr>
      </w:pPr>
      <w:r>
        <w:rPr>
          <w:rFonts w:ascii="宋体" w:hAnsi="宋体" w:eastAsia="宋体" w:cs="宋体"/>
          <w:b/>
          <w:bCs/>
          <w:snapToGrid w:val="0"/>
          <w:color w:val="auto"/>
          <w:spacing w:val="-6"/>
          <w:kern w:val="0"/>
          <w:sz w:val="21"/>
          <w:szCs w:val="21"/>
          <w:highlight w:val="none"/>
          <w:lang w:eastAsia="en-US"/>
        </w:rPr>
        <w:t>第十五条</w:t>
      </w:r>
      <w:r>
        <w:rPr>
          <w:rFonts w:ascii="宋体" w:hAnsi="宋体" w:eastAsia="宋体" w:cs="宋体"/>
          <w:snapToGrid w:val="0"/>
          <w:color w:val="auto"/>
          <w:spacing w:val="-6"/>
          <w:kern w:val="0"/>
          <w:sz w:val="21"/>
          <w:szCs w:val="21"/>
          <w:highlight w:val="none"/>
          <w:lang w:eastAsia="en-US"/>
        </w:rPr>
        <w:t xml:space="preserve">  </w:t>
      </w:r>
      <w:r>
        <w:rPr>
          <w:rFonts w:ascii="宋体" w:hAnsi="宋体" w:eastAsia="宋体" w:cs="宋体"/>
          <w:b/>
          <w:bCs/>
          <w:snapToGrid w:val="0"/>
          <w:color w:val="auto"/>
          <w:spacing w:val="-6"/>
          <w:kern w:val="0"/>
          <w:sz w:val="21"/>
          <w:szCs w:val="21"/>
          <w:highlight w:val="none"/>
          <w:lang w:eastAsia="en-US"/>
        </w:rPr>
        <w:t>合同的变更、终止与转让</w:t>
      </w:r>
    </w:p>
    <w:p w14:paraId="77A4B8B2">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除《中华人民共和国政府采购法》第五十条规定的情形外，本合同一经签订，甲乙</w:t>
      </w:r>
    </w:p>
    <w:p w14:paraId="0C767505">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双方不得擅自变更，中止或终止。</w:t>
      </w:r>
    </w:p>
    <w:p w14:paraId="4292F063">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乙方不得擅自转让其应履行的合同义务。</w:t>
      </w:r>
    </w:p>
    <w:p w14:paraId="0FCB5911">
      <w:pPr>
        <w:widowControl/>
        <w:kinsoku w:val="0"/>
        <w:autoSpaceDE w:val="0"/>
        <w:autoSpaceDN w:val="0"/>
        <w:adjustRightInd w:val="0"/>
        <w:snapToGrid w:val="0"/>
        <w:spacing w:before="146" w:line="219" w:lineRule="auto"/>
        <w:jc w:val="left"/>
        <w:textAlignment w:val="baseline"/>
        <w:rPr>
          <w:rFonts w:ascii="宋体" w:hAnsi="宋体" w:eastAsia="宋体" w:cs="宋体"/>
          <w:snapToGrid w:val="0"/>
          <w:color w:val="auto"/>
          <w:kern w:val="0"/>
          <w:sz w:val="21"/>
          <w:szCs w:val="21"/>
          <w:highlight w:val="none"/>
          <w:lang w:eastAsia="en-US"/>
        </w:rPr>
      </w:pPr>
      <w:r>
        <w:rPr>
          <w:rFonts w:ascii="宋体" w:hAnsi="宋体" w:eastAsia="宋体" w:cs="宋体"/>
          <w:b/>
          <w:bCs/>
          <w:snapToGrid w:val="0"/>
          <w:color w:val="auto"/>
          <w:spacing w:val="-3"/>
          <w:kern w:val="0"/>
          <w:sz w:val="21"/>
          <w:szCs w:val="21"/>
          <w:highlight w:val="none"/>
          <w:lang w:eastAsia="en-US"/>
        </w:rPr>
        <w:t>第十六条</w:t>
      </w:r>
      <w:r>
        <w:rPr>
          <w:rFonts w:ascii="宋体" w:hAnsi="宋体" w:eastAsia="宋体" w:cs="宋体"/>
          <w:snapToGrid w:val="0"/>
          <w:color w:val="auto"/>
          <w:spacing w:val="-3"/>
          <w:kern w:val="0"/>
          <w:sz w:val="21"/>
          <w:szCs w:val="21"/>
          <w:highlight w:val="none"/>
          <w:lang w:eastAsia="en-US"/>
        </w:rPr>
        <w:t xml:space="preserve"> </w:t>
      </w:r>
      <w:r>
        <w:rPr>
          <w:rFonts w:ascii="宋体" w:hAnsi="宋体" w:eastAsia="宋体" w:cs="宋体"/>
          <w:b/>
          <w:bCs/>
          <w:snapToGrid w:val="0"/>
          <w:color w:val="auto"/>
          <w:spacing w:val="-3"/>
          <w:kern w:val="0"/>
          <w:sz w:val="21"/>
          <w:szCs w:val="21"/>
          <w:highlight w:val="none"/>
          <w:lang w:eastAsia="en-US"/>
        </w:rPr>
        <w:t>签订本合同依据：</w:t>
      </w:r>
    </w:p>
    <w:p w14:paraId="5CD75CF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1. 采购文件；</w:t>
      </w:r>
    </w:p>
    <w:p w14:paraId="07BCF856">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2. 乙方提供的投标文件；</w:t>
      </w:r>
    </w:p>
    <w:p w14:paraId="2424FFE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3. 服务承诺；</w:t>
      </w:r>
    </w:p>
    <w:p w14:paraId="2E77D8E7">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en-US"/>
        </w:rPr>
      </w:pPr>
      <w:r>
        <w:rPr>
          <w:rFonts w:hint="eastAsia" w:ascii="宋体" w:hAnsi="宋体" w:eastAsia="宋体" w:cs="宋体"/>
          <w:snapToGrid/>
          <w:color w:val="auto"/>
          <w:kern w:val="2"/>
          <w:szCs w:val="21"/>
          <w:highlight w:val="none"/>
          <w:lang w:eastAsia="en-US"/>
        </w:rPr>
        <w:t>4. 中标通知书。</w:t>
      </w:r>
    </w:p>
    <w:p w14:paraId="07ACCFA7">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eastAsia="宋体" w:cs="宋体"/>
          <w:snapToGrid/>
          <w:color w:val="auto"/>
          <w:kern w:val="2"/>
          <w:szCs w:val="21"/>
          <w:highlight w:val="none"/>
          <w:lang w:eastAsia="zh-CN"/>
        </w:rPr>
      </w:pPr>
      <w:r>
        <w:rPr>
          <w:rFonts w:hint="eastAsia" w:ascii="宋体" w:hAnsi="宋体" w:eastAsia="宋体" w:cs="宋体"/>
          <w:snapToGrid/>
          <w:color w:val="auto"/>
          <w:kern w:val="2"/>
          <w:szCs w:val="21"/>
          <w:highlight w:val="none"/>
          <w:lang w:eastAsia="en-US"/>
        </w:rPr>
        <w:t>本合同甲乙双方签字盖章后生效， 一式四份，具有同等法律效力，甲、乙双方各一份。 政府采购合同双方自签订之日起1个工作日内将合同原件两份交采购代理机构。采购代理机构将政府采购合同在省级以上人民政府财政部门指定媒体上公告并于合同签订之日起7个工作日内将一俗合同塬件送</w:t>
      </w:r>
      <w:r>
        <w:rPr>
          <w:rFonts w:hint="eastAsia" w:ascii="宋体" w:hAnsi="宋体" w:cs="宋体"/>
          <w:color w:val="auto"/>
          <w:szCs w:val="21"/>
          <w:highlight w:val="none"/>
          <w:lang w:eastAsia="zh-CN"/>
        </w:rPr>
        <w:t>桂林市财政局</w:t>
      </w:r>
      <w:r>
        <w:rPr>
          <w:rFonts w:hint="eastAsia" w:ascii="宋体" w:hAnsi="宋体" w:eastAsia="宋体" w:cs="宋体"/>
          <w:snapToGrid/>
          <w:color w:val="auto"/>
          <w:kern w:val="2"/>
          <w:szCs w:val="21"/>
          <w:highlight w:val="none"/>
          <w:lang w:eastAsia="en-US"/>
        </w:rPr>
        <w:t>， 一份由采购代理机构存</w:t>
      </w:r>
      <w:r>
        <w:rPr>
          <w:rFonts w:hint="eastAsia" w:ascii="宋体" w:hAnsi="宋体" w:eastAsia="宋体" w:cs="宋体"/>
          <w:snapToGrid/>
          <w:color w:val="auto"/>
          <w:kern w:val="2"/>
          <w:szCs w:val="21"/>
          <w:highlight w:val="none"/>
          <w:lang w:eastAsia="zh-CN"/>
        </w:rPr>
        <w:t>档。</w:t>
      </w:r>
    </w:p>
    <w:p w14:paraId="55F2FF34">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both"/>
        <w:textAlignment w:val="auto"/>
        <w:rPr>
          <w:rFonts w:hint="eastAsia" w:ascii="宋体" w:hAnsi="宋体" w:eastAsia="宋体" w:cs="宋体"/>
          <w:snapToGrid/>
          <w:color w:val="auto"/>
          <w:kern w:val="2"/>
          <w:szCs w:val="21"/>
          <w:highlight w:val="none"/>
          <w:lang w:eastAsia="zh-CN"/>
        </w:rPr>
      </w:pPr>
    </w:p>
    <w:p w14:paraId="04242D3B">
      <w:pPr>
        <w:keepNext w:val="0"/>
        <w:keepLines w:val="0"/>
        <w:pageBreakBefore w:val="0"/>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甲方（公章）：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乙方（公章）：</w:t>
      </w:r>
      <w:r>
        <w:rPr>
          <w:rFonts w:hint="eastAsia" w:ascii="宋体" w:hAnsi="宋体" w:eastAsia="宋体" w:cs="宋体"/>
          <w:color w:val="auto"/>
          <w:szCs w:val="21"/>
          <w:highlight w:val="none"/>
          <w:u w:val="single"/>
        </w:rPr>
        <w:t xml:space="preserve">                           </w:t>
      </w:r>
    </w:p>
    <w:p w14:paraId="3F3DBD4A">
      <w:pPr>
        <w:keepNext w:val="0"/>
        <w:keepLines w:val="0"/>
        <w:pageBreakBefore w:val="0"/>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法定代表人：</w:t>
      </w:r>
      <w:r>
        <w:rPr>
          <w:rFonts w:hint="eastAsia" w:ascii="宋体" w:hAnsi="宋体" w:eastAsia="宋体" w:cs="宋体"/>
          <w:color w:val="auto"/>
          <w:szCs w:val="21"/>
          <w:highlight w:val="none"/>
          <w:u w:val="single"/>
        </w:rPr>
        <w:t xml:space="preserve">                                 </w:t>
      </w:r>
    </w:p>
    <w:p w14:paraId="4C5B4125">
      <w:pPr>
        <w:keepNext w:val="0"/>
        <w:keepLines w:val="0"/>
        <w:pageBreakBefore w:val="0"/>
        <w:tabs>
          <w:tab w:val="left" w:pos="4680"/>
        </w:tabs>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p>
    <w:p w14:paraId="389A65FB">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 </w:t>
      </w:r>
      <w:r>
        <w:rPr>
          <w:rFonts w:hint="eastAsia" w:ascii="宋体" w:hAnsi="宋体" w:eastAsia="宋体" w:cs="宋体"/>
          <w:color w:val="auto"/>
          <w:szCs w:val="21"/>
          <w:highlight w:val="none"/>
          <w:u w:val="single"/>
        </w:rPr>
        <w:t xml:space="preserve">                                  </w:t>
      </w:r>
    </w:p>
    <w:p w14:paraId="6D8B5B5D">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193482F">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7C8A3689">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2F7D83D">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 w:val="24"/>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 w:val="24"/>
          <w:highlight w:val="none"/>
          <w:u w:val="single"/>
        </w:rPr>
        <w:t xml:space="preserve">         </w:t>
      </w:r>
    </w:p>
    <w:p w14:paraId="6890EC9B">
      <w:pPr>
        <w:pStyle w:val="15"/>
        <w:keepNext w:val="0"/>
        <w:keepLines w:val="0"/>
        <w:pageBreakBefore w:val="0"/>
        <w:kinsoku/>
        <w:wordWrap/>
        <w:overflowPunct/>
        <w:topLinePunct w:val="0"/>
        <w:bidi w:val="0"/>
        <w:spacing w:line="380" w:lineRule="exact"/>
        <w:rPr>
          <w:rFonts w:hint="eastAsia" w:hAnsi="宋体" w:cs="宋体"/>
          <w:color w:val="auto"/>
          <w:highlight w:val="none"/>
          <w:u w:val="single"/>
        </w:rPr>
      </w:pPr>
    </w:p>
    <w:p w14:paraId="2EFCF4C8">
      <w:pPr>
        <w:pStyle w:val="43"/>
        <w:keepNext w:val="0"/>
        <w:keepLines w:val="0"/>
        <w:pageBreakBefore w:val="0"/>
        <w:kinsoku/>
        <w:wordWrap/>
        <w:overflowPunct/>
        <w:topLinePunct w:val="0"/>
        <w:bidi w:val="0"/>
        <w:spacing w:line="380" w:lineRule="exact"/>
        <w:ind w:firstLine="480" w:firstLineChars="200"/>
        <w:rPr>
          <w:rFonts w:hint="eastAsia" w:ascii="宋体" w:hAnsi="宋体" w:eastAsia="宋体" w:cs="宋体"/>
          <w:snapToGrid/>
          <w:color w:val="auto"/>
          <w:kern w:val="2"/>
          <w:szCs w:val="21"/>
          <w:highlight w:val="none"/>
          <w:lang w:eastAsia="zh-CN"/>
        </w:rPr>
      </w:pPr>
      <w:r>
        <w:rPr>
          <w:rFonts w:hint="eastAsia" w:ascii="宋体" w:hAnsi="宋体" w:cs="宋体"/>
          <w:color w:val="auto"/>
          <w:highlight w:val="none"/>
        </w:rPr>
        <w:t>合同签订日期：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             合同签订地点：</w:t>
      </w:r>
    </w:p>
    <w:p w14:paraId="0E6839A6">
      <w:pPr>
        <w:rPr>
          <w:rFonts w:hint="eastAsia" w:ascii="宋体" w:hAnsi="宋体" w:eastAsia="宋体" w:cs="宋体"/>
          <w:color w:val="auto"/>
          <w:highlight w:val="none"/>
        </w:rPr>
      </w:pPr>
    </w:p>
    <w:p w14:paraId="5B7BA60F">
      <w:pPr>
        <w:rPr>
          <w:rFonts w:hint="eastAsia" w:ascii="宋体" w:hAnsi="宋体" w:eastAsia="宋体" w:cs="宋体"/>
          <w:color w:val="auto"/>
          <w:sz w:val="32"/>
          <w:szCs w:val="32"/>
          <w:highlight w:val="none"/>
        </w:rPr>
      </w:pPr>
      <w:bookmarkStart w:id="47" w:name="_Toc18048"/>
      <w:bookmarkStart w:id="48" w:name="_Toc17591"/>
      <w:bookmarkStart w:id="49" w:name="_Toc19736"/>
      <w:r>
        <w:rPr>
          <w:rFonts w:hint="eastAsia" w:ascii="宋体" w:hAnsi="宋体" w:eastAsia="宋体" w:cs="宋体"/>
          <w:color w:val="auto"/>
          <w:sz w:val="32"/>
          <w:szCs w:val="32"/>
          <w:highlight w:val="none"/>
        </w:rPr>
        <w:br w:type="page"/>
      </w:r>
    </w:p>
    <w:p w14:paraId="36A841A2">
      <w:pPr>
        <w:pStyle w:val="2"/>
        <w:rPr>
          <w:rFonts w:hint="eastAsia" w:ascii="宋体" w:hAnsi="宋体" w:eastAsia="宋体" w:cs="宋体"/>
          <w:color w:val="auto"/>
          <w:sz w:val="32"/>
          <w:szCs w:val="32"/>
          <w:highlight w:val="none"/>
        </w:rPr>
        <w:sectPr>
          <w:headerReference r:id="rId5" w:type="default"/>
          <w:footerReference r:id="rId6" w:type="default"/>
          <w:pgSz w:w="11906" w:h="16838"/>
          <w:pgMar w:top="1417" w:right="1417" w:bottom="1417" w:left="1701" w:header="850" w:footer="992" w:gutter="0"/>
          <w:pgNumType w:fmt="decimal"/>
          <w:cols w:space="0" w:num="1"/>
          <w:docGrid w:type="linesAndChars" w:linePitch="318" w:charSpace="0"/>
        </w:sectPr>
      </w:pPr>
      <w:r>
        <w:rPr>
          <w:rFonts w:hint="eastAsia" w:ascii="宋体" w:hAnsi="宋体" w:eastAsia="宋体" w:cs="宋体"/>
          <w:color w:val="auto"/>
          <w:sz w:val="32"/>
          <w:szCs w:val="32"/>
          <w:highlight w:val="none"/>
        </w:rPr>
        <w:t>第六章、响应文件（格式）</w:t>
      </w:r>
      <w:bookmarkEnd w:id="46"/>
      <w:bookmarkEnd w:id="47"/>
      <w:bookmarkEnd w:id="48"/>
      <w:bookmarkEnd w:id="49"/>
    </w:p>
    <w:p w14:paraId="5D0F74EB">
      <w:pPr>
        <w:autoSpaceDE w:val="0"/>
        <w:autoSpaceDN w:val="0"/>
        <w:adjustRightInd w:val="0"/>
        <w:spacing w:line="500" w:lineRule="exact"/>
        <w:rPr>
          <w:rFonts w:hint="eastAsia" w:ascii="宋体" w:hAnsi="宋体" w:eastAsia="宋体" w:cs="宋体"/>
          <w:color w:val="auto"/>
          <w:kern w:val="0"/>
          <w:highlight w:val="none"/>
        </w:rPr>
      </w:pPr>
    </w:p>
    <w:p w14:paraId="1AC7ED0A">
      <w:pPr>
        <w:spacing w:line="440" w:lineRule="exact"/>
        <w:rPr>
          <w:rFonts w:hint="eastAsia" w:ascii="宋体" w:hAnsi="宋体" w:eastAsia="宋体" w:cs="宋体"/>
          <w:b/>
          <w:bCs/>
          <w:color w:val="auto"/>
          <w:sz w:val="30"/>
          <w:szCs w:val="30"/>
          <w:highlight w:val="none"/>
        </w:rPr>
      </w:pPr>
      <w:bookmarkStart w:id="50" w:name="_Toc498698226"/>
      <w:bookmarkStart w:id="51" w:name="_Toc486867150"/>
      <w:bookmarkStart w:id="52" w:name="_Toc498627082"/>
      <w:bookmarkStart w:id="53" w:name="_Toc486695806"/>
      <w:bookmarkStart w:id="54" w:name="_Toc478137727"/>
      <w:bookmarkStart w:id="55" w:name="_Toc31410"/>
      <w:bookmarkStart w:id="56" w:name="_Toc1762"/>
      <w:r>
        <w:rPr>
          <w:rFonts w:hint="eastAsia" w:ascii="宋体" w:hAnsi="宋体" w:eastAsia="宋体" w:cs="宋体"/>
          <w:b/>
          <w:bCs/>
          <w:color w:val="auto"/>
          <w:sz w:val="30"/>
          <w:szCs w:val="30"/>
          <w:highlight w:val="none"/>
        </w:rPr>
        <w:t>响应文件封面格式</w:t>
      </w:r>
      <w:bookmarkEnd w:id="50"/>
      <w:bookmarkEnd w:id="51"/>
      <w:bookmarkEnd w:id="52"/>
      <w:bookmarkEnd w:id="53"/>
      <w:bookmarkEnd w:id="54"/>
      <w:r>
        <w:rPr>
          <w:rFonts w:hint="eastAsia" w:ascii="宋体" w:hAnsi="宋体" w:eastAsia="宋体" w:cs="宋体"/>
          <w:b/>
          <w:bCs/>
          <w:color w:val="auto"/>
          <w:sz w:val="30"/>
          <w:szCs w:val="30"/>
          <w:highlight w:val="none"/>
        </w:rPr>
        <w:t>：</w:t>
      </w:r>
      <w:bookmarkEnd w:id="55"/>
      <w:bookmarkEnd w:id="56"/>
    </w:p>
    <w:p w14:paraId="15E4721F">
      <w:pPr>
        <w:autoSpaceDE w:val="0"/>
        <w:autoSpaceDN w:val="0"/>
        <w:adjustRightInd w:val="0"/>
        <w:spacing w:line="500" w:lineRule="exact"/>
        <w:jc w:val="center"/>
        <w:rPr>
          <w:rFonts w:hint="eastAsia" w:ascii="宋体" w:hAnsi="宋体" w:eastAsia="宋体" w:cs="宋体"/>
          <w:color w:val="auto"/>
          <w:kern w:val="0"/>
          <w:highlight w:val="none"/>
        </w:rPr>
      </w:pPr>
    </w:p>
    <w:p w14:paraId="1A5C6A3D">
      <w:pPr>
        <w:pStyle w:val="10"/>
        <w:rPr>
          <w:rFonts w:hint="eastAsia" w:ascii="宋体" w:hAnsi="宋体" w:eastAsia="宋体" w:cs="宋体"/>
          <w:color w:val="auto"/>
          <w:highlight w:val="none"/>
        </w:rPr>
      </w:pPr>
    </w:p>
    <w:p w14:paraId="52B31BDC">
      <w:pPr>
        <w:pStyle w:val="22"/>
        <w:rPr>
          <w:rFonts w:hint="eastAsia" w:ascii="宋体" w:hAnsi="宋体" w:eastAsia="宋体" w:cs="宋体"/>
          <w:color w:val="auto"/>
          <w:kern w:val="0"/>
          <w:highlight w:val="none"/>
        </w:rPr>
      </w:pPr>
    </w:p>
    <w:p w14:paraId="448357B1">
      <w:pPr>
        <w:pStyle w:val="22"/>
        <w:rPr>
          <w:rFonts w:hint="eastAsia" w:ascii="宋体" w:hAnsi="宋体" w:eastAsia="宋体" w:cs="宋体"/>
          <w:color w:val="auto"/>
          <w:kern w:val="0"/>
          <w:highlight w:val="none"/>
        </w:rPr>
      </w:pPr>
    </w:p>
    <w:p w14:paraId="347797E5">
      <w:pPr>
        <w:pStyle w:val="22"/>
        <w:rPr>
          <w:rFonts w:hint="eastAsia" w:ascii="宋体" w:hAnsi="宋体" w:eastAsia="宋体" w:cs="宋体"/>
          <w:color w:val="auto"/>
          <w:kern w:val="0"/>
          <w:highlight w:val="none"/>
        </w:rPr>
      </w:pPr>
    </w:p>
    <w:p w14:paraId="1ADC6266">
      <w:pPr>
        <w:autoSpaceDE w:val="0"/>
        <w:autoSpaceDN w:val="0"/>
        <w:adjustRightInd w:val="0"/>
        <w:spacing w:line="1000" w:lineRule="exact"/>
        <w:jc w:val="center"/>
        <w:rPr>
          <w:rFonts w:hint="eastAsia" w:ascii="宋体" w:hAnsi="宋体" w:eastAsia="宋体" w:cs="宋体"/>
          <w:b/>
          <w:color w:val="auto"/>
          <w:kern w:val="0"/>
          <w:sz w:val="84"/>
          <w:highlight w:val="none"/>
        </w:rPr>
      </w:pPr>
      <w:r>
        <w:rPr>
          <w:rFonts w:hint="eastAsia" w:ascii="宋体" w:hAnsi="宋体" w:eastAsia="宋体" w:cs="宋体"/>
          <w:b/>
          <w:color w:val="auto"/>
          <w:spacing w:val="156"/>
          <w:kern w:val="0"/>
          <w:sz w:val="84"/>
          <w:highlight w:val="none"/>
        </w:rPr>
        <w:t>响应文件</w:t>
      </w:r>
    </w:p>
    <w:p w14:paraId="044A6A3C">
      <w:pPr>
        <w:autoSpaceDE w:val="0"/>
        <w:autoSpaceDN w:val="0"/>
        <w:adjustRightInd w:val="0"/>
        <w:spacing w:line="500" w:lineRule="exact"/>
        <w:jc w:val="center"/>
        <w:rPr>
          <w:rFonts w:hint="eastAsia" w:ascii="宋体" w:hAnsi="宋体" w:eastAsia="宋体" w:cs="宋体"/>
          <w:color w:val="auto"/>
          <w:kern w:val="0"/>
          <w:highlight w:val="none"/>
        </w:rPr>
      </w:pPr>
    </w:p>
    <w:p w14:paraId="7525E5C2">
      <w:pPr>
        <w:autoSpaceDE w:val="0"/>
        <w:autoSpaceDN w:val="0"/>
        <w:adjustRightInd w:val="0"/>
        <w:spacing w:line="500" w:lineRule="exact"/>
        <w:rPr>
          <w:rFonts w:hint="eastAsia" w:ascii="宋体" w:hAnsi="宋体" w:eastAsia="宋体" w:cs="宋体"/>
          <w:color w:val="auto"/>
          <w:kern w:val="0"/>
          <w:highlight w:val="none"/>
        </w:rPr>
      </w:pPr>
    </w:p>
    <w:p w14:paraId="73572AA3">
      <w:pPr>
        <w:autoSpaceDE w:val="0"/>
        <w:autoSpaceDN w:val="0"/>
        <w:adjustRightInd w:val="0"/>
        <w:spacing w:line="500" w:lineRule="exact"/>
        <w:jc w:val="center"/>
        <w:rPr>
          <w:rFonts w:hint="eastAsia" w:ascii="宋体" w:hAnsi="宋体" w:eastAsia="宋体" w:cs="宋体"/>
          <w:color w:val="auto"/>
          <w:kern w:val="0"/>
          <w:highlight w:val="none"/>
        </w:rPr>
      </w:pPr>
    </w:p>
    <w:p w14:paraId="49FD554F">
      <w:pPr>
        <w:pStyle w:val="10"/>
        <w:rPr>
          <w:rFonts w:hint="eastAsia" w:ascii="宋体" w:hAnsi="宋体" w:eastAsia="宋体" w:cs="宋体"/>
          <w:color w:val="auto"/>
          <w:highlight w:val="none"/>
        </w:rPr>
      </w:pPr>
    </w:p>
    <w:p w14:paraId="7421E9E0">
      <w:pPr>
        <w:pStyle w:val="22"/>
        <w:rPr>
          <w:rFonts w:hint="eastAsia" w:ascii="宋体" w:hAnsi="宋体" w:eastAsia="宋体" w:cs="宋体"/>
          <w:color w:val="auto"/>
          <w:kern w:val="0"/>
          <w:highlight w:val="none"/>
        </w:rPr>
      </w:pPr>
    </w:p>
    <w:p w14:paraId="51319BBF">
      <w:pPr>
        <w:pStyle w:val="22"/>
        <w:rPr>
          <w:rFonts w:hint="eastAsia" w:ascii="宋体" w:hAnsi="宋体" w:eastAsia="宋体" w:cs="宋体"/>
          <w:color w:val="auto"/>
          <w:kern w:val="0"/>
          <w:highlight w:val="none"/>
        </w:rPr>
      </w:pPr>
    </w:p>
    <w:p w14:paraId="5E610BED">
      <w:pPr>
        <w:pStyle w:val="22"/>
        <w:rPr>
          <w:rFonts w:hint="eastAsia" w:ascii="宋体" w:hAnsi="宋体" w:eastAsia="宋体" w:cs="宋体"/>
          <w:color w:val="auto"/>
          <w:kern w:val="0"/>
          <w:highlight w:val="none"/>
        </w:rPr>
      </w:pPr>
    </w:p>
    <w:p w14:paraId="40BB3B5D">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p>
    <w:p w14:paraId="7AEC8DBA">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项目编号：</w:t>
      </w:r>
    </w:p>
    <w:p w14:paraId="56AC3BFE">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采购代理机构：</w:t>
      </w:r>
    </w:p>
    <w:p w14:paraId="57A309C2">
      <w:pPr>
        <w:autoSpaceDE w:val="0"/>
        <w:autoSpaceDN w:val="0"/>
        <w:adjustRightInd w:val="0"/>
        <w:spacing w:line="500" w:lineRule="exact"/>
        <w:ind w:firstLine="640"/>
        <w:rPr>
          <w:rFonts w:hint="eastAsia" w:ascii="宋体" w:hAnsi="宋体" w:eastAsia="宋体" w:cs="宋体"/>
          <w:color w:val="auto"/>
          <w:kern w:val="0"/>
          <w:highlight w:val="none"/>
        </w:rPr>
      </w:pPr>
      <w:bookmarkStart w:id="57" w:name="_Toc20319_WPSOffice_Level2"/>
      <w:bookmarkStart w:id="58" w:name="_Toc4932_WPSOffice_Level2"/>
      <w:r>
        <w:rPr>
          <w:rFonts w:hint="eastAsia" w:ascii="宋体" w:hAnsi="宋体" w:eastAsia="宋体" w:cs="宋体"/>
          <w:color w:val="auto"/>
          <w:kern w:val="0"/>
          <w:highlight w:val="none"/>
        </w:rPr>
        <w:t xml:space="preserve">供应商[CA签章(CA证书签章)、自然人除外]：                       </w:t>
      </w:r>
      <w:bookmarkEnd w:id="57"/>
      <w:bookmarkEnd w:id="58"/>
    </w:p>
    <w:p w14:paraId="6DDEA19D">
      <w:pPr>
        <w:autoSpaceDE w:val="0"/>
        <w:autoSpaceDN w:val="0"/>
        <w:adjustRightInd w:val="0"/>
        <w:spacing w:line="500" w:lineRule="exact"/>
        <w:ind w:firstLine="640"/>
        <w:rPr>
          <w:rFonts w:hint="eastAsia" w:ascii="宋体" w:hAnsi="宋体" w:eastAsia="宋体" w:cs="宋体"/>
          <w:color w:val="auto"/>
          <w:kern w:val="0"/>
          <w:highlight w:val="none"/>
        </w:rPr>
      </w:pPr>
      <w:bookmarkStart w:id="59" w:name="_Toc9622_WPSOffice_Level2"/>
      <w:bookmarkStart w:id="60" w:name="_Toc32056_WPSOffice_Level2"/>
      <w:r>
        <w:rPr>
          <w:rFonts w:hint="eastAsia" w:ascii="宋体" w:hAnsi="宋体" w:eastAsia="宋体" w:cs="宋体"/>
          <w:color w:val="auto"/>
          <w:kern w:val="0"/>
          <w:highlight w:val="none"/>
        </w:rPr>
        <w:t>法定代表人、负责人、自然人或相应的委托代理人签字[或盖章(CA证书签章)]</w:t>
      </w:r>
    </w:p>
    <w:p w14:paraId="0C179CAC">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（属自然人的应在签名处加盖大拇指指印或个人CA证书签章）：              </w:t>
      </w:r>
    </w:p>
    <w:bookmarkEnd w:id="59"/>
    <w:bookmarkEnd w:id="60"/>
    <w:p w14:paraId="1BAB8F4A">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供应商地址：</w:t>
      </w:r>
    </w:p>
    <w:p w14:paraId="7947F716">
      <w:pPr>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14:paraId="0C4B8723">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响应函（必须提供）</w:t>
      </w:r>
    </w:p>
    <w:p w14:paraId="794657C3">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p w14:paraId="3A8EA96E">
      <w:pPr>
        <w:pStyle w:val="15"/>
        <w:spacing w:line="460" w:lineRule="exact"/>
        <w:ind w:firstLine="602" w:firstLineChars="250"/>
        <w:jc w:val="center"/>
        <w:rPr>
          <w:rFonts w:hint="eastAsia" w:ascii="宋体" w:hAnsi="宋体" w:eastAsia="宋体" w:cs="宋体"/>
          <w:color w:val="auto"/>
          <w:sz w:val="32"/>
          <w:highlight w:val="none"/>
        </w:rPr>
      </w:pPr>
      <w:r>
        <w:rPr>
          <w:rFonts w:hint="eastAsia" w:ascii="宋体" w:hAnsi="宋体" w:eastAsia="宋体" w:cs="宋体"/>
          <w:b/>
          <w:color w:val="auto"/>
          <w:sz w:val="24"/>
          <w:szCs w:val="24"/>
          <w:highlight w:val="none"/>
        </w:rPr>
        <w:t>响 应 函 （格 式）</w:t>
      </w:r>
    </w:p>
    <w:p w14:paraId="72C5ED78">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：（采购人名称）   </w:t>
      </w:r>
    </w:p>
    <w:p w14:paraId="14AB6722">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根据贵方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 xml:space="preserve">，项目编号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，签字代表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（姓名）经正式授权并代表供应商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供应商单位名称）。</w:t>
      </w:r>
    </w:p>
    <w:p w14:paraId="381A3204">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据此函，签字代表宣布同意如下：</w:t>
      </w:r>
    </w:p>
    <w:p w14:paraId="212CEA38">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1.按</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服务</w:t>
      </w:r>
      <w:r>
        <w:rPr>
          <w:rFonts w:hint="eastAsia" w:ascii="宋体" w:hAnsi="宋体" w:eastAsia="宋体" w:cs="宋体"/>
          <w:color w:val="auto"/>
          <w:szCs w:val="21"/>
          <w:highlight w:val="none"/>
          <w:lang w:eastAsia="zh-CN"/>
        </w:rPr>
        <w:t>服务采购需求</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p>
    <w:p w14:paraId="7FBDB6BE">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折扣</w:t>
      </w:r>
      <w:r>
        <w:rPr>
          <w:rFonts w:hint="eastAsia" w:ascii="宋体" w:hAnsi="宋体" w:eastAsia="宋体" w:cs="宋体"/>
          <w:color w:val="auto"/>
          <w:szCs w:val="21"/>
          <w:highlight w:val="none"/>
        </w:rPr>
        <w:t>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rPr>
        <w:t>。</w:t>
      </w:r>
    </w:p>
    <w:p w14:paraId="30EB5627">
      <w:pPr>
        <w:pStyle w:val="15"/>
        <w:spacing w:line="420" w:lineRule="exact"/>
        <w:ind w:firstLine="36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2.我方承诺已具备</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规定的供应商资格条件。</w:t>
      </w:r>
    </w:p>
    <w:p w14:paraId="3238BAD6">
      <w:pPr>
        <w:pStyle w:val="15"/>
        <w:spacing w:line="420" w:lineRule="exact"/>
        <w:ind w:firstLine="36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3.我方已详细审核</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，包括修改文件（如有的话）和有关附件，将自行承担因对全部</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理解不正确或误解而产生的相应后果。</w:t>
      </w:r>
    </w:p>
    <w:p w14:paraId="2E915ED5">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4.响应文件有效期为自响应文件递交截止时间之日起90天。</w:t>
      </w:r>
    </w:p>
    <w:p w14:paraId="3692FB18">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5.如我方成交：</w:t>
      </w:r>
    </w:p>
    <w:p w14:paraId="0510DFEC">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（1）我方承诺在收到</w:t>
      </w:r>
      <w:r>
        <w:rPr>
          <w:rFonts w:hint="eastAsia" w:ascii="宋体" w:hAnsi="宋体" w:eastAsia="宋体" w:cs="宋体"/>
          <w:color w:val="auto"/>
          <w:szCs w:val="21"/>
          <w:highlight w:val="none"/>
          <w:lang w:eastAsia="zh-CN"/>
        </w:rPr>
        <w:t>中标通知书</w:t>
      </w:r>
      <w:r>
        <w:rPr>
          <w:rFonts w:hint="eastAsia" w:ascii="宋体" w:hAnsi="宋体" w:eastAsia="宋体" w:cs="宋体"/>
          <w:color w:val="auto"/>
          <w:szCs w:val="21"/>
          <w:highlight w:val="none"/>
        </w:rPr>
        <w:t>后，在</w:t>
      </w:r>
      <w:r>
        <w:rPr>
          <w:rFonts w:hint="eastAsia" w:ascii="宋体" w:hAnsi="宋体" w:eastAsia="宋体" w:cs="宋体"/>
          <w:color w:val="auto"/>
          <w:szCs w:val="21"/>
          <w:highlight w:val="none"/>
          <w:lang w:eastAsia="zh-CN"/>
        </w:rPr>
        <w:t>中标通知书</w:t>
      </w:r>
      <w:r>
        <w:rPr>
          <w:rFonts w:hint="eastAsia" w:ascii="宋体" w:hAnsi="宋体" w:eastAsia="宋体" w:cs="宋体"/>
          <w:color w:val="auto"/>
          <w:szCs w:val="21"/>
          <w:highlight w:val="none"/>
        </w:rPr>
        <w:t>规定的期限内与采购人签订合同。</w:t>
      </w:r>
    </w:p>
    <w:p w14:paraId="347F0C27">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（2）我方承诺本响应文件至本项目合同履行完毕止均保持有效，按</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及政府采购法律、法规的规定履行合同责任和义务。</w:t>
      </w:r>
    </w:p>
    <w:p w14:paraId="15E0CF12">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与本响应有关的正式通讯地址为：</w:t>
      </w:r>
    </w:p>
    <w:p w14:paraId="66FE1827">
      <w:pPr>
        <w:pStyle w:val="15"/>
        <w:spacing w:line="420" w:lineRule="exact"/>
        <w:ind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邮编：</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电话、传真：</w:t>
      </w:r>
      <w:r>
        <w:rPr>
          <w:rFonts w:hint="eastAsia" w:ascii="宋体" w:hAnsi="宋体" w:eastAsia="宋体" w:cs="宋体"/>
          <w:color w:val="auto"/>
          <w:szCs w:val="21"/>
          <w:highlight w:val="none"/>
          <w:u w:val="single"/>
        </w:rPr>
        <w:t xml:space="preserve">            </w:t>
      </w:r>
    </w:p>
    <w:p w14:paraId="52532F9C">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p>
    <w:p w14:paraId="1AA3C06C">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p>
    <w:p w14:paraId="5CF76085">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p>
    <w:p w14:paraId="31F82F2D">
      <w:pPr>
        <w:pStyle w:val="15"/>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D567F1D">
      <w:pPr>
        <w:pStyle w:val="15"/>
        <w:spacing w:line="420" w:lineRule="exact"/>
        <w:ind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17C6FF3">
      <w:pPr>
        <w:pStyle w:val="15"/>
        <w:spacing w:line="420" w:lineRule="exact"/>
        <w:ind w:firstLine="5040" w:firstLineChars="2400"/>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rPr>
        <w:t>响应</w:t>
      </w:r>
      <w:r>
        <w:rPr>
          <w:rFonts w:hint="eastAsia" w:ascii="宋体" w:hAnsi="宋体" w:eastAsia="宋体" w:cs="宋体"/>
          <w:color w:val="auto"/>
          <w:szCs w:val="21"/>
          <w:highlight w:val="none"/>
        </w:rPr>
        <w:t xml:space="preserve">日期：       年    月    日  </w:t>
      </w:r>
    </w:p>
    <w:p w14:paraId="0C1FA39F">
      <w:pPr>
        <w:pStyle w:val="15"/>
        <w:spacing w:line="4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注：1.未按照本响应函（格式）要求填报的响应函将被视为非实质性响应</w:t>
      </w:r>
      <w:r>
        <w:rPr>
          <w:rFonts w:hint="eastAsia" w:ascii="宋体" w:hAnsi="宋体" w:eastAsia="宋体" w:cs="宋体"/>
          <w:bCs/>
          <w:color w:val="auto"/>
          <w:szCs w:val="21"/>
          <w:highlight w:val="none"/>
          <w:lang w:eastAsia="zh-CN"/>
        </w:rPr>
        <w:t>征集文件</w:t>
      </w:r>
      <w:r>
        <w:rPr>
          <w:rFonts w:hint="eastAsia" w:ascii="宋体" w:hAnsi="宋体" w:eastAsia="宋体" w:cs="宋体"/>
          <w:bCs/>
          <w:color w:val="auto"/>
          <w:szCs w:val="21"/>
          <w:highlight w:val="none"/>
        </w:rPr>
        <w:t>要求，从而导致该响应被拒绝。</w:t>
      </w:r>
    </w:p>
    <w:p w14:paraId="3AE770FE">
      <w:pPr>
        <w:pStyle w:val="15"/>
        <w:spacing w:line="4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2.响应函须由</w:t>
      </w:r>
      <w:r>
        <w:rPr>
          <w:rFonts w:hint="eastAsia" w:ascii="宋体" w:hAnsi="宋体" w:eastAsia="宋体" w:cs="宋体"/>
          <w:color w:val="auto"/>
          <w:szCs w:val="21"/>
          <w:highlight w:val="none"/>
        </w:rPr>
        <w:t>法定代表人或负责人或相应的</w:t>
      </w:r>
      <w:r>
        <w:rPr>
          <w:rFonts w:hint="eastAsia" w:ascii="宋体" w:hAnsi="宋体" w:eastAsia="宋体" w:cs="宋体"/>
          <w:bCs/>
          <w:color w:val="auto"/>
          <w:szCs w:val="21"/>
          <w:highlight w:val="none"/>
        </w:rPr>
        <w:t>委托代理人签字并加盖供应商公章。</w:t>
      </w:r>
    </w:p>
    <w:p w14:paraId="56E49022">
      <w:pPr>
        <w:spacing w:line="400" w:lineRule="exact"/>
        <w:rPr>
          <w:rFonts w:hint="eastAsia" w:ascii="宋体" w:hAnsi="宋体" w:eastAsia="宋体" w:cs="宋体"/>
          <w:b/>
          <w:bCs/>
          <w:color w:val="auto"/>
          <w:sz w:val="28"/>
          <w:szCs w:val="28"/>
          <w:highlight w:val="none"/>
        </w:rPr>
      </w:pPr>
    </w:p>
    <w:p w14:paraId="7CDC6E67">
      <w:pPr>
        <w:spacing w:line="400" w:lineRule="exact"/>
        <w:rPr>
          <w:rFonts w:hint="eastAsia" w:ascii="宋体" w:hAnsi="宋体" w:eastAsia="宋体" w:cs="宋体"/>
          <w:b/>
          <w:bCs/>
          <w:color w:val="auto"/>
          <w:highlight w:val="none"/>
        </w:rPr>
      </w:pPr>
    </w:p>
    <w:p w14:paraId="09733F3B">
      <w:pPr>
        <w:tabs>
          <w:tab w:val="left" w:pos="1305"/>
        </w:tabs>
        <w:spacing w:line="520" w:lineRule="exact"/>
        <w:rPr>
          <w:rFonts w:hint="eastAsia" w:ascii="宋体" w:hAnsi="宋体" w:eastAsia="宋体" w:cs="宋体"/>
          <w:b/>
          <w:color w:val="auto"/>
          <w:sz w:val="32"/>
          <w:szCs w:val="32"/>
          <w:highlight w:val="none"/>
        </w:rPr>
      </w:pPr>
    </w:p>
    <w:p w14:paraId="71B43C99">
      <w:pPr>
        <w:tabs>
          <w:tab w:val="left" w:pos="1305"/>
        </w:tabs>
        <w:spacing w:line="520" w:lineRule="exact"/>
        <w:rPr>
          <w:rFonts w:hint="eastAsia" w:ascii="宋体" w:hAnsi="宋体" w:eastAsia="宋体" w:cs="宋体"/>
          <w:b/>
          <w:color w:val="auto"/>
          <w:sz w:val="32"/>
          <w:szCs w:val="32"/>
          <w:highlight w:val="none"/>
        </w:rPr>
      </w:pPr>
    </w:p>
    <w:p w14:paraId="3B7EC0E3">
      <w:pPr>
        <w:tabs>
          <w:tab w:val="left" w:pos="1305"/>
        </w:tabs>
        <w:spacing w:line="520" w:lineRule="exact"/>
        <w:rPr>
          <w:rFonts w:hint="eastAsia" w:ascii="宋体" w:hAnsi="宋体" w:eastAsia="宋体" w:cs="宋体"/>
          <w:color w:val="auto"/>
          <w:sz w:val="24"/>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二、资格性响应证明材料（格式）</w:t>
      </w:r>
    </w:p>
    <w:p w14:paraId="4746D6A3">
      <w:pPr>
        <w:spacing w:line="400" w:lineRule="exact"/>
        <w:rPr>
          <w:rFonts w:hint="eastAsia" w:ascii="宋体" w:hAnsi="宋体" w:eastAsia="宋体" w:cs="宋体"/>
          <w:b/>
          <w:color w:val="auto"/>
          <w:sz w:val="24"/>
          <w:highlight w:val="none"/>
        </w:rPr>
      </w:pPr>
    </w:p>
    <w:p w14:paraId="663FEB34">
      <w:pPr>
        <w:tabs>
          <w:tab w:val="left" w:pos="1305"/>
        </w:tabs>
        <w:spacing w:line="460" w:lineRule="exact"/>
        <w:rPr>
          <w:rFonts w:hint="eastAsia" w:ascii="宋体" w:hAnsi="宋体" w:eastAsia="宋体" w:cs="宋体"/>
          <w:color w:val="auto"/>
          <w:sz w:val="24"/>
          <w:highlight w:val="none"/>
        </w:rPr>
      </w:pPr>
      <w:r>
        <w:rPr>
          <w:rFonts w:hint="eastAsia" w:ascii="宋体" w:hAnsi="宋体" w:cs="宋体"/>
          <w:b/>
          <w:color w:val="auto"/>
          <w:sz w:val="24"/>
          <w:highlight w:val="none"/>
          <w:lang w:val="en-US" w:eastAsia="zh-CN"/>
        </w:rPr>
        <w:t>1</w:t>
      </w:r>
      <w:r>
        <w:rPr>
          <w:rFonts w:hint="eastAsia" w:ascii="宋体" w:hAnsi="宋体" w:eastAsia="宋体" w:cs="宋体"/>
          <w:b/>
          <w:color w:val="auto"/>
          <w:sz w:val="24"/>
          <w:highlight w:val="none"/>
        </w:rPr>
        <w:t>.供应商相应的法定代表人或负责人身份证正反两面复印件（必须提供）</w:t>
      </w:r>
    </w:p>
    <w:p w14:paraId="0E6D131A">
      <w:pPr>
        <w:pStyle w:val="15"/>
        <w:spacing w:line="460" w:lineRule="exact"/>
        <w:rPr>
          <w:rFonts w:hint="eastAsia" w:ascii="宋体" w:hAnsi="宋体" w:eastAsia="宋体" w:cs="宋体"/>
          <w:b/>
          <w:color w:val="auto"/>
          <w:sz w:val="24"/>
          <w:szCs w:val="24"/>
          <w:highlight w:val="none"/>
        </w:rPr>
      </w:pPr>
    </w:p>
    <w:p w14:paraId="170C0B6B">
      <w:pPr>
        <w:pStyle w:val="10"/>
        <w:rPr>
          <w:rFonts w:hint="eastAsia" w:ascii="宋体" w:hAnsi="宋体" w:eastAsia="宋体" w:cs="宋体"/>
          <w:color w:val="auto"/>
          <w:sz w:val="24"/>
          <w:highlight w:val="none"/>
        </w:rPr>
      </w:pPr>
    </w:p>
    <w:p w14:paraId="386AFA19">
      <w:pPr>
        <w:pStyle w:val="15"/>
        <w:spacing w:line="460" w:lineRule="exact"/>
        <w:rPr>
          <w:rFonts w:hint="eastAsia" w:ascii="宋体" w:hAnsi="宋体" w:eastAsia="宋体" w:cs="宋体"/>
          <w:b/>
          <w:color w:val="auto"/>
          <w:sz w:val="24"/>
          <w:szCs w:val="24"/>
          <w:highlight w:val="none"/>
        </w:rPr>
      </w:pPr>
    </w:p>
    <w:p w14:paraId="5CCFB9C7">
      <w:pPr>
        <w:pStyle w:val="15"/>
        <w:numPr>
          <w:ilvl w:val="0"/>
          <w:numId w:val="0"/>
        </w:numPr>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w:t>
      </w:r>
      <w:r>
        <w:rPr>
          <w:rFonts w:hint="eastAsia" w:ascii="宋体" w:hAnsi="宋体" w:eastAsia="宋体" w:cs="宋体"/>
          <w:b/>
          <w:color w:val="auto"/>
          <w:sz w:val="24"/>
          <w:szCs w:val="24"/>
          <w:highlight w:val="none"/>
        </w:rPr>
        <w:t>供应商的授权委托书原件、委托代理人身份证正反面复印件以及由县级以上（含县级）社会养老保险经办机构出具的供应商为委托代理人交纳的（202</w:t>
      </w: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年任意连续三个月）社保证明复印件</w:t>
      </w:r>
    </w:p>
    <w:p w14:paraId="5030BFF7">
      <w:pPr>
        <w:pStyle w:val="15"/>
        <w:spacing w:line="4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2"/>
          <w:szCs w:val="22"/>
          <w:highlight w:val="none"/>
        </w:rPr>
        <w:t>（如供应商为截标时间前60日以内成立的公司，可以提供供应商与委托代理人签订的劳动合同复印件代替社保证明复印件；如供应商为事业单位，可以提供事业单位机构编制管理证复印件或事业单位机构为其发放工资的工资条复印件代替社保证明复印件；如委托代理人为免缴纳社保人员，提供免缴纳社保的证明材料复印件及供应商与委托代理人签订的劳动合同复印件代替社保证明复印件）（委托代理时必须提供）</w:t>
      </w:r>
      <w:r>
        <w:rPr>
          <w:rFonts w:hint="eastAsia" w:ascii="宋体" w:hAnsi="宋体" w:eastAsia="宋体" w:cs="宋体"/>
          <w:b/>
          <w:color w:val="auto"/>
          <w:sz w:val="28"/>
          <w:szCs w:val="28"/>
          <w:highlight w:val="none"/>
        </w:rPr>
        <w:t>；</w:t>
      </w:r>
    </w:p>
    <w:p w14:paraId="76DED689">
      <w:pPr>
        <w:pStyle w:val="15"/>
        <w:spacing w:line="460" w:lineRule="exact"/>
        <w:ind w:left="420" w:leftChars="200" w:firstLine="118"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24"/>
          <w:szCs w:val="24"/>
          <w:highlight w:val="none"/>
        </w:rPr>
        <w:t>附件：</w:t>
      </w:r>
    </w:p>
    <w:p w14:paraId="0A9CA11B">
      <w:pPr>
        <w:pStyle w:val="15"/>
        <w:spacing w:line="460"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r>
        <w:rPr>
          <w:rFonts w:hint="eastAsia" w:ascii="宋体" w:hAnsi="宋体" w:eastAsia="宋体" w:cs="宋体"/>
          <w:b/>
          <w:color w:val="auto"/>
          <w:sz w:val="28"/>
          <w:szCs w:val="18"/>
          <w:highlight w:val="none"/>
        </w:rPr>
        <w:t xml:space="preserve"> </w:t>
      </w:r>
      <w:r>
        <w:rPr>
          <w:rFonts w:hint="eastAsia" w:ascii="宋体" w:hAnsi="宋体" w:eastAsia="宋体" w:cs="宋体"/>
          <w:b/>
          <w:color w:val="auto"/>
          <w:sz w:val="24"/>
          <w:szCs w:val="16"/>
          <w:highlight w:val="none"/>
        </w:rPr>
        <w:t>授权委托书</w:t>
      </w:r>
    </w:p>
    <w:p w14:paraId="468CB070">
      <w:pPr>
        <w:snapToGrid w:val="0"/>
        <w:spacing w:line="460" w:lineRule="exact"/>
        <w:outlineLvl w:val="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（采购人名称）</w:t>
      </w:r>
    </w:p>
    <w:p w14:paraId="1FE58F6D">
      <w:pPr>
        <w:pStyle w:val="15"/>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w:t>
      </w:r>
      <w:r>
        <w:rPr>
          <w:rFonts w:hint="eastAsia" w:ascii="宋体" w:hAnsi="宋体" w:eastAsia="宋体" w:cs="宋体"/>
          <w:color w:val="auto"/>
          <w:szCs w:val="21"/>
          <w:highlight w:val="none"/>
          <w:u w:val="single"/>
        </w:rPr>
        <w:t>（姓名）</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的法定代表人，现授权委托本单位在职职工</w:t>
      </w:r>
      <w:r>
        <w:rPr>
          <w:rFonts w:hint="eastAsia" w:ascii="宋体" w:hAnsi="宋体" w:eastAsia="宋体" w:cs="宋体"/>
          <w:color w:val="auto"/>
          <w:szCs w:val="21"/>
          <w:highlight w:val="none"/>
          <w:u w:val="single"/>
        </w:rPr>
        <w:t>（姓 名）</w:t>
      </w:r>
      <w:r>
        <w:rPr>
          <w:rFonts w:hint="eastAsia" w:ascii="宋体" w:hAnsi="宋体" w:eastAsia="宋体" w:cs="宋体"/>
          <w:color w:val="auto"/>
          <w:szCs w:val="21"/>
          <w:highlight w:val="none"/>
        </w:rPr>
        <w:t>以我公司名义</w:t>
      </w:r>
      <w:r>
        <w:rPr>
          <w:rFonts w:hint="eastAsia" w:ascii="宋体" w:hAnsi="宋体" w:eastAsia="宋体" w:cs="宋体"/>
          <w:b w:val="0"/>
          <w:bCs w:val="0"/>
          <w:color w:val="auto"/>
          <w:szCs w:val="21"/>
          <w:highlight w:val="none"/>
        </w:rPr>
        <w:t>参加</w:t>
      </w:r>
      <w:r>
        <w:rPr>
          <w:rFonts w:hint="eastAsia" w:ascii="宋体" w:hAnsi="宋体" w:eastAsia="宋体" w:cs="宋体"/>
          <w:b w:val="0"/>
          <w:bCs w:val="0"/>
          <w:color w:val="auto"/>
          <w:szCs w:val="21"/>
          <w:highlight w:val="none"/>
          <w:u w:val="single"/>
        </w:rPr>
        <w:t xml:space="preserve">（项目名称及项目编号）        </w:t>
      </w:r>
      <w:r>
        <w:rPr>
          <w:rFonts w:hint="eastAsia" w:ascii="宋体" w:hAnsi="宋体" w:eastAsia="宋体" w:cs="宋体"/>
          <w:b w:val="0"/>
          <w:bCs w:val="0"/>
          <w:color w:val="auto"/>
          <w:szCs w:val="21"/>
          <w:highlight w:val="none"/>
        </w:rPr>
        <w:t xml:space="preserve"> 项目的投标活动，并代表我方全权办理针对上述项目的投标、</w:t>
      </w:r>
      <w:r>
        <w:rPr>
          <w:rFonts w:hint="eastAsia" w:ascii="宋体" w:hAnsi="宋体" w:eastAsia="宋体" w:cs="宋体"/>
          <w:color w:val="auto"/>
          <w:szCs w:val="21"/>
          <w:highlight w:val="none"/>
        </w:rPr>
        <w:t>开标、评标、签约等具体事务和签署相关文件。</w:t>
      </w:r>
    </w:p>
    <w:p w14:paraId="232010AE">
      <w:pPr>
        <w:pStyle w:val="15"/>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我方对被授权人的签名事项负全部责任。</w:t>
      </w:r>
    </w:p>
    <w:p w14:paraId="6D2808B3">
      <w:pPr>
        <w:pStyle w:val="15"/>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授权委托代理期限：从年月  日至年月 日止。</w:t>
      </w:r>
    </w:p>
    <w:p w14:paraId="39CF9F6B">
      <w:pPr>
        <w:pStyle w:val="15"/>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我方对被授权人的签字事项负全部责任。</w:t>
      </w:r>
    </w:p>
    <w:p w14:paraId="07CF5C33">
      <w:pPr>
        <w:pStyle w:val="15"/>
        <w:spacing w:line="46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授权委托代理期限：自即日起至该项目政府采购活动结束。                                                                           </w:t>
      </w:r>
    </w:p>
    <w:p w14:paraId="69348EED">
      <w:pPr>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代理人无转委托权,特此委托。 </w:t>
      </w:r>
    </w:p>
    <w:p w14:paraId="55D3AEA0">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451B6CF8">
      <w:pPr>
        <w:snapToGrid w:val="0"/>
        <w:spacing w:line="460" w:lineRule="exact"/>
        <w:ind w:firstLine="420"/>
        <w:outlineLvl w:val="4"/>
        <w:rPr>
          <w:rFonts w:hint="eastAsia" w:ascii="宋体" w:hAnsi="宋体" w:eastAsia="宋体" w:cs="宋体"/>
          <w:color w:val="auto"/>
          <w:szCs w:val="21"/>
          <w:highlight w:val="none"/>
        </w:rPr>
      </w:pPr>
    </w:p>
    <w:p w14:paraId="602AF560">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E303156">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A5C8A4A">
      <w:pPr>
        <w:pStyle w:val="15"/>
        <w:spacing w:line="460" w:lineRule="exact"/>
        <w:ind w:firstLine="5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0"/>
          <w:highlight w:val="none"/>
        </w:rPr>
        <w:t>附：委托代理人身份证正反面复印件以及由县级以上（含县级）社会养老保险经办机构出具的供应商为委托代理人交纳的</w:t>
      </w:r>
      <w:r>
        <w:rPr>
          <w:rFonts w:hint="eastAsia" w:ascii="宋体" w:hAnsi="宋体" w:eastAsia="宋体" w:cs="宋体"/>
          <w:b/>
          <w:color w:val="auto"/>
          <w:sz w:val="20"/>
          <w:highlight w:val="none"/>
          <w:lang w:val="en-US" w:eastAsia="zh-CN"/>
        </w:rPr>
        <w:t>202</w:t>
      </w:r>
      <w:r>
        <w:rPr>
          <w:rFonts w:hint="eastAsia" w:hAnsi="宋体" w:cs="宋体"/>
          <w:b/>
          <w:color w:val="auto"/>
          <w:sz w:val="20"/>
          <w:highlight w:val="none"/>
          <w:lang w:val="en-US" w:eastAsia="zh-CN"/>
        </w:rPr>
        <w:t>6</w:t>
      </w:r>
      <w:r>
        <w:rPr>
          <w:rFonts w:hint="eastAsia" w:ascii="宋体" w:hAnsi="宋体" w:eastAsia="宋体" w:cs="宋体"/>
          <w:b/>
          <w:color w:val="auto"/>
          <w:sz w:val="20"/>
          <w:highlight w:val="none"/>
        </w:rPr>
        <w:t>年任意连续三个月社保证明复印件（委托代理时必须提供）</w:t>
      </w:r>
    </w:p>
    <w:p w14:paraId="5480C370">
      <w:pPr>
        <w:pStyle w:val="15"/>
        <w:spacing w:line="460" w:lineRule="exact"/>
        <w:rPr>
          <w:rFonts w:hint="eastAsia" w:ascii="宋体" w:hAnsi="宋体" w:eastAsia="宋体" w:cs="宋体"/>
          <w:b/>
          <w:color w:val="auto"/>
          <w:sz w:val="32"/>
          <w:highlight w:val="none"/>
        </w:rPr>
      </w:pPr>
      <w:r>
        <w:rPr>
          <w:rFonts w:hint="eastAsia" w:hAnsi="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.供应商的法人或者其他组织营业执照等证明文件复印件（必须提供）</w:t>
      </w:r>
    </w:p>
    <w:p w14:paraId="58E5CB51">
      <w:pPr>
        <w:pStyle w:val="15"/>
        <w:spacing w:line="400" w:lineRule="exact"/>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55CFC68">
      <w:pPr>
        <w:pStyle w:val="15"/>
        <w:spacing w:line="400" w:lineRule="exact"/>
        <w:rPr>
          <w:rFonts w:hint="eastAsia" w:ascii="宋体" w:hAnsi="宋体" w:eastAsia="宋体" w:cs="宋体"/>
          <w:bCs/>
          <w:color w:val="auto"/>
          <w:sz w:val="20"/>
          <w:szCs w:val="20"/>
          <w:highlight w:val="none"/>
        </w:rPr>
      </w:pPr>
    </w:p>
    <w:p w14:paraId="2B191CA1">
      <w:pPr>
        <w:pStyle w:val="15"/>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供应商参加政府采购活动前3年内在经营活动中没有重大违法记录及有关信用信息的书面声明（必须提供）                    </w:t>
      </w:r>
    </w:p>
    <w:p w14:paraId="163AB4EA">
      <w:pPr>
        <w:pStyle w:val="15"/>
        <w:spacing w:line="460" w:lineRule="exact"/>
        <w:ind w:left="420" w:leftChars="200" w:firstLine="118" w:firstLineChars="4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p>
    <w:p w14:paraId="435BD597">
      <w:pPr>
        <w:pStyle w:val="15"/>
        <w:spacing w:line="4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声   明</w:t>
      </w:r>
    </w:p>
    <w:p w14:paraId="571924B3">
      <w:pPr>
        <w:snapToGrid w:val="0"/>
        <w:spacing w:line="460" w:lineRule="exact"/>
        <w:outlineLvl w:val="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（采购人名称）</w:t>
      </w:r>
    </w:p>
    <w:p w14:paraId="1E21CADD">
      <w:pPr>
        <w:snapToGrid w:val="0"/>
        <w:spacing w:line="460" w:lineRule="exact"/>
        <w:outlineLvl w:val="4"/>
        <w:rPr>
          <w:rFonts w:hint="eastAsia" w:ascii="宋体" w:hAnsi="宋体" w:eastAsia="宋体" w:cs="宋体"/>
          <w:color w:val="auto"/>
          <w:szCs w:val="21"/>
          <w:highlight w:val="none"/>
          <w:u w:val="single"/>
        </w:rPr>
      </w:pPr>
    </w:p>
    <w:p w14:paraId="2507EDEF">
      <w:pPr>
        <w:pStyle w:val="15"/>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5F666D0E">
      <w:pPr>
        <w:pStyle w:val="15"/>
        <w:spacing w:line="460" w:lineRule="exact"/>
        <w:ind w:firstLine="420" w:firstLineChars="200"/>
        <w:rPr>
          <w:rFonts w:hint="eastAsia" w:ascii="宋体" w:hAnsi="宋体" w:eastAsia="宋体" w:cs="宋体"/>
          <w:color w:val="auto"/>
          <w:szCs w:val="21"/>
          <w:highlight w:val="none"/>
        </w:rPr>
      </w:pPr>
    </w:p>
    <w:p w14:paraId="679C45C3">
      <w:pPr>
        <w:snapToGrid w:val="0"/>
        <w:spacing w:line="460" w:lineRule="exact"/>
        <w:ind w:firstLine="4200" w:firstLineChars="20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0D9DC4F9">
      <w:pPr>
        <w:spacing w:line="460" w:lineRule="exact"/>
        <w:ind w:left="4200" w:leftChars="20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0F5CBF7C">
      <w:pPr>
        <w:pStyle w:val="15"/>
        <w:spacing w:line="400" w:lineRule="exact"/>
        <w:jc w:val="right"/>
        <w:rPr>
          <w:rFonts w:hint="eastAsia" w:ascii="宋体" w:hAnsi="宋体" w:eastAsia="宋体" w:cs="宋体"/>
          <w:bCs/>
          <w:color w:val="auto"/>
          <w:sz w:val="20"/>
          <w:szCs w:val="20"/>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年    月    日</w:t>
      </w:r>
    </w:p>
    <w:p w14:paraId="7C9B1D8C">
      <w:pPr>
        <w:pStyle w:val="4"/>
        <w:rPr>
          <w:rFonts w:hint="eastAsia" w:ascii="宋体" w:hAnsi="宋体" w:eastAsia="宋体" w:cs="宋体"/>
          <w:bCs/>
          <w:color w:val="auto"/>
          <w:sz w:val="20"/>
          <w:szCs w:val="20"/>
          <w:highlight w:val="none"/>
        </w:rPr>
      </w:pPr>
    </w:p>
    <w:p w14:paraId="3E8BAB12">
      <w:pPr>
        <w:rPr>
          <w:rFonts w:hint="eastAsia" w:ascii="宋体" w:hAnsi="宋体" w:eastAsia="宋体" w:cs="宋体"/>
          <w:bCs/>
          <w:color w:val="auto"/>
          <w:sz w:val="20"/>
          <w:szCs w:val="20"/>
          <w:highlight w:val="none"/>
        </w:rPr>
      </w:pPr>
    </w:p>
    <w:p w14:paraId="533B19A0">
      <w:pPr>
        <w:pStyle w:val="15"/>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供应商依法缴纳税收的相关材料[响应文件</w:t>
      </w:r>
      <w:r>
        <w:rPr>
          <w:rFonts w:hint="eastAsia" w:hAnsi="宋体" w:cs="宋体"/>
          <w:b/>
          <w:color w:val="auto"/>
          <w:sz w:val="24"/>
          <w:szCs w:val="24"/>
          <w:highlight w:val="none"/>
          <w:lang w:eastAsia="zh-CN"/>
        </w:rPr>
        <w:t>提交</w:t>
      </w:r>
      <w:r>
        <w:rPr>
          <w:rFonts w:hint="eastAsia" w:hAnsi="宋体" w:cs="宋体"/>
          <w:b/>
          <w:color w:val="auto"/>
          <w:sz w:val="24"/>
          <w:szCs w:val="24"/>
          <w:highlight w:val="none"/>
          <w:lang w:val="en-US" w:eastAsia="zh-CN"/>
        </w:rPr>
        <w:t>2025年至投标截止时间内</w:t>
      </w:r>
      <w:r>
        <w:rPr>
          <w:rFonts w:hint="eastAsia" w:hAnsi="宋体" w:cs="宋体"/>
          <w:b/>
          <w:color w:val="auto"/>
          <w:sz w:val="24"/>
          <w:szCs w:val="24"/>
          <w:highlight w:val="none"/>
          <w:lang w:eastAsia="zh-CN"/>
        </w:rPr>
        <w:t>任意连续三个月</w:t>
      </w:r>
      <w:r>
        <w:rPr>
          <w:rFonts w:hint="eastAsia" w:ascii="宋体" w:hAnsi="宋体" w:eastAsia="宋体" w:cs="宋体"/>
          <w:b/>
          <w:color w:val="auto"/>
          <w:sz w:val="24"/>
          <w:szCs w:val="24"/>
          <w:highlight w:val="none"/>
        </w:rPr>
        <w:t>依法缴纳税收的凭据复印件；依法免税的供应商，必须提供相应文件证明其依法免税。从取得营业执照时间起到响应文件提交截止时间为止不足要求月数的，只需提供从取得营业执照起的依法缴纳税收相应证明文件）；（必须提供，否则作无效响应处理）</w:t>
      </w:r>
    </w:p>
    <w:p w14:paraId="3E4D7E70">
      <w:pPr>
        <w:pStyle w:val="15"/>
        <w:spacing w:line="460" w:lineRule="exact"/>
        <w:rPr>
          <w:rFonts w:hint="eastAsia" w:ascii="宋体" w:hAnsi="宋体" w:eastAsia="宋体" w:cs="宋体"/>
          <w:b/>
          <w:color w:val="auto"/>
          <w:sz w:val="24"/>
          <w:szCs w:val="24"/>
          <w:highlight w:val="none"/>
          <w:lang w:val="en-US" w:eastAsia="zh-CN"/>
        </w:rPr>
      </w:pPr>
    </w:p>
    <w:p w14:paraId="6C9E07B5">
      <w:pPr>
        <w:pStyle w:val="15"/>
        <w:spacing w:line="460" w:lineRule="exact"/>
        <w:rPr>
          <w:rFonts w:hint="eastAsia" w:ascii="宋体" w:hAnsi="宋体" w:eastAsia="宋体" w:cs="宋体"/>
          <w:b/>
          <w:color w:val="auto"/>
          <w:sz w:val="24"/>
          <w:szCs w:val="24"/>
          <w:highlight w:val="none"/>
          <w:lang w:val="en-US" w:eastAsia="zh-CN"/>
        </w:rPr>
      </w:pPr>
    </w:p>
    <w:p w14:paraId="66E51D73">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供应商依法缴纳社会保障资金的相关材料[响应文件提交2025年至投标截止时间内</w:t>
      </w:r>
      <w:r>
        <w:rPr>
          <w:rFonts w:hint="eastAsia" w:ascii="宋体" w:hAnsi="宋体" w:eastAsia="宋体" w:cs="宋体"/>
          <w:b/>
          <w:color w:val="auto"/>
          <w:sz w:val="24"/>
          <w:szCs w:val="24"/>
          <w:highlight w:val="none"/>
          <w:lang w:eastAsia="zh-CN"/>
        </w:rPr>
        <w:t>任意连续三个月</w:t>
      </w:r>
      <w:r>
        <w:rPr>
          <w:rFonts w:hint="eastAsia" w:ascii="宋体" w:hAnsi="宋体" w:eastAsia="宋体" w:cs="宋体"/>
          <w:b/>
          <w:color w:val="auto"/>
          <w:sz w:val="24"/>
          <w:szCs w:val="24"/>
          <w:highlight w:val="none"/>
        </w:rPr>
        <w:t>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必须提供，否则作无效响应处理）</w:t>
      </w:r>
    </w:p>
    <w:p w14:paraId="175A874A">
      <w:pPr>
        <w:pStyle w:val="10"/>
        <w:rPr>
          <w:rFonts w:hint="eastAsia" w:ascii="宋体" w:hAnsi="宋体" w:eastAsia="宋体" w:cs="宋体"/>
          <w:b/>
          <w:color w:val="auto"/>
          <w:sz w:val="24"/>
          <w:szCs w:val="24"/>
          <w:highlight w:val="none"/>
          <w:lang w:val="en-US" w:eastAsia="zh-CN"/>
        </w:rPr>
      </w:pPr>
    </w:p>
    <w:p w14:paraId="1EAFE81F">
      <w:pPr>
        <w:pStyle w:val="10"/>
        <w:rPr>
          <w:rFonts w:hint="eastAsia" w:ascii="宋体" w:hAnsi="宋体" w:eastAsia="宋体" w:cs="宋体"/>
          <w:b/>
          <w:color w:val="auto"/>
          <w:sz w:val="24"/>
          <w:szCs w:val="24"/>
          <w:highlight w:val="none"/>
          <w:lang w:val="en-US" w:eastAsia="zh-CN"/>
        </w:rPr>
      </w:pPr>
    </w:p>
    <w:p w14:paraId="73DE5CA1">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供应商财务状况报告202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年财务状况报告复印件，供应商是法人的，应提供的财务报告（执行《企业会计准则》，提供资产负债表、利润表、现金流量表、所有者权益变动表及其附注（以下称“四表一注”）；执行《小企业会计准则》的，提供资产负债表、利润表、现金流量表及其附注（以下称“三表一注”）)或者其基本开户银行出具的资信证明；供应商是其他组织的，应提供的财务报告（包括“四表一注”、“三表一注”)或者银行出具的资信证明]；（必须提供，否则作无效响应处理）</w:t>
      </w:r>
    </w:p>
    <w:p w14:paraId="4FA7D615">
      <w:pPr>
        <w:pStyle w:val="10"/>
        <w:rPr>
          <w:rFonts w:hint="eastAsia" w:ascii="宋体" w:hAnsi="宋体" w:eastAsia="宋体" w:cs="宋体"/>
          <w:b/>
          <w:color w:val="auto"/>
          <w:sz w:val="24"/>
          <w:szCs w:val="24"/>
          <w:highlight w:val="none"/>
        </w:rPr>
      </w:pPr>
    </w:p>
    <w:p w14:paraId="1196C953">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8.</w:t>
      </w:r>
      <w:r>
        <w:rPr>
          <w:rFonts w:hint="eastAsia" w:ascii="宋体" w:hAnsi="宋体" w:eastAsia="宋体" w:cs="宋体"/>
          <w:b/>
          <w:color w:val="auto"/>
          <w:sz w:val="24"/>
          <w:szCs w:val="24"/>
          <w:highlight w:val="none"/>
          <w:lang w:eastAsia="zh-CN"/>
        </w:rPr>
        <w:t>招标公告对应的特定资格要求：供应商有效的《道路运输经营许可证》、《桂林市城市建筑垃圾处置许可证》复印件（必须提供，否则作无效响应处理）</w:t>
      </w:r>
    </w:p>
    <w:p w14:paraId="6F5B75A1">
      <w:pPr>
        <w:pStyle w:val="10"/>
        <w:rPr>
          <w:rFonts w:hint="eastAsia" w:ascii="宋体" w:hAnsi="宋体" w:eastAsia="宋体" w:cs="宋体"/>
          <w:b/>
          <w:color w:val="auto"/>
          <w:sz w:val="24"/>
          <w:szCs w:val="24"/>
          <w:highlight w:val="none"/>
          <w:lang w:val="en-US" w:eastAsia="zh-CN"/>
        </w:rPr>
      </w:pPr>
    </w:p>
    <w:p w14:paraId="558A671E">
      <w:pPr>
        <w:pStyle w:val="1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9.本项目为专门面向中小企业采购的项目，投标人的符合本项目面向中小微企业政府采购的证明材料：供应商有效的《中小企业声明函》原件(供应商须承接本项目全部服务且为符合政策要求的中小微企业)（必须提供）；如提供服务的供应商属于监狱企业的，应当提供由省级以上监狱管理局、戒毒管理局等（含新疆生产建设兵团）出具的属于监狱企业的证明文件（必须提供）；符合条件的残疾人福利性单位在参加政府采购活动时，应当提供《残疾人福利性单位声明函》（见附件），并对声明的真实性负责；（必须提供）。</w:t>
      </w:r>
    </w:p>
    <w:p w14:paraId="7711BDB5">
      <w:pPr>
        <w:rPr>
          <w:rFonts w:hint="eastAsia"/>
          <w:color w:val="auto"/>
          <w:highlight w:val="none"/>
        </w:rPr>
      </w:pPr>
    </w:p>
    <w:p w14:paraId="07179740">
      <w:pPr>
        <w:pStyle w:val="15"/>
        <w:rPr>
          <w:rFonts w:hint="eastAsia" w:hAnsi="宋体" w:cs="宋体"/>
          <w:b/>
          <w:bCs/>
          <w:color w:val="auto"/>
          <w:szCs w:val="21"/>
          <w:highlight w:val="none"/>
        </w:rPr>
      </w:pPr>
      <w:r>
        <w:rPr>
          <w:rFonts w:hint="eastAsia" w:hAnsi="宋体" w:cs="宋体"/>
          <w:b/>
          <w:bCs/>
          <w:color w:val="auto"/>
          <w:szCs w:val="21"/>
          <w:highlight w:val="none"/>
        </w:rPr>
        <w:t>附件：</w:t>
      </w:r>
    </w:p>
    <w:p w14:paraId="48DA82C6">
      <w:pPr>
        <w:pStyle w:val="15"/>
        <w:spacing w:line="440" w:lineRule="exact"/>
        <w:jc w:val="center"/>
        <w:rPr>
          <w:rFonts w:hint="eastAsia" w:hAnsi="宋体" w:cs="宋体"/>
          <w:b/>
          <w:bCs/>
          <w:color w:val="auto"/>
          <w:szCs w:val="21"/>
          <w:highlight w:val="none"/>
        </w:rPr>
      </w:pPr>
      <w:r>
        <w:rPr>
          <w:rFonts w:hint="eastAsia" w:hAnsi="宋体" w:cs="宋体"/>
          <w:b/>
          <w:bCs/>
          <w:color w:val="auto"/>
          <w:szCs w:val="21"/>
          <w:highlight w:val="none"/>
        </w:rPr>
        <w:t>中小企业声明函</w:t>
      </w:r>
    </w:p>
    <w:p w14:paraId="6E2ED545">
      <w:pPr>
        <w:pStyle w:val="15"/>
        <w:spacing w:line="360" w:lineRule="auto"/>
        <w:ind w:firstLine="444" w:firstLineChars="200"/>
        <w:rPr>
          <w:rFonts w:hint="eastAsia" w:hAnsi="宋体" w:cs="宋体"/>
          <w:color w:val="auto"/>
          <w:spacing w:val="6"/>
          <w:szCs w:val="21"/>
          <w:highlight w:val="none"/>
        </w:rPr>
      </w:pPr>
      <w:r>
        <w:rPr>
          <w:rFonts w:hint="eastAsia" w:hAnsi="宋体" w:cs="宋体"/>
          <w:color w:val="auto"/>
          <w:spacing w:val="6"/>
          <w:szCs w:val="21"/>
          <w:highlight w:val="none"/>
        </w:rPr>
        <w:t>本公司（联合体）郑重声明，根据《政府采购促进中小企业发展管理办法》（财库﹝2020﹞46 号）的规定，本公司（联合体）参加（</w:t>
      </w:r>
      <w:r>
        <w:rPr>
          <w:rFonts w:hint="eastAsia" w:hAnsi="宋体" w:cs="宋体"/>
          <w:color w:val="auto"/>
          <w:spacing w:val="6"/>
          <w:szCs w:val="21"/>
          <w:highlight w:val="none"/>
          <w:u w:val="single"/>
        </w:rPr>
        <w:t>单位名称</w:t>
      </w:r>
      <w:r>
        <w:rPr>
          <w:rFonts w:hint="eastAsia" w:hAnsi="宋体" w:cs="宋体"/>
          <w:color w:val="auto"/>
          <w:spacing w:val="6"/>
          <w:szCs w:val="21"/>
          <w:highlight w:val="none"/>
        </w:rPr>
        <w:t>）的（</w:t>
      </w:r>
      <w:r>
        <w:rPr>
          <w:rFonts w:hint="eastAsia" w:hAnsi="宋体" w:cs="宋体"/>
          <w:color w:val="auto"/>
          <w:spacing w:val="6"/>
          <w:szCs w:val="21"/>
          <w:highlight w:val="none"/>
          <w:u w:val="single"/>
        </w:rPr>
        <w:t>项目名称</w:t>
      </w:r>
      <w:r>
        <w:rPr>
          <w:rFonts w:hint="eastAsia" w:hAnsi="宋体" w:cs="宋体"/>
          <w:color w:val="auto"/>
          <w:spacing w:val="6"/>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DCE17F3">
      <w:pPr>
        <w:pStyle w:val="15"/>
        <w:spacing w:line="360" w:lineRule="auto"/>
        <w:ind w:firstLine="444" w:firstLineChars="200"/>
        <w:rPr>
          <w:rFonts w:hint="eastAsia" w:hAnsi="宋体" w:cs="宋体"/>
          <w:color w:val="auto"/>
          <w:szCs w:val="21"/>
          <w:highlight w:val="none"/>
        </w:rPr>
      </w:pPr>
      <w:r>
        <w:rPr>
          <w:rFonts w:hint="eastAsia" w:hAnsi="宋体" w:cs="宋体"/>
          <w:color w:val="auto"/>
          <w:spacing w:val="6"/>
          <w:szCs w:val="21"/>
          <w:highlight w:val="none"/>
        </w:rPr>
        <w:t>1.</w:t>
      </w:r>
      <w:r>
        <w:rPr>
          <w:rFonts w:hint="eastAsia" w:hAnsi="宋体" w:cs="宋体"/>
          <w:color w:val="auto"/>
          <w:spacing w:val="6"/>
          <w:szCs w:val="21"/>
          <w:highlight w:val="none"/>
          <w:u w:val="single"/>
        </w:rPr>
        <w:t xml:space="preserve">（标的名称） </w:t>
      </w:r>
      <w:r>
        <w:rPr>
          <w:rFonts w:hint="eastAsia" w:hAnsi="宋体" w:cs="宋体"/>
          <w:color w:val="auto"/>
          <w:spacing w:val="6"/>
          <w:szCs w:val="21"/>
          <w:highlight w:val="none"/>
        </w:rPr>
        <w:t>，属于</w:t>
      </w:r>
      <w:r>
        <w:rPr>
          <w:rFonts w:hint="eastAsia" w:hAnsi="宋体" w:cs="宋体"/>
          <w:color w:val="auto"/>
          <w:spacing w:val="6"/>
          <w:szCs w:val="21"/>
          <w:highlight w:val="none"/>
          <w:u w:val="single"/>
        </w:rPr>
        <w:t>（采购文件中明确的所属行业）</w:t>
      </w:r>
      <w:r>
        <w:rPr>
          <w:rFonts w:hint="eastAsia" w:hAnsi="宋体" w:cs="宋体"/>
          <w:color w:val="auto"/>
          <w:spacing w:val="6"/>
          <w:szCs w:val="21"/>
          <w:highlight w:val="none"/>
        </w:rPr>
        <w:t>； 承建（承接）企业为（</w:t>
      </w:r>
      <w:r>
        <w:rPr>
          <w:rFonts w:hint="eastAsia" w:hAnsi="宋体" w:cs="宋体"/>
          <w:color w:val="auto"/>
          <w:spacing w:val="6"/>
          <w:szCs w:val="21"/>
          <w:highlight w:val="none"/>
          <w:u w:val="single"/>
        </w:rPr>
        <w:t>企业名称</w:t>
      </w:r>
      <w:r>
        <w:rPr>
          <w:rFonts w:hint="eastAsia" w:hAnsi="宋体" w:cs="宋体"/>
          <w:color w:val="auto"/>
          <w:spacing w:val="6"/>
          <w:szCs w:val="21"/>
          <w:highlight w:val="none"/>
        </w:rPr>
        <w:t>），从业人员</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人，营业 收入为</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万元，资产总额为 万元，属于（</w:t>
      </w:r>
      <w:r>
        <w:rPr>
          <w:rFonts w:hint="eastAsia" w:hAnsi="宋体" w:cs="宋体"/>
          <w:color w:val="auto"/>
          <w:spacing w:val="6"/>
          <w:szCs w:val="21"/>
          <w:highlight w:val="none"/>
          <w:u w:val="single"/>
        </w:rPr>
        <w:t>中型企业、 小型企业、微型企业</w:t>
      </w:r>
      <w:r>
        <w:rPr>
          <w:rFonts w:hint="eastAsia" w:hAnsi="宋体" w:cs="宋体"/>
          <w:color w:val="auto"/>
          <w:spacing w:val="6"/>
          <w:szCs w:val="21"/>
          <w:highlight w:val="none"/>
        </w:rPr>
        <w:t>）</w:t>
      </w:r>
    </w:p>
    <w:p w14:paraId="00090A02">
      <w:pPr>
        <w:widowControl/>
        <w:spacing w:line="360" w:lineRule="auto"/>
        <w:ind w:firstLine="444" w:firstLineChars="200"/>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2.</w:t>
      </w:r>
      <w:r>
        <w:rPr>
          <w:rFonts w:hint="eastAsia" w:ascii="宋体" w:hAnsi="宋体" w:cs="宋体"/>
          <w:color w:val="auto"/>
          <w:spacing w:val="6"/>
          <w:szCs w:val="21"/>
          <w:highlight w:val="none"/>
          <w:u w:val="single"/>
        </w:rPr>
        <w:t xml:space="preserve">（标的名称） </w:t>
      </w:r>
      <w:r>
        <w:rPr>
          <w:rFonts w:hint="eastAsia" w:ascii="宋体" w:hAnsi="宋体" w:cs="宋体"/>
          <w:color w:val="auto"/>
          <w:spacing w:val="6"/>
          <w:szCs w:val="21"/>
          <w:highlight w:val="none"/>
        </w:rPr>
        <w:t>，属于</w:t>
      </w:r>
      <w:r>
        <w:rPr>
          <w:rFonts w:hint="eastAsia" w:ascii="宋体" w:hAnsi="宋体" w:cs="宋体"/>
          <w:color w:val="auto"/>
          <w:spacing w:val="6"/>
          <w:szCs w:val="21"/>
          <w:highlight w:val="none"/>
          <w:u w:val="single"/>
        </w:rPr>
        <w:t>（采购文件中明确的所属行业）</w:t>
      </w:r>
      <w:r>
        <w:rPr>
          <w:rFonts w:hint="eastAsia" w:ascii="宋体" w:hAnsi="宋体" w:cs="宋体"/>
          <w:color w:val="auto"/>
          <w:spacing w:val="6"/>
          <w:szCs w:val="21"/>
          <w:highlight w:val="none"/>
        </w:rPr>
        <w:t>；承建（承接）企业为（</w:t>
      </w:r>
      <w:r>
        <w:rPr>
          <w:rFonts w:hint="eastAsia" w:ascii="宋体" w:hAnsi="宋体" w:cs="宋体"/>
          <w:color w:val="auto"/>
          <w:spacing w:val="6"/>
          <w:szCs w:val="21"/>
          <w:highlight w:val="none"/>
          <w:u w:val="single"/>
        </w:rPr>
        <w:t>企业名称</w:t>
      </w:r>
      <w:r>
        <w:rPr>
          <w:rFonts w:hint="eastAsia" w:ascii="宋体" w:hAnsi="宋体" w:cs="宋体"/>
          <w:color w:val="auto"/>
          <w:spacing w:val="6"/>
          <w:szCs w:val="21"/>
          <w:highlight w:val="none"/>
        </w:rPr>
        <w:t>），从业人员</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人，营业收入为</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万元，资产总额为</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万元，属于（</w:t>
      </w:r>
      <w:r>
        <w:rPr>
          <w:rFonts w:hint="eastAsia" w:ascii="宋体" w:hAnsi="宋体" w:cs="宋体"/>
          <w:color w:val="auto"/>
          <w:spacing w:val="6"/>
          <w:szCs w:val="21"/>
          <w:highlight w:val="none"/>
          <w:u w:val="single"/>
        </w:rPr>
        <w:t>中型企业、 小型企业、微型企业</w:t>
      </w:r>
      <w:r>
        <w:rPr>
          <w:rFonts w:hint="eastAsia" w:ascii="宋体" w:hAnsi="宋体" w:cs="宋体"/>
          <w:color w:val="auto"/>
          <w:spacing w:val="6"/>
          <w:szCs w:val="21"/>
          <w:highlight w:val="none"/>
        </w:rPr>
        <w:t>）；</w:t>
      </w:r>
    </w:p>
    <w:p w14:paraId="74071BBE">
      <w:pPr>
        <w:pStyle w:val="7"/>
        <w:spacing w:line="360" w:lineRule="auto"/>
        <w:ind w:left="0"/>
        <w:rPr>
          <w:rFonts w:hint="eastAsia" w:ascii="宋体" w:hAnsi="宋体" w:cs="宋体"/>
          <w:color w:val="auto"/>
          <w:szCs w:val="21"/>
          <w:highlight w:val="none"/>
        </w:rPr>
      </w:pPr>
      <w:r>
        <w:rPr>
          <w:rFonts w:hint="eastAsia" w:ascii="宋体" w:hAnsi="宋体" w:cs="宋体"/>
          <w:color w:val="auto"/>
          <w:szCs w:val="21"/>
          <w:highlight w:val="none"/>
        </w:rPr>
        <w:t>……</w:t>
      </w:r>
    </w:p>
    <w:p w14:paraId="3370F106">
      <w:pPr>
        <w:widowControl/>
        <w:spacing w:line="360" w:lineRule="auto"/>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以上企业，不属于大企业的分支机构，不存在控股股东为大企业的情形，也不存在与大企业的负责人为同一人的情形。</w:t>
      </w:r>
    </w:p>
    <w:p w14:paraId="20927D47">
      <w:pPr>
        <w:widowControl/>
        <w:spacing w:line="360" w:lineRule="auto"/>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 xml:space="preserve">本企业对上述声明内容的真实性负责。如有虚假，将依法承担相应责任。 </w:t>
      </w:r>
    </w:p>
    <w:p w14:paraId="7986DCFC">
      <w:pPr>
        <w:pStyle w:val="9"/>
        <w:spacing w:line="360" w:lineRule="auto"/>
        <w:ind w:firstLine="5106" w:firstLineChars="2300"/>
        <w:jc w:val="right"/>
        <w:rPr>
          <w:rFonts w:hint="eastAsia" w:ascii="宋体" w:hAnsi="宋体" w:cs="宋体"/>
          <w:color w:val="auto"/>
          <w:spacing w:val="6"/>
          <w:szCs w:val="21"/>
          <w:highlight w:val="none"/>
        </w:rPr>
      </w:pPr>
      <w:r>
        <w:rPr>
          <w:rFonts w:hint="eastAsia" w:ascii="宋体" w:hAnsi="宋体" w:cs="宋体"/>
          <w:color w:val="auto"/>
          <w:spacing w:val="6"/>
          <w:szCs w:val="21"/>
          <w:highlight w:val="none"/>
        </w:rPr>
        <w:t>企业名称（</w:t>
      </w:r>
      <w:r>
        <w:rPr>
          <w:rFonts w:hint="eastAsia" w:ascii="宋体" w:hAnsi="宋体" w:cs="宋体"/>
          <w:color w:val="auto"/>
          <w:szCs w:val="21"/>
          <w:highlight w:val="none"/>
        </w:rPr>
        <w:t>CA签章</w:t>
      </w:r>
      <w:r>
        <w:rPr>
          <w:rFonts w:hint="eastAsia" w:ascii="宋体" w:hAnsi="宋体" w:cs="宋体"/>
          <w:color w:val="auto"/>
          <w:spacing w:val="6"/>
          <w:szCs w:val="21"/>
          <w:highlight w:val="none"/>
        </w:rPr>
        <w:t xml:space="preserve">）： </w:t>
      </w:r>
    </w:p>
    <w:p w14:paraId="064843EC">
      <w:pPr>
        <w:pStyle w:val="15"/>
        <w:spacing w:line="460" w:lineRule="exact"/>
        <w:jc w:val="right"/>
        <w:rPr>
          <w:rFonts w:hint="eastAsia" w:ascii="宋体" w:hAnsi="宋体" w:eastAsia="宋体" w:cs="宋体"/>
          <w:b/>
          <w:color w:val="auto"/>
          <w:sz w:val="24"/>
          <w:szCs w:val="24"/>
          <w:highlight w:val="none"/>
        </w:rPr>
      </w:pPr>
      <w:r>
        <w:rPr>
          <w:rFonts w:hint="eastAsia" w:ascii="宋体" w:hAnsi="宋体" w:cs="宋体"/>
          <w:color w:val="auto"/>
          <w:spacing w:val="6"/>
          <w:szCs w:val="21"/>
          <w:highlight w:val="none"/>
        </w:rPr>
        <w:t>日 期：</w:t>
      </w:r>
    </w:p>
    <w:p w14:paraId="1C1F5300">
      <w:pPr>
        <w:pStyle w:val="15"/>
        <w:spacing w:line="460" w:lineRule="exact"/>
        <w:rPr>
          <w:rFonts w:hint="eastAsia" w:ascii="宋体" w:hAnsi="宋体" w:eastAsia="宋体" w:cs="宋体"/>
          <w:b/>
          <w:color w:val="auto"/>
          <w:sz w:val="24"/>
          <w:szCs w:val="24"/>
          <w:highlight w:val="none"/>
        </w:rPr>
      </w:pPr>
    </w:p>
    <w:p w14:paraId="4030FC5F">
      <w:pPr>
        <w:pStyle w:val="15"/>
        <w:spacing w:line="460" w:lineRule="exact"/>
        <w:rPr>
          <w:rFonts w:hint="eastAsia" w:ascii="宋体" w:hAnsi="宋体" w:eastAsia="宋体" w:cs="宋体"/>
          <w:b/>
          <w:color w:val="auto"/>
          <w:sz w:val="24"/>
          <w:szCs w:val="24"/>
          <w:highlight w:val="none"/>
        </w:rPr>
      </w:pPr>
    </w:p>
    <w:p w14:paraId="21234C33">
      <w:pPr>
        <w:pStyle w:val="15"/>
        <w:spacing w:line="460" w:lineRule="exact"/>
        <w:rPr>
          <w:rFonts w:hint="eastAsia" w:ascii="宋体" w:hAnsi="宋体" w:eastAsia="宋体" w:cs="宋体"/>
          <w:b/>
          <w:color w:val="auto"/>
          <w:sz w:val="24"/>
          <w:szCs w:val="24"/>
          <w:highlight w:val="none"/>
        </w:rPr>
      </w:pPr>
    </w:p>
    <w:p w14:paraId="6EBE98D6">
      <w:pPr>
        <w:spacing w:line="588" w:lineRule="exact"/>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p w14:paraId="0956713B">
      <w:pPr>
        <w:spacing w:line="588" w:lineRule="exact"/>
        <w:rPr>
          <w:rFonts w:hint="eastAsia" w:ascii="宋体" w:hAnsi="宋体" w:eastAsia="宋体" w:cs="宋体"/>
          <w:b/>
          <w:color w:val="auto"/>
          <w:spacing w:val="6"/>
          <w:sz w:val="30"/>
          <w:szCs w:val="30"/>
          <w:highlight w:val="none"/>
        </w:rPr>
      </w:pPr>
    </w:p>
    <w:p w14:paraId="788527AF">
      <w:pPr>
        <w:spacing w:line="588" w:lineRule="exact"/>
        <w:ind w:firstLine="444" w:firstLineChars="2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本单位郑重声明，根据《财政部 民政部 中国残疾人联合会关于促进残疾人就业政府采购政策的通知》（财库</w:t>
      </w:r>
      <w:r>
        <w:rPr>
          <w:rFonts w:hint="eastAsia" w:ascii="宋体" w:hAnsi="宋体" w:eastAsia="宋体" w:cs="宋体"/>
          <w:color w:val="auto"/>
          <w:sz w:val="21"/>
          <w:szCs w:val="21"/>
          <w:highlight w:val="none"/>
        </w:rPr>
        <w:t>〔2018〕 141</w:t>
      </w:r>
      <w:r>
        <w:rPr>
          <w:rFonts w:hint="eastAsia" w:ascii="宋体" w:hAnsi="宋体" w:eastAsia="宋体" w:cs="宋体"/>
          <w:color w:val="auto"/>
          <w:spacing w:val="6"/>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0677104">
      <w:pPr>
        <w:spacing w:line="588" w:lineRule="exact"/>
        <w:ind w:firstLine="444" w:firstLineChars="20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本单位对上述声明的真实性负责。如有虚假，将依法承担相应责任。</w:t>
      </w:r>
    </w:p>
    <w:p w14:paraId="2E4383C1">
      <w:pPr>
        <w:spacing w:line="588" w:lineRule="exact"/>
        <w:ind w:firstLine="444" w:firstLineChars="200"/>
        <w:rPr>
          <w:rFonts w:hint="eastAsia" w:ascii="宋体" w:hAnsi="宋体" w:eastAsia="宋体" w:cs="宋体"/>
          <w:color w:val="auto"/>
          <w:spacing w:val="6"/>
          <w:sz w:val="21"/>
          <w:szCs w:val="21"/>
          <w:highlight w:val="none"/>
        </w:rPr>
      </w:pPr>
    </w:p>
    <w:p w14:paraId="7CB9071F">
      <w:pPr>
        <w:spacing w:line="588" w:lineRule="exact"/>
        <w:ind w:firstLine="444" w:firstLineChars="200"/>
        <w:rPr>
          <w:rFonts w:hint="eastAsia" w:ascii="宋体" w:hAnsi="宋体" w:eastAsia="宋体" w:cs="宋体"/>
          <w:color w:val="auto"/>
          <w:spacing w:val="6"/>
          <w:sz w:val="21"/>
          <w:szCs w:val="21"/>
          <w:highlight w:val="none"/>
        </w:rPr>
      </w:pPr>
    </w:p>
    <w:p w14:paraId="7DECDFD8">
      <w:pPr>
        <w:tabs>
          <w:tab w:val="left" w:pos="4860"/>
        </w:tabs>
        <w:spacing w:line="588" w:lineRule="exact"/>
        <w:ind w:right="1560" w:firstLine="444" w:firstLineChars="20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单位名称（盖章）：</w:t>
      </w:r>
    </w:p>
    <w:p w14:paraId="11B33E79">
      <w:pPr>
        <w:tabs>
          <w:tab w:val="left" w:pos="4860"/>
        </w:tabs>
        <w:spacing w:line="588" w:lineRule="exact"/>
        <w:ind w:right="1560" w:firstLine="444" w:firstLineChars="200"/>
        <w:jc w:val="center"/>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日  期：</w:t>
      </w:r>
    </w:p>
    <w:p w14:paraId="31D22975">
      <w:pPr>
        <w:tabs>
          <w:tab w:val="left" w:pos="1305"/>
        </w:tabs>
        <w:spacing w:line="380" w:lineRule="exact"/>
        <w:rPr>
          <w:rFonts w:hint="eastAsia" w:ascii="宋体" w:hAnsi="宋体" w:eastAsia="宋体" w:cs="宋体"/>
          <w:b/>
          <w:color w:val="auto"/>
          <w:sz w:val="24"/>
          <w:highlight w:val="none"/>
        </w:rPr>
      </w:pPr>
    </w:p>
    <w:p w14:paraId="1AF56CC4">
      <w:pPr>
        <w:tabs>
          <w:tab w:val="left" w:pos="1305"/>
        </w:tabs>
        <w:spacing w:line="380" w:lineRule="exact"/>
        <w:rPr>
          <w:rFonts w:hint="eastAsia" w:ascii="宋体" w:hAnsi="宋体" w:eastAsia="宋体" w:cs="宋体"/>
          <w:b/>
          <w:color w:val="auto"/>
          <w:sz w:val="32"/>
          <w:szCs w:val="32"/>
          <w:highlight w:val="none"/>
        </w:rPr>
      </w:pPr>
    </w:p>
    <w:p w14:paraId="6C896357">
      <w:pPr>
        <w:pStyle w:val="4"/>
        <w:tabs>
          <w:tab w:val="left" w:pos="2155"/>
        </w:tabs>
        <w:rPr>
          <w:rFonts w:hint="eastAsia" w:ascii="宋体" w:hAnsi="宋体" w:eastAsia="宋体" w:cs="宋体"/>
          <w:b/>
          <w:color w:val="auto"/>
          <w:sz w:val="24"/>
          <w:szCs w:val="24"/>
          <w:highlight w:val="none"/>
        </w:rPr>
      </w:pPr>
    </w:p>
    <w:p w14:paraId="63305AA5">
      <w:pPr>
        <w:rPr>
          <w:rFonts w:hint="eastAsia" w:ascii="宋体" w:hAnsi="宋体" w:eastAsia="宋体" w:cs="宋体"/>
          <w:b/>
          <w:color w:val="auto"/>
          <w:sz w:val="24"/>
          <w:szCs w:val="24"/>
          <w:highlight w:val="none"/>
        </w:rPr>
      </w:pPr>
    </w:p>
    <w:p w14:paraId="2E2099E4">
      <w:pPr>
        <w:pStyle w:val="10"/>
        <w:rPr>
          <w:rFonts w:hint="eastAsia" w:ascii="宋体" w:hAnsi="宋体" w:eastAsia="宋体" w:cs="宋体"/>
          <w:b/>
          <w:color w:val="auto"/>
          <w:sz w:val="24"/>
          <w:szCs w:val="24"/>
          <w:highlight w:val="none"/>
        </w:rPr>
      </w:pPr>
    </w:p>
    <w:p w14:paraId="2C5EC3B6">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573A4DAC">
      <w:pPr>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三、商务、技术性响应及其他有效证明材料（格式）</w:t>
      </w:r>
    </w:p>
    <w:p w14:paraId="4E79810B">
      <w:pPr>
        <w:spacing w:line="500" w:lineRule="exact"/>
        <w:rPr>
          <w:rFonts w:hint="eastAsia" w:ascii="宋体" w:hAnsi="宋体" w:eastAsia="宋体" w:cs="宋体"/>
          <w:b/>
          <w:bCs/>
          <w:color w:val="auto"/>
          <w:sz w:val="32"/>
          <w:szCs w:val="32"/>
          <w:highlight w:val="none"/>
        </w:rPr>
      </w:pPr>
    </w:p>
    <w:p w14:paraId="5855FF2F">
      <w:pPr>
        <w:pStyle w:val="15"/>
        <w:spacing w:line="460" w:lineRule="exact"/>
        <w:ind w:firstLine="241" w:firstLineChars="1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hAnsi="宋体" w:cs="宋体"/>
          <w:b/>
          <w:color w:val="auto"/>
          <w:sz w:val="24"/>
          <w:szCs w:val="24"/>
          <w:highlight w:val="none"/>
          <w:lang w:val="en-US" w:eastAsia="zh-CN"/>
        </w:rPr>
        <w:t>.</w:t>
      </w:r>
      <w:r>
        <w:rPr>
          <w:rFonts w:hint="eastAsia" w:ascii="宋体" w:hAnsi="宋体" w:eastAsia="宋体" w:cs="宋体"/>
          <w:b/>
          <w:color w:val="auto"/>
          <w:sz w:val="24"/>
          <w:szCs w:val="24"/>
          <w:highlight w:val="none"/>
          <w:lang w:eastAsia="zh-CN"/>
        </w:rPr>
        <w:t>投标报价</w:t>
      </w:r>
      <w:r>
        <w:rPr>
          <w:rFonts w:hint="eastAsia" w:ascii="宋体" w:hAnsi="宋体" w:eastAsia="宋体" w:cs="宋体"/>
          <w:b/>
          <w:color w:val="auto"/>
          <w:sz w:val="24"/>
          <w:szCs w:val="24"/>
          <w:highlight w:val="none"/>
        </w:rPr>
        <w:t>表（格式见附件）（必须提供）</w:t>
      </w:r>
    </w:p>
    <w:p w14:paraId="293175C7">
      <w:pPr>
        <w:pStyle w:val="15"/>
        <w:spacing w:line="460" w:lineRule="exact"/>
        <w:ind w:left="42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附件：                                      </w:t>
      </w:r>
    </w:p>
    <w:p w14:paraId="7F2404AC">
      <w:pPr>
        <w:pStyle w:val="15"/>
        <w:spacing w:line="460" w:lineRule="exact"/>
        <w:ind w:left="42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投标报价</w:t>
      </w:r>
      <w:r>
        <w:rPr>
          <w:rFonts w:hint="eastAsia" w:ascii="宋体" w:hAnsi="宋体" w:eastAsia="宋体" w:cs="宋体"/>
          <w:b/>
          <w:color w:val="auto"/>
          <w:szCs w:val="21"/>
          <w:highlight w:val="none"/>
        </w:rPr>
        <w:t>表（格式）</w:t>
      </w:r>
    </w:p>
    <w:tbl>
      <w:tblPr>
        <w:tblStyle w:val="25"/>
        <w:tblW w:w="992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5"/>
        <w:gridCol w:w="4017"/>
        <w:gridCol w:w="926"/>
        <w:gridCol w:w="832"/>
        <w:gridCol w:w="1841"/>
        <w:gridCol w:w="1801"/>
      </w:tblGrid>
      <w:tr w14:paraId="22DBF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505" w:type="dxa"/>
            <w:tcBorders>
              <w:top w:val="single" w:color="auto" w:sz="4" w:space="0"/>
              <w:left w:val="single" w:color="auto" w:sz="4" w:space="0"/>
              <w:bottom w:val="single" w:color="auto" w:sz="4" w:space="0"/>
              <w:right w:val="single" w:color="auto" w:sz="4" w:space="0"/>
            </w:tcBorders>
            <w:noWrap w:val="0"/>
            <w:vAlign w:val="center"/>
          </w:tcPr>
          <w:p w14:paraId="28D8B48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3A9CA1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926" w:type="dxa"/>
            <w:tcBorders>
              <w:top w:val="single" w:color="auto" w:sz="4" w:space="0"/>
              <w:left w:val="single" w:color="auto" w:sz="4" w:space="0"/>
              <w:bottom w:val="single" w:color="auto" w:sz="4" w:space="0"/>
              <w:right w:val="single" w:color="auto" w:sz="4" w:space="0"/>
            </w:tcBorders>
            <w:noWrap w:val="0"/>
            <w:vAlign w:val="center"/>
          </w:tcPr>
          <w:p w14:paraId="5BFE73F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p w14:paraId="48A0F13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1C73C42">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74733D05">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折扣率</w:t>
            </w:r>
            <w:r>
              <w:rPr>
                <w:rFonts w:hint="eastAsia" w:ascii="宋体" w:hAnsi="宋体" w:eastAsia="宋体" w:cs="宋体"/>
                <w:color w:val="auto"/>
                <w:szCs w:val="21"/>
                <w:highlight w:val="none"/>
              </w:rPr>
              <w:t>（%）</w:t>
            </w:r>
          </w:p>
        </w:tc>
        <w:tc>
          <w:tcPr>
            <w:tcW w:w="1801" w:type="dxa"/>
            <w:tcBorders>
              <w:top w:val="single" w:color="auto" w:sz="4" w:space="0"/>
              <w:left w:val="single" w:color="auto" w:sz="4" w:space="0"/>
              <w:bottom w:val="single" w:color="auto" w:sz="4" w:space="0"/>
            </w:tcBorders>
            <w:noWrap w:val="0"/>
            <w:vAlign w:val="center"/>
          </w:tcPr>
          <w:p w14:paraId="271C1D5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4A03F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8" w:hRule="atLeast"/>
        </w:trPr>
        <w:tc>
          <w:tcPr>
            <w:tcW w:w="505" w:type="dxa"/>
            <w:tcBorders>
              <w:top w:val="single" w:color="auto" w:sz="4" w:space="0"/>
              <w:left w:val="single" w:color="auto" w:sz="4" w:space="0"/>
              <w:bottom w:val="single" w:color="auto" w:sz="4" w:space="0"/>
              <w:right w:val="single" w:color="auto" w:sz="4" w:space="0"/>
            </w:tcBorders>
            <w:noWrap w:val="0"/>
            <w:vAlign w:val="center"/>
          </w:tcPr>
          <w:p w14:paraId="4086D5F3">
            <w:pPr>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4B00214">
            <w:pPr>
              <w:spacing w:line="400" w:lineRule="exact"/>
              <w:jc w:val="center"/>
              <w:rPr>
                <w:rFonts w:hint="eastAsia" w:ascii="宋体" w:hAnsi="宋体" w:eastAsia="宋体" w:cs="宋体"/>
                <w:color w:val="auto"/>
                <w:szCs w:val="21"/>
                <w:highlight w:val="none"/>
              </w:rPr>
            </w:pPr>
          </w:p>
        </w:tc>
        <w:tc>
          <w:tcPr>
            <w:tcW w:w="926" w:type="dxa"/>
            <w:tcBorders>
              <w:top w:val="single" w:color="auto" w:sz="4" w:space="0"/>
              <w:left w:val="single" w:color="auto" w:sz="4" w:space="0"/>
              <w:bottom w:val="single" w:color="auto" w:sz="4" w:space="0"/>
              <w:right w:val="single" w:color="auto" w:sz="4" w:space="0"/>
            </w:tcBorders>
            <w:noWrap w:val="0"/>
            <w:vAlign w:val="center"/>
          </w:tcPr>
          <w:p w14:paraId="118A65EE">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3BBE1F4">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项</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493C1D67">
            <w:pPr>
              <w:spacing w:line="400" w:lineRule="exact"/>
              <w:jc w:val="center"/>
              <w:rPr>
                <w:rFonts w:hint="eastAsia" w:ascii="宋体" w:hAnsi="宋体" w:eastAsia="宋体" w:cs="宋体"/>
                <w:b/>
                <w:bCs/>
                <w:color w:val="auto"/>
                <w:szCs w:val="21"/>
                <w:highlight w:val="none"/>
              </w:rPr>
            </w:pPr>
          </w:p>
        </w:tc>
        <w:tc>
          <w:tcPr>
            <w:tcW w:w="1801" w:type="dxa"/>
            <w:tcBorders>
              <w:top w:val="single" w:color="auto" w:sz="4" w:space="0"/>
              <w:left w:val="single" w:color="auto" w:sz="4" w:space="0"/>
              <w:bottom w:val="single" w:color="auto" w:sz="4" w:space="0"/>
            </w:tcBorders>
            <w:noWrap w:val="0"/>
            <w:vAlign w:val="center"/>
          </w:tcPr>
          <w:p w14:paraId="2E28C878">
            <w:pPr>
              <w:spacing w:line="400" w:lineRule="exact"/>
              <w:jc w:val="center"/>
              <w:rPr>
                <w:rFonts w:hint="eastAsia" w:ascii="宋体" w:hAnsi="宋体" w:eastAsia="宋体" w:cs="宋体"/>
                <w:b/>
                <w:bCs/>
                <w:color w:val="auto"/>
                <w:szCs w:val="21"/>
                <w:highlight w:val="none"/>
              </w:rPr>
            </w:pPr>
          </w:p>
        </w:tc>
      </w:tr>
      <w:tr w14:paraId="29B1E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9" w:hRule="atLeast"/>
        </w:trPr>
        <w:tc>
          <w:tcPr>
            <w:tcW w:w="9922" w:type="dxa"/>
            <w:gridSpan w:val="6"/>
            <w:tcBorders>
              <w:top w:val="single" w:color="auto" w:sz="4" w:space="0"/>
              <w:left w:val="single" w:color="auto" w:sz="4" w:space="0"/>
              <w:bottom w:val="single" w:color="auto" w:sz="4" w:space="0"/>
            </w:tcBorders>
            <w:noWrap w:val="0"/>
            <w:vAlign w:val="center"/>
          </w:tcPr>
          <w:p w14:paraId="6751AB0D">
            <w:pPr>
              <w:spacing w:line="400" w:lineRule="exac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说明：</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指本次采购范围服务价款、税金、售后服务、人员培训等全部费用，供应商综合考虑在报价中。</w:t>
            </w:r>
          </w:p>
        </w:tc>
      </w:tr>
    </w:tbl>
    <w:p w14:paraId="45554BB4">
      <w:pPr>
        <w:spacing w:line="460" w:lineRule="exact"/>
        <w:rPr>
          <w:rFonts w:hint="eastAsia" w:ascii="宋体" w:hAnsi="宋体" w:eastAsia="宋体" w:cs="宋体"/>
          <w:color w:val="auto"/>
          <w:szCs w:val="21"/>
          <w:highlight w:val="none"/>
        </w:rPr>
      </w:pPr>
    </w:p>
    <w:p w14:paraId="0D41876A">
      <w:pPr>
        <w:spacing w:line="4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FAE6419">
      <w:pPr>
        <w:spacing w:line="4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39FB1A28">
      <w:pPr>
        <w:pStyle w:val="15"/>
        <w:spacing w:line="460" w:lineRule="exac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年    月    日  </w:t>
      </w:r>
    </w:p>
    <w:p w14:paraId="2FDC9001">
      <w:pPr>
        <w:tabs>
          <w:tab w:val="left" w:pos="1305"/>
        </w:tabs>
        <w:spacing w:line="460" w:lineRule="exact"/>
        <w:ind w:left="626" w:leftChars="98" w:hanging="420" w:hangingChars="200"/>
        <w:rPr>
          <w:rFonts w:hint="eastAsia" w:ascii="宋体" w:hAnsi="宋体" w:eastAsia="宋体" w:cs="宋体"/>
          <w:bCs/>
          <w:color w:val="auto"/>
          <w:szCs w:val="21"/>
          <w:highlight w:val="none"/>
        </w:rPr>
      </w:pPr>
    </w:p>
    <w:p w14:paraId="3E467568">
      <w:pPr>
        <w:tabs>
          <w:tab w:val="left" w:pos="1305"/>
        </w:tabs>
        <w:spacing w:line="460" w:lineRule="exact"/>
        <w:ind w:left="6" w:firstLine="199" w:firstLineChars="95"/>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
          <w:bCs/>
          <w:color w:val="auto"/>
          <w:szCs w:val="21"/>
          <w:highlight w:val="none"/>
        </w:rPr>
        <w:t>：</w:t>
      </w:r>
      <w:r>
        <w:rPr>
          <w:rFonts w:hint="eastAsia" w:ascii="宋体" w:hAnsi="宋体" w:eastAsia="宋体" w:cs="宋体"/>
          <w:bCs/>
          <w:color w:val="auto"/>
          <w:szCs w:val="21"/>
          <w:highlight w:val="none"/>
        </w:rPr>
        <w:t xml:space="preserve">1. </w:t>
      </w:r>
      <w:r>
        <w:rPr>
          <w:rFonts w:hint="eastAsia" w:ascii="宋体" w:hAnsi="宋体" w:eastAsia="宋体" w:cs="宋体"/>
          <w:color w:val="auto"/>
          <w:szCs w:val="21"/>
          <w:highlight w:val="none"/>
        </w:rPr>
        <w:t>供应商必须就“服务采购需求”中的所有内容作完整唯一报价，响应文件只允许有一个报价，有选择的或有条件的报价将不予接受。</w:t>
      </w:r>
    </w:p>
    <w:p w14:paraId="712B4EB8">
      <w:pPr>
        <w:pStyle w:val="15"/>
        <w:spacing w:line="46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供应商应根据所提供服务如实填写</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Cs/>
          <w:color w:val="auto"/>
          <w:szCs w:val="21"/>
          <w:highlight w:val="none"/>
        </w:rPr>
        <w:t>的各项内容，否则，响应无效。</w:t>
      </w:r>
    </w:p>
    <w:p w14:paraId="5DB2C83C">
      <w:pPr>
        <w:spacing w:line="460" w:lineRule="exact"/>
        <w:ind w:left="10" w:firstLine="619" w:firstLineChars="295"/>
        <w:rPr>
          <w:rFonts w:hint="eastAsia" w:ascii="宋体" w:hAnsi="宋体" w:eastAsia="宋体" w:cs="宋体"/>
          <w:bCs/>
          <w:color w:val="auto"/>
          <w:sz w:val="24"/>
          <w:highlight w:val="none"/>
        </w:rPr>
      </w:pPr>
      <w:r>
        <w:rPr>
          <w:rFonts w:hint="eastAsia" w:ascii="宋体" w:hAnsi="宋体" w:eastAsia="宋体" w:cs="宋体"/>
          <w:bCs/>
          <w:color w:val="auto"/>
          <w:szCs w:val="21"/>
          <w:highlight w:val="none"/>
        </w:rPr>
        <w:t xml:space="preserve">3. </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Cs/>
          <w:color w:val="auto"/>
          <w:szCs w:val="21"/>
          <w:highlight w:val="none"/>
        </w:rPr>
        <w:t>须由</w:t>
      </w:r>
      <w:r>
        <w:rPr>
          <w:rFonts w:hint="eastAsia" w:ascii="宋体" w:hAnsi="宋体" w:eastAsia="宋体" w:cs="宋体"/>
          <w:color w:val="auto"/>
          <w:szCs w:val="21"/>
          <w:highlight w:val="none"/>
        </w:rPr>
        <w:t>定代表人、负责人或相应的委托代理人签字并加盖供应商公章。当本表由多页构成时，需逐页加盖供应商公章。</w:t>
      </w:r>
    </w:p>
    <w:p w14:paraId="5D3032BB">
      <w:pPr>
        <w:pStyle w:val="15"/>
        <w:spacing w:line="460" w:lineRule="exact"/>
        <w:ind w:left="420"/>
        <w:rPr>
          <w:rFonts w:hint="eastAsia" w:ascii="宋体" w:hAnsi="宋体" w:eastAsia="宋体" w:cs="宋体"/>
          <w:b/>
          <w:color w:val="auto"/>
          <w:sz w:val="24"/>
          <w:szCs w:val="24"/>
          <w:highlight w:val="none"/>
        </w:rPr>
        <w:sectPr>
          <w:pgSz w:w="11906" w:h="16838"/>
          <w:pgMar w:top="1106" w:right="1267" w:bottom="850" w:left="1179" w:header="851" w:footer="992" w:gutter="0"/>
          <w:pgBorders>
            <w:top w:val="none" w:sz="0" w:space="0"/>
            <w:left w:val="none" w:sz="0" w:space="0"/>
            <w:bottom w:val="none" w:sz="0" w:space="0"/>
            <w:right w:val="none" w:sz="0" w:space="0"/>
          </w:pgBorders>
          <w:pgNumType w:fmt="decimal"/>
          <w:cols w:space="720" w:num="1"/>
          <w:docGrid w:type="lines" w:linePitch="316" w:charSpace="0"/>
        </w:sectPr>
      </w:pPr>
    </w:p>
    <w:p w14:paraId="37FC3C1F">
      <w:pPr>
        <w:pStyle w:val="15"/>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w:t>
      </w:r>
      <w:r>
        <w:rPr>
          <w:rFonts w:hint="eastAsia" w:ascii="宋体" w:hAnsi="宋体" w:eastAsia="宋体" w:cs="宋体"/>
          <w:b/>
          <w:color w:val="auto"/>
          <w:sz w:val="24"/>
          <w:szCs w:val="24"/>
          <w:highlight w:val="none"/>
        </w:rPr>
        <w:t>.</w:t>
      </w:r>
      <w:r>
        <w:rPr>
          <w:rFonts w:hint="eastAsia" w:hAnsi="宋体" w:cs="宋体"/>
          <w:b/>
          <w:color w:val="auto"/>
          <w:sz w:val="24"/>
          <w:szCs w:val="24"/>
          <w:highlight w:val="none"/>
          <w:lang w:eastAsia="zh-CN"/>
        </w:rPr>
        <w:t>供应商承诺并提供的投入本项目实施作业人员≥4人（响应文件提供≥4人及其202</w:t>
      </w:r>
      <w:r>
        <w:rPr>
          <w:rFonts w:hint="eastAsia" w:hAnsi="宋体" w:cs="宋体"/>
          <w:b/>
          <w:color w:val="auto"/>
          <w:sz w:val="24"/>
          <w:szCs w:val="24"/>
          <w:highlight w:val="none"/>
          <w:lang w:val="en-US" w:eastAsia="zh-CN"/>
        </w:rPr>
        <w:t>6</w:t>
      </w:r>
      <w:r>
        <w:rPr>
          <w:rFonts w:hint="eastAsia" w:hAnsi="宋体" w:cs="宋体"/>
          <w:b/>
          <w:color w:val="auto"/>
          <w:sz w:val="24"/>
          <w:szCs w:val="24"/>
          <w:highlight w:val="none"/>
          <w:lang w:eastAsia="zh-CN"/>
        </w:rPr>
        <w:t>年以来任意连续三个月社保证明及身份证证明复印件））证明文件</w:t>
      </w:r>
      <w:r>
        <w:rPr>
          <w:rFonts w:hint="eastAsia" w:ascii="宋体" w:hAnsi="宋体" w:eastAsia="宋体" w:cs="宋体"/>
          <w:b/>
          <w:color w:val="auto"/>
          <w:sz w:val="24"/>
          <w:szCs w:val="24"/>
          <w:highlight w:val="none"/>
        </w:rPr>
        <w:t>（必须提供）；</w:t>
      </w:r>
    </w:p>
    <w:p w14:paraId="6C85504C">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项目实施人员一览表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14:paraId="3345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center"/>
          </w:tcPr>
          <w:p w14:paraId="7AEAF75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806" w:type="dxa"/>
            <w:noWrap w:val="0"/>
            <w:vAlign w:val="center"/>
          </w:tcPr>
          <w:p w14:paraId="71EBB2E5">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1537" w:type="dxa"/>
            <w:noWrap w:val="0"/>
            <w:vAlign w:val="center"/>
          </w:tcPr>
          <w:p w14:paraId="4BCB86C8">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专业技术资格</w:t>
            </w:r>
          </w:p>
        </w:tc>
        <w:tc>
          <w:tcPr>
            <w:tcW w:w="1371" w:type="dxa"/>
            <w:noWrap w:val="0"/>
            <w:vAlign w:val="center"/>
          </w:tcPr>
          <w:p w14:paraId="58DD3A2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证书编号</w:t>
            </w:r>
          </w:p>
        </w:tc>
        <w:tc>
          <w:tcPr>
            <w:tcW w:w="2163" w:type="dxa"/>
            <w:noWrap w:val="0"/>
            <w:vAlign w:val="center"/>
          </w:tcPr>
          <w:p w14:paraId="7D5E95C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参加本单位</w:t>
            </w:r>
          </w:p>
          <w:p w14:paraId="5BC9E0CE">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工作时间</w:t>
            </w:r>
          </w:p>
        </w:tc>
        <w:tc>
          <w:tcPr>
            <w:tcW w:w="2000" w:type="dxa"/>
            <w:noWrap w:val="0"/>
            <w:vAlign w:val="center"/>
          </w:tcPr>
          <w:p w14:paraId="00A8BA57">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劳动合同编号</w:t>
            </w:r>
          </w:p>
        </w:tc>
      </w:tr>
      <w:tr w14:paraId="0748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379EE227">
            <w:pPr>
              <w:spacing w:line="400" w:lineRule="exact"/>
              <w:rPr>
                <w:rFonts w:hint="eastAsia" w:ascii="宋体" w:hAnsi="宋体" w:eastAsia="宋体" w:cs="宋体"/>
                <w:color w:val="auto"/>
                <w:szCs w:val="21"/>
                <w:highlight w:val="none"/>
              </w:rPr>
            </w:pPr>
          </w:p>
        </w:tc>
        <w:tc>
          <w:tcPr>
            <w:tcW w:w="806" w:type="dxa"/>
            <w:noWrap w:val="0"/>
            <w:vAlign w:val="top"/>
          </w:tcPr>
          <w:p w14:paraId="764E89A8">
            <w:pPr>
              <w:spacing w:line="400" w:lineRule="exact"/>
              <w:rPr>
                <w:rFonts w:hint="eastAsia" w:ascii="宋体" w:hAnsi="宋体" w:eastAsia="宋体" w:cs="宋体"/>
                <w:color w:val="auto"/>
                <w:szCs w:val="21"/>
                <w:highlight w:val="none"/>
              </w:rPr>
            </w:pPr>
          </w:p>
        </w:tc>
        <w:tc>
          <w:tcPr>
            <w:tcW w:w="1537" w:type="dxa"/>
            <w:noWrap w:val="0"/>
            <w:vAlign w:val="top"/>
          </w:tcPr>
          <w:p w14:paraId="0221E426">
            <w:pPr>
              <w:spacing w:line="400" w:lineRule="exact"/>
              <w:rPr>
                <w:rFonts w:hint="eastAsia" w:ascii="宋体" w:hAnsi="宋体" w:eastAsia="宋体" w:cs="宋体"/>
                <w:color w:val="auto"/>
                <w:szCs w:val="21"/>
                <w:highlight w:val="none"/>
              </w:rPr>
            </w:pPr>
          </w:p>
        </w:tc>
        <w:tc>
          <w:tcPr>
            <w:tcW w:w="1371" w:type="dxa"/>
            <w:noWrap w:val="0"/>
            <w:vAlign w:val="top"/>
          </w:tcPr>
          <w:p w14:paraId="6E9463FD">
            <w:pPr>
              <w:spacing w:line="400" w:lineRule="exact"/>
              <w:rPr>
                <w:rFonts w:hint="eastAsia" w:ascii="宋体" w:hAnsi="宋体" w:eastAsia="宋体" w:cs="宋体"/>
                <w:color w:val="auto"/>
                <w:szCs w:val="21"/>
                <w:highlight w:val="none"/>
              </w:rPr>
            </w:pPr>
          </w:p>
        </w:tc>
        <w:tc>
          <w:tcPr>
            <w:tcW w:w="2163" w:type="dxa"/>
            <w:noWrap w:val="0"/>
            <w:vAlign w:val="top"/>
          </w:tcPr>
          <w:p w14:paraId="39AC57EF">
            <w:pPr>
              <w:spacing w:line="400" w:lineRule="exact"/>
              <w:rPr>
                <w:rFonts w:hint="eastAsia" w:ascii="宋体" w:hAnsi="宋体" w:eastAsia="宋体" w:cs="宋体"/>
                <w:color w:val="auto"/>
                <w:szCs w:val="21"/>
                <w:highlight w:val="none"/>
              </w:rPr>
            </w:pPr>
          </w:p>
        </w:tc>
        <w:tc>
          <w:tcPr>
            <w:tcW w:w="2000" w:type="dxa"/>
            <w:noWrap w:val="0"/>
            <w:vAlign w:val="top"/>
          </w:tcPr>
          <w:p w14:paraId="2DABC95C">
            <w:pPr>
              <w:spacing w:line="400" w:lineRule="exact"/>
              <w:rPr>
                <w:rFonts w:hint="eastAsia" w:ascii="宋体" w:hAnsi="宋体" w:eastAsia="宋体" w:cs="宋体"/>
                <w:color w:val="auto"/>
                <w:szCs w:val="21"/>
                <w:highlight w:val="none"/>
              </w:rPr>
            </w:pPr>
          </w:p>
        </w:tc>
      </w:tr>
      <w:tr w14:paraId="77BD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4324425A">
            <w:pPr>
              <w:spacing w:line="400" w:lineRule="exact"/>
              <w:rPr>
                <w:rFonts w:hint="eastAsia" w:ascii="宋体" w:hAnsi="宋体" w:eastAsia="宋体" w:cs="宋体"/>
                <w:color w:val="auto"/>
                <w:szCs w:val="21"/>
                <w:highlight w:val="none"/>
              </w:rPr>
            </w:pPr>
          </w:p>
        </w:tc>
        <w:tc>
          <w:tcPr>
            <w:tcW w:w="806" w:type="dxa"/>
            <w:noWrap w:val="0"/>
            <w:vAlign w:val="top"/>
          </w:tcPr>
          <w:p w14:paraId="1B897B9A">
            <w:pPr>
              <w:spacing w:line="400" w:lineRule="exact"/>
              <w:rPr>
                <w:rFonts w:hint="eastAsia" w:ascii="宋体" w:hAnsi="宋体" w:eastAsia="宋体" w:cs="宋体"/>
                <w:color w:val="auto"/>
                <w:szCs w:val="21"/>
                <w:highlight w:val="none"/>
              </w:rPr>
            </w:pPr>
          </w:p>
        </w:tc>
        <w:tc>
          <w:tcPr>
            <w:tcW w:w="1537" w:type="dxa"/>
            <w:noWrap w:val="0"/>
            <w:vAlign w:val="top"/>
          </w:tcPr>
          <w:p w14:paraId="3EAA2909">
            <w:pPr>
              <w:spacing w:line="400" w:lineRule="exact"/>
              <w:rPr>
                <w:rFonts w:hint="eastAsia" w:ascii="宋体" w:hAnsi="宋体" w:eastAsia="宋体" w:cs="宋体"/>
                <w:color w:val="auto"/>
                <w:szCs w:val="21"/>
                <w:highlight w:val="none"/>
              </w:rPr>
            </w:pPr>
          </w:p>
        </w:tc>
        <w:tc>
          <w:tcPr>
            <w:tcW w:w="1371" w:type="dxa"/>
            <w:noWrap w:val="0"/>
            <w:vAlign w:val="top"/>
          </w:tcPr>
          <w:p w14:paraId="074DACBB">
            <w:pPr>
              <w:spacing w:line="400" w:lineRule="exact"/>
              <w:rPr>
                <w:rFonts w:hint="eastAsia" w:ascii="宋体" w:hAnsi="宋体" w:eastAsia="宋体" w:cs="宋体"/>
                <w:color w:val="auto"/>
                <w:szCs w:val="21"/>
                <w:highlight w:val="none"/>
              </w:rPr>
            </w:pPr>
          </w:p>
        </w:tc>
        <w:tc>
          <w:tcPr>
            <w:tcW w:w="2163" w:type="dxa"/>
            <w:noWrap w:val="0"/>
            <w:vAlign w:val="top"/>
          </w:tcPr>
          <w:p w14:paraId="165736B9">
            <w:pPr>
              <w:spacing w:line="400" w:lineRule="exact"/>
              <w:rPr>
                <w:rFonts w:hint="eastAsia" w:ascii="宋体" w:hAnsi="宋体" w:eastAsia="宋体" w:cs="宋体"/>
                <w:color w:val="auto"/>
                <w:szCs w:val="21"/>
                <w:highlight w:val="none"/>
              </w:rPr>
            </w:pPr>
          </w:p>
        </w:tc>
        <w:tc>
          <w:tcPr>
            <w:tcW w:w="2000" w:type="dxa"/>
            <w:noWrap w:val="0"/>
            <w:vAlign w:val="top"/>
          </w:tcPr>
          <w:p w14:paraId="3375F2F9">
            <w:pPr>
              <w:spacing w:line="400" w:lineRule="exact"/>
              <w:rPr>
                <w:rFonts w:hint="eastAsia" w:ascii="宋体" w:hAnsi="宋体" w:eastAsia="宋体" w:cs="宋体"/>
                <w:color w:val="auto"/>
                <w:szCs w:val="21"/>
                <w:highlight w:val="none"/>
              </w:rPr>
            </w:pPr>
          </w:p>
        </w:tc>
      </w:tr>
      <w:tr w14:paraId="08B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335CBF57">
            <w:pPr>
              <w:spacing w:line="400" w:lineRule="exact"/>
              <w:rPr>
                <w:rFonts w:hint="eastAsia" w:ascii="宋体" w:hAnsi="宋体" w:eastAsia="宋体" w:cs="宋体"/>
                <w:color w:val="auto"/>
                <w:szCs w:val="21"/>
                <w:highlight w:val="none"/>
              </w:rPr>
            </w:pPr>
          </w:p>
        </w:tc>
        <w:tc>
          <w:tcPr>
            <w:tcW w:w="806" w:type="dxa"/>
            <w:noWrap w:val="0"/>
            <w:vAlign w:val="top"/>
          </w:tcPr>
          <w:p w14:paraId="55DEC991">
            <w:pPr>
              <w:spacing w:line="400" w:lineRule="exact"/>
              <w:rPr>
                <w:rFonts w:hint="eastAsia" w:ascii="宋体" w:hAnsi="宋体" w:eastAsia="宋体" w:cs="宋体"/>
                <w:color w:val="auto"/>
                <w:szCs w:val="21"/>
                <w:highlight w:val="none"/>
              </w:rPr>
            </w:pPr>
          </w:p>
        </w:tc>
        <w:tc>
          <w:tcPr>
            <w:tcW w:w="1537" w:type="dxa"/>
            <w:noWrap w:val="0"/>
            <w:vAlign w:val="top"/>
          </w:tcPr>
          <w:p w14:paraId="1A6B3A92">
            <w:pPr>
              <w:spacing w:line="400" w:lineRule="exact"/>
              <w:rPr>
                <w:rFonts w:hint="eastAsia" w:ascii="宋体" w:hAnsi="宋体" w:eastAsia="宋体" w:cs="宋体"/>
                <w:color w:val="auto"/>
                <w:szCs w:val="21"/>
                <w:highlight w:val="none"/>
              </w:rPr>
            </w:pPr>
          </w:p>
        </w:tc>
        <w:tc>
          <w:tcPr>
            <w:tcW w:w="1371" w:type="dxa"/>
            <w:noWrap w:val="0"/>
            <w:vAlign w:val="top"/>
          </w:tcPr>
          <w:p w14:paraId="2060056B">
            <w:pPr>
              <w:spacing w:line="400" w:lineRule="exact"/>
              <w:rPr>
                <w:rFonts w:hint="eastAsia" w:ascii="宋体" w:hAnsi="宋体" w:eastAsia="宋体" w:cs="宋体"/>
                <w:color w:val="auto"/>
                <w:szCs w:val="21"/>
                <w:highlight w:val="none"/>
              </w:rPr>
            </w:pPr>
          </w:p>
        </w:tc>
        <w:tc>
          <w:tcPr>
            <w:tcW w:w="2163" w:type="dxa"/>
            <w:noWrap w:val="0"/>
            <w:vAlign w:val="top"/>
          </w:tcPr>
          <w:p w14:paraId="6021F58C">
            <w:pPr>
              <w:spacing w:line="400" w:lineRule="exact"/>
              <w:rPr>
                <w:rFonts w:hint="eastAsia" w:ascii="宋体" w:hAnsi="宋体" w:eastAsia="宋体" w:cs="宋体"/>
                <w:color w:val="auto"/>
                <w:szCs w:val="21"/>
                <w:highlight w:val="none"/>
              </w:rPr>
            </w:pPr>
          </w:p>
        </w:tc>
        <w:tc>
          <w:tcPr>
            <w:tcW w:w="2000" w:type="dxa"/>
            <w:noWrap w:val="0"/>
            <w:vAlign w:val="top"/>
          </w:tcPr>
          <w:p w14:paraId="7EAF7F81">
            <w:pPr>
              <w:spacing w:line="400" w:lineRule="exact"/>
              <w:rPr>
                <w:rFonts w:hint="eastAsia" w:ascii="宋体" w:hAnsi="宋体" w:eastAsia="宋体" w:cs="宋体"/>
                <w:color w:val="auto"/>
                <w:szCs w:val="21"/>
                <w:highlight w:val="none"/>
              </w:rPr>
            </w:pPr>
          </w:p>
        </w:tc>
      </w:tr>
    </w:tbl>
    <w:p w14:paraId="26CD9A23">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注：1.在填写时，如本表格不适合投标单位的实际情况，可根据本表格式自行制表填写。</w:t>
      </w:r>
    </w:p>
    <w:p w14:paraId="0B01EDFB">
      <w:pPr>
        <w:spacing w:line="400" w:lineRule="exact"/>
        <w:ind w:firstLine="420" w:firstLineChars="200"/>
        <w:rPr>
          <w:rFonts w:hint="eastAsia" w:ascii="宋体" w:hAnsi="宋体" w:eastAsia="宋体" w:cs="宋体"/>
          <w:b/>
          <w:bCs/>
          <w:color w:val="auto"/>
          <w:sz w:val="32"/>
          <w:szCs w:val="20"/>
          <w:highlight w:val="none"/>
        </w:rPr>
      </w:pPr>
      <w:r>
        <w:rPr>
          <w:rFonts w:hint="eastAsia" w:ascii="宋体" w:hAnsi="宋体" w:eastAsia="宋体" w:cs="宋体"/>
          <w:color w:val="auto"/>
          <w:szCs w:val="21"/>
          <w:highlight w:val="none"/>
        </w:rPr>
        <w:t>2.项目实施人员一览表须由法定代表人或相应的委托代理人签字或盖章并加盖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p>
    <w:p w14:paraId="6A9DD4D1">
      <w:pPr>
        <w:snapToGrid w:val="0"/>
        <w:spacing w:line="400" w:lineRule="exact"/>
        <w:jc w:val="right"/>
        <w:outlineLvl w:val="4"/>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2E39D414">
      <w:pPr>
        <w:snapToGrid w:val="0"/>
        <w:spacing w:line="400" w:lineRule="exact"/>
        <w:jc w:val="right"/>
        <w:outlineLvl w:val="4"/>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u w:val="single"/>
        </w:rPr>
        <w:t xml:space="preserve">       </w:t>
      </w:r>
    </w:p>
    <w:p w14:paraId="77358121">
      <w:pPr>
        <w:snapToGrid w:val="0"/>
        <w:spacing w:line="400" w:lineRule="exact"/>
        <w:ind w:firstLine="420" w:firstLineChars="200"/>
        <w:outlineLvl w:val="4"/>
        <w:rPr>
          <w:rFonts w:hint="eastAsia" w:ascii="宋体" w:hAnsi="宋体" w:eastAsia="宋体" w:cs="宋体"/>
          <w:color w:val="auto"/>
          <w:szCs w:val="21"/>
          <w:highlight w:val="none"/>
        </w:rPr>
      </w:pPr>
    </w:p>
    <w:p w14:paraId="1B6D84DF">
      <w:pPr>
        <w:pStyle w:val="15"/>
        <w:spacing w:line="460" w:lineRule="exact"/>
        <w:rPr>
          <w:rFonts w:hint="eastAsia" w:hAnsi="宋体" w:cs="宋体"/>
          <w:b/>
          <w:color w:val="auto"/>
          <w:sz w:val="24"/>
          <w:szCs w:val="24"/>
          <w:highlight w:val="none"/>
          <w:lang w:val="en-US" w:eastAsia="zh-CN"/>
        </w:rPr>
      </w:pPr>
      <w:r>
        <w:rPr>
          <w:rFonts w:hint="eastAsia" w:hAnsi="宋体" w:cs="宋体"/>
          <w:b/>
          <w:color w:val="auto"/>
          <w:sz w:val="24"/>
          <w:szCs w:val="24"/>
          <w:highlight w:val="none"/>
          <w:lang w:val="en-US" w:eastAsia="zh-CN"/>
        </w:rPr>
        <w:t>3.供应商承诺并提供的投入本项目实施作业的渣土密封专用车≥3辆（响应文件提供渣土密封专运车的行驶证证明复印件）证明文件（必须提供）；</w:t>
      </w:r>
    </w:p>
    <w:p w14:paraId="18323289">
      <w:pPr>
        <w:pStyle w:val="15"/>
        <w:spacing w:line="460" w:lineRule="exact"/>
        <w:rPr>
          <w:rFonts w:hint="eastAsia" w:hAnsi="宋体" w:cs="宋体"/>
          <w:b/>
          <w:color w:val="auto"/>
          <w:sz w:val="24"/>
          <w:szCs w:val="24"/>
          <w:highlight w:val="none"/>
          <w:lang w:val="en-US" w:eastAsia="zh-CN"/>
        </w:rPr>
      </w:pPr>
    </w:p>
    <w:p w14:paraId="478C2B8F">
      <w:pPr>
        <w:pStyle w:val="15"/>
        <w:spacing w:line="460" w:lineRule="exact"/>
        <w:rPr>
          <w:rFonts w:hint="eastAsia" w:hAnsi="宋体" w:cs="宋体"/>
          <w:b/>
          <w:color w:val="auto"/>
          <w:sz w:val="24"/>
          <w:szCs w:val="24"/>
          <w:highlight w:val="none"/>
          <w:lang w:val="en-US" w:eastAsia="zh-CN"/>
        </w:rPr>
      </w:pPr>
    </w:p>
    <w:p w14:paraId="731846DB">
      <w:pPr>
        <w:pStyle w:val="15"/>
        <w:spacing w:line="460" w:lineRule="exact"/>
        <w:rPr>
          <w:rFonts w:hint="eastAsia" w:hAnsi="宋体" w:cs="宋体"/>
          <w:b/>
          <w:color w:val="auto"/>
          <w:sz w:val="24"/>
          <w:szCs w:val="24"/>
          <w:highlight w:val="none"/>
          <w:lang w:val="en-US" w:eastAsia="zh-CN"/>
        </w:rPr>
      </w:pPr>
    </w:p>
    <w:p w14:paraId="2625537C">
      <w:pPr>
        <w:pStyle w:val="15"/>
        <w:spacing w:line="460" w:lineRule="exact"/>
        <w:rPr>
          <w:rFonts w:hint="eastAsia" w:hAnsi="宋体" w:cs="宋体"/>
          <w:b/>
          <w:color w:val="auto"/>
          <w:sz w:val="24"/>
          <w:szCs w:val="24"/>
          <w:highlight w:val="none"/>
          <w:lang w:val="en-US" w:eastAsia="zh-CN"/>
        </w:rPr>
      </w:pPr>
    </w:p>
    <w:p w14:paraId="3852DF63">
      <w:pPr>
        <w:pStyle w:val="15"/>
        <w:spacing w:line="460" w:lineRule="exact"/>
        <w:rPr>
          <w:rFonts w:hint="eastAsia" w:hAnsi="宋体" w:cs="宋体"/>
          <w:b/>
          <w:color w:val="auto"/>
          <w:sz w:val="24"/>
          <w:szCs w:val="24"/>
          <w:highlight w:val="none"/>
          <w:lang w:val="en-US" w:eastAsia="zh-CN"/>
        </w:rPr>
      </w:pPr>
    </w:p>
    <w:p w14:paraId="7386BDD2">
      <w:pPr>
        <w:pStyle w:val="15"/>
        <w:spacing w:line="460" w:lineRule="exact"/>
        <w:rPr>
          <w:rFonts w:hint="eastAsia" w:hAnsi="宋体" w:cs="宋体"/>
          <w:b/>
          <w:color w:val="auto"/>
          <w:sz w:val="24"/>
          <w:szCs w:val="24"/>
          <w:highlight w:val="none"/>
          <w:lang w:val="en-US" w:eastAsia="zh-CN"/>
        </w:rPr>
      </w:pPr>
    </w:p>
    <w:p w14:paraId="50770427">
      <w:pPr>
        <w:pStyle w:val="15"/>
        <w:spacing w:line="460" w:lineRule="exact"/>
        <w:rPr>
          <w:rFonts w:hint="eastAsia" w:hAnsi="宋体" w:cs="宋体"/>
          <w:b/>
          <w:color w:val="auto"/>
          <w:sz w:val="24"/>
          <w:szCs w:val="24"/>
          <w:highlight w:val="none"/>
          <w:lang w:val="en-US" w:eastAsia="zh-CN"/>
        </w:rPr>
      </w:pPr>
    </w:p>
    <w:p w14:paraId="23FB85FA">
      <w:pPr>
        <w:pStyle w:val="15"/>
        <w:spacing w:line="460" w:lineRule="exact"/>
        <w:rPr>
          <w:rFonts w:hint="eastAsia" w:hAnsi="宋体" w:cs="宋体"/>
          <w:b/>
          <w:color w:val="auto"/>
          <w:sz w:val="24"/>
          <w:szCs w:val="24"/>
          <w:highlight w:val="none"/>
          <w:lang w:val="en-US" w:eastAsia="zh-CN"/>
        </w:rPr>
      </w:pPr>
    </w:p>
    <w:p w14:paraId="55246241">
      <w:pPr>
        <w:pStyle w:val="15"/>
        <w:spacing w:line="460" w:lineRule="exact"/>
        <w:rPr>
          <w:rFonts w:hint="eastAsia" w:hAnsi="宋体" w:cs="宋体"/>
          <w:b/>
          <w:color w:val="auto"/>
          <w:sz w:val="24"/>
          <w:szCs w:val="24"/>
          <w:highlight w:val="none"/>
          <w:lang w:val="en-US" w:eastAsia="zh-CN"/>
        </w:rPr>
      </w:pPr>
    </w:p>
    <w:p w14:paraId="3948D56E">
      <w:pPr>
        <w:pStyle w:val="15"/>
        <w:spacing w:line="460" w:lineRule="exact"/>
        <w:rPr>
          <w:rFonts w:hint="eastAsia" w:hAnsi="宋体" w:cs="宋体"/>
          <w:b/>
          <w:color w:val="auto"/>
          <w:sz w:val="24"/>
          <w:szCs w:val="24"/>
          <w:highlight w:val="none"/>
          <w:lang w:val="en-US" w:eastAsia="zh-CN"/>
        </w:rPr>
      </w:pPr>
    </w:p>
    <w:p w14:paraId="3E300923">
      <w:pPr>
        <w:pStyle w:val="15"/>
        <w:spacing w:line="460" w:lineRule="exact"/>
        <w:rPr>
          <w:rFonts w:hint="eastAsia" w:hAnsi="宋体" w:cs="宋体"/>
          <w:b/>
          <w:color w:val="auto"/>
          <w:sz w:val="24"/>
          <w:szCs w:val="24"/>
          <w:highlight w:val="none"/>
          <w:lang w:val="en-US" w:eastAsia="zh-CN"/>
        </w:rPr>
      </w:pPr>
    </w:p>
    <w:p w14:paraId="6EF006BB">
      <w:pPr>
        <w:pStyle w:val="15"/>
        <w:spacing w:line="460" w:lineRule="exact"/>
        <w:rPr>
          <w:rFonts w:hint="eastAsia" w:hAnsi="宋体" w:cs="宋体"/>
          <w:b/>
          <w:color w:val="auto"/>
          <w:sz w:val="24"/>
          <w:szCs w:val="24"/>
          <w:highlight w:val="none"/>
          <w:lang w:val="en-US" w:eastAsia="zh-CN"/>
        </w:rPr>
      </w:pPr>
    </w:p>
    <w:p w14:paraId="4CE81543">
      <w:pPr>
        <w:pStyle w:val="15"/>
        <w:spacing w:line="460" w:lineRule="exact"/>
        <w:rPr>
          <w:rFonts w:hint="eastAsia" w:hAnsi="宋体" w:cs="宋体"/>
          <w:b/>
          <w:color w:val="auto"/>
          <w:sz w:val="24"/>
          <w:szCs w:val="24"/>
          <w:highlight w:val="none"/>
          <w:lang w:val="en-US" w:eastAsia="zh-CN"/>
        </w:rPr>
      </w:pPr>
    </w:p>
    <w:p w14:paraId="7D8220D1">
      <w:pPr>
        <w:pStyle w:val="15"/>
        <w:spacing w:line="460" w:lineRule="exact"/>
        <w:rPr>
          <w:rFonts w:hint="eastAsia" w:hAnsi="宋体" w:cs="宋体"/>
          <w:b/>
          <w:color w:val="auto"/>
          <w:sz w:val="24"/>
          <w:szCs w:val="24"/>
          <w:highlight w:val="none"/>
          <w:lang w:val="en-US" w:eastAsia="zh-CN"/>
        </w:rPr>
      </w:pPr>
    </w:p>
    <w:p w14:paraId="722D7D12">
      <w:pPr>
        <w:pStyle w:val="15"/>
        <w:spacing w:line="460" w:lineRule="exact"/>
        <w:rPr>
          <w:rFonts w:hint="eastAsia" w:hAnsi="宋体" w:cs="宋体"/>
          <w:b/>
          <w:color w:val="auto"/>
          <w:sz w:val="24"/>
          <w:szCs w:val="24"/>
          <w:highlight w:val="none"/>
          <w:lang w:val="en-US" w:eastAsia="zh-CN"/>
        </w:rPr>
      </w:pPr>
    </w:p>
    <w:p w14:paraId="71BB1C38">
      <w:pPr>
        <w:pStyle w:val="15"/>
        <w:spacing w:line="460" w:lineRule="exact"/>
        <w:rPr>
          <w:rFonts w:hint="eastAsia" w:hAnsi="宋体" w:cs="宋体"/>
          <w:b/>
          <w:color w:val="auto"/>
          <w:sz w:val="24"/>
          <w:szCs w:val="24"/>
          <w:highlight w:val="none"/>
          <w:lang w:val="en-US" w:eastAsia="zh-CN"/>
        </w:rPr>
      </w:pPr>
    </w:p>
    <w:p w14:paraId="6D81616C">
      <w:pPr>
        <w:pStyle w:val="15"/>
        <w:numPr>
          <w:ilvl w:val="0"/>
          <w:numId w:val="4"/>
        </w:numPr>
        <w:spacing w:line="460" w:lineRule="exact"/>
        <w:rPr>
          <w:rFonts w:hint="eastAsia" w:hAnsi="宋体" w:cs="宋体"/>
          <w:b/>
          <w:color w:val="auto"/>
          <w:sz w:val="24"/>
          <w:szCs w:val="24"/>
          <w:highlight w:val="none"/>
          <w:lang w:eastAsia="zh-CN"/>
        </w:rPr>
      </w:pPr>
      <w:r>
        <w:rPr>
          <w:rFonts w:hint="eastAsia" w:hAnsi="宋体" w:cs="宋体"/>
          <w:b/>
          <w:color w:val="auto"/>
          <w:sz w:val="24"/>
          <w:szCs w:val="24"/>
          <w:highlight w:val="none"/>
          <w:lang w:eastAsia="zh-CN"/>
        </w:rPr>
        <w:t>供应商可于响应文件中提供针对本项目的清运服务方案（包括但不限于：①工作计划、工作流程、人员岗位组织架构安排；②清运工作质量要求、日常工作质量检查、质量考核、安全管理机构、安全、质量保障措施、应急预案）（如有，请提供）</w:t>
      </w:r>
    </w:p>
    <w:p w14:paraId="787F8236">
      <w:pPr>
        <w:pStyle w:val="4"/>
        <w:keepNext/>
        <w:keepLines/>
        <w:widowControl w:val="0"/>
        <w:numPr>
          <w:ilvl w:val="0"/>
          <w:numId w:val="0"/>
        </w:numPr>
        <w:spacing w:before="280" w:after="290" w:line="376" w:lineRule="auto"/>
        <w:jc w:val="both"/>
        <w:outlineLvl w:val="3"/>
        <w:rPr>
          <w:rFonts w:hint="eastAsia"/>
          <w:color w:val="auto"/>
          <w:highlight w:val="none"/>
          <w:lang w:eastAsia="zh-CN"/>
        </w:rPr>
      </w:pPr>
    </w:p>
    <w:p w14:paraId="1B7D103B">
      <w:pPr>
        <w:rPr>
          <w:rFonts w:hint="eastAsia"/>
          <w:color w:val="auto"/>
          <w:highlight w:val="none"/>
          <w:lang w:eastAsia="zh-CN"/>
        </w:rPr>
      </w:pPr>
    </w:p>
    <w:p w14:paraId="18E98EF5">
      <w:pPr>
        <w:pStyle w:val="15"/>
        <w:jc w:val="center"/>
        <w:rPr>
          <w:rFonts w:hint="eastAsia" w:ascii="宋体" w:hAnsi="宋体" w:eastAsia="宋体" w:cs="宋体"/>
          <w:color w:val="auto"/>
          <w:highlight w:val="none"/>
        </w:rPr>
      </w:pPr>
    </w:p>
    <w:p w14:paraId="018A875A">
      <w:pPr>
        <w:snapToGrid w:val="0"/>
        <w:spacing w:line="400" w:lineRule="exact"/>
        <w:ind w:firstLine="2560" w:firstLineChars="800"/>
        <w:outlineLvl w:val="4"/>
        <w:rPr>
          <w:rFonts w:hint="eastAsia" w:ascii="宋体" w:hAnsi="宋体" w:cs="宋体"/>
          <w:color w:val="auto"/>
          <w:sz w:val="32"/>
          <w:szCs w:val="32"/>
          <w:highlight w:val="none"/>
          <w:lang w:eastAsia="zh-CN"/>
        </w:rPr>
      </w:pPr>
      <w:r>
        <w:rPr>
          <w:rFonts w:hint="eastAsia" w:ascii="宋体" w:hAnsi="宋体" w:cs="宋体"/>
          <w:color w:val="auto"/>
          <w:sz w:val="32"/>
          <w:szCs w:val="32"/>
          <w:highlight w:val="none"/>
          <w:lang w:eastAsia="zh-CN"/>
        </w:rPr>
        <w:t>格式自拟</w:t>
      </w:r>
    </w:p>
    <w:p w14:paraId="203C31DA">
      <w:pPr>
        <w:snapToGrid w:val="0"/>
        <w:spacing w:line="400" w:lineRule="exact"/>
        <w:ind w:firstLine="2560" w:firstLineChars="800"/>
        <w:outlineLvl w:val="4"/>
        <w:rPr>
          <w:rFonts w:hint="eastAsia" w:ascii="宋体" w:hAnsi="宋体" w:cs="宋体"/>
          <w:color w:val="auto"/>
          <w:sz w:val="32"/>
          <w:szCs w:val="32"/>
          <w:highlight w:val="none"/>
          <w:lang w:eastAsia="zh-CN"/>
        </w:rPr>
      </w:pPr>
    </w:p>
    <w:p w14:paraId="69371DF0">
      <w:pPr>
        <w:snapToGrid w:val="0"/>
        <w:spacing w:line="400" w:lineRule="exact"/>
        <w:ind w:firstLine="2560" w:firstLineChars="800"/>
        <w:outlineLvl w:val="4"/>
        <w:rPr>
          <w:rFonts w:hint="eastAsia" w:ascii="宋体" w:hAnsi="宋体" w:cs="宋体"/>
          <w:color w:val="auto"/>
          <w:sz w:val="32"/>
          <w:szCs w:val="32"/>
          <w:highlight w:val="none"/>
          <w:lang w:eastAsia="zh-CN"/>
        </w:rPr>
      </w:pPr>
    </w:p>
    <w:p w14:paraId="3A682BC0">
      <w:pPr>
        <w:snapToGrid w:val="0"/>
        <w:spacing w:line="400" w:lineRule="exact"/>
        <w:ind w:firstLine="2560" w:firstLineChars="800"/>
        <w:outlineLvl w:val="4"/>
        <w:rPr>
          <w:rFonts w:hint="eastAsia" w:ascii="宋体" w:hAnsi="宋体" w:cs="宋体"/>
          <w:color w:val="auto"/>
          <w:sz w:val="32"/>
          <w:szCs w:val="32"/>
          <w:highlight w:val="none"/>
          <w:lang w:eastAsia="zh-CN"/>
        </w:rPr>
      </w:pPr>
    </w:p>
    <w:p w14:paraId="01BC39C1">
      <w:pPr>
        <w:snapToGrid w:val="0"/>
        <w:spacing w:line="400" w:lineRule="exact"/>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[公章(CA签章)]：</w:t>
      </w:r>
      <w:r>
        <w:rPr>
          <w:rFonts w:hint="eastAsia" w:ascii="宋体" w:hAnsi="宋体" w:eastAsia="宋体" w:cs="宋体"/>
          <w:color w:val="auto"/>
          <w:szCs w:val="21"/>
          <w:highlight w:val="none"/>
          <w:u w:val="single"/>
        </w:rPr>
        <w:t xml:space="preserve">                                         </w:t>
      </w:r>
    </w:p>
    <w:p w14:paraId="12DA57D6">
      <w:pPr>
        <w:snapToGrid w:val="0"/>
        <w:spacing w:line="400" w:lineRule="exact"/>
        <w:ind w:firstLine="420"/>
        <w:outlineLvl w:val="4"/>
        <w:rPr>
          <w:rFonts w:hint="eastAsia" w:ascii="宋体" w:hAnsi="宋体" w:eastAsia="宋体" w:cs="宋体"/>
          <w:color w:val="auto"/>
          <w:szCs w:val="21"/>
          <w:highlight w:val="none"/>
        </w:rPr>
      </w:pPr>
    </w:p>
    <w:p w14:paraId="1FFFDA49">
      <w:pPr>
        <w:pStyle w:val="15"/>
        <w:spacing w:line="40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highlight w:val="none"/>
        </w:rPr>
        <w:t>：</w:t>
      </w:r>
      <w:r>
        <w:rPr>
          <w:rFonts w:hint="eastAsia" w:ascii="宋体" w:hAnsi="宋体" w:eastAsia="宋体" w:cs="宋体"/>
          <w:color w:val="auto"/>
          <w:szCs w:val="21"/>
          <w:highlight w:val="none"/>
          <w:u w:val="single"/>
        </w:rPr>
        <w:t xml:space="preserve">                             </w:t>
      </w:r>
    </w:p>
    <w:p w14:paraId="295D42CC">
      <w:pPr>
        <w:pStyle w:val="15"/>
        <w:spacing w:line="400" w:lineRule="exact"/>
        <w:ind w:left="3570" w:leftChars="1700"/>
        <w:rPr>
          <w:rFonts w:hint="eastAsia" w:ascii="宋体" w:hAnsi="宋体" w:eastAsia="宋体" w:cs="宋体"/>
          <w:color w:val="auto"/>
          <w:highlight w:val="none"/>
          <w:u w:val="single"/>
        </w:rPr>
      </w:pPr>
    </w:p>
    <w:p w14:paraId="4B0DAAC1">
      <w:pPr>
        <w:pStyle w:val="15"/>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p>
    <w:p w14:paraId="2DBABCC8">
      <w:pPr>
        <w:pStyle w:val="15"/>
        <w:rPr>
          <w:rFonts w:hint="eastAsia" w:ascii="宋体" w:hAnsi="宋体" w:eastAsia="宋体" w:cs="宋体"/>
          <w:color w:val="auto"/>
          <w:highlight w:val="none"/>
        </w:rPr>
      </w:pPr>
    </w:p>
    <w:p w14:paraId="1E709263">
      <w:pPr>
        <w:pStyle w:val="15"/>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eastAsia="zh-CN"/>
        </w:rPr>
        <w:t>供应商</w:t>
      </w:r>
      <w:r>
        <w:rPr>
          <w:rFonts w:hint="eastAsia" w:hAnsi="宋体" w:cs="宋体"/>
          <w:b/>
          <w:color w:val="auto"/>
          <w:sz w:val="24"/>
          <w:szCs w:val="24"/>
          <w:highlight w:val="none"/>
          <w:lang w:eastAsia="zh-CN"/>
        </w:rPr>
        <w:t>202</w:t>
      </w:r>
      <w:r>
        <w:rPr>
          <w:rFonts w:hint="eastAsia" w:hAnsi="宋体" w:cs="宋体"/>
          <w:b/>
          <w:color w:val="auto"/>
          <w:sz w:val="24"/>
          <w:szCs w:val="24"/>
          <w:highlight w:val="none"/>
          <w:lang w:val="en-US" w:eastAsia="zh-CN"/>
        </w:rPr>
        <w:t>3</w:t>
      </w:r>
      <w:r>
        <w:rPr>
          <w:rFonts w:hint="eastAsia" w:hAnsi="宋体" w:cs="宋体"/>
          <w:b/>
          <w:color w:val="auto"/>
          <w:sz w:val="24"/>
          <w:szCs w:val="24"/>
          <w:highlight w:val="none"/>
          <w:lang w:eastAsia="zh-CN"/>
        </w:rPr>
        <w:t>年以来</w:t>
      </w:r>
      <w:r>
        <w:rPr>
          <w:rFonts w:hint="eastAsia" w:ascii="宋体" w:hAnsi="宋体" w:eastAsia="宋体" w:cs="宋体"/>
          <w:b/>
          <w:color w:val="auto"/>
          <w:sz w:val="24"/>
          <w:szCs w:val="24"/>
          <w:highlight w:val="none"/>
        </w:rPr>
        <w:t>承接的类似</w:t>
      </w:r>
      <w:r>
        <w:rPr>
          <w:rFonts w:hint="eastAsia" w:hAnsi="宋体" w:cs="宋体"/>
          <w:b/>
          <w:color w:val="auto"/>
          <w:sz w:val="24"/>
          <w:szCs w:val="24"/>
          <w:highlight w:val="none"/>
          <w:lang w:eastAsia="zh-CN"/>
        </w:rPr>
        <w:t>项目</w:t>
      </w:r>
      <w:r>
        <w:rPr>
          <w:rFonts w:hint="eastAsia" w:ascii="宋体" w:hAnsi="宋体" w:eastAsia="宋体" w:cs="宋体"/>
          <w:b/>
          <w:color w:val="auto"/>
          <w:sz w:val="24"/>
          <w:szCs w:val="24"/>
          <w:highlight w:val="none"/>
        </w:rPr>
        <w:t>业绩情况</w:t>
      </w:r>
      <w:r>
        <w:rPr>
          <w:rFonts w:hint="eastAsia" w:ascii="宋体" w:hAnsi="宋体" w:eastAsia="宋体" w:cs="宋体"/>
          <w:b/>
          <w:color w:val="auto"/>
          <w:sz w:val="24"/>
          <w:szCs w:val="24"/>
          <w:highlight w:val="none"/>
          <w:lang w:val="en-GB"/>
        </w:rPr>
        <w:t>【</w:t>
      </w:r>
      <w:r>
        <w:rPr>
          <w:rFonts w:hint="eastAsia" w:hAnsi="宋体" w:cs="宋体"/>
          <w:b/>
          <w:color w:val="auto"/>
          <w:sz w:val="24"/>
          <w:szCs w:val="24"/>
          <w:highlight w:val="none"/>
          <w:lang w:val="en-GB" w:eastAsia="zh-CN"/>
        </w:rPr>
        <w:t>以项目中标（成交、协议采</w:t>
      </w:r>
      <w:r>
        <w:rPr>
          <w:rFonts w:hint="eastAsia" w:ascii="宋体" w:hAnsi="宋体" w:eastAsia="宋体" w:cs="宋体"/>
          <w:b/>
          <w:color w:val="auto"/>
          <w:sz w:val="24"/>
          <w:szCs w:val="24"/>
          <w:highlight w:val="none"/>
          <w:lang w:val="en-GB"/>
        </w:rPr>
        <w:t>购）通知书</w:t>
      </w:r>
      <w:r>
        <w:rPr>
          <w:rFonts w:hint="eastAsia" w:hAnsi="宋体" w:cs="宋体"/>
          <w:b/>
          <w:color w:val="auto"/>
          <w:sz w:val="24"/>
          <w:szCs w:val="24"/>
          <w:highlight w:val="none"/>
          <w:lang w:val="en-GB" w:eastAsia="zh-CN"/>
        </w:rPr>
        <w:t>或</w:t>
      </w:r>
      <w:r>
        <w:rPr>
          <w:rFonts w:hint="eastAsia" w:ascii="宋体" w:hAnsi="宋体" w:eastAsia="宋体" w:cs="宋体"/>
          <w:b/>
          <w:color w:val="auto"/>
          <w:sz w:val="24"/>
          <w:szCs w:val="24"/>
          <w:highlight w:val="none"/>
          <w:lang w:val="en-GB"/>
        </w:rPr>
        <w:t>合同书或工程竣工验收材料（复印件）为准】。</w:t>
      </w:r>
      <w:r>
        <w:rPr>
          <w:rFonts w:hint="eastAsia" w:ascii="宋体" w:hAnsi="宋体" w:eastAsia="宋体" w:cs="宋体"/>
          <w:b/>
          <w:color w:val="auto"/>
          <w:sz w:val="24"/>
          <w:szCs w:val="24"/>
          <w:highlight w:val="none"/>
        </w:rPr>
        <w:t>（如有，请提供）；</w:t>
      </w:r>
    </w:p>
    <w:p w14:paraId="06AC6DC0">
      <w:pPr>
        <w:pStyle w:val="15"/>
        <w:spacing w:line="460" w:lineRule="exact"/>
        <w:rPr>
          <w:rFonts w:hint="eastAsia" w:ascii="宋体" w:hAnsi="宋体" w:eastAsia="宋体" w:cs="宋体"/>
          <w:b/>
          <w:color w:val="auto"/>
          <w:sz w:val="24"/>
          <w:szCs w:val="24"/>
          <w:highlight w:val="none"/>
          <w:lang w:val="en-US" w:eastAsia="zh-CN"/>
        </w:rPr>
      </w:pPr>
    </w:p>
    <w:p w14:paraId="1A4C2F74">
      <w:pPr>
        <w:pStyle w:val="15"/>
        <w:spacing w:line="460" w:lineRule="exact"/>
        <w:rPr>
          <w:rFonts w:hint="eastAsia" w:ascii="宋体" w:hAnsi="宋体" w:eastAsia="宋体" w:cs="宋体"/>
          <w:b/>
          <w:color w:val="auto"/>
          <w:sz w:val="24"/>
          <w:szCs w:val="24"/>
          <w:highlight w:val="none"/>
          <w:lang w:val="en-US" w:eastAsia="zh-CN"/>
        </w:rPr>
      </w:pPr>
    </w:p>
    <w:p w14:paraId="60295DB1">
      <w:pPr>
        <w:pStyle w:val="15"/>
        <w:spacing w:line="460" w:lineRule="exact"/>
        <w:rPr>
          <w:rFonts w:hint="eastAsia" w:ascii="宋体" w:hAnsi="宋体" w:eastAsia="宋体" w:cs="宋体"/>
          <w:b/>
          <w:color w:val="auto"/>
          <w:sz w:val="24"/>
          <w:szCs w:val="24"/>
          <w:highlight w:val="none"/>
          <w:lang w:val="en-US" w:eastAsia="zh-CN"/>
        </w:rPr>
      </w:pPr>
    </w:p>
    <w:p w14:paraId="16A5601C">
      <w:pPr>
        <w:pStyle w:val="15"/>
        <w:spacing w:line="460" w:lineRule="exact"/>
        <w:rPr>
          <w:rFonts w:hint="eastAsia" w:ascii="宋体" w:hAnsi="宋体" w:eastAsia="宋体" w:cs="宋体"/>
          <w:b/>
          <w:color w:val="auto"/>
          <w:sz w:val="24"/>
          <w:szCs w:val="24"/>
          <w:highlight w:val="none"/>
          <w:lang w:val="en-GB"/>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GB" w:eastAsia="zh-CN"/>
        </w:rPr>
        <w:t>供应商</w:t>
      </w:r>
      <w:r>
        <w:rPr>
          <w:rFonts w:hint="eastAsia" w:hAnsi="宋体" w:cs="宋体"/>
          <w:b/>
          <w:color w:val="auto"/>
          <w:sz w:val="24"/>
          <w:szCs w:val="24"/>
          <w:highlight w:val="none"/>
          <w:lang w:val="en-GB" w:eastAsia="zh-CN"/>
        </w:rPr>
        <w:t>202</w:t>
      </w:r>
      <w:r>
        <w:rPr>
          <w:rFonts w:hint="eastAsia" w:hAnsi="宋体" w:cs="宋体"/>
          <w:b/>
          <w:color w:val="auto"/>
          <w:sz w:val="24"/>
          <w:szCs w:val="24"/>
          <w:highlight w:val="none"/>
          <w:lang w:val="en-US" w:eastAsia="zh-CN"/>
        </w:rPr>
        <w:t>3</w:t>
      </w:r>
      <w:r>
        <w:rPr>
          <w:rFonts w:hint="eastAsia" w:hAnsi="宋体" w:cs="宋体"/>
          <w:b/>
          <w:color w:val="auto"/>
          <w:sz w:val="24"/>
          <w:szCs w:val="24"/>
          <w:highlight w:val="none"/>
          <w:lang w:val="en-GB" w:eastAsia="zh-CN"/>
        </w:rPr>
        <w:t>年以来获得的</w:t>
      </w:r>
      <w:r>
        <w:rPr>
          <w:rFonts w:hint="eastAsia" w:ascii="宋体" w:hAnsi="宋体" w:eastAsia="宋体" w:cs="宋体"/>
          <w:b/>
          <w:color w:val="auto"/>
          <w:sz w:val="24"/>
          <w:szCs w:val="24"/>
          <w:highlight w:val="none"/>
          <w:lang w:val="en-GB"/>
        </w:rPr>
        <w:t>市级及以上有关部门颁发的与行业经营相关的获奖证书、认证证书等复印件（如有，请提供）；</w:t>
      </w:r>
    </w:p>
    <w:p w14:paraId="49C234A0">
      <w:pPr>
        <w:pStyle w:val="15"/>
        <w:spacing w:line="460" w:lineRule="exact"/>
        <w:rPr>
          <w:rFonts w:hint="eastAsia" w:ascii="宋体" w:hAnsi="宋体" w:eastAsia="宋体" w:cs="宋体"/>
          <w:b/>
          <w:color w:val="auto"/>
          <w:sz w:val="24"/>
          <w:szCs w:val="24"/>
          <w:highlight w:val="none"/>
        </w:rPr>
      </w:pPr>
    </w:p>
    <w:p w14:paraId="76F0EAE4">
      <w:pPr>
        <w:pStyle w:val="15"/>
        <w:spacing w:line="460" w:lineRule="exact"/>
        <w:rPr>
          <w:rFonts w:hint="eastAsia" w:ascii="宋体" w:hAnsi="宋体" w:eastAsia="宋体" w:cs="宋体"/>
          <w:b/>
          <w:color w:val="auto"/>
          <w:sz w:val="24"/>
          <w:szCs w:val="24"/>
          <w:highlight w:val="none"/>
        </w:rPr>
      </w:pPr>
    </w:p>
    <w:p w14:paraId="7150F43E">
      <w:pPr>
        <w:pStyle w:val="15"/>
        <w:spacing w:line="460" w:lineRule="exact"/>
        <w:rPr>
          <w:rFonts w:hint="eastAsia" w:ascii="宋体" w:hAnsi="宋体" w:eastAsia="宋体" w:cs="宋体"/>
          <w:b/>
          <w:color w:val="auto"/>
          <w:sz w:val="24"/>
          <w:szCs w:val="24"/>
          <w:highlight w:val="none"/>
        </w:rPr>
      </w:pPr>
    </w:p>
    <w:p w14:paraId="06856C0C">
      <w:pPr>
        <w:pStyle w:val="15"/>
        <w:jc w:val="left"/>
        <w:rPr>
          <w:rFonts w:hint="eastAsia" w:ascii="宋体" w:hAnsi="宋体" w:eastAsia="宋体" w:cs="宋体"/>
          <w:b/>
          <w:color w:val="auto"/>
          <w:sz w:val="28"/>
          <w:szCs w:val="28"/>
          <w:highlight w:val="none"/>
        </w:rPr>
        <w:sectPr>
          <w:footerReference r:id="rId7" w:type="default"/>
          <w:pgSz w:w="11906" w:h="16838"/>
          <w:pgMar w:top="1417" w:right="1417" w:bottom="1417" w:left="1701" w:header="850" w:footer="992" w:gutter="0"/>
          <w:pgNumType w:fmt="decimal"/>
          <w:cols w:space="0" w:num="1"/>
          <w:docGrid w:type="linesAndChars" w:linePitch="318" w:charSpace="0"/>
        </w:sect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可结合本项目的评标办法视自身情况自行提交相关证明材料（如有，请提供）</w:t>
      </w:r>
    </w:p>
    <w:p w14:paraId="19CACE65">
      <w:pPr>
        <w:pStyle w:val="8"/>
        <w:ind w:firstLine="0"/>
        <w:jc w:val="center"/>
        <w:rPr>
          <w:rStyle w:val="51"/>
          <w:rFonts w:hint="eastAsia" w:ascii="宋体" w:hAnsi="宋体" w:eastAsia="宋体" w:cs="宋体"/>
          <w:b/>
          <w:color w:val="auto"/>
          <w:sz w:val="32"/>
          <w:szCs w:val="32"/>
          <w:highlight w:val="none"/>
        </w:rPr>
      </w:pPr>
      <w:r>
        <w:rPr>
          <w:rStyle w:val="51"/>
          <w:rFonts w:hint="eastAsia" w:ascii="宋体" w:hAnsi="宋体" w:eastAsia="宋体" w:cs="宋体"/>
          <w:b/>
          <w:color w:val="auto"/>
          <w:sz w:val="32"/>
          <w:szCs w:val="32"/>
          <w:highlight w:val="none"/>
        </w:rPr>
        <w:t>关于转发《中国人民银行南宁中心支行广西壮族自治区财政厅关于推广线上“政采贷”融资模式的通知》的通知》</w:t>
      </w:r>
    </w:p>
    <w:p w14:paraId="0EF417C9">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316220" cy="7519035"/>
            <wp:effectExtent l="0" t="0" r="17780" b="5715"/>
            <wp:docPr id="1026" name="图片 1" descr="图片1"/>
            <wp:cNvGraphicFramePr/>
            <a:graphic xmlns:a="http://schemas.openxmlformats.org/drawingml/2006/main">
              <a:graphicData uri="http://schemas.openxmlformats.org/drawingml/2006/picture">
                <pic:pic xmlns:pic="http://schemas.openxmlformats.org/drawingml/2006/picture">
                  <pic:nvPicPr>
                    <pic:cNvPr id="1026" name="图片 1" descr="图片1"/>
                    <pic:cNvPicPr/>
                  </pic:nvPicPr>
                  <pic:blipFill>
                    <a:blip r:embed="rId12" cstate="print"/>
                    <a:srcRect/>
                    <a:stretch>
                      <a:fillRect/>
                    </a:stretch>
                  </pic:blipFill>
                  <pic:spPr>
                    <a:xfrm>
                      <a:off x="0" y="0"/>
                      <a:ext cx="5316220" cy="7519035"/>
                    </a:xfrm>
                    <a:prstGeom prst="rect">
                      <a:avLst/>
                    </a:prstGeom>
                  </pic:spPr>
                </pic:pic>
              </a:graphicData>
            </a:graphic>
          </wp:inline>
        </w:drawing>
      </w:r>
    </w:p>
    <w:sectPr>
      <w:pgSz w:w="11906" w:h="16838"/>
      <w:pgMar w:top="1417" w:right="1417" w:bottom="1417" w:left="1701" w:header="850" w:footer="992" w:gutter="0"/>
      <w:pgNumType w:fmt="decimal"/>
      <w:cols w:space="0" w:num="1"/>
      <w:docGrid w:type="linesAndChar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23ECC">
    <w:pPr>
      <w:pStyle w:val="18"/>
      <w:jc w:val="center"/>
    </w:pPr>
  </w:p>
  <w:p w14:paraId="29733B87">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AC11F">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58306">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5B58306">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91C8D">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ED468">
                          <w:pPr>
                            <w:pStyle w:val="1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74ED468">
                    <w:pPr>
                      <w:pStyle w:val="18"/>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3DAB">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DDFFC">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1DDFFC">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156B">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BEBA2"/>
    <w:multiLevelType w:val="singleLevel"/>
    <w:tmpl w:val="A10BEBA2"/>
    <w:lvl w:ilvl="0" w:tentative="0">
      <w:start w:val="7"/>
      <w:numFmt w:val="decimal"/>
      <w:suff w:val="space"/>
      <w:lvlText w:val="%1."/>
      <w:lvlJc w:val="left"/>
    </w:lvl>
  </w:abstractNum>
  <w:abstractNum w:abstractNumId="1">
    <w:nsid w:val="00000003"/>
    <w:multiLevelType w:val="singleLevel"/>
    <w:tmpl w:val="00000003"/>
    <w:lvl w:ilvl="0" w:tentative="0">
      <w:start w:val="7"/>
      <w:numFmt w:val="chineseCounting"/>
      <w:suff w:val="nothing"/>
      <w:lvlText w:val="%1、"/>
      <w:lvlJc w:val="left"/>
      <w:rPr>
        <w:rFonts w:hint="eastAsia"/>
      </w:rPr>
    </w:lvl>
  </w:abstractNum>
  <w:abstractNum w:abstractNumId="2">
    <w:nsid w:val="00000007"/>
    <w:multiLevelType w:val="singleLevel"/>
    <w:tmpl w:val="00000007"/>
    <w:lvl w:ilvl="0" w:tentative="0">
      <w:start w:val="17"/>
      <w:numFmt w:val="decimal"/>
      <w:suff w:val="space"/>
      <w:lvlText w:val="%1."/>
      <w:lvlJc w:val="left"/>
    </w:lvl>
  </w:abstractNum>
  <w:abstractNum w:abstractNumId="3">
    <w:nsid w:val="4D45BB9F"/>
    <w:multiLevelType w:val="singleLevel"/>
    <w:tmpl w:val="4D45BB9F"/>
    <w:lvl w:ilvl="0" w:tentative="0">
      <w:start w:val="4"/>
      <w:numFmt w:val="decimal"/>
      <w:lvlText w:val="%1."/>
      <w:lvlJc w:val="left"/>
      <w:pPr>
        <w:tabs>
          <w:tab w:val="left" w:pos="312"/>
        </w:tabs>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YTgzMWFmMzZmMDA1ZTUzNzY3NGRlMDhlMWI2NDAifQ=="/>
  </w:docVars>
  <w:rsids>
    <w:rsidRoot w:val="00F430D8"/>
    <w:rsid w:val="00047C5B"/>
    <w:rsid w:val="00060BA8"/>
    <w:rsid w:val="000B2FCF"/>
    <w:rsid w:val="00137032"/>
    <w:rsid w:val="001875A0"/>
    <w:rsid w:val="00242BAC"/>
    <w:rsid w:val="00281B08"/>
    <w:rsid w:val="00281CAF"/>
    <w:rsid w:val="002A1844"/>
    <w:rsid w:val="00302BBA"/>
    <w:rsid w:val="0031428A"/>
    <w:rsid w:val="00475814"/>
    <w:rsid w:val="0053779E"/>
    <w:rsid w:val="005B08BE"/>
    <w:rsid w:val="00604D6E"/>
    <w:rsid w:val="00671B74"/>
    <w:rsid w:val="00672E59"/>
    <w:rsid w:val="00827DDC"/>
    <w:rsid w:val="0090037E"/>
    <w:rsid w:val="00986FD1"/>
    <w:rsid w:val="009A28DB"/>
    <w:rsid w:val="00B6237D"/>
    <w:rsid w:val="00B92181"/>
    <w:rsid w:val="00C14B91"/>
    <w:rsid w:val="00CD3BF9"/>
    <w:rsid w:val="00CE01D2"/>
    <w:rsid w:val="00CF7DF9"/>
    <w:rsid w:val="00D07383"/>
    <w:rsid w:val="00D10557"/>
    <w:rsid w:val="00E248C7"/>
    <w:rsid w:val="00E370EB"/>
    <w:rsid w:val="00EC2A8B"/>
    <w:rsid w:val="00F430D8"/>
    <w:rsid w:val="00F52CAD"/>
    <w:rsid w:val="00F95514"/>
    <w:rsid w:val="0113761A"/>
    <w:rsid w:val="012B4701"/>
    <w:rsid w:val="0150508B"/>
    <w:rsid w:val="01706576"/>
    <w:rsid w:val="019B347B"/>
    <w:rsid w:val="01BD3FCD"/>
    <w:rsid w:val="02285C10"/>
    <w:rsid w:val="02555CA0"/>
    <w:rsid w:val="02C13975"/>
    <w:rsid w:val="032338E1"/>
    <w:rsid w:val="04545D1C"/>
    <w:rsid w:val="05354D8C"/>
    <w:rsid w:val="05601416"/>
    <w:rsid w:val="06BA27AF"/>
    <w:rsid w:val="06C71DF3"/>
    <w:rsid w:val="06C903B9"/>
    <w:rsid w:val="0870581B"/>
    <w:rsid w:val="08D025E4"/>
    <w:rsid w:val="08F6435F"/>
    <w:rsid w:val="08F85810"/>
    <w:rsid w:val="09502F56"/>
    <w:rsid w:val="0A045AEE"/>
    <w:rsid w:val="0A4D7496"/>
    <w:rsid w:val="0AB15C77"/>
    <w:rsid w:val="0B23548F"/>
    <w:rsid w:val="0C8C24F7"/>
    <w:rsid w:val="0D0522AA"/>
    <w:rsid w:val="0D1A3FA7"/>
    <w:rsid w:val="0D276AE4"/>
    <w:rsid w:val="0D330BC5"/>
    <w:rsid w:val="0D5B13D2"/>
    <w:rsid w:val="0E0360D8"/>
    <w:rsid w:val="0E572FD9"/>
    <w:rsid w:val="0E835B7C"/>
    <w:rsid w:val="0E87566C"/>
    <w:rsid w:val="0EED0E68"/>
    <w:rsid w:val="0FC118A4"/>
    <w:rsid w:val="107B45B1"/>
    <w:rsid w:val="109B502B"/>
    <w:rsid w:val="10A51DDA"/>
    <w:rsid w:val="11F60A5D"/>
    <w:rsid w:val="11FF551A"/>
    <w:rsid w:val="12241424"/>
    <w:rsid w:val="12A01B52"/>
    <w:rsid w:val="12A762DD"/>
    <w:rsid w:val="12C3681C"/>
    <w:rsid w:val="12C84A1B"/>
    <w:rsid w:val="13A54873"/>
    <w:rsid w:val="13E4101E"/>
    <w:rsid w:val="13F76DF0"/>
    <w:rsid w:val="140D6614"/>
    <w:rsid w:val="14684C3D"/>
    <w:rsid w:val="14BC3B96"/>
    <w:rsid w:val="14E47CB2"/>
    <w:rsid w:val="154C0F75"/>
    <w:rsid w:val="156C2EC6"/>
    <w:rsid w:val="15CC1BB7"/>
    <w:rsid w:val="16414EFC"/>
    <w:rsid w:val="16C51010"/>
    <w:rsid w:val="16D8458B"/>
    <w:rsid w:val="16E63B9E"/>
    <w:rsid w:val="177877EF"/>
    <w:rsid w:val="17B53E93"/>
    <w:rsid w:val="17CE084D"/>
    <w:rsid w:val="18F51AA1"/>
    <w:rsid w:val="197451D4"/>
    <w:rsid w:val="198E7F3D"/>
    <w:rsid w:val="19B33497"/>
    <w:rsid w:val="19C3438B"/>
    <w:rsid w:val="19FB2A6A"/>
    <w:rsid w:val="1AA94BBC"/>
    <w:rsid w:val="1AC81F75"/>
    <w:rsid w:val="1ACE4623"/>
    <w:rsid w:val="1B392E82"/>
    <w:rsid w:val="1BF659B8"/>
    <w:rsid w:val="1C063D4C"/>
    <w:rsid w:val="1CE51845"/>
    <w:rsid w:val="1D146883"/>
    <w:rsid w:val="1D443D4D"/>
    <w:rsid w:val="1D556936"/>
    <w:rsid w:val="1DF20628"/>
    <w:rsid w:val="1E324E7E"/>
    <w:rsid w:val="1E4A1CF6"/>
    <w:rsid w:val="1EF74148"/>
    <w:rsid w:val="1F1721C2"/>
    <w:rsid w:val="1F51312D"/>
    <w:rsid w:val="1F5D5038"/>
    <w:rsid w:val="1F60452D"/>
    <w:rsid w:val="1F996FAD"/>
    <w:rsid w:val="1FAF02BD"/>
    <w:rsid w:val="1FEC17D3"/>
    <w:rsid w:val="202E081D"/>
    <w:rsid w:val="20947775"/>
    <w:rsid w:val="20EB7B48"/>
    <w:rsid w:val="213760EA"/>
    <w:rsid w:val="213D42B4"/>
    <w:rsid w:val="215B5194"/>
    <w:rsid w:val="21D06ED2"/>
    <w:rsid w:val="22047D23"/>
    <w:rsid w:val="222A65E3"/>
    <w:rsid w:val="224D50A0"/>
    <w:rsid w:val="227118B0"/>
    <w:rsid w:val="22B26EF4"/>
    <w:rsid w:val="22BE580D"/>
    <w:rsid w:val="22E04EF3"/>
    <w:rsid w:val="250F62D5"/>
    <w:rsid w:val="2564005E"/>
    <w:rsid w:val="25875AFA"/>
    <w:rsid w:val="25C66C19"/>
    <w:rsid w:val="26025181"/>
    <w:rsid w:val="26234C6F"/>
    <w:rsid w:val="265907A5"/>
    <w:rsid w:val="26D63DE2"/>
    <w:rsid w:val="26F43249"/>
    <w:rsid w:val="27484BE3"/>
    <w:rsid w:val="27737030"/>
    <w:rsid w:val="27A73295"/>
    <w:rsid w:val="28184521"/>
    <w:rsid w:val="28355CE1"/>
    <w:rsid w:val="28607D52"/>
    <w:rsid w:val="286376A3"/>
    <w:rsid w:val="291122AA"/>
    <w:rsid w:val="291130B4"/>
    <w:rsid w:val="294269B2"/>
    <w:rsid w:val="2AAB228B"/>
    <w:rsid w:val="2AC723DD"/>
    <w:rsid w:val="2AF82F5E"/>
    <w:rsid w:val="2BC01D66"/>
    <w:rsid w:val="2C4276C1"/>
    <w:rsid w:val="2C4E7766"/>
    <w:rsid w:val="2CB75C91"/>
    <w:rsid w:val="2CCA2C8C"/>
    <w:rsid w:val="2D8B2C08"/>
    <w:rsid w:val="2DA73216"/>
    <w:rsid w:val="2DD45655"/>
    <w:rsid w:val="2E0276AB"/>
    <w:rsid w:val="2E132621"/>
    <w:rsid w:val="2E163EBF"/>
    <w:rsid w:val="2E3A5DFF"/>
    <w:rsid w:val="2E6103F7"/>
    <w:rsid w:val="2EEA6572"/>
    <w:rsid w:val="2F260132"/>
    <w:rsid w:val="2F9037FD"/>
    <w:rsid w:val="2F9E2D8B"/>
    <w:rsid w:val="30017711"/>
    <w:rsid w:val="30472062"/>
    <w:rsid w:val="304B2D2F"/>
    <w:rsid w:val="30BA1F7C"/>
    <w:rsid w:val="31ED2642"/>
    <w:rsid w:val="32037032"/>
    <w:rsid w:val="32FB4021"/>
    <w:rsid w:val="32FC18D5"/>
    <w:rsid w:val="33727DEA"/>
    <w:rsid w:val="33A02192"/>
    <w:rsid w:val="33EF414B"/>
    <w:rsid w:val="344C19A8"/>
    <w:rsid w:val="34765091"/>
    <w:rsid w:val="34C04B85"/>
    <w:rsid w:val="3522672C"/>
    <w:rsid w:val="35540425"/>
    <w:rsid w:val="35E01A80"/>
    <w:rsid w:val="36011A73"/>
    <w:rsid w:val="364F024C"/>
    <w:rsid w:val="36FD79CA"/>
    <w:rsid w:val="370536EF"/>
    <w:rsid w:val="37935BD0"/>
    <w:rsid w:val="37990563"/>
    <w:rsid w:val="37E8067A"/>
    <w:rsid w:val="38FD0155"/>
    <w:rsid w:val="39F5707E"/>
    <w:rsid w:val="3A766411"/>
    <w:rsid w:val="3AB32211"/>
    <w:rsid w:val="3AF85078"/>
    <w:rsid w:val="3B9D79CE"/>
    <w:rsid w:val="3BC229A0"/>
    <w:rsid w:val="3BC52FD4"/>
    <w:rsid w:val="3BD015B8"/>
    <w:rsid w:val="3BF719D6"/>
    <w:rsid w:val="3BFA549D"/>
    <w:rsid w:val="3C294DBA"/>
    <w:rsid w:val="3C40477A"/>
    <w:rsid w:val="3C6A6406"/>
    <w:rsid w:val="3D406409"/>
    <w:rsid w:val="3D42082D"/>
    <w:rsid w:val="3D431A2E"/>
    <w:rsid w:val="3D513775"/>
    <w:rsid w:val="3D672CF3"/>
    <w:rsid w:val="3DAF5796"/>
    <w:rsid w:val="3DE23DBE"/>
    <w:rsid w:val="3E350391"/>
    <w:rsid w:val="3E4E11DB"/>
    <w:rsid w:val="3E68468C"/>
    <w:rsid w:val="3E712E5C"/>
    <w:rsid w:val="3F645C88"/>
    <w:rsid w:val="3F9335C1"/>
    <w:rsid w:val="3FF81676"/>
    <w:rsid w:val="40300620"/>
    <w:rsid w:val="40437B44"/>
    <w:rsid w:val="40C960E5"/>
    <w:rsid w:val="40D92D8F"/>
    <w:rsid w:val="41636FC4"/>
    <w:rsid w:val="41664834"/>
    <w:rsid w:val="4182744A"/>
    <w:rsid w:val="423C1CEE"/>
    <w:rsid w:val="42A63866"/>
    <w:rsid w:val="43346E69"/>
    <w:rsid w:val="43A418D2"/>
    <w:rsid w:val="43FD36FF"/>
    <w:rsid w:val="43FF4126"/>
    <w:rsid w:val="442932F3"/>
    <w:rsid w:val="443A3958"/>
    <w:rsid w:val="446F7A2D"/>
    <w:rsid w:val="44A86ED4"/>
    <w:rsid w:val="44DB60C7"/>
    <w:rsid w:val="44EA6E31"/>
    <w:rsid w:val="45C476F1"/>
    <w:rsid w:val="45F265E2"/>
    <w:rsid w:val="46236D21"/>
    <w:rsid w:val="468A4CE4"/>
    <w:rsid w:val="469503DE"/>
    <w:rsid w:val="46954D6A"/>
    <w:rsid w:val="46EC0F77"/>
    <w:rsid w:val="475A49C5"/>
    <w:rsid w:val="47AC2E77"/>
    <w:rsid w:val="48A66AF0"/>
    <w:rsid w:val="48FF5824"/>
    <w:rsid w:val="49DC7913"/>
    <w:rsid w:val="49F25388"/>
    <w:rsid w:val="49F677A7"/>
    <w:rsid w:val="4A4A61E7"/>
    <w:rsid w:val="4A9C29D7"/>
    <w:rsid w:val="4B5A4F93"/>
    <w:rsid w:val="4B5C0362"/>
    <w:rsid w:val="4BBC6E24"/>
    <w:rsid w:val="4BDF4CB0"/>
    <w:rsid w:val="4BE43471"/>
    <w:rsid w:val="4C122DEB"/>
    <w:rsid w:val="4C651E42"/>
    <w:rsid w:val="4CC631C6"/>
    <w:rsid w:val="4D500C0F"/>
    <w:rsid w:val="4DDF6141"/>
    <w:rsid w:val="4E251534"/>
    <w:rsid w:val="4E37734E"/>
    <w:rsid w:val="4F3E7DC9"/>
    <w:rsid w:val="4F674123"/>
    <w:rsid w:val="508F56DF"/>
    <w:rsid w:val="50EC0F9E"/>
    <w:rsid w:val="514209A3"/>
    <w:rsid w:val="51656440"/>
    <w:rsid w:val="516F72BF"/>
    <w:rsid w:val="51730B5D"/>
    <w:rsid w:val="528E442D"/>
    <w:rsid w:val="53EE1373"/>
    <w:rsid w:val="54211511"/>
    <w:rsid w:val="542705A9"/>
    <w:rsid w:val="54321393"/>
    <w:rsid w:val="54EA55DA"/>
    <w:rsid w:val="555E38D2"/>
    <w:rsid w:val="559B0682"/>
    <w:rsid w:val="56244D25"/>
    <w:rsid w:val="5642536C"/>
    <w:rsid w:val="566E3FE9"/>
    <w:rsid w:val="56C836F9"/>
    <w:rsid w:val="56DE3C7B"/>
    <w:rsid w:val="56E15035"/>
    <w:rsid w:val="570A4DA0"/>
    <w:rsid w:val="57D16A98"/>
    <w:rsid w:val="580F29D6"/>
    <w:rsid w:val="5829154F"/>
    <w:rsid w:val="58443CFD"/>
    <w:rsid w:val="58670CF0"/>
    <w:rsid w:val="58C12AF6"/>
    <w:rsid w:val="59116FCD"/>
    <w:rsid w:val="59232E69"/>
    <w:rsid w:val="597933D0"/>
    <w:rsid w:val="5A3F6631"/>
    <w:rsid w:val="5B1F3B03"/>
    <w:rsid w:val="5B880DF4"/>
    <w:rsid w:val="5C1D4862"/>
    <w:rsid w:val="5C2A2760"/>
    <w:rsid w:val="5C3269E5"/>
    <w:rsid w:val="5C362773"/>
    <w:rsid w:val="5C7316A5"/>
    <w:rsid w:val="5C86208C"/>
    <w:rsid w:val="5CD64D27"/>
    <w:rsid w:val="5CDD3C76"/>
    <w:rsid w:val="5D0905C7"/>
    <w:rsid w:val="5E3509A4"/>
    <w:rsid w:val="5E604521"/>
    <w:rsid w:val="5E6C6304"/>
    <w:rsid w:val="5E987E55"/>
    <w:rsid w:val="5ED86AAF"/>
    <w:rsid w:val="5EDF1824"/>
    <w:rsid w:val="5FBA6A18"/>
    <w:rsid w:val="5FBD2583"/>
    <w:rsid w:val="5FC86518"/>
    <w:rsid w:val="602834BF"/>
    <w:rsid w:val="6065020A"/>
    <w:rsid w:val="60974D44"/>
    <w:rsid w:val="60B43E14"/>
    <w:rsid w:val="61096DE8"/>
    <w:rsid w:val="61836741"/>
    <w:rsid w:val="61926DDD"/>
    <w:rsid w:val="61D05B58"/>
    <w:rsid w:val="61F92118"/>
    <w:rsid w:val="62320123"/>
    <w:rsid w:val="626458B1"/>
    <w:rsid w:val="63F508DC"/>
    <w:rsid w:val="640B407C"/>
    <w:rsid w:val="640D3093"/>
    <w:rsid w:val="64524F4A"/>
    <w:rsid w:val="647040F1"/>
    <w:rsid w:val="64D9420F"/>
    <w:rsid w:val="64FA41B6"/>
    <w:rsid w:val="65E32B57"/>
    <w:rsid w:val="65EB7404"/>
    <w:rsid w:val="6686712D"/>
    <w:rsid w:val="66F01D9D"/>
    <w:rsid w:val="67560454"/>
    <w:rsid w:val="67694013"/>
    <w:rsid w:val="67BB634A"/>
    <w:rsid w:val="68067F33"/>
    <w:rsid w:val="681405DF"/>
    <w:rsid w:val="68163EEA"/>
    <w:rsid w:val="682E0729"/>
    <w:rsid w:val="68F260D2"/>
    <w:rsid w:val="68F262B4"/>
    <w:rsid w:val="69140A20"/>
    <w:rsid w:val="698F62F8"/>
    <w:rsid w:val="69C35A1B"/>
    <w:rsid w:val="6A102F95"/>
    <w:rsid w:val="6AE03B69"/>
    <w:rsid w:val="6B250CC2"/>
    <w:rsid w:val="6C445178"/>
    <w:rsid w:val="6CC73B93"/>
    <w:rsid w:val="6D0D2A00"/>
    <w:rsid w:val="6D2D3E5E"/>
    <w:rsid w:val="6DA5433C"/>
    <w:rsid w:val="6E1D2A40"/>
    <w:rsid w:val="6E201C15"/>
    <w:rsid w:val="6EB23C18"/>
    <w:rsid w:val="6FD607DD"/>
    <w:rsid w:val="6FD85B53"/>
    <w:rsid w:val="6FFC0D75"/>
    <w:rsid w:val="70705DBA"/>
    <w:rsid w:val="712230C5"/>
    <w:rsid w:val="71602F03"/>
    <w:rsid w:val="71770A1B"/>
    <w:rsid w:val="7188036D"/>
    <w:rsid w:val="721B2251"/>
    <w:rsid w:val="737427E7"/>
    <w:rsid w:val="737E18B7"/>
    <w:rsid w:val="73B21561"/>
    <w:rsid w:val="742F43CD"/>
    <w:rsid w:val="758F11EE"/>
    <w:rsid w:val="759A405B"/>
    <w:rsid w:val="75A41E45"/>
    <w:rsid w:val="76473F34"/>
    <w:rsid w:val="76497BD0"/>
    <w:rsid w:val="766B0A56"/>
    <w:rsid w:val="7712338C"/>
    <w:rsid w:val="772F6E04"/>
    <w:rsid w:val="77A15B74"/>
    <w:rsid w:val="787E58F4"/>
    <w:rsid w:val="78EB0D38"/>
    <w:rsid w:val="797E097B"/>
    <w:rsid w:val="79C13427"/>
    <w:rsid w:val="79DA711C"/>
    <w:rsid w:val="7A9F32A8"/>
    <w:rsid w:val="7B14665D"/>
    <w:rsid w:val="7B315461"/>
    <w:rsid w:val="7B59797D"/>
    <w:rsid w:val="7B745B23"/>
    <w:rsid w:val="7C221B12"/>
    <w:rsid w:val="7C9A22AC"/>
    <w:rsid w:val="7CC61BD9"/>
    <w:rsid w:val="7CFE56C9"/>
    <w:rsid w:val="7D2B51C4"/>
    <w:rsid w:val="7D430339"/>
    <w:rsid w:val="7D99109C"/>
    <w:rsid w:val="7E372D8F"/>
    <w:rsid w:val="7F5117D5"/>
    <w:rsid w:val="7F596D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0"/>
    <w:autoRedefine/>
    <w:qFormat/>
    <w:uiPriority w:val="0"/>
    <w:pPr>
      <w:widowControl/>
      <w:overflowPunct w:val="0"/>
      <w:autoSpaceDE w:val="0"/>
      <w:autoSpaceDN w:val="0"/>
      <w:adjustRightInd w:val="0"/>
      <w:spacing w:before="280" w:line="360" w:lineRule="auto"/>
      <w:ind w:left="432" w:hanging="432"/>
      <w:jc w:val="center"/>
      <w:textAlignment w:val="baseline"/>
      <w:outlineLvl w:val="0"/>
    </w:pPr>
    <w:rPr>
      <w:rFonts w:ascii="Arial Black" w:hAnsi="Arial Black"/>
      <w:b/>
      <w:spacing w:val="20"/>
      <w:kern w:val="0"/>
      <w:sz w:val="44"/>
      <w:szCs w:val="20"/>
    </w:rPr>
  </w:style>
  <w:style w:type="paragraph" w:styleId="3">
    <w:name w:val="heading 2"/>
    <w:basedOn w:val="1"/>
    <w:next w:val="1"/>
    <w:autoRedefine/>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5">
    <w:name w:val="heading 5"/>
    <w:basedOn w:val="1"/>
    <w:next w:val="1"/>
    <w:autoRedefine/>
    <w:qFormat/>
    <w:uiPriority w:val="1"/>
    <w:pPr>
      <w:ind w:left="378"/>
      <w:outlineLvl w:val="4"/>
    </w:pPr>
    <w:rPr>
      <w:rFonts w:ascii="宋体" w:hAnsi="宋体" w:cs="宋体"/>
      <w:b/>
      <w:bCs/>
      <w:szCs w:val="21"/>
      <w:lang w:val="zh-CN" w:bidi="zh-CN"/>
    </w:rPr>
  </w:style>
  <w:style w:type="character" w:default="1" w:styleId="27">
    <w:name w:val="Default Paragraph Font"/>
    <w:autoRedefine/>
    <w:unhideWhenUsed/>
    <w:qFormat/>
    <w:uiPriority w:val="1"/>
  </w:style>
  <w:style w:type="table" w:default="1" w:styleId="25">
    <w:name w:val="Normal Table"/>
    <w:autoRedefine/>
    <w:unhideWhenUsed/>
    <w:qFormat/>
    <w:uiPriority w:val="99"/>
    <w:tblPr>
      <w:tblCellMar>
        <w:top w:w="0" w:type="dxa"/>
        <w:left w:w="108" w:type="dxa"/>
        <w:bottom w:w="0" w:type="dxa"/>
        <w:right w:w="108" w:type="dxa"/>
      </w:tblCellMar>
    </w:tblPr>
  </w:style>
  <w:style w:type="paragraph" w:styleId="6">
    <w:name w:val="table of authorities"/>
    <w:basedOn w:val="1"/>
    <w:next w:val="1"/>
    <w:autoRedefine/>
    <w:qFormat/>
    <w:uiPriority w:val="0"/>
    <w:pPr>
      <w:ind w:left="420" w:leftChars="200"/>
    </w:pPr>
    <w:rPr>
      <w:rFonts w:ascii="Times New Roman" w:hAnsi="Times New Roman"/>
    </w:rPr>
  </w:style>
  <w:style w:type="paragraph" w:styleId="7">
    <w:name w:val="index 8"/>
    <w:basedOn w:val="1"/>
    <w:next w:val="1"/>
    <w:autoRedefine/>
    <w:qFormat/>
    <w:uiPriority w:val="0"/>
    <w:pPr>
      <w:ind w:left="2940"/>
    </w:pPr>
  </w:style>
  <w:style w:type="paragraph" w:styleId="8">
    <w:name w:val="Normal Indent"/>
    <w:basedOn w:val="1"/>
    <w:next w:val="1"/>
    <w:autoRedefine/>
    <w:qFormat/>
    <w:uiPriority w:val="0"/>
    <w:pPr>
      <w:ind w:firstLine="420"/>
    </w:pPr>
    <w:rPr>
      <w:szCs w:val="22"/>
    </w:rPr>
  </w:style>
  <w:style w:type="paragraph" w:styleId="9">
    <w:name w:val="annotation text"/>
    <w:basedOn w:val="1"/>
    <w:autoRedefine/>
    <w:qFormat/>
    <w:uiPriority w:val="0"/>
    <w:pPr>
      <w:jc w:val="left"/>
    </w:pPr>
  </w:style>
  <w:style w:type="paragraph" w:styleId="10">
    <w:name w:val="Body Text"/>
    <w:basedOn w:val="1"/>
    <w:next w:val="11"/>
    <w:autoRedefine/>
    <w:qFormat/>
    <w:uiPriority w:val="0"/>
    <w:pPr>
      <w:spacing w:after="120"/>
    </w:pPr>
    <w:rPr>
      <w:rFonts w:ascii="等线" w:hAnsi="等线" w:eastAsia="等线"/>
      <w:kern w:val="0"/>
      <w:sz w:val="20"/>
      <w:szCs w:val="20"/>
    </w:rPr>
  </w:style>
  <w:style w:type="paragraph" w:styleId="11">
    <w:name w:val="Body Text First Indent 2"/>
    <w:basedOn w:val="12"/>
    <w:next w:val="14"/>
    <w:autoRedefine/>
    <w:qFormat/>
    <w:uiPriority w:val="99"/>
    <w:pPr>
      <w:ind w:firstLine="420" w:firstLineChars="200"/>
    </w:pPr>
  </w:style>
  <w:style w:type="paragraph" w:styleId="12">
    <w:name w:val="Body Text Indent"/>
    <w:basedOn w:val="1"/>
    <w:next w:val="13"/>
    <w:autoRedefine/>
    <w:qFormat/>
    <w:uiPriority w:val="0"/>
    <w:pPr>
      <w:spacing w:before="72" w:after="120"/>
      <w:ind w:left="360"/>
    </w:pPr>
    <w:rPr>
      <w:color w:val="000000"/>
      <w:kern w:val="0"/>
      <w:sz w:val="24"/>
    </w:rPr>
  </w:style>
  <w:style w:type="paragraph" w:styleId="13">
    <w:name w:val="envelope return"/>
    <w:basedOn w:val="1"/>
    <w:autoRedefine/>
    <w:qFormat/>
    <w:uiPriority w:val="0"/>
    <w:pPr>
      <w:snapToGrid w:val="0"/>
    </w:pPr>
    <w:rPr>
      <w:rFonts w:ascii="Arial" w:hAnsi="Arial"/>
    </w:rPr>
  </w:style>
  <w:style w:type="paragraph" w:customStyle="1" w:styleId="14">
    <w:name w:val="**正文"/>
    <w:basedOn w:val="1"/>
    <w:qFormat/>
    <w:uiPriority w:val="0"/>
    <w:pPr>
      <w:ind w:firstLine="482"/>
    </w:pPr>
    <w:rPr>
      <w:rFonts w:ascii="宋体" w:hAnsi="宋体"/>
      <w:sz w:val="24"/>
    </w:rPr>
  </w:style>
  <w:style w:type="paragraph" w:styleId="15">
    <w:name w:val="Plain Text"/>
    <w:basedOn w:val="1"/>
    <w:autoRedefine/>
    <w:qFormat/>
    <w:uiPriority w:val="0"/>
    <w:rPr>
      <w:rFonts w:ascii="宋体" w:hAnsi="Courier New"/>
      <w:szCs w:val="20"/>
    </w:rPr>
  </w:style>
  <w:style w:type="paragraph" w:styleId="16">
    <w:name w:val="Body Text Indent 2"/>
    <w:basedOn w:val="1"/>
    <w:autoRedefine/>
    <w:qFormat/>
    <w:uiPriority w:val="0"/>
    <w:pPr>
      <w:spacing w:line="380" w:lineRule="exact"/>
      <w:ind w:firstLine="840" w:firstLineChars="400"/>
    </w:pPr>
    <w:rPr>
      <w:rFonts w:eastAsiaTheme="minorEastAsia" w:cstheme="minorBidi"/>
      <w:szCs w:val="22"/>
    </w:rPr>
  </w:style>
  <w:style w:type="paragraph" w:styleId="17">
    <w:name w:val="Balloon Text"/>
    <w:basedOn w:val="1"/>
    <w:link w:val="49"/>
    <w:autoRedefine/>
    <w:qFormat/>
    <w:uiPriority w:val="0"/>
    <w:rPr>
      <w:sz w:val="18"/>
      <w:szCs w:val="18"/>
    </w:rPr>
  </w:style>
  <w:style w:type="paragraph" w:styleId="1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20">
    <w:name w:val="toc 1"/>
    <w:basedOn w:val="1"/>
    <w:next w:val="1"/>
    <w:autoRedefine/>
    <w:qFormat/>
    <w:uiPriority w:val="0"/>
  </w:style>
  <w:style w:type="paragraph" w:styleId="21">
    <w:name w:val="table of figures"/>
    <w:basedOn w:val="1"/>
    <w:next w:val="1"/>
    <w:autoRedefine/>
    <w:qFormat/>
    <w:uiPriority w:val="0"/>
    <w:pPr>
      <w:ind w:left="200" w:leftChars="200" w:hanging="200" w:hangingChars="200"/>
    </w:pPr>
  </w:style>
  <w:style w:type="paragraph" w:styleId="22">
    <w:name w:val="Body Text 2"/>
    <w:basedOn w:val="1"/>
    <w:autoRedefine/>
    <w:qFormat/>
    <w:uiPriority w:val="99"/>
    <w:pPr>
      <w:spacing w:after="120" w:line="480" w:lineRule="auto"/>
    </w:pPr>
  </w:style>
  <w:style w:type="paragraph" w:styleId="23">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0"/>
    <w:next w:val="1"/>
    <w:autoRedefine/>
    <w:unhideWhenUsed/>
    <w:qFormat/>
    <w:uiPriority w:val="99"/>
    <w:pPr>
      <w:ind w:firstLine="420" w:firstLineChars="1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autoRedefine/>
    <w:qFormat/>
    <w:uiPriority w:val="0"/>
    <w:rPr>
      <w:rFonts w:ascii="Times New Roman" w:hAnsi="Times New Roman" w:eastAsia="宋体" w:cs="Times New Roman"/>
      <w:b/>
      <w:bCs/>
      <w:sz w:val="24"/>
      <w:szCs w:val="20"/>
    </w:rPr>
  </w:style>
  <w:style w:type="character" w:styleId="29">
    <w:name w:val="page number"/>
    <w:basedOn w:val="27"/>
    <w:autoRedefine/>
    <w:qFormat/>
    <w:uiPriority w:val="0"/>
  </w:style>
  <w:style w:type="character" w:styleId="30">
    <w:name w:val="FollowedHyperlink"/>
    <w:basedOn w:val="27"/>
    <w:autoRedefine/>
    <w:unhideWhenUsed/>
    <w:qFormat/>
    <w:uiPriority w:val="99"/>
    <w:rPr>
      <w:color w:val="800080"/>
      <w:u w:val="none"/>
    </w:rPr>
  </w:style>
  <w:style w:type="character" w:styleId="31">
    <w:name w:val="Emphasis"/>
    <w:basedOn w:val="27"/>
    <w:autoRedefine/>
    <w:qFormat/>
    <w:uiPriority w:val="20"/>
  </w:style>
  <w:style w:type="character" w:styleId="32">
    <w:name w:val="HTML Definition"/>
    <w:basedOn w:val="27"/>
    <w:autoRedefine/>
    <w:unhideWhenUsed/>
    <w:qFormat/>
    <w:uiPriority w:val="99"/>
  </w:style>
  <w:style w:type="character" w:styleId="33">
    <w:name w:val="HTML Typewriter"/>
    <w:basedOn w:val="27"/>
    <w:autoRedefine/>
    <w:unhideWhenUsed/>
    <w:qFormat/>
    <w:uiPriority w:val="99"/>
    <w:rPr>
      <w:rFonts w:hint="default" w:ascii="monospace" w:hAnsi="monospace" w:eastAsia="monospace" w:cs="monospace"/>
      <w:sz w:val="20"/>
    </w:rPr>
  </w:style>
  <w:style w:type="character" w:styleId="34">
    <w:name w:val="HTML Acronym"/>
    <w:basedOn w:val="27"/>
    <w:autoRedefine/>
    <w:unhideWhenUsed/>
    <w:qFormat/>
    <w:uiPriority w:val="99"/>
  </w:style>
  <w:style w:type="character" w:styleId="35">
    <w:name w:val="HTML Variable"/>
    <w:basedOn w:val="27"/>
    <w:autoRedefine/>
    <w:unhideWhenUsed/>
    <w:qFormat/>
    <w:uiPriority w:val="99"/>
  </w:style>
  <w:style w:type="character" w:styleId="36">
    <w:name w:val="Hyperlink"/>
    <w:autoRedefine/>
    <w:qFormat/>
    <w:uiPriority w:val="0"/>
    <w:rPr>
      <w:rFonts w:ascii="Tahoma" w:hAnsi="Tahoma"/>
      <w:color w:val="333333"/>
      <w:sz w:val="24"/>
      <w:szCs w:val="20"/>
      <w:u w:val="none"/>
    </w:rPr>
  </w:style>
  <w:style w:type="character" w:styleId="37">
    <w:name w:val="HTML Code"/>
    <w:basedOn w:val="27"/>
    <w:autoRedefine/>
    <w:unhideWhenUsed/>
    <w:qFormat/>
    <w:uiPriority w:val="99"/>
    <w:rPr>
      <w:rFonts w:ascii="monospace" w:hAnsi="monospace" w:eastAsia="monospace" w:cs="monospace"/>
      <w:sz w:val="20"/>
    </w:rPr>
  </w:style>
  <w:style w:type="character" w:styleId="38">
    <w:name w:val="HTML Cite"/>
    <w:basedOn w:val="27"/>
    <w:autoRedefine/>
    <w:unhideWhenUsed/>
    <w:qFormat/>
    <w:uiPriority w:val="99"/>
  </w:style>
  <w:style w:type="character" w:styleId="39">
    <w:name w:val="HTML Keyboard"/>
    <w:basedOn w:val="27"/>
    <w:autoRedefine/>
    <w:unhideWhenUsed/>
    <w:qFormat/>
    <w:uiPriority w:val="99"/>
    <w:rPr>
      <w:rFonts w:hint="default" w:ascii="monospace" w:hAnsi="monospace" w:eastAsia="monospace" w:cs="monospace"/>
      <w:sz w:val="20"/>
    </w:rPr>
  </w:style>
  <w:style w:type="character" w:styleId="40">
    <w:name w:val="HTML Sample"/>
    <w:basedOn w:val="27"/>
    <w:autoRedefine/>
    <w:unhideWhenUsed/>
    <w:qFormat/>
    <w:uiPriority w:val="99"/>
    <w:rPr>
      <w:rFonts w:hint="default" w:ascii="monospace" w:hAnsi="monospace" w:eastAsia="monospace" w:cs="monospace"/>
    </w:rPr>
  </w:style>
  <w:style w:type="paragraph" w:customStyle="1" w:styleId="41">
    <w:name w:val="_Style 1"/>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表格文字"/>
    <w:autoRedefine/>
    <w:qFormat/>
    <w:uiPriority w:val="0"/>
    <w:pPr>
      <w:widowControl w:val="0"/>
      <w:spacing w:before="25" w:after="25" w:line="300" w:lineRule="auto"/>
      <w:ind w:firstLine="200" w:firstLineChars="200"/>
      <w:jc w:val="both"/>
    </w:pPr>
    <w:rPr>
      <w:rFonts w:ascii="Times New Roman" w:hAnsi="Times New Roman" w:eastAsia="宋体" w:cs="Times New Roman"/>
      <w:spacing w:val="10"/>
      <w:kern w:val="0"/>
      <w:sz w:val="24"/>
      <w:szCs w:val="24"/>
      <w:lang w:val="en-US" w:eastAsia="zh-CN" w:bidi="ar-SA"/>
    </w:rPr>
  </w:style>
  <w:style w:type="paragraph" w:customStyle="1" w:styleId="43">
    <w:name w:val="Default"/>
    <w:autoRedefine/>
    <w:qFormat/>
    <w:uiPriority w:val="0"/>
    <w:pPr>
      <w:widowControl w:val="0"/>
      <w:autoSpaceDE w:val="0"/>
      <w:autoSpaceDN w:val="0"/>
    </w:pPr>
    <w:rPr>
      <w:rFonts w:hint="eastAsia" w:ascii="Calibri" w:hAnsi="Calibri" w:eastAsia="宋体" w:cs="Times New Roman"/>
      <w:color w:val="000000"/>
      <w:sz w:val="24"/>
      <w:lang w:val="en-US" w:eastAsia="zh-CN" w:bidi="ar-SA"/>
    </w:rPr>
  </w:style>
  <w:style w:type="paragraph" w:customStyle="1" w:styleId="44">
    <w:name w:val="p0"/>
    <w:basedOn w:val="1"/>
    <w:autoRedefine/>
    <w:qFormat/>
    <w:uiPriority w:val="0"/>
    <w:pPr>
      <w:widowControl/>
    </w:pPr>
    <w:rPr>
      <w:kern w:val="0"/>
      <w:szCs w:val="21"/>
    </w:rPr>
  </w:style>
  <w:style w:type="paragraph" w:customStyle="1" w:styleId="45">
    <w:name w:val="WPSOffice手动目录 1"/>
    <w:autoRedefine/>
    <w:qFormat/>
    <w:uiPriority w:val="0"/>
    <w:rPr>
      <w:rFonts w:ascii="Calibri" w:hAnsi="Calibri" w:eastAsia="宋体" w:cs="Times New Roman"/>
      <w:lang w:val="en-US" w:eastAsia="zh-CN" w:bidi="ar-SA"/>
    </w:rPr>
  </w:style>
  <w:style w:type="paragraph" w:customStyle="1" w:styleId="46">
    <w:name w:val="1"/>
    <w:basedOn w:val="1"/>
    <w:next w:val="15"/>
    <w:autoRedefine/>
    <w:qFormat/>
    <w:uiPriority w:val="0"/>
    <w:rPr>
      <w:rFonts w:ascii="宋体" w:hAnsi="Courier New"/>
      <w:szCs w:val="20"/>
    </w:rPr>
  </w:style>
  <w:style w:type="paragraph" w:customStyle="1" w:styleId="47">
    <w:name w:val="List Paragraph_c025fcc9-cacc-41dd-b7fb-a49ce7f07731"/>
    <w:basedOn w:val="1"/>
    <w:autoRedefine/>
    <w:qFormat/>
    <w:uiPriority w:val="0"/>
    <w:pPr>
      <w:widowControl/>
      <w:spacing w:line="360" w:lineRule="auto"/>
      <w:ind w:firstLine="420" w:firstLineChars="200"/>
      <w:jc w:val="left"/>
    </w:pPr>
    <w:rPr>
      <w:szCs w:val="20"/>
    </w:rPr>
  </w:style>
  <w:style w:type="paragraph" w:customStyle="1" w:styleId="48">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批注框文本 Char"/>
    <w:basedOn w:val="27"/>
    <w:link w:val="17"/>
    <w:autoRedefine/>
    <w:qFormat/>
    <w:uiPriority w:val="0"/>
    <w:rPr>
      <w:rFonts w:ascii="Calibri" w:hAnsi="Calibri"/>
      <w:kern w:val="2"/>
      <w:sz w:val="18"/>
      <w:szCs w:val="18"/>
    </w:rPr>
  </w:style>
  <w:style w:type="character" w:customStyle="1" w:styleId="50">
    <w:name w:val="标题 1 Char"/>
    <w:link w:val="2"/>
    <w:autoRedefine/>
    <w:qFormat/>
    <w:uiPriority w:val="0"/>
    <w:rPr>
      <w:rFonts w:ascii="Arial Black" w:hAnsi="Arial Black"/>
      <w:b/>
      <w:spacing w:val="20"/>
      <w:kern w:val="0"/>
      <w:sz w:val="44"/>
      <w:szCs w:val="20"/>
    </w:rPr>
  </w:style>
  <w:style w:type="character" w:customStyle="1" w:styleId="51">
    <w:name w:val="NormalCharacter"/>
    <w:autoRedefine/>
    <w:qFormat/>
    <w:uiPriority w:val="0"/>
  </w:style>
  <w:style w:type="paragraph" w:customStyle="1" w:styleId="52">
    <w:name w:val="Table Paragraph"/>
    <w:basedOn w:val="1"/>
    <w:autoRedefine/>
    <w:qFormat/>
    <w:uiPriority w:val="1"/>
    <w:rPr>
      <w:rFonts w:ascii="宋体" w:hAnsi="宋体" w:cs="宋体"/>
      <w:lang w:val="zh-CN" w:bidi="zh-CN"/>
    </w:rPr>
  </w:style>
  <w:style w:type="paragraph" w:customStyle="1" w:styleId="53">
    <w:name w:val="BodyText1I2"/>
    <w:basedOn w:val="54"/>
    <w:autoRedefine/>
    <w:qFormat/>
    <w:uiPriority w:val="0"/>
    <w:pPr>
      <w:ind w:firstLine="420" w:firstLineChars="200"/>
    </w:pPr>
  </w:style>
  <w:style w:type="paragraph" w:customStyle="1" w:styleId="54">
    <w:name w:val="BodyTextIndent"/>
    <w:basedOn w:val="1"/>
    <w:autoRedefine/>
    <w:qFormat/>
    <w:uiPriority w:val="0"/>
    <w:pPr>
      <w:ind w:firstLine="830" w:firstLineChars="352"/>
      <w:textAlignment w:val="baseline"/>
    </w:pPr>
    <w:rPr>
      <w:rFonts w:ascii="仿宋_GB2312" w:eastAsia="仿宋_GB2312"/>
      <w:kern w:val="0"/>
      <w:sz w:val="32"/>
      <w:szCs w:val="20"/>
    </w:rPr>
  </w:style>
  <w:style w:type="paragraph" w:customStyle="1" w:styleId="55">
    <w:name w:val="BodyText"/>
    <w:basedOn w:val="1"/>
    <w:autoRedefine/>
    <w:qFormat/>
    <w:uiPriority w:val="0"/>
    <w:pPr>
      <w:textAlignment w:val="baseline"/>
    </w:pPr>
    <w:rPr>
      <w:szCs w:val="21"/>
    </w:rPr>
  </w:style>
  <w:style w:type="paragraph" w:customStyle="1" w:styleId="56">
    <w:name w:val="Revision"/>
    <w:autoRedefine/>
    <w:hidden/>
    <w:semiHidden/>
    <w:qFormat/>
    <w:uiPriority w:val="99"/>
    <w:rPr>
      <w:rFonts w:ascii="Calibri" w:hAnsi="Calibri" w:eastAsia="宋体" w:cs="Times New Roman"/>
      <w:kern w:val="2"/>
      <w:sz w:val="21"/>
      <w:szCs w:val="24"/>
      <w:lang w:val="en-US" w:eastAsia="zh-CN" w:bidi="ar-SA"/>
    </w:rPr>
  </w:style>
  <w:style w:type="table" w:customStyle="1" w:styleId="57">
    <w:name w:val="Table Normal"/>
    <w:autoRedefine/>
    <w:unhideWhenUsed/>
    <w:qFormat/>
    <w:uiPriority w:val="0"/>
    <w:tblPr>
      <w:tblCellMar>
        <w:top w:w="0" w:type="dxa"/>
        <w:left w:w="0" w:type="dxa"/>
        <w:bottom w:w="0" w:type="dxa"/>
        <w:right w:w="0" w:type="dxa"/>
      </w:tblCellMar>
    </w:tblPr>
  </w:style>
  <w:style w:type="paragraph" w:customStyle="1" w:styleId="58">
    <w:name w:val="_Style 5"/>
    <w:autoRedefine/>
    <w:qFormat/>
    <w:uiPriority w:val="1"/>
    <w:rPr>
      <w:rFonts w:ascii="Times New Roman" w:hAnsi="Times New Roman" w:eastAsia="宋体" w:cs="Times New Roman"/>
      <w:sz w:val="22"/>
      <w:szCs w:val="22"/>
      <w:lang w:val="en-US" w:eastAsia="zh-CN" w:bidi="ar-SA"/>
    </w:rPr>
  </w:style>
  <w:style w:type="paragraph" w:customStyle="1" w:styleId="59">
    <w:name w:val="cjk"/>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0">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79223-937C-4665-BAB1-1413708448F8}">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21870</Words>
  <Characters>23432</Characters>
  <Lines>356</Lines>
  <Paragraphs>100</Paragraphs>
  <TotalTime>133</TotalTime>
  <ScaleCrop>false</ScaleCrop>
  <LinksUpToDate>false</LinksUpToDate>
  <CharactersWithSpaces>23539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2021-11-04T07:17:00Z</dcterms:created>
  <dc:creator>不吃鱼的猫</dc:creator>
  <cp:lastModifiedBy>狠淡de幸福</cp:lastModifiedBy>
  <cp:lastPrinted>2023-04-11T07:50:00Z</cp:lastPrinted>
  <dcterms:modified xsi:type="dcterms:W3CDTF">2026-04-21T08:58:03Z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CDF89D3AEB8343BC895CCFC4366B8A5D</vt:lpwstr>
  </property>
  <property fmtid="{D5CDD505-2E9C-101B-9397-08002B2CF9AE}" pid="4" name="commondata">
    <vt:lpwstr>eyJoZGlkIjoiOTJhNDFhY2IxZjk5N2ZiMjI4ZjA4YjQzNTdlMmUxNDIifQ==</vt:lpwstr>
  </property>
  <property fmtid="{D5CDD505-2E9C-101B-9397-08002B2CF9AE}" pid="5" name="KSOTemplateDocerSaveRecord">
    <vt:lpwstr>eyJoZGlkIjoiYzgyN2ExYzNkNjQ1M2QwMmNiM2ZiNGNkMTBhZThkODYiLCJ1c2VySWQiOiI0MTA2ODA5NjkifQ==</vt:lpwstr>
  </property>
</Properties>
</file>