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594E2F">
      <w:pPr>
        <w:shd w:val="clear"/>
        <w:spacing w:before="120" w:beforeLines="50" w:line="360" w:lineRule="auto"/>
        <w:jc w:val="center"/>
        <w:rPr>
          <w:rFonts w:ascii="宋体" w:hAnsi="宋体" w:cs="宋体"/>
          <w:color w:val="auto"/>
          <w:sz w:val="36"/>
          <w:szCs w:val="36"/>
          <w:highlight w:val="none"/>
        </w:rPr>
      </w:pPr>
      <w:bookmarkStart w:id="103" w:name="_GoBack"/>
    </w:p>
    <w:p w14:paraId="1EC48531">
      <w:pPr>
        <w:shd w:val="clear"/>
        <w:spacing w:before="120" w:beforeLines="50" w:line="360" w:lineRule="auto"/>
        <w:jc w:val="center"/>
        <w:rPr>
          <w:rFonts w:ascii="宋体" w:hAnsi="宋体" w:cs="宋体"/>
          <w:color w:val="auto"/>
          <w:sz w:val="36"/>
          <w:szCs w:val="36"/>
          <w:highlight w:val="none"/>
        </w:rPr>
      </w:pPr>
    </w:p>
    <w:p w14:paraId="02AB3BDF">
      <w:pPr>
        <w:shd w:val="clear"/>
        <w:snapToGrid w:val="0"/>
        <w:spacing w:before="120" w:beforeLines="50" w:line="360" w:lineRule="auto"/>
        <w:jc w:val="center"/>
        <w:rPr>
          <w:rFonts w:ascii="宋体" w:hAnsi="宋体" w:cs="宋体"/>
          <w:b/>
          <w:color w:val="auto"/>
          <w:sz w:val="44"/>
          <w:szCs w:val="44"/>
          <w:highlight w:val="none"/>
        </w:rPr>
      </w:pPr>
      <w:r>
        <w:rPr>
          <w:rFonts w:hint="eastAsia" w:ascii="宋体" w:hAnsi="宋体" w:cs="宋体"/>
          <w:b/>
          <w:color w:val="auto"/>
          <w:sz w:val="72"/>
          <w:szCs w:val="72"/>
          <w:highlight w:val="none"/>
        </w:rPr>
        <w:t>竞争性磋商文件</w:t>
      </w:r>
    </w:p>
    <w:p w14:paraId="1BE3D0E2">
      <w:pPr>
        <w:shd w:val="clear"/>
        <w:spacing w:after="120" w:afterLines="50" w:line="360" w:lineRule="auto"/>
        <w:jc w:val="center"/>
        <w:rPr>
          <w:rFonts w:ascii="宋体" w:hAnsi="宋体" w:cs="宋体"/>
          <w:b/>
          <w:color w:val="auto"/>
          <w:sz w:val="32"/>
          <w:szCs w:val="32"/>
          <w:highlight w:val="none"/>
        </w:rPr>
      </w:pPr>
      <w:r>
        <w:rPr>
          <w:rFonts w:hint="eastAsia" w:ascii="宋体" w:hAnsi="宋体" w:cs="宋体"/>
          <w:color w:val="auto"/>
          <w:szCs w:val="21"/>
          <w:highlight w:val="none"/>
        </w:rPr>
        <w:t>（全流程电子化评标）</w:t>
      </w:r>
    </w:p>
    <w:p w14:paraId="37CA20A8">
      <w:pPr>
        <w:shd w:val="clear"/>
        <w:spacing w:line="360" w:lineRule="auto"/>
        <w:jc w:val="center"/>
        <w:rPr>
          <w:rFonts w:ascii="宋体" w:hAnsi="宋体" w:cs="宋体"/>
          <w:b/>
          <w:color w:val="auto"/>
          <w:sz w:val="32"/>
          <w:szCs w:val="32"/>
          <w:highlight w:val="none"/>
        </w:rPr>
      </w:pPr>
    </w:p>
    <w:p w14:paraId="5461EECA">
      <w:pPr>
        <w:pStyle w:val="2"/>
        <w:shd w:val="clear"/>
        <w:rPr>
          <w:color w:val="auto"/>
          <w:highlight w:val="none"/>
        </w:rPr>
      </w:pPr>
    </w:p>
    <w:p w14:paraId="4035CA07">
      <w:pPr>
        <w:pStyle w:val="2"/>
        <w:shd w:val="clear"/>
        <w:rPr>
          <w:color w:val="auto"/>
          <w:highlight w:val="none"/>
        </w:rPr>
      </w:pPr>
    </w:p>
    <w:p w14:paraId="574FB572">
      <w:pPr>
        <w:pStyle w:val="2"/>
        <w:shd w:val="clear"/>
        <w:rPr>
          <w:color w:val="auto"/>
          <w:highlight w:val="none"/>
        </w:rPr>
      </w:pPr>
    </w:p>
    <w:p w14:paraId="741B7DB6">
      <w:pPr>
        <w:keepNext w:val="0"/>
        <w:keepLines w:val="0"/>
        <w:pageBreakBefore w:val="0"/>
        <w:widowControl w:val="0"/>
        <w:shd w:val="clear"/>
        <w:kinsoku/>
        <w:wordWrap/>
        <w:overflowPunct/>
        <w:topLinePunct w:val="0"/>
        <w:autoSpaceDE/>
        <w:autoSpaceDN/>
        <w:bidi w:val="0"/>
        <w:adjustRightInd/>
        <w:snapToGrid/>
        <w:spacing w:line="360" w:lineRule="auto"/>
        <w:ind w:firstLine="964" w:firstLineChars="300"/>
        <w:textAlignment w:val="auto"/>
        <w:rPr>
          <w:rFonts w:hint="eastAsia" w:ascii="宋体" w:hAnsi="宋体" w:cs="宋体"/>
          <w:b/>
          <w:color w:val="auto"/>
          <w:sz w:val="32"/>
          <w:szCs w:val="32"/>
          <w:highlight w:val="none"/>
          <w:lang w:val="en-US" w:eastAsia="zh-CN"/>
        </w:rPr>
      </w:pPr>
      <w:r>
        <w:rPr>
          <w:rFonts w:hint="eastAsia" w:ascii="宋体" w:hAnsi="宋体" w:cs="宋体"/>
          <w:b/>
          <w:color w:val="auto"/>
          <w:sz w:val="32"/>
          <w:szCs w:val="32"/>
          <w:highlight w:val="none"/>
        </w:rPr>
        <w:t>项目名称：</w:t>
      </w:r>
      <w:r>
        <w:rPr>
          <w:rFonts w:hint="eastAsia" w:ascii="宋体" w:hAnsi="宋体" w:cs="宋体"/>
          <w:b/>
          <w:color w:val="auto"/>
          <w:sz w:val="32"/>
          <w:szCs w:val="32"/>
          <w:highlight w:val="none"/>
          <w:lang w:val="en-US" w:eastAsia="zh-CN"/>
        </w:rPr>
        <w:t>《&lt;工业行业主要产品用水定额&gt;&lt;城镇生活用水</w:t>
      </w:r>
    </w:p>
    <w:p w14:paraId="698A9EA3">
      <w:pPr>
        <w:keepNext w:val="0"/>
        <w:keepLines w:val="0"/>
        <w:pageBreakBefore w:val="0"/>
        <w:widowControl w:val="0"/>
        <w:shd w:val="clear"/>
        <w:kinsoku/>
        <w:wordWrap/>
        <w:overflowPunct/>
        <w:topLinePunct w:val="0"/>
        <w:autoSpaceDE/>
        <w:autoSpaceDN/>
        <w:bidi w:val="0"/>
        <w:adjustRightInd/>
        <w:snapToGrid/>
        <w:spacing w:line="360" w:lineRule="auto"/>
        <w:ind w:firstLine="2570" w:firstLineChars="800"/>
        <w:textAlignment w:val="auto"/>
        <w:rPr>
          <w:rFonts w:hint="eastAsia" w:ascii="宋体" w:hAnsi="宋体" w:eastAsia="宋体" w:cs="宋体"/>
          <w:b/>
          <w:color w:val="auto"/>
          <w:sz w:val="32"/>
          <w:szCs w:val="32"/>
          <w:highlight w:val="none"/>
          <w:lang w:eastAsia="zh-CN"/>
        </w:rPr>
      </w:pPr>
      <w:r>
        <w:rPr>
          <w:rFonts w:hint="eastAsia" w:ascii="宋体" w:hAnsi="宋体" w:cs="宋体"/>
          <w:b/>
          <w:color w:val="auto"/>
          <w:sz w:val="32"/>
          <w:szCs w:val="32"/>
          <w:highlight w:val="none"/>
          <w:lang w:val="en-US" w:eastAsia="zh-CN"/>
        </w:rPr>
        <w:t>定额&gt;评估及修订》（2026—2027）</w:t>
      </w:r>
    </w:p>
    <w:p w14:paraId="139677B3">
      <w:pPr>
        <w:keepNext w:val="0"/>
        <w:keepLines w:val="0"/>
        <w:pageBreakBefore w:val="0"/>
        <w:widowControl w:val="0"/>
        <w:shd w:val="clear"/>
        <w:kinsoku/>
        <w:wordWrap/>
        <w:overflowPunct/>
        <w:topLinePunct w:val="0"/>
        <w:autoSpaceDE/>
        <w:autoSpaceDN/>
        <w:bidi w:val="0"/>
        <w:adjustRightInd/>
        <w:snapToGrid/>
        <w:spacing w:before="469" w:beforeLines="150" w:line="720" w:lineRule="auto"/>
        <w:ind w:firstLine="964" w:firstLineChars="300"/>
        <w:textAlignment w:val="auto"/>
        <w:rPr>
          <w:rFonts w:hint="eastAsia" w:ascii="宋体" w:hAnsi="宋体" w:eastAsia="宋体" w:cs="宋体"/>
          <w:b/>
          <w:color w:val="auto"/>
          <w:sz w:val="32"/>
          <w:szCs w:val="32"/>
          <w:highlight w:val="none"/>
          <w:lang w:eastAsia="zh-CN"/>
        </w:rPr>
      </w:pPr>
      <w:r>
        <w:rPr>
          <w:rFonts w:hint="eastAsia" w:ascii="宋体" w:hAnsi="宋体" w:cs="宋体"/>
          <w:b/>
          <w:color w:val="auto"/>
          <w:sz w:val="32"/>
          <w:szCs w:val="32"/>
          <w:highlight w:val="none"/>
        </w:rPr>
        <w:t>项目编号：</w:t>
      </w:r>
      <w:r>
        <w:rPr>
          <w:rFonts w:hint="eastAsia" w:ascii="宋体" w:hAnsi="宋体" w:cs="宋体"/>
          <w:b/>
          <w:color w:val="auto"/>
          <w:sz w:val="32"/>
          <w:szCs w:val="32"/>
          <w:highlight w:val="none"/>
          <w:lang w:eastAsia="zh-CN"/>
        </w:rPr>
        <w:t>GXZC2026-C3-000792-XYGC</w:t>
      </w:r>
    </w:p>
    <w:p w14:paraId="7CAB66FD">
      <w:pPr>
        <w:shd w:val="clear"/>
        <w:spacing w:line="720" w:lineRule="auto"/>
        <w:ind w:firstLine="964" w:firstLineChars="300"/>
        <w:rPr>
          <w:rFonts w:hint="eastAsia" w:ascii="宋体" w:hAnsi="宋体" w:eastAsia="宋体" w:cs="宋体"/>
          <w:b/>
          <w:color w:val="auto"/>
          <w:sz w:val="32"/>
          <w:szCs w:val="32"/>
          <w:highlight w:val="none"/>
          <w:lang w:eastAsia="zh-CN"/>
        </w:rPr>
      </w:pPr>
      <w:r>
        <w:rPr>
          <w:rFonts w:hint="eastAsia" w:ascii="宋体" w:hAnsi="宋体" w:cs="宋体"/>
          <w:b/>
          <w:color w:val="auto"/>
          <w:sz w:val="32"/>
          <w:szCs w:val="32"/>
          <w:highlight w:val="none"/>
        </w:rPr>
        <w:t>采购人：</w:t>
      </w:r>
      <w:r>
        <w:rPr>
          <w:rFonts w:hint="eastAsia" w:ascii="宋体" w:hAnsi="宋体" w:cs="宋体"/>
          <w:b/>
          <w:color w:val="auto"/>
          <w:sz w:val="32"/>
          <w:szCs w:val="32"/>
          <w:highlight w:val="none"/>
          <w:lang w:eastAsia="zh-CN"/>
        </w:rPr>
        <w:t>广西壮族自治区水利厅</w:t>
      </w:r>
    </w:p>
    <w:p w14:paraId="3F793662">
      <w:pPr>
        <w:shd w:val="clear"/>
        <w:spacing w:line="720" w:lineRule="auto"/>
        <w:ind w:firstLine="964" w:firstLineChars="300"/>
        <w:rPr>
          <w:color w:val="auto"/>
          <w:highlight w:val="none"/>
        </w:rPr>
      </w:pPr>
      <w:r>
        <w:rPr>
          <w:rFonts w:hint="eastAsia" w:ascii="宋体" w:hAnsi="宋体" w:cs="宋体"/>
          <w:b/>
          <w:color w:val="auto"/>
          <w:sz w:val="32"/>
          <w:szCs w:val="32"/>
          <w:highlight w:val="none"/>
        </w:rPr>
        <w:t>采购代理机构：广西信永工程咨询有限责任公司</w:t>
      </w:r>
    </w:p>
    <w:p w14:paraId="5D36A24B">
      <w:pPr>
        <w:pStyle w:val="2"/>
        <w:shd w:val="clear"/>
        <w:rPr>
          <w:color w:val="auto"/>
          <w:highlight w:val="none"/>
        </w:rPr>
      </w:pPr>
    </w:p>
    <w:p w14:paraId="59AF61C1">
      <w:pPr>
        <w:shd w:val="clear"/>
        <w:spacing w:line="360" w:lineRule="auto"/>
        <w:jc w:val="center"/>
        <w:rPr>
          <w:color w:val="auto"/>
          <w:highlight w:val="none"/>
        </w:rPr>
        <w:sectPr>
          <w:headerReference r:id="rId4" w:type="first"/>
          <w:footerReference r:id="rId5" w:type="first"/>
          <w:headerReference r:id="rId3" w:type="default"/>
          <w:pgSz w:w="11906" w:h="16838"/>
          <w:pgMar w:top="1418" w:right="1418" w:bottom="1418" w:left="1418" w:header="851" w:footer="992" w:gutter="0"/>
          <w:pgNumType w:start="0"/>
          <w:cols w:space="720" w:num="1"/>
          <w:titlePg/>
          <w:docGrid w:linePitch="312" w:charSpace="0"/>
        </w:sectPr>
      </w:pPr>
      <w:r>
        <w:rPr>
          <w:rFonts w:hint="eastAsia" w:ascii="宋体" w:hAnsi="宋体" w:cs="宋体"/>
          <w:b/>
          <w:color w:val="auto"/>
          <w:sz w:val="32"/>
          <w:szCs w:val="32"/>
          <w:highlight w:val="none"/>
        </w:rPr>
        <w:t>202</w:t>
      </w:r>
      <w:r>
        <w:rPr>
          <w:rFonts w:hint="eastAsia" w:ascii="宋体" w:hAnsi="宋体" w:cs="宋体"/>
          <w:b/>
          <w:color w:val="auto"/>
          <w:sz w:val="32"/>
          <w:szCs w:val="32"/>
          <w:highlight w:val="none"/>
          <w:lang w:val="en-US" w:eastAsia="zh-CN"/>
        </w:rPr>
        <w:t>6</w:t>
      </w:r>
      <w:r>
        <w:rPr>
          <w:rFonts w:hint="eastAsia" w:ascii="宋体" w:hAnsi="宋体" w:cs="宋体"/>
          <w:b/>
          <w:color w:val="auto"/>
          <w:sz w:val="32"/>
          <w:szCs w:val="32"/>
          <w:highlight w:val="none"/>
        </w:rPr>
        <w:t>年</w:t>
      </w:r>
      <w:r>
        <w:rPr>
          <w:rFonts w:hint="eastAsia" w:ascii="宋体" w:hAnsi="宋体" w:cs="宋体"/>
          <w:b/>
          <w:color w:val="auto"/>
          <w:sz w:val="32"/>
          <w:szCs w:val="32"/>
          <w:highlight w:val="none"/>
          <w:lang w:val="en-US" w:eastAsia="zh-CN"/>
        </w:rPr>
        <w:t>4</w:t>
      </w:r>
      <w:r>
        <w:rPr>
          <w:rFonts w:hint="eastAsia" w:ascii="宋体" w:hAnsi="宋体" w:cs="宋体"/>
          <w:b/>
          <w:color w:val="auto"/>
          <w:sz w:val="32"/>
          <w:szCs w:val="32"/>
          <w:highlight w:val="none"/>
        </w:rPr>
        <w:t>月</w:t>
      </w:r>
      <w:r>
        <w:rPr>
          <w:rFonts w:hint="eastAsia" w:ascii="宋体" w:hAnsi="宋体" w:cs="宋体"/>
          <w:b/>
          <w:color w:val="auto"/>
          <w:sz w:val="32"/>
          <w:szCs w:val="32"/>
          <w:highlight w:val="none"/>
          <w:lang w:val="en-US" w:eastAsia="zh-CN"/>
        </w:rPr>
        <w:t>9</w:t>
      </w:r>
      <w:r>
        <w:rPr>
          <w:rFonts w:hint="eastAsia" w:ascii="宋体" w:hAnsi="宋体" w:cs="宋体"/>
          <w:b/>
          <w:color w:val="auto"/>
          <w:sz w:val="32"/>
          <w:szCs w:val="32"/>
          <w:highlight w:val="none"/>
        </w:rPr>
        <w:t>日</w:t>
      </w:r>
    </w:p>
    <w:p w14:paraId="2A6E2A9B">
      <w:pPr>
        <w:pStyle w:val="4"/>
        <w:keepNext w:val="0"/>
        <w:keepLines w:val="0"/>
        <w:shd w:val="clear"/>
        <w:tabs>
          <w:tab w:val="left" w:pos="0"/>
          <w:tab w:val="left" w:pos="3165"/>
          <w:tab w:val="center" w:pos="4153"/>
        </w:tabs>
        <w:autoSpaceDE w:val="0"/>
        <w:autoSpaceDN w:val="0"/>
        <w:adjustRightInd w:val="0"/>
        <w:spacing w:before="0" w:after="0" w:line="360" w:lineRule="auto"/>
        <w:jc w:val="center"/>
        <w:rPr>
          <w:rFonts w:ascii="Calibri" w:hAnsi="Calibri"/>
          <w:b w:val="0"/>
          <w:bCs w:val="0"/>
          <w:caps/>
          <w:color w:val="auto"/>
          <w:sz w:val="21"/>
          <w:szCs w:val="22"/>
          <w:highlight w:val="none"/>
        </w:rPr>
      </w:pPr>
      <w:bookmarkStart w:id="0" w:name="_Toc106283322"/>
      <w:r>
        <w:rPr>
          <w:rFonts w:hint="eastAsia" w:ascii="宋体" w:hAnsi="宋体" w:cs="宋体"/>
          <w:color w:val="auto"/>
          <w:highlight w:val="none"/>
        </w:rPr>
        <w:t>目  录</w:t>
      </w:r>
      <w:bookmarkEnd w:id="0"/>
      <w:r>
        <w:rPr>
          <w:rFonts w:hint="eastAsia" w:ascii="宋体" w:hAnsi="宋体" w:cs="宋体"/>
          <w:b w:val="0"/>
          <w:color w:val="auto"/>
          <w:sz w:val="24"/>
          <w:highlight w:val="none"/>
        </w:rPr>
        <w:fldChar w:fldCharType="begin"/>
      </w:r>
      <w:r>
        <w:rPr>
          <w:rFonts w:hint="eastAsia" w:ascii="宋体" w:hAnsi="宋体" w:cs="宋体"/>
          <w:color w:val="auto"/>
          <w:sz w:val="24"/>
          <w:highlight w:val="none"/>
        </w:rPr>
        <w:instrText xml:space="preserve"> TOC \o "1-2" \h \z \u </w:instrText>
      </w:r>
      <w:r>
        <w:rPr>
          <w:rFonts w:hint="eastAsia" w:ascii="宋体" w:hAnsi="宋体" w:cs="宋体"/>
          <w:b w:val="0"/>
          <w:color w:val="auto"/>
          <w:sz w:val="24"/>
          <w:highlight w:val="none"/>
        </w:rPr>
        <w:fldChar w:fldCharType="separate"/>
      </w:r>
    </w:p>
    <w:p w14:paraId="3C381F50">
      <w:pPr>
        <w:pStyle w:val="36"/>
        <w:shd w:val="clear"/>
        <w:spacing w:before="0" w:after="0" w:line="480" w:lineRule="auto"/>
        <w:ind w:firstLine="482" w:firstLineChars="200"/>
        <w:jc w:val="both"/>
        <w:rPr>
          <w:rFonts w:ascii="Calibri" w:hAnsi="Calibri"/>
          <w:b w:val="0"/>
          <w:bCs w:val="0"/>
          <w:caps w:val="0"/>
          <w:color w:val="auto"/>
          <w:sz w:val="28"/>
          <w:szCs w:val="28"/>
          <w:highlight w:val="none"/>
        </w:rPr>
      </w:pPr>
      <w:r>
        <w:rPr>
          <w:color w:val="auto"/>
          <w:highlight w:val="none"/>
        </w:rPr>
        <w:fldChar w:fldCharType="begin"/>
      </w:r>
      <w:r>
        <w:rPr>
          <w:color w:val="auto"/>
          <w:highlight w:val="none"/>
        </w:rPr>
        <w:instrText xml:space="preserve"> HYPERLINK \l "_Toc106283323" </w:instrText>
      </w:r>
      <w:r>
        <w:rPr>
          <w:color w:val="auto"/>
          <w:highlight w:val="none"/>
        </w:rPr>
        <w:fldChar w:fldCharType="separate"/>
      </w:r>
      <w:r>
        <w:rPr>
          <w:rStyle w:val="59"/>
          <w:rFonts w:hint="eastAsia" w:cs="宋体"/>
          <w:b w:val="0"/>
          <w:color w:val="auto"/>
          <w:kern w:val="44"/>
          <w:sz w:val="28"/>
          <w:szCs w:val="28"/>
          <w:highlight w:val="none"/>
          <w:lang w:val="zh-CN"/>
        </w:rPr>
        <w:t>第一章</w:t>
      </w:r>
      <w:r>
        <w:rPr>
          <w:rStyle w:val="59"/>
          <w:rFonts w:cs="宋体"/>
          <w:b w:val="0"/>
          <w:color w:val="auto"/>
          <w:kern w:val="44"/>
          <w:sz w:val="28"/>
          <w:szCs w:val="28"/>
          <w:highlight w:val="none"/>
          <w:lang w:val="zh-CN"/>
        </w:rPr>
        <w:t xml:space="preserve"> </w:t>
      </w:r>
      <w:r>
        <w:rPr>
          <w:rStyle w:val="59"/>
          <w:rFonts w:hint="eastAsia" w:cs="宋体"/>
          <w:b w:val="0"/>
          <w:color w:val="auto"/>
          <w:kern w:val="44"/>
          <w:sz w:val="28"/>
          <w:szCs w:val="28"/>
          <w:highlight w:val="none"/>
          <w:lang w:val="zh-CN"/>
        </w:rPr>
        <w:t>竞争性磋商公告</w:t>
      </w:r>
      <w:r>
        <w:rPr>
          <w:b w:val="0"/>
          <w:color w:val="auto"/>
          <w:sz w:val="28"/>
          <w:szCs w:val="28"/>
          <w:highlight w:val="none"/>
        </w:rPr>
        <w:tab/>
      </w:r>
      <w:r>
        <w:rPr>
          <w:b w:val="0"/>
          <w:color w:val="auto"/>
          <w:sz w:val="28"/>
          <w:szCs w:val="28"/>
          <w:highlight w:val="none"/>
        </w:rPr>
        <w:fldChar w:fldCharType="begin"/>
      </w:r>
      <w:r>
        <w:rPr>
          <w:b w:val="0"/>
          <w:color w:val="auto"/>
          <w:sz w:val="28"/>
          <w:szCs w:val="28"/>
          <w:highlight w:val="none"/>
        </w:rPr>
        <w:instrText xml:space="preserve"> PAGEREF _Toc106283323 \h </w:instrText>
      </w:r>
      <w:r>
        <w:rPr>
          <w:b w:val="0"/>
          <w:color w:val="auto"/>
          <w:sz w:val="28"/>
          <w:szCs w:val="28"/>
          <w:highlight w:val="none"/>
        </w:rPr>
        <w:fldChar w:fldCharType="separate"/>
      </w:r>
      <w:r>
        <w:rPr>
          <w:b w:val="0"/>
          <w:color w:val="auto"/>
          <w:sz w:val="28"/>
          <w:szCs w:val="28"/>
          <w:highlight w:val="none"/>
        </w:rPr>
        <w:t>1</w:t>
      </w:r>
      <w:r>
        <w:rPr>
          <w:b w:val="0"/>
          <w:color w:val="auto"/>
          <w:sz w:val="28"/>
          <w:szCs w:val="28"/>
          <w:highlight w:val="none"/>
        </w:rPr>
        <w:fldChar w:fldCharType="end"/>
      </w:r>
      <w:r>
        <w:rPr>
          <w:b w:val="0"/>
          <w:color w:val="auto"/>
          <w:sz w:val="28"/>
          <w:szCs w:val="28"/>
          <w:highlight w:val="none"/>
        </w:rPr>
        <w:fldChar w:fldCharType="end"/>
      </w:r>
    </w:p>
    <w:p w14:paraId="658E2329">
      <w:pPr>
        <w:pStyle w:val="36"/>
        <w:shd w:val="clear"/>
        <w:spacing w:before="0" w:after="0" w:line="480" w:lineRule="auto"/>
        <w:ind w:firstLine="482" w:firstLineChars="200"/>
        <w:jc w:val="both"/>
        <w:rPr>
          <w:rFonts w:ascii="Calibri" w:hAnsi="Calibri"/>
          <w:b w:val="0"/>
          <w:bCs w:val="0"/>
          <w:caps w:val="0"/>
          <w:color w:val="auto"/>
          <w:sz w:val="28"/>
          <w:szCs w:val="28"/>
          <w:highlight w:val="none"/>
        </w:rPr>
      </w:pPr>
      <w:r>
        <w:rPr>
          <w:color w:val="auto"/>
          <w:highlight w:val="none"/>
        </w:rPr>
        <w:fldChar w:fldCharType="begin"/>
      </w:r>
      <w:r>
        <w:rPr>
          <w:color w:val="auto"/>
          <w:highlight w:val="none"/>
        </w:rPr>
        <w:instrText xml:space="preserve"> HYPERLINK \l "_Toc106283324" </w:instrText>
      </w:r>
      <w:r>
        <w:rPr>
          <w:color w:val="auto"/>
          <w:highlight w:val="none"/>
        </w:rPr>
        <w:fldChar w:fldCharType="separate"/>
      </w:r>
      <w:r>
        <w:rPr>
          <w:rStyle w:val="59"/>
          <w:rFonts w:hint="eastAsia" w:cs="宋体"/>
          <w:b w:val="0"/>
          <w:color w:val="auto"/>
          <w:kern w:val="44"/>
          <w:sz w:val="28"/>
          <w:szCs w:val="28"/>
          <w:highlight w:val="none"/>
          <w:lang w:val="zh-CN"/>
        </w:rPr>
        <w:t>第二章</w:t>
      </w:r>
      <w:r>
        <w:rPr>
          <w:rStyle w:val="59"/>
          <w:rFonts w:cs="宋体"/>
          <w:b w:val="0"/>
          <w:color w:val="auto"/>
          <w:kern w:val="44"/>
          <w:sz w:val="28"/>
          <w:szCs w:val="28"/>
          <w:highlight w:val="none"/>
          <w:lang w:val="zh-CN"/>
        </w:rPr>
        <w:t xml:space="preserve"> </w:t>
      </w:r>
      <w:r>
        <w:rPr>
          <w:rStyle w:val="59"/>
          <w:rFonts w:hint="eastAsia" w:cs="宋体"/>
          <w:b w:val="0"/>
          <w:color w:val="auto"/>
          <w:kern w:val="44"/>
          <w:sz w:val="28"/>
          <w:szCs w:val="28"/>
          <w:highlight w:val="none"/>
          <w:lang w:val="zh-CN"/>
        </w:rPr>
        <w:t>采购需求</w:t>
      </w:r>
      <w:r>
        <w:rPr>
          <w:b w:val="0"/>
          <w:color w:val="auto"/>
          <w:sz w:val="28"/>
          <w:szCs w:val="28"/>
          <w:highlight w:val="none"/>
        </w:rPr>
        <w:tab/>
      </w:r>
      <w:r>
        <w:rPr>
          <w:b w:val="0"/>
          <w:color w:val="auto"/>
          <w:sz w:val="28"/>
          <w:szCs w:val="28"/>
          <w:highlight w:val="none"/>
        </w:rPr>
        <w:fldChar w:fldCharType="begin"/>
      </w:r>
      <w:r>
        <w:rPr>
          <w:b w:val="0"/>
          <w:color w:val="auto"/>
          <w:sz w:val="28"/>
          <w:szCs w:val="28"/>
          <w:highlight w:val="none"/>
        </w:rPr>
        <w:instrText xml:space="preserve"> PAGEREF _Toc106283324 \h </w:instrText>
      </w:r>
      <w:r>
        <w:rPr>
          <w:b w:val="0"/>
          <w:color w:val="auto"/>
          <w:sz w:val="28"/>
          <w:szCs w:val="28"/>
          <w:highlight w:val="none"/>
        </w:rPr>
        <w:fldChar w:fldCharType="separate"/>
      </w:r>
      <w:r>
        <w:rPr>
          <w:b w:val="0"/>
          <w:color w:val="auto"/>
          <w:sz w:val="28"/>
          <w:szCs w:val="28"/>
          <w:highlight w:val="none"/>
        </w:rPr>
        <w:t>5</w:t>
      </w:r>
      <w:r>
        <w:rPr>
          <w:b w:val="0"/>
          <w:color w:val="auto"/>
          <w:sz w:val="28"/>
          <w:szCs w:val="28"/>
          <w:highlight w:val="none"/>
        </w:rPr>
        <w:fldChar w:fldCharType="end"/>
      </w:r>
      <w:r>
        <w:rPr>
          <w:b w:val="0"/>
          <w:color w:val="auto"/>
          <w:sz w:val="28"/>
          <w:szCs w:val="28"/>
          <w:highlight w:val="none"/>
        </w:rPr>
        <w:fldChar w:fldCharType="end"/>
      </w:r>
    </w:p>
    <w:p w14:paraId="056B3C05">
      <w:pPr>
        <w:pStyle w:val="36"/>
        <w:shd w:val="clear"/>
        <w:spacing w:before="0" w:after="0" w:line="480" w:lineRule="auto"/>
        <w:ind w:firstLine="482" w:firstLineChars="200"/>
        <w:jc w:val="both"/>
        <w:rPr>
          <w:rFonts w:ascii="Calibri" w:hAnsi="Calibri"/>
          <w:b w:val="0"/>
          <w:bCs w:val="0"/>
          <w:caps w:val="0"/>
          <w:color w:val="auto"/>
          <w:sz w:val="28"/>
          <w:szCs w:val="28"/>
          <w:highlight w:val="none"/>
        </w:rPr>
      </w:pPr>
      <w:r>
        <w:rPr>
          <w:color w:val="auto"/>
          <w:highlight w:val="none"/>
        </w:rPr>
        <w:fldChar w:fldCharType="begin"/>
      </w:r>
      <w:r>
        <w:rPr>
          <w:color w:val="auto"/>
          <w:highlight w:val="none"/>
        </w:rPr>
        <w:instrText xml:space="preserve"> HYPERLINK \l "_Toc106283325" </w:instrText>
      </w:r>
      <w:r>
        <w:rPr>
          <w:color w:val="auto"/>
          <w:highlight w:val="none"/>
        </w:rPr>
        <w:fldChar w:fldCharType="separate"/>
      </w:r>
      <w:r>
        <w:rPr>
          <w:rStyle w:val="59"/>
          <w:rFonts w:hint="eastAsia" w:cs="宋体"/>
          <w:b w:val="0"/>
          <w:color w:val="auto"/>
          <w:kern w:val="44"/>
          <w:sz w:val="28"/>
          <w:szCs w:val="28"/>
          <w:highlight w:val="none"/>
          <w:lang w:val="zh-CN"/>
        </w:rPr>
        <w:t>第三章</w:t>
      </w:r>
      <w:r>
        <w:rPr>
          <w:rStyle w:val="59"/>
          <w:rFonts w:cs="宋体"/>
          <w:b w:val="0"/>
          <w:color w:val="auto"/>
          <w:kern w:val="44"/>
          <w:sz w:val="28"/>
          <w:szCs w:val="28"/>
          <w:highlight w:val="none"/>
          <w:lang w:val="zh-CN"/>
        </w:rPr>
        <w:t xml:space="preserve"> </w:t>
      </w:r>
      <w:r>
        <w:rPr>
          <w:rStyle w:val="59"/>
          <w:rFonts w:hint="eastAsia" w:cs="宋体"/>
          <w:b w:val="0"/>
          <w:color w:val="auto"/>
          <w:kern w:val="44"/>
          <w:sz w:val="28"/>
          <w:szCs w:val="28"/>
          <w:highlight w:val="none"/>
          <w:lang w:val="zh-CN"/>
        </w:rPr>
        <w:t>供应商须知</w:t>
      </w:r>
      <w:r>
        <w:rPr>
          <w:b w:val="0"/>
          <w:color w:val="auto"/>
          <w:sz w:val="28"/>
          <w:szCs w:val="28"/>
          <w:highlight w:val="none"/>
        </w:rPr>
        <w:tab/>
      </w:r>
      <w:r>
        <w:rPr>
          <w:b w:val="0"/>
          <w:color w:val="auto"/>
          <w:sz w:val="28"/>
          <w:szCs w:val="28"/>
          <w:highlight w:val="none"/>
        </w:rPr>
        <w:fldChar w:fldCharType="begin"/>
      </w:r>
      <w:r>
        <w:rPr>
          <w:b w:val="0"/>
          <w:color w:val="auto"/>
          <w:sz w:val="28"/>
          <w:szCs w:val="28"/>
          <w:highlight w:val="none"/>
        </w:rPr>
        <w:instrText xml:space="preserve"> PAGEREF _Toc106283325 \h </w:instrText>
      </w:r>
      <w:r>
        <w:rPr>
          <w:b w:val="0"/>
          <w:color w:val="auto"/>
          <w:sz w:val="28"/>
          <w:szCs w:val="28"/>
          <w:highlight w:val="none"/>
        </w:rPr>
        <w:fldChar w:fldCharType="separate"/>
      </w:r>
      <w:r>
        <w:rPr>
          <w:b w:val="0"/>
          <w:color w:val="auto"/>
          <w:sz w:val="28"/>
          <w:szCs w:val="28"/>
          <w:highlight w:val="none"/>
        </w:rPr>
        <w:t>11</w:t>
      </w:r>
      <w:r>
        <w:rPr>
          <w:b w:val="0"/>
          <w:color w:val="auto"/>
          <w:sz w:val="28"/>
          <w:szCs w:val="28"/>
          <w:highlight w:val="none"/>
        </w:rPr>
        <w:fldChar w:fldCharType="end"/>
      </w:r>
      <w:r>
        <w:rPr>
          <w:b w:val="0"/>
          <w:color w:val="auto"/>
          <w:sz w:val="28"/>
          <w:szCs w:val="28"/>
          <w:highlight w:val="none"/>
        </w:rPr>
        <w:fldChar w:fldCharType="end"/>
      </w:r>
    </w:p>
    <w:p w14:paraId="1782B194">
      <w:pPr>
        <w:pStyle w:val="36"/>
        <w:shd w:val="clear"/>
        <w:spacing w:before="0" w:after="0" w:line="480" w:lineRule="auto"/>
        <w:ind w:firstLine="482" w:firstLineChars="200"/>
        <w:jc w:val="both"/>
        <w:rPr>
          <w:rFonts w:ascii="Calibri" w:hAnsi="Calibri"/>
          <w:b w:val="0"/>
          <w:bCs w:val="0"/>
          <w:caps w:val="0"/>
          <w:color w:val="auto"/>
          <w:sz w:val="28"/>
          <w:szCs w:val="28"/>
          <w:highlight w:val="none"/>
        </w:rPr>
      </w:pPr>
      <w:r>
        <w:rPr>
          <w:color w:val="auto"/>
          <w:highlight w:val="none"/>
        </w:rPr>
        <w:fldChar w:fldCharType="begin"/>
      </w:r>
      <w:r>
        <w:rPr>
          <w:color w:val="auto"/>
          <w:highlight w:val="none"/>
        </w:rPr>
        <w:instrText xml:space="preserve"> HYPERLINK \l "_Toc106283328" </w:instrText>
      </w:r>
      <w:r>
        <w:rPr>
          <w:color w:val="auto"/>
          <w:highlight w:val="none"/>
        </w:rPr>
        <w:fldChar w:fldCharType="separate"/>
      </w:r>
      <w:r>
        <w:rPr>
          <w:rStyle w:val="59"/>
          <w:rFonts w:hint="eastAsia" w:cs="宋体"/>
          <w:b w:val="0"/>
          <w:color w:val="auto"/>
          <w:kern w:val="44"/>
          <w:sz w:val="28"/>
          <w:szCs w:val="28"/>
          <w:highlight w:val="none"/>
          <w:lang w:val="zh-CN"/>
        </w:rPr>
        <w:t>第四章</w:t>
      </w:r>
      <w:r>
        <w:rPr>
          <w:rStyle w:val="59"/>
          <w:rFonts w:cs="宋体"/>
          <w:b w:val="0"/>
          <w:color w:val="auto"/>
          <w:kern w:val="44"/>
          <w:sz w:val="28"/>
          <w:szCs w:val="28"/>
          <w:highlight w:val="none"/>
          <w:lang w:val="zh-CN"/>
        </w:rPr>
        <w:t xml:space="preserve"> </w:t>
      </w:r>
      <w:r>
        <w:rPr>
          <w:rStyle w:val="59"/>
          <w:rFonts w:hint="eastAsia" w:cs="宋体"/>
          <w:b w:val="0"/>
          <w:color w:val="auto"/>
          <w:kern w:val="44"/>
          <w:sz w:val="28"/>
          <w:szCs w:val="28"/>
          <w:highlight w:val="none"/>
          <w:lang w:val="zh-CN"/>
        </w:rPr>
        <w:t>评审程序、评审方法和评审标准</w:t>
      </w:r>
      <w:r>
        <w:rPr>
          <w:b w:val="0"/>
          <w:color w:val="auto"/>
          <w:sz w:val="28"/>
          <w:szCs w:val="28"/>
          <w:highlight w:val="none"/>
        </w:rPr>
        <w:tab/>
      </w:r>
      <w:r>
        <w:rPr>
          <w:b w:val="0"/>
          <w:color w:val="auto"/>
          <w:sz w:val="28"/>
          <w:szCs w:val="28"/>
          <w:highlight w:val="none"/>
        </w:rPr>
        <w:fldChar w:fldCharType="begin"/>
      </w:r>
      <w:r>
        <w:rPr>
          <w:b w:val="0"/>
          <w:color w:val="auto"/>
          <w:sz w:val="28"/>
          <w:szCs w:val="28"/>
          <w:highlight w:val="none"/>
        </w:rPr>
        <w:instrText xml:space="preserve"> PAGEREF _Toc106283328 \h </w:instrText>
      </w:r>
      <w:r>
        <w:rPr>
          <w:b w:val="0"/>
          <w:color w:val="auto"/>
          <w:sz w:val="28"/>
          <w:szCs w:val="28"/>
          <w:highlight w:val="none"/>
        </w:rPr>
        <w:fldChar w:fldCharType="separate"/>
      </w:r>
      <w:r>
        <w:rPr>
          <w:b w:val="0"/>
          <w:color w:val="auto"/>
          <w:sz w:val="28"/>
          <w:szCs w:val="28"/>
          <w:highlight w:val="none"/>
        </w:rPr>
        <w:t>31</w:t>
      </w:r>
      <w:r>
        <w:rPr>
          <w:b w:val="0"/>
          <w:color w:val="auto"/>
          <w:sz w:val="28"/>
          <w:szCs w:val="28"/>
          <w:highlight w:val="none"/>
        </w:rPr>
        <w:fldChar w:fldCharType="end"/>
      </w:r>
      <w:r>
        <w:rPr>
          <w:b w:val="0"/>
          <w:color w:val="auto"/>
          <w:sz w:val="28"/>
          <w:szCs w:val="28"/>
          <w:highlight w:val="none"/>
        </w:rPr>
        <w:fldChar w:fldCharType="end"/>
      </w:r>
    </w:p>
    <w:p w14:paraId="12568D92">
      <w:pPr>
        <w:pStyle w:val="36"/>
        <w:shd w:val="clear"/>
        <w:spacing w:before="0" w:after="0" w:line="480" w:lineRule="auto"/>
        <w:ind w:firstLine="482" w:firstLineChars="200"/>
        <w:jc w:val="both"/>
        <w:rPr>
          <w:rFonts w:ascii="Calibri" w:hAnsi="Calibri"/>
          <w:b w:val="0"/>
          <w:bCs w:val="0"/>
          <w:caps w:val="0"/>
          <w:color w:val="auto"/>
          <w:sz w:val="28"/>
          <w:szCs w:val="28"/>
          <w:highlight w:val="none"/>
        </w:rPr>
      </w:pPr>
      <w:r>
        <w:rPr>
          <w:color w:val="auto"/>
          <w:highlight w:val="none"/>
        </w:rPr>
        <w:fldChar w:fldCharType="begin"/>
      </w:r>
      <w:r>
        <w:rPr>
          <w:color w:val="auto"/>
          <w:highlight w:val="none"/>
        </w:rPr>
        <w:instrText xml:space="preserve"> HYPERLINK \l "_Toc106283332" </w:instrText>
      </w:r>
      <w:r>
        <w:rPr>
          <w:color w:val="auto"/>
          <w:highlight w:val="none"/>
        </w:rPr>
        <w:fldChar w:fldCharType="separate"/>
      </w:r>
      <w:r>
        <w:rPr>
          <w:rStyle w:val="59"/>
          <w:rFonts w:hint="eastAsia" w:cs="宋体"/>
          <w:b w:val="0"/>
          <w:color w:val="auto"/>
          <w:kern w:val="44"/>
          <w:sz w:val="28"/>
          <w:szCs w:val="28"/>
          <w:highlight w:val="none"/>
          <w:lang w:val="zh-CN"/>
        </w:rPr>
        <w:t>第五章</w:t>
      </w:r>
      <w:r>
        <w:rPr>
          <w:rStyle w:val="59"/>
          <w:rFonts w:cs="宋体"/>
          <w:b w:val="0"/>
          <w:color w:val="auto"/>
          <w:kern w:val="44"/>
          <w:sz w:val="28"/>
          <w:szCs w:val="28"/>
          <w:highlight w:val="none"/>
          <w:lang w:val="zh-CN"/>
        </w:rPr>
        <w:t xml:space="preserve"> </w:t>
      </w:r>
      <w:r>
        <w:rPr>
          <w:rStyle w:val="59"/>
          <w:rFonts w:hint="eastAsia" w:cs="宋体"/>
          <w:b w:val="0"/>
          <w:color w:val="auto"/>
          <w:kern w:val="44"/>
          <w:sz w:val="28"/>
          <w:szCs w:val="28"/>
          <w:highlight w:val="none"/>
          <w:lang w:val="zh-CN"/>
        </w:rPr>
        <w:t>响应文件格式</w:t>
      </w:r>
      <w:r>
        <w:rPr>
          <w:b w:val="0"/>
          <w:color w:val="auto"/>
          <w:sz w:val="28"/>
          <w:szCs w:val="28"/>
          <w:highlight w:val="none"/>
        </w:rPr>
        <w:tab/>
      </w:r>
      <w:r>
        <w:rPr>
          <w:b w:val="0"/>
          <w:color w:val="auto"/>
          <w:sz w:val="28"/>
          <w:szCs w:val="28"/>
          <w:highlight w:val="none"/>
        </w:rPr>
        <w:fldChar w:fldCharType="begin"/>
      </w:r>
      <w:r>
        <w:rPr>
          <w:b w:val="0"/>
          <w:color w:val="auto"/>
          <w:sz w:val="28"/>
          <w:szCs w:val="28"/>
          <w:highlight w:val="none"/>
        </w:rPr>
        <w:instrText xml:space="preserve"> PAGEREF _Toc106283332 \h </w:instrText>
      </w:r>
      <w:r>
        <w:rPr>
          <w:b w:val="0"/>
          <w:color w:val="auto"/>
          <w:sz w:val="28"/>
          <w:szCs w:val="28"/>
          <w:highlight w:val="none"/>
        </w:rPr>
        <w:fldChar w:fldCharType="separate"/>
      </w:r>
      <w:r>
        <w:rPr>
          <w:b w:val="0"/>
          <w:color w:val="auto"/>
          <w:sz w:val="28"/>
          <w:szCs w:val="28"/>
          <w:highlight w:val="none"/>
        </w:rPr>
        <w:t>42</w:t>
      </w:r>
      <w:r>
        <w:rPr>
          <w:b w:val="0"/>
          <w:color w:val="auto"/>
          <w:sz w:val="28"/>
          <w:szCs w:val="28"/>
          <w:highlight w:val="none"/>
        </w:rPr>
        <w:fldChar w:fldCharType="end"/>
      </w:r>
      <w:r>
        <w:rPr>
          <w:b w:val="0"/>
          <w:color w:val="auto"/>
          <w:sz w:val="28"/>
          <w:szCs w:val="28"/>
          <w:highlight w:val="none"/>
        </w:rPr>
        <w:fldChar w:fldCharType="end"/>
      </w:r>
    </w:p>
    <w:p w14:paraId="33247403">
      <w:pPr>
        <w:pStyle w:val="36"/>
        <w:shd w:val="clear"/>
        <w:spacing w:before="0" w:after="0" w:line="480" w:lineRule="auto"/>
        <w:ind w:firstLine="482" w:firstLineChars="200"/>
        <w:jc w:val="both"/>
        <w:rPr>
          <w:rFonts w:ascii="Calibri" w:hAnsi="Calibri"/>
          <w:b w:val="0"/>
          <w:bCs w:val="0"/>
          <w:caps w:val="0"/>
          <w:color w:val="auto"/>
          <w:sz w:val="28"/>
          <w:szCs w:val="28"/>
          <w:highlight w:val="none"/>
        </w:rPr>
      </w:pPr>
      <w:r>
        <w:rPr>
          <w:color w:val="auto"/>
          <w:highlight w:val="none"/>
        </w:rPr>
        <w:fldChar w:fldCharType="begin"/>
      </w:r>
      <w:r>
        <w:rPr>
          <w:color w:val="auto"/>
          <w:highlight w:val="none"/>
        </w:rPr>
        <w:instrText xml:space="preserve"> HYPERLINK \l "_Toc106283342" </w:instrText>
      </w:r>
      <w:r>
        <w:rPr>
          <w:color w:val="auto"/>
          <w:highlight w:val="none"/>
        </w:rPr>
        <w:fldChar w:fldCharType="separate"/>
      </w:r>
      <w:r>
        <w:rPr>
          <w:rStyle w:val="59"/>
          <w:rFonts w:hint="eastAsia" w:cs="宋体"/>
          <w:b w:val="0"/>
          <w:color w:val="auto"/>
          <w:kern w:val="44"/>
          <w:sz w:val="28"/>
          <w:szCs w:val="28"/>
          <w:highlight w:val="none"/>
          <w:lang w:val="zh-CN"/>
        </w:rPr>
        <w:t>第六章</w:t>
      </w:r>
      <w:r>
        <w:rPr>
          <w:rStyle w:val="59"/>
          <w:rFonts w:cs="宋体"/>
          <w:b w:val="0"/>
          <w:color w:val="auto"/>
          <w:kern w:val="44"/>
          <w:sz w:val="28"/>
          <w:szCs w:val="28"/>
          <w:highlight w:val="none"/>
          <w:lang w:val="zh-CN"/>
        </w:rPr>
        <w:t xml:space="preserve"> </w:t>
      </w:r>
      <w:r>
        <w:rPr>
          <w:rStyle w:val="59"/>
          <w:rFonts w:hint="eastAsia" w:cs="宋体"/>
          <w:b w:val="0"/>
          <w:color w:val="auto"/>
          <w:kern w:val="44"/>
          <w:sz w:val="28"/>
          <w:szCs w:val="28"/>
          <w:highlight w:val="none"/>
          <w:lang w:val="zh-CN"/>
        </w:rPr>
        <w:t>合同文本</w:t>
      </w:r>
      <w:r>
        <w:rPr>
          <w:b w:val="0"/>
          <w:color w:val="auto"/>
          <w:sz w:val="28"/>
          <w:szCs w:val="28"/>
          <w:highlight w:val="none"/>
        </w:rPr>
        <w:tab/>
      </w:r>
      <w:r>
        <w:rPr>
          <w:b w:val="0"/>
          <w:color w:val="auto"/>
          <w:sz w:val="28"/>
          <w:szCs w:val="28"/>
          <w:highlight w:val="none"/>
        </w:rPr>
        <w:fldChar w:fldCharType="begin"/>
      </w:r>
      <w:r>
        <w:rPr>
          <w:b w:val="0"/>
          <w:color w:val="auto"/>
          <w:sz w:val="28"/>
          <w:szCs w:val="28"/>
          <w:highlight w:val="none"/>
        </w:rPr>
        <w:instrText xml:space="preserve"> PAGEREF _Toc106283342 \h </w:instrText>
      </w:r>
      <w:r>
        <w:rPr>
          <w:b w:val="0"/>
          <w:color w:val="auto"/>
          <w:sz w:val="28"/>
          <w:szCs w:val="28"/>
          <w:highlight w:val="none"/>
        </w:rPr>
        <w:fldChar w:fldCharType="separate"/>
      </w:r>
      <w:r>
        <w:rPr>
          <w:b w:val="0"/>
          <w:color w:val="auto"/>
          <w:sz w:val="28"/>
          <w:szCs w:val="28"/>
          <w:highlight w:val="none"/>
        </w:rPr>
        <w:t>65</w:t>
      </w:r>
      <w:r>
        <w:rPr>
          <w:b w:val="0"/>
          <w:color w:val="auto"/>
          <w:sz w:val="28"/>
          <w:szCs w:val="28"/>
          <w:highlight w:val="none"/>
        </w:rPr>
        <w:fldChar w:fldCharType="end"/>
      </w:r>
      <w:r>
        <w:rPr>
          <w:b w:val="0"/>
          <w:color w:val="auto"/>
          <w:sz w:val="28"/>
          <w:szCs w:val="28"/>
          <w:highlight w:val="none"/>
        </w:rPr>
        <w:fldChar w:fldCharType="end"/>
      </w:r>
    </w:p>
    <w:p w14:paraId="54B7B5C6">
      <w:pPr>
        <w:shd w:val="clear"/>
        <w:spacing w:line="480" w:lineRule="auto"/>
        <w:rPr>
          <w:rFonts w:ascii="宋体" w:hAnsi="宋体" w:cs="宋体"/>
          <w:b/>
          <w:bCs/>
          <w:color w:val="auto"/>
          <w:kern w:val="44"/>
          <w:sz w:val="44"/>
          <w:szCs w:val="44"/>
          <w:highlight w:val="none"/>
          <w:lang w:val="zh-CN"/>
        </w:rPr>
        <w:sectPr>
          <w:footerReference r:id="rId6" w:type="first"/>
          <w:pgSz w:w="11910" w:h="16840"/>
          <w:pgMar w:top="1418" w:right="1418" w:bottom="1418" w:left="1418" w:header="720" w:footer="720" w:gutter="0"/>
          <w:cols w:space="720" w:num="1"/>
        </w:sectPr>
      </w:pPr>
      <w:r>
        <w:rPr>
          <w:rFonts w:hint="eastAsia" w:ascii="宋体" w:hAnsi="宋体" w:cs="宋体"/>
          <w:b/>
          <w:color w:val="auto"/>
          <w:sz w:val="24"/>
          <w:highlight w:val="none"/>
        </w:rPr>
        <w:fldChar w:fldCharType="end"/>
      </w:r>
      <w:bookmarkStart w:id="1" w:name="_Toc4565"/>
      <w:bookmarkStart w:id="2" w:name="_Toc106283323"/>
      <w:bookmarkStart w:id="3" w:name="_Toc19686830"/>
    </w:p>
    <w:p w14:paraId="0EFACD4A">
      <w:pPr>
        <w:keepNext/>
        <w:keepLines/>
        <w:shd w:val="clear"/>
        <w:spacing w:before="340" w:after="330" w:line="360" w:lineRule="auto"/>
        <w:jc w:val="center"/>
        <w:outlineLvl w:val="0"/>
        <w:rPr>
          <w:rFonts w:ascii="宋体" w:hAnsi="宋体" w:cs="宋体"/>
          <w:b/>
          <w:bCs/>
          <w:color w:val="auto"/>
          <w:kern w:val="44"/>
          <w:sz w:val="44"/>
          <w:szCs w:val="44"/>
          <w:highlight w:val="none"/>
          <w:lang w:val="zh-CN"/>
        </w:rPr>
      </w:pPr>
      <w:r>
        <w:rPr>
          <w:rFonts w:hint="eastAsia" w:ascii="宋体" w:hAnsi="宋体" w:cs="宋体"/>
          <w:b/>
          <w:bCs/>
          <w:color w:val="auto"/>
          <w:kern w:val="44"/>
          <w:sz w:val="44"/>
          <w:szCs w:val="44"/>
          <w:highlight w:val="none"/>
          <w:lang w:val="zh-CN"/>
        </w:rPr>
        <w:t>第一章 竞争性磋商公告</w:t>
      </w:r>
      <w:bookmarkEnd w:id="1"/>
      <w:bookmarkEnd w:id="2"/>
      <w:bookmarkStart w:id="4" w:name="_Toc35393629"/>
      <w:bookmarkStart w:id="5" w:name="_Toc35393798"/>
      <w:bookmarkStart w:id="6" w:name="_Toc44229878"/>
      <w:bookmarkStart w:id="7" w:name="_Toc28359012"/>
      <w:bookmarkStart w:id="8" w:name="_Toc28359089"/>
      <w:bookmarkStart w:id="9" w:name="_Toc35393623"/>
      <w:bookmarkStart w:id="10" w:name="_Toc28359081"/>
      <w:bookmarkStart w:id="11" w:name="_Toc28359004"/>
      <w:bookmarkStart w:id="12" w:name="_Toc35393792"/>
    </w:p>
    <w:p w14:paraId="3D5AB807">
      <w:pPr>
        <w:pBdr>
          <w:top w:val="single" w:color="auto" w:sz="4" w:space="1"/>
          <w:left w:val="single" w:color="auto" w:sz="4" w:space="4"/>
          <w:bottom w:val="single" w:color="auto" w:sz="4" w:space="1"/>
          <w:right w:val="single" w:color="auto" w:sz="4" w:space="4"/>
        </w:pBdr>
        <w:shd w:val="clear"/>
        <w:spacing w:line="360" w:lineRule="auto"/>
        <w:rPr>
          <w:rFonts w:ascii="宋体" w:hAnsi="宋体" w:cs="宋体"/>
          <w:color w:val="auto"/>
          <w:szCs w:val="21"/>
          <w:highlight w:val="none"/>
        </w:rPr>
      </w:pPr>
      <w:r>
        <w:rPr>
          <w:rFonts w:hint="eastAsia" w:ascii="宋体" w:hAnsi="宋体" w:cs="宋体"/>
          <w:color w:val="auto"/>
          <w:szCs w:val="21"/>
          <w:highlight w:val="none"/>
        </w:rPr>
        <w:t>项目概况</w:t>
      </w:r>
    </w:p>
    <w:p w14:paraId="2FFF5595">
      <w:pPr>
        <w:pBdr>
          <w:top w:val="single" w:color="auto" w:sz="4" w:space="1"/>
          <w:left w:val="single" w:color="auto" w:sz="4" w:space="4"/>
          <w:bottom w:val="single" w:color="auto" w:sz="4" w:space="1"/>
          <w:right w:val="single" w:color="auto" w:sz="4" w:space="4"/>
        </w:pBd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u w:val="single"/>
          <w:lang w:val="en-US" w:eastAsia="zh-CN"/>
        </w:rPr>
        <w:t>《&lt;工业行业主要产品用水定额&gt;&lt;城镇生活用水定额&gt;评估及修订》（2026—2027）</w:t>
      </w:r>
      <w:r>
        <w:rPr>
          <w:rFonts w:hint="eastAsia" w:ascii="宋体" w:hAnsi="宋体" w:cs="宋体"/>
          <w:color w:val="auto"/>
          <w:szCs w:val="21"/>
          <w:highlight w:val="none"/>
          <w:u w:val="none"/>
          <w:lang w:eastAsia="zh-CN"/>
        </w:rPr>
        <w:t>采购项目</w:t>
      </w:r>
      <w:r>
        <w:rPr>
          <w:rFonts w:hint="eastAsia" w:ascii="宋体" w:hAnsi="宋体" w:cs="宋体"/>
          <w:color w:val="auto"/>
          <w:szCs w:val="21"/>
          <w:highlight w:val="none"/>
        </w:rPr>
        <w:t>的潜在供应商应在</w:t>
      </w:r>
      <w:r>
        <w:rPr>
          <w:rFonts w:hint="eastAsia" w:ascii="宋体" w:hAnsi="宋体" w:cs="宋体"/>
          <w:color w:val="auto"/>
          <w:szCs w:val="21"/>
          <w:highlight w:val="none"/>
          <w:u w:val="single"/>
        </w:rPr>
        <w:t>广西政府采购云平台（https://www.gcy.zfcg.gxzf.gov.cn/）</w:t>
      </w:r>
      <w:r>
        <w:rPr>
          <w:rFonts w:hint="eastAsia" w:ascii="宋体" w:hAnsi="宋体" w:cs="宋体"/>
          <w:snapToGrid w:val="0"/>
          <w:color w:val="auto"/>
          <w:highlight w:val="none"/>
        </w:rPr>
        <w:t>获取（下载）</w:t>
      </w:r>
      <w:r>
        <w:rPr>
          <w:rFonts w:hint="eastAsia" w:ascii="宋体" w:hAnsi="宋体" w:cs="宋体"/>
          <w:color w:val="auto"/>
          <w:szCs w:val="21"/>
          <w:highlight w:val="none"/>
        </w:rPr>
        <w:t>采购文件，并于</w:t>
      </w:r>
      <w:r>
        <w:rPr>
          <w:rFonts w:hint="eastAsia" w:ascii="宋体" w:hAnsi="宋体" w:cs="宋体"/>
          <w:color w:val="auto"/>
          <w:szCs w:val="21"/>
          <w:highlight w:val="none"/>
          <w:u w:val="single"/>
          <w:lang w:eastAsia="zh-CN"/>
        </w:rPr>
        <w:t>2026年4月24日9点30分</w:t>
      </w:r>
      <w:r>
        <w:rPr>
          <w:rFonts w:hint="eastAsia" w:ascii="宋体" w:hAnsi="宋体" w:cs="宋体"/>
          <w:bCs/>
          <w:color w:val="auto"/>
          <w:szCs w:val="21"/>
          <w:highlight w:val="none"/>
        </w:rPr>
        <w:t>（北京时间）前提交响应文件</w:t>
      </w:r>
      <w:r>
        <w:rPr>
          <w:rFonts w:hint="eastAsia" w:ascii="宋体" w:hAnsi="宋体" w:cs="宋体"/>
          <w:color w:val="auto"/>
          <w:szCs w:val="21"/>
          <w:highlight w:val="none"/>
        </w:rPr>
        <w:t>。</w:t>
      </w:r>
    </w:p>
    <w:p w14:paraId="13A2BA37">
      <w:pPr>
        <w:shd w:val="clear"/>
        <w:spacing w:line="360" w:lineRule="auto"/>
        <w:rPr>
          <w:rFonts w:ascii="宋体" w:hAnsi="宋体" w:cs="宋体"/>
          <w:color w:val="auto"/>
          <w:highlight w:val="none"/>
        </w:rPr>
      </w:pPr>
    </w:p>
    <w:p w14:paraId="2E9D7153">
      <w:pPr>
        <w:shd w:val="clear"/>
        <w:spacing w:line="360" w:lineRule="auto"/>
        <w:rPr>
          <w:rFonts w:ascii="宋体" w:hAnsi="宋体" w:cs="宋体"/>
          <w:b/>
          <w:color w:val="auto"/>
          <w:kern w:val="44"/>
          <w:sz w:val="24"/>
          <w:highlight w:val="none"/>
        </w:rPr>
      </w:pPr>
      <w:r>
        <w:rPr>
          <w:rFonts w:hint="eastAsia" w:ascii="宋体" w:hAnsi="宋体" w:cs="宋体"/>
          <w:b/>
          <w:color w:val="auto"/>
          <w:kern w:val="44"/>
          <w:sz w:val="24"/>
          <w:highlight w:val="none"/>
        </w:rPr>
        <w:t>一、项目基本情况</w:t>
      </w:r>
      <w:bookmarkEnd w:id="4"/>
      <w:bookmarkEnd w:id="5"/>
      <w:bookmarkEnd w:id="6"/>
      <w:bookmarkEnd w:id="7"/>
      <w:bookmarkEnd w:id="8"/>
    </w:p>
    <w:p w14:paraId="6B5FD371">
      <w:pPr>
        <w:shd w:val="clea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GXZC2026-C3-000792-XYGC</w:t>
      </w:r>
    </w:p>
    <w:p w14:paraId="55AB381A">
      <w:pPr>
        <w:shd w:val="clea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采购计划文号：</w:t>
      </w:r>
      <w:r>
        <w:rPr>
          <w:rFonts w:hint="eastAsia" w:ascii="宋体" w:hAnsi="宋体" w:cs="宋体"/>
          <w:color w:val="auto"/>
          <w:szCs w:val="21"/>
          <w:highlight w:val="none"/>
        </w:rPr>
        <w:t>广西政采[2026]3101号</w:t>
      </w:r>
    </w:p>
    <w:p w14:paraId="791EBA29">
      <w:pPr>
        <w:shd w:val="clear"/>
        <w:spacing w:line="360" w:lineRule="auto"/>
        <w:ind w:firstLine="420" w:firstLineChars="200"/>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lang w:val="en-US" w:eastAsia="zh-CN"/>
        </w:rPr>
        <w:t>《&lt;工业行业主要产品用水定额&gt;&lt;城镇生活用水定额&gt;评估及修订》（2026—2027）</w:t>
      </w:r>
    </w:p>
    <w:p w14:paraId="14F1388A">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采购方式：竞争性磋商</w:t>
      </w:r>
    </w:p>
    <w:p w14:paraId="07F8A09D">
      <w:pPr>
        <w:shd w:val="clear"/>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预算金额：</w:t>
      </w:r>
      <w:r>
        <w:rPr>
          <w:rFonts w:hint="eastAsia" w:ascii="宋体" w:hAnsi="宋体" w:cs="宋体"/>
          <w:color w:val="auto"/>
          <w:szCs w:val="21"/>
          <w:highlight w:val="none"/>
          <w:lang w:eastAsia="zh-CN"/>
        </w:rPr>
        <w:t>人民币壹佰</w:t>
      </w:r>
      <w:r>
        <w:rPr>
          <w:rFonts w:hint="eastAsia" w:ascii="宋体" w:hAnsi="宋体" w:cs="宋体"/>
          <w:color w:val="auto"/>
          <w:szCs w:val="21"/>
          <w:highlight w:val="none"/>
          <w:lang w:val="en-US" w:eastAsia="zh-CN"/>
        </w:rPr>
        <w:t>壹拾</w:t>
      </w:r>
      <w:r>
        <w:rPr>
          <w:rFonts w:hint="eastAsia" w:ascii="宋体" w:hAnsi="宋体" w:cs="宋体"/>
          <w:color w:val="auto"/>
          <w:szCs w:val="21"/>
          <w:highlight w:val="none"/>
          <w:lang w:eastAsia="zh-CN"/>
        </w:rPr>
        <w:t>万元整（¥1,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00,000.00）</w:t>
      </w:r>
    </w:p>
    <w:p w14:paraId="74DAA761">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最高限价：</w:t>
      </w:r>
      <w:r>
        <w:rPr>
          <w:rFonts w:hint="eastAsia" w:ascii="宋体" w:hAnsi="宋体" w:cs="宋体"/>
          <w:color w:val="auto"/>
          <w:szCs w:val="21"/>
          <w:highlight w:val="none"/>
          <w:lang w:eastAsia="zh-CN"/>
        </w:rPr>
        <w:t>人民币壹佰</w:t>
      </w:r>
      <w:r>
        <w:rPr>
          <w:rFonts w:hint="eastAsia" w:ascii="宋体" w:hAnsi="宋体" w:cs="宋体"/>
          <w:color w:val="auto"/>
          <w:szCs w:val="21"/>
          <w:highlight w:val="none"/>
          <w:lang w:val="en-US" w:eastAsia="zh-CN"/>
        </w:rPr>
        <w:t>壹拾</w:t>
      </w:r>
      <w:r>
        <w:rPr>
          <w:rFonts w:hint="eastAsia" w:ascii="宋体" w:hAnsi="宋体" w:cs="宋体"/>
          <w:color w:val="auto"/>
          <w:szCs w:val="21"/>
          <w:highlight w:val="none"/>
          <w:lang w:eastAsia="zh-CN"/>
        </w:rPr>
        <w:t>万元整（¥1,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00,000.00）</w:t>
      </w:r>
    </w:p>
    <w:p w14:paraId="1BEB9D24">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采购需求：</w:t>
      </w:r>
    </w:p>
    <w:tbl>
      <w:tblPr>
        <w:tblStyle w:val="51"/>
        <w:tblW w:w="91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720"/>
        <w:gridCol w:w="1625"/>
        <w:gridCol w:w="975"/>
        <w:gridCol w:w="5796"/>
      </w:tblGrid>
      <w:tr w14:paraId="2BE405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6FF3F">
            <w:pPr>
              <w:shd w:val="clea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17ECC">
            <w:pPr>
              <w:shd w:val="clea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标的名称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32027">
            <w:pPr>
              <w:shd w:val="clea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数量及单位</w:t>
            </w:r>
          </w:p>
        </w:tc>
        <w:tc>
          <w:tcPr>
            <w:tcW w:w="5796" w:type="dxa"/>
            <w:tcBorders>
              <w:top w:val="single" w:color="000000" w:sz="4" w:space="0"/>
              <w:left w:val="single" w:color="000000" w:sz="4" w:space="0"/>
              <w:bottom w:val="single" w:color="000000" w:sz="4" w:space="0"/>
              <w:right w:val="single" w:color="auto" w:sz="4" w:space="0"/>
            </w:tcBorders>
            <w:shd w:val="clear" w:color="auto" w:fill="auto"/>
            <w:vAlign w:val="center"/>
          </w:tcPr>
          <w:p w14:paraId="1532038D">
            <w:pPr>
              <w:shd w:val="clea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简要技术需求或服务要求</w:t>
            </w:r>
          </w:p>
        </w:tc>
      </w:tr>
      <w:tr w14:paraId="033E76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36"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D0086">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39D90">
            <w:pPr>
              <w:shd w:val="clea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《&lt;工业行业主要产品用水定额&gt;&lt;城镇生活用水定额&gt;评估及修订》（2026—2027）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78D8F">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1项</w:t>
            </w:r>
          </w:p>
        </w:tc>
        <w:tc>
          <w:tcPr>
            <w:tcW w:w="5796" w:type="dxa"/>
            <w:tcBorders>
              <w:top w:val="single" w:color="000000" w:sz="4" w:space="0"/>
              <w:left w:val="single" w:color="000000" w:sz="4" w:space="0"/>
              <w:bottom w:val="single" w:color="000000" w:sz="4" w:space="0"/>
              <w:right w:val="single" w:color="auto" w:sz="4" w:space="0"/>
            </w:tcBorders>
            <w:shd w:val="clear" w:color="auto" w:fill="auto"/>
            <w:vAlign w:val="center"/>
          </w:tcPr>
          <w:p w14:paraId="2ADE2A63">
            <w:pPr>
              <w:pStyle w:val="47"/>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通过开展资料收集、现场调研等方式，根据</w:t>
            </w:r>
            <w:r>
              <w:rPr>
                <w:rFonts w:hint="eastAsia" w:ascii="宋体" w:hAnsi="宋体" w:cs="宋体"/>
                <w:color w:val="auto"/>
                <w:sz w:val="21"/>
                <w:szCs w:val="21"/>
                <w:highlight w:val="none"/>
                <w:lang w:val="en-US" w:eastAsia="zh-CN"/>
              </w:rPr>
              <w:t>广西地方标准</w:t>
            </w:r>
            <w:r>
              <w:rPr>
                <w:rFonts w:hint="eastAsia" w:ascii="宋体" w:hAnsi="宋体" w:eastAsia="宋体" w:cs="宋体"/>
                <w:color w:val="auto"/>
                <w:sz w:val="21"/>
                <w:szCs w:val="21"/>
                <w:highlight w:val="none"/>
              </w:rPr>
              <w:t>《工业行业主要产品用水定额》《城镇生活用水定额》</w:t>
            </w:r>
            <w:r>
              <w:rPr>
                <w:rFonts w:hint="eastAsia" w:ascii="宋体" w:hAnsi="宋体" w:eastAsia="宋体" w:cs="宋体"/>
                <w:color w:val="auto"/>
                <w:sz w:val="21"/>
                <w:szCs w:val="21"/>
                <w:highlight w:val="none"/>
                <w:lang w:eastAsia="zh-CN"/>
              </w:rPr>
              <w:t>（以下简称</w:t>
            </w:r>
            <w:r>
              <w:rPr>
                <w:rFonts w:hint="eastAsia" w:ascii="宋体" w:hAnsi="宋体" w:eastAsia="宋体" w:cs="宋体"/>
                <w:color w:val="auto"/>
                <w:sz w:val="21"/>
                <w:szCs w:val="21"/>
                <w:highlight w:val="none"/>
                <w:lang w:val="en-US" w:eastAsia="zh-CN"/>
              </w:rPr>
              <w:t>2项定额</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2"/>
                <w:sz w:val="21"/>
                <w:szCs w:val="21"/>
                <w:highlight w:val="none"/>
                <w:lang w:val="en-US" w:eastAsia="zh-CN" w:bidi="ar-SA"/>
              </w:rPr>
              <w:t>的实施和管理现状对用水定额的覆盖性、合理性、实用性和先进性，以及制订和执行中过程中存在的问题进行分析评估，并提出修订建议。根据评估结果，明确用水定额修订的内容，组织开展用水调查、收集用水户用水资料，开展用水定额指标补充完善和修订，完成</w:t>
            </w:r>
            <w:r>
              <w:rPr>
                <w:rFonts w:hint="eastAsia" w:cs="宋体"/>
                <w:color w:val="auto"/>
                <w:kern w:val="2"/>
                <w:sz w:val="21"/>
                <w:szCs w:val="21"/>
                <w:highlight w:val="none"/>
                <w:lang w:val="en-US" w:eastAsia="zh-CN" w:bidi="ar-SA"/>
              </w:rPr>
              <w:t>2项定额</w:t>
            </w:r>
            <w:r>
              <w:rPr>
                <w:rFonts w:hint="eastAsia" w:ascii="宋体" w:hAnsi="宋体" w:eastAsia="宋体" w:cs="宋体"/>
                <w:color w:val="auto"/>
                <w:kern w:val="2"/>
                <w:sz w:val="21"/>
                <w:szCs w:val="21"/>
                <w:highlight w:val="none"/>
                <w:lang w:val="en-US" w:eastAsia="zh-CN" w:bidi="ar-SA"/>
              </w:rPr>
              <w:t>修订并协助采购人将修订成果提交自治区市场监管局或自治区有关部门报批。</w:t>
            </w:r>
          </w:p>
          <w:p w14:paraId="7D5D57D3">
            <w:pPr>
              <w:pStyle w:val="47"/>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形成</w:t>
            </w:r>
            <w:r>
              <w:rPr>
                <w:rFonts w:hint="eastAsia" w:cs="宋体"/>
                <w:color w:val="auto"/>
                <w:kern w:val="2"/>
                <w:sz w:val="21"/>
                <w:szCs w:val="21"/>
                <w:highlight w:val="none"/>
                <w:lang w:val="en-US" w:eastAsia="zh-CN" w:bidi="ar-SA"/>
              </w:rPr>
              <w:t>2项定额</w:t>
            </w:r>
            <w:r>
              <w:rPr>
                <w:rFonts w:hint="eastAsia" w:ascii="宋体" w:hAnsi="宋体" w:eastAsia="宋体" w:cs="宋体"/>
                <w:color w:val="auto"/>
                <w:kern w:val="2"/>
                <w:sz w:val="21"/>
                <w:szCs w:val="21"/>
                <w:highlight w:val="none"/>
                <w:lang w:val="en-US" w:eastAsia="zh-CN" w:bidi="ar-SA"/>
              </w:rPr>
              <w:t>评估报告和修订成果</w:t>
            </w:r>
            <w:r>
              <w:rPr>
                <w:rFonts w:hint="eastAsia" w:cs="宋体"/>
                <w:color w:val="auto"/>
                <w:kern w:val="2"/>
                <w:sz w:val="21"/>
                <w:szCs w:val="21"/>
                <w:highlight w:val="none"/>
                <w:lang w:val="en-US" w:eastAsia="zh-CN" w:bidi="ar-SA"/>
              </w:rPr>
              <w:t>报告</w:t>
            </w:r>
            <w:r>
              <w:rPr>
                <w:rFonts w:hint="eastAsia" w:ascii="宋体" w:hAnsi="宋体" w:eastAsia="宋体" w:cs="宋体"/>
                <w:color w:val="auto"/>
                <w:kern w:val="2"/>
                <w:sz w:val="21"/>
                <w:szCs w:val="21"/>
                <w:highlight w:val="none"/>
                <w:lang w:val="en-US" w:eastAsia="zh-CN" w:bidi="ar-SA"/>
              </w:rPr>
              <w:t>。</w:t>
            </w:r>
          </w:p>
          <w:p w14:paraId="0BA53303">
            <w:pPr>
              <w:pStyle w:val="47"/>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firstLine="420" w:firstLineChars="200"/>
              <w:jc w:val="both"/>
              <w:rPr>
                <w:rFonts w:ascii="宋体" w:hAnsi="宋体" w:eastAsia="仿宋" w:cs="宋体"/>
                <w:color w:val="auto"/>
                <w:kern w:val="0"/>
                <w:szCs w:val="21"/>
                <w:highlight w:val="none"/>
              </w:rPr>
            </w:pPr>
            <w:r>
              <w:rPr>
                <w:rFonts w:hint="eastAsia" w:ascii="仿宋" w:hAnsi="仿宋" w:eastAsia="仿宋" w:cs="仿宋"/>
                <w:bCs/>
                <w:color w:val="auto"/>
                <w:kern w:val="0"/>
                <w:sz w:val="21"/>
                <w:szCs w:val="21"/>
                <w:highlight w:val="none"/>
                <w:lang w:val="en-US" w:eastAsia="zh-CN"/>
              </w:rPr>
              <w:t>（</w:t>
            </w:r>
            <w:r>
              <w:rPr>
                <w:rFonts w:hint="eastAsia" w:ascii="仿宋" w:hAnsi="仿宋" w:eastAsia="仿宋" w:cs="仿宋"/>
                <w:bCs/>
                <w:color w:val="auto"/>
                <w:kern w:val="0"/>
                <w:sz w:val="21"/>
                <w:szCs w:val="21"/>
                <w:highlight w:val="none"/>
              </w:rPr>
              <w:t>如需进一步了解，详见竞争性磋商文件</w:t>
            </w:r>
            <w:r>
              <w:rPr>
                <w:rFonts w:hint="eastAsia" w:ascii="仿宋" w:hAnsi="仿宋" w:eastAsia="仿宋" w:cs="仿宋"/>
                <w:bCs/>
                <w:color w:val="auto"/>
                <w:kern w:val="0"/>
                <w:sz w:val="21"/>
                <w:szCs w:val="21"/>
                <w:highlight w:val="none"/>
                <w:lang w:eastAsia="zh-CN"/>
              </w:rPr>
              <w:t>。</w:t>
            </w:r>
            <w:r>
              <w:rPr>
                <w:rFonts w:hint="eastAsia" w:ascii="仿宋" w:hAnsi="仿宋" w:eastAsia="仿宋" w:cs="仿宋"/>
                <w:bCs/>
                <w:color w:val="auto"/>
                <w:kern w:val="0"/>
                <w:sz w:val="21"/>
                <w:szCs w:val="21"/>
                <w:highlight w:val="none"/>
                <w:lang w:val="en-US" w:eastAsia="zh-CN"/>
              </w:rPr>
              <w:t>）</w:t>
            </w:r>
          </w:p>
        </w:tc>
      </w:tr>
    </w:tbl>
    <w:p w14:paraId="5D88B566">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合同履行期限</w:t>
      </w:r>
      <w:r>
        <w:rPr>
          <w:rFonts w:hint="eastAsia" w:ascii="宋体" w:hAnsi="宋体" w:cs="宋体"/>
          <w:color w:val="auto"/>
          <w:szCs w:val="21"/>
          <w:highlight w:val="none"/>
          <w:lang w:eastAsia="zh-CN"/>
        </w:rPr>
        <w:t>：</w:t>
      </w:r>
      <w:r>
        <w:rPr>
          <w:rFonts w:hint="eastAsia" w:ascii="宋体" w:hAnsi="宋体" w:cs="宋体"/>
          <w:color w:val="auto"/>
          <w:szCs w:val="21"/>
          <w:highlight w:val="none"/>
        </w:rPr>
        <w:t>自合同签订之日起至</w:t>
      </w:r>
      <w:r>
        <w:rPr>
          <w:rFonts w:hint="eastAsia" w:ascii="宋体" w:hAnsi="宋体" w:eastAsia="宋体" w:cs="宋体"/>
          <w:color w:val="auto"/>
          <w:kern w:val="2"/>
          <w:sz w:val="21"/>
          <w:szCs w:val="21"/>
          <w:highlight w:val="none"/>
          <w:lang w:val="en-US" w:eastAsia="zh-CN" w:bidi="ar-SA"/>
        </w:rPr>
        <w:t>广西</w:t>
      </w:r>
      <w:r>
        <w:rPr>
          <w:rFonts w:hint="eastAsia" w:ascii="宋体" w:hAnsi="宋体" w:cs="宋体"/>
          <w:color w:val="auto"/>
          <w:kern w:val="2"/>
          <w:sz w:val="21"/>
          <w:szCs w:val="21"/>
          <w:highlight w:val="none"/>
          <w:lang w:val="en-US" w:eastAsia="zh-CN" w:bidi="ar-SA"/>
        </w:rPr>
        <w:t>地方标准</w:t>
      </w:r>
      <w:r>
        <w:rPr>
          <w:rFonts w:hint="eastAsia"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工业行业主要产品用水定额</w:t>
      </w:r>
      <w:r>
        <w:rPr>
          <w:rFonts w:hint="eastAsia"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城镇生活用水定额</w:t>
      </w:r>
      <w:r>
        <w:rPr>
          <w:rFonts w:hint="eastAsia" w:cs="宋体"/>
          <w:color w:val="auto"/>
          <w:kern w:val="2"/>
          <w:sz w:val="21"/>
          <w:szCs w:val="21"/>
          <w:highlight w:val="none"/>
          <w:lang w:val="en-US" w:eastAsia="zh-CN" w:bidi="ar-SA"/>
        </w:rPr>
        <w:t>》修订成果</w:t>
      </w:r>
      <w:r>
        <w:rPr>
          <w:rFonts w:hint="eastAsia" w:ascii="宋体" w:hAnsi="宋体" w:cs="宋体"/>
          <w:color w:val="auto"/>
          <w:szCs w:val="21"/>
          <w:highlight w:val="none"/>
          <w:lang w:val="en-US" w:eastAsia="zh-CN"/>
        </w:rPr>
        <w:t>正式提交自治区市场监管局或自治区有关部门报批</w:t>
      </w:r>
      <w:r>
        <w:rPr>
          <w:rFonts w:hint="eastAsia" w:ascii="宋体" w:hAnsi="宋体" w:cs="宋体"/>
          <w:color w:val="auto"/>
          <w:szCs w:val="21"/>
          <w:highlight w:val="none"/>
        </w:rPr>
        <w:t>之日止。</w:t>
      </w:r>
    </w:p>
    <w:p w14:paraId="2E945BFB">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本项目是否接受联合体：</w:t>
      </w:r>
      <w:r>
        <w:rPr>
          <w:rFonts w:hint="eastAsia" w:ascii="MS Mincho" w:hAnsi="MS Mincho" w:cs="MS Mincho"/>
          <w:color w:val="auto"/>
          <w:szCs w:val="21"/>
          <w:highlight w:val="none"/>
        </w:rPr>
        <w:t>□</w:t>
      </w:r>
      <w:r>
        <w:rPr>
          <w:rFonts w:hint="eastAsia" w:ascii="宋体" w:hAnsi="宋体" w:cs="宋体"/>
          <w:color w:val="auto"/>
          <w:szCs w:val="21"/>
          <w:highlight w:val="none"/>
        </w:rPr>
        <w:t>是，☑否。</w:t>
      </w:r>
    </w:p>
    <w:p w14:paraId="70D0DF0F">
      <w:pPr>
        <w:shd w:val="clear"/>
        <w:spacing w:line="360" w:lineRule="auto"/>
        <w:rPr>
          <w:rFonts w:ascii="宋体" w:hAnsi="宋体" w:cs="宋体"/>
          <w:b/>
          <w:color w:val="auto"/>
          <w:kern w:val="44"/>
          <w:sz w:val="24"/>
          <w:highlight w:val="none"/>
        </w:rPr>
      </w:pPr>
      <w:bookmarkStart w:id="13" w:name="_Toc44229879"/>
      <w:bookmarkStart w:id="14" w:name="_Toc35393799"/>
      <w:bookmarkStart w:id="15" w:name="_Toc28359013"/>
      <w:bookmarkStart w:id="16" w:name="_Toc35393630"/>
      <w:bookmarkStart w:id="17" w:name="_Toc28359090"/>
      <w:r>
        <w:rPr>
          <w:rFonts w:hint="eastAsia" w:ascii="宋体" w:hAnsi="宋体" w:cs="宋体"/>
          <w:b/>
          <w:color w:val="auto"/>
          <w:kern w:val="44"/>
          <w:sz w:val="24"/>
          <w:highlight w:val="none"/>
        </w:rPr>
        <w:t>二、申请人的资格条件</w:t>
      </w:r>
      <w:bookmarkEnd w:id="13"/>
      <w:bookmarkEnd w:id="14"/>
      <w:bookmarkEnd w:id="15"/>
      <w:bookmarkEnd w:id="16"/>
      <w:bookmarkEnd w:id="17"/>
    </w:p>
    <w:p w14:paraId="67F70348">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1.满足《中华人民共和国政府采购法》第二十二条规定。</w:t>
      </w:r>
    </w:p>
    <w:p w14:paraId="2EA3AB6F">
      <w:pPr>
        <w:shd w:val="clear"/>
        <w:spacing w:line="360" w:lineRule="auto"/>
        <w:ind w:firstLine="420" w:firstLineChars="200"/>
        <w:rPr>
          <w:color w:val="auto"/>
          <w:highlight w:val="none"/>
        </w:rPr>
      </w:pPr>
      <w:r>
        <w:rPr>
          <w:rFonts w:hint="eastAsia" w:ascii="宋体" w:hAnsi="宋体" w:cs="宋体"/>
          <w:color w:val="auto"/>
          <w:szCs w:val="21"/>
          <w:highlight w:val="none"/>
        </w:rPr>
        <w:t>2.落实政府采购政策需满足的资格要求：</w:t>
      </w:r>
    </w:p>
    <w:p w14:paraId="47804D17">
      <w:pPr>
        <w:shd w:val="clear"/>
        <w:spacing w:line="360" w:lineRule="auto"/>
        <w:ind w:firstLine="420" w:firstLineChars="200"/>
        <w:rPr>
          <w:rFonts w:ascii="宋体" w:hAnsi="宋体" w:cs="宋体"/>
          <w:bCs/>
          <w:color w:val="auto"/>
          <w:szCs w:val="21"/>
          <w:highlight w:val="none"/>
        </w:rPr>
      </w:pPr>
      <w:r>
        <w:rPr>
          <w:rFonts w:hint="eastAsia" w:ascii="MS Mincho" w:hAnsi="MS Mincho" w:cs="MS Mincho"/>
          <w:bCs/>
          <w:color w:val="auto"/>
          <w:szCs w:val="21"/>
          <w:highlight w:val="none"/>
          <w:lang w:eastAsia="zh-CN"/>
        </w:rPr>
        <w:t>□</w:t>
      </w:r>
      <w:r>
        <w:rPr>
          <w:rFonts w:hint="eastAsia" w:ascii="宋体" w:hAnsi="宋体" w:cs="宋体"/>
          <w:bCs/>
          <w:color w:val="auto"/>
          <w:szCs w:val="21"/>
          <w:highlight w:val="none"/>
        </w:rPr>
        <w:t>专门面向中小企业采购的项目（供应商应为中小微企业或监狱企业或残疾人福利性单位）</w:t>
      </w:r>
    </w:p>
    <w:p w14:paraId="2DA70CC9">
      <w:pPr>
        <w:shd w:val="clear"/>
        <w:spacing w:line="360" w:lineRule="auto"/>
        <w:ind w:firstLine="420" w:firstLineChars="200"/>
        <w:rPr>
          <w:rFonts w:ascii="宋体" w:hAnsi="宋体" w:cs="宋体"/>
          <w:color w:val="auto"/>
          <w:szCs w:val="21"/>
          <w:highlight w:val="none"/>
        </w:rPr>
      </w:pPr>
      <w:r>
        <w:rPr>
          <w:rFonts w:hint="eastAsia" w:ascii="MS Mincho" w:hAnsi="MS Mincho" w:cs="MS Mincho"/>
          <w:color w:val="auto"/>
          <w:szCs w:val="21"/>
          <w:highlight w:val="none"/>
          <w:lang w:eastAsia="zh-CN"/>
        </w:rPr>
        <w:t>☑</w:t>
      </w:r>
      <w:r>
        <w:rPr>
          <w:rFonts w:hint="eastAsia" w:ascii="宋体" w:hAnsi="宋体" w:cs="宋体"/>
          <w:color w:val="auto"/>
          <w:szCs w:val="21"/>
          <w:highlight w:val="none"/>
        </w:rPr>
        <w:t>非专门面向中小企业采购的项目</w:t>
      </w:r>
    </w:p>
    <w:p w14:paraId="6161A1EF">
      <w:pPr>
        <w:shd w:val="clea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3.本项目的特定资格要求：</w:t>
      </w:r>
      <w:r>
        <w:rPr>
          <w:rFonts w:hint="eastAsia" w:ascii="宋体" w:hAnsi="宋体" w:cs="宋体"/>
          <w:color w:val="auto"/>
          <w:szCs w:val="21"/>
          <w:highlight w:val="none"/>
          <w:lang w:eastAsia="zh-CN"/>
        </w:rPr>
        <w:t>无</w:t>
      </w:r>
      <w:r>
        <w:rPr>
          <w:rFonts w:hint="eastAsia"/>
          <w:color w:val="auto"/>
          <w:highlight w:val="none"/>
          <w:lang w:eastAsia="zh-CN"/>
        </w:rPr>
        <w:t>。</w:t>
      </w:r>
    </w:p>
    <w:p w14:paraId="5D17A781">
      <w:pPr>
        <w:shd w:val="clear"/>
        <w:spacing w:line="360" w:lineRule="auto"/>
        <w:rPr>
          <w:rFonts w:ascii="宋体" w:hAnsi="宋体" w:cs="宋体"/>
          <w:b/>
          <w:color w:val="auto"/>
          <w:kern w:val="44"/>
          <w:sz w:val="24"/>
          <w:highlight w:val="none"/>
        </w:rPr>
      </w:pPr>
      <w:r>
        <w:rPr>
          <w:rFonts w:hint="eastAsia" w:ascii="宋体" w:hAnsi="宋体" w:cs="宋体"/>
          <w:b/>
          <w:color w:val="auto"/>
          <w:kern w:val="44"/>
          <w:sz w:val="24"/>
          <w:highlight w:val="none"/>
        </w:rPr>
        <w:t>三、获取采购文件</w:t>
      </w:r>
      <w:bookmarkEnd w:id="9"/>
      <w:bookmarkEnd w:id="10"/>
      <w:bookmarkEnd w:id="11"/>
      <w:bookmarkEnd w:id="12"/>
    </w:p>
    <w:p w14:paraId="3F31AF5B">
      <w:pPr>
        <w:shd w:val="clear"/>
        <w:spacing w:line="360" w:lineRule="auto"/>
        <w:ind w:firstLine="420" w:firstLineChars="200"/>
        <w:rPr>
          <w:rFonts w:ascii="宋体" w:hAnsi="宋体" w:cs="宋体"/>
          <w:color w:val="auto"/>
          <w:szCs w:val="21"/>
          <w:highlight w:val="none"/>
        </w:rPr>
      </w:pPr>
      <w:bookmarkStart w:id="18" w:name="_Toc35393793"/>
      <w:bookmarkStart w:id="19" w:name="_Toc28359005"/>
      <w:bookmarkStart w:id="20" w:name="_Toc35393624"/>
      <w:bookmarkStart w:id="21" w:name="_Toc28359082"/>
      <w:r>
        <w:rPr>
          <w:rFonts w:hint="eastAsia" w:ascii="宋体" w:hAnsi="宋体" w:cs="宋体"/>
          <w:color w:val="auto"/>
          <w:szCs w:val="21"/>
          <w:highlight w:val="none"/>
        </w:rPr>
        <w:t>时间：</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9</w:t>
      </w:r>
      <w:r>
        <w:rPr>
          <w:rFonts w:hint="eastAsia" w:ascii="宋体" w:hAnsi="宋体" w:cs="宋体"/>
          <w:color w:val="auto"/>
          <w:szCs w:val="21"/>
          <w:highlight w:val="none"/>
          <w:u w:val="single"/>
        </w:rPr>
        <w:t>日</w:t>
      </w:r>
      <w:r>
        <w:rPr>
          <w:rFonts w:hint="eastAsia" w:ascii="宋体" w:hAnsi="宋体" w:cs="宋体"/>
          <w:color w:val="auto"/>
          <w:szCs w:val="21"/>
          <w:highlight w:val="none"/>
        </w:rPr>
        <w:t>至</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23</w:t>
      </w:r>
      <w:r>
        <w:rPr>
          <w:rFonts w:hint="eastAsia" w:ascii="宋体" w:hAnsi="宋体" w:cs="宋体"/>
          <w:color w:val="auto"/>
          <w:szCs w:val="21"/>
          <w:highlight w:val="none"/>
          <w:u w:val="single"/>
        </w:rPr>
        <w:t>日</w:t>
      </w:r>
      <w:r>
        <w:rPr>
          <w:rFonts w:hint="eastAsia" w:ascii="宋体" w:hAnsi="宋体" w:cs="宋体"/>
          <w:color w:val="auto"/>
          <w:szCs w:val="21"/>
          <w:highlight w:val="none"/>
        </w:rPr>
        <w:t>，每天上午</w:t>
      </w:r>
      <w:r>
        <w:rPr>
          <w:rFonts w:hint="eastAsia" w:ascii="宋体" w:hAnsi="宋体" w:cs="宋体"/>
          <w:color w:val="auto"/>
          <w:szCs w:val="21"/>
          <w:highlight w:val="none"/>
          <w:u w:val="single"/>
          <w:lang w:val="en-US" w:eastAsia="zh-CN"/>
        </w:rPr>
        <w:t>00</w:t>
      </w:r>
      <w:r>
        <w:rPr>
          <w:rFonts w:hint="eastAsia" w:ascii="宋体" w:hAnsi="宋体" w:cs="宋体"/>
          <w:color w:val="auto"/>
          <w:szCs w:val="21"/>
          <w:highlight w:val="none"/>
          <w:u w:val="single"/>
        </w:rPr>
        <w:t>:00</w:t>
      </w:r>
      <w:r>
        <w:rPr>
          <w:rFonts w:hint="eastAsia" w:ascii="宋体" w:hAnsi="宋体" w:cs="宋体"/>
          <w:color w:val="auto"/>
          <w:szCs w:val="21"/>
          <w:highlight w:val="none"/>
        </w:rPr>
        <w:t>至</w:t>
      </w:r>
      <w:r>
        <w:rPr>
          <w:rFonts w:hint="eastAsia" w:ascii="宋体" w:hAnsi="宋体" w:cs="宋体"/>
          <w:color w:val="auto"/>
          <w:szCs w:val="21"/>
          <w:highlight w:val="none"/>
          <w:u w:val="single"/>
          <w:lang w:val="en-US" w:eastAsia="zh-CN"/>
        </w:rPr>
        <w:t>11</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val="en-US" w:eastAsia="zh-CN"/>
        </w:rPr>
        <w:t>59</w:t>
      </w:r>
      <w:r>
        <w:rPr>
          <w:rFonts w:hint="eastAsia" w:ascii="宋体" w:hAnsi="宋体" w:cs="宋体"/>
          <w:color w:val="auto"/>
          <w:szCs w:val="21"/>
          <w:highlight w:val="none"/>
        </w:rPr>
        <w:t>，下午</w:t>
      </w:r>
      <w:r>
        <w:rPr>
          <w:rFonts w:hint="eastAsia" w:ascii="宋体" w:hAnsi="宋体" w:cs="宋体"/>
          <w:color w:val="auto"/>
          <w:szCs w:val="21"/>
          <w:highlight w:val="none"/>
          <w:u w:val="single"/>
          <w:lang w:val="en-US" w:eastAsia="zh-CN"/>
        </w:rPr>
        <w:t>12</w:t>
      </w:r>
      <w:r>
        <w:rPr>
          <w:rFonts w:hint="eastAsia" w:ascii="宋体" w:hAnsi="宋体" w:cs="宋体"/>
          <w:color w:val="auto"/>
          <w:szCs w:val="21"/>
          <w:highlight w:val="none"/>
          <w:u w:val="single"/>
        </w:rPr>
        <w:t>:00</w:t>
      </w:r>
      <w:r>
        <w:rPr>
          <w:rFonts w:hint="eastAsia" w:ascii="宋体" w:hAnsi="宋体" w:cs="宋体"/>
          <w:color w:val="auto"/>
          <w:szCs w:val="21"/>
          <w:highlight w:val="none"/>
        </w:rPr>
        <w:t>至</w:t>
      </w:r>
      <w:r>
        <w:rPr>
          <w:rFonts w:hint="eastAsia" w:ascii="宋体" w:hAnsi="宋体" w:cs="宋体"/>
          <w:color w:val="auto"/>
          <w:szCs w:val="21"/>
          <w:highlight w:val="none"/>
          <w:u w:val="single"/>
          <w:lang w:val="en-US" w:eastAsia="zh-CN"/>
        </w:rPr>
        <w:t>23</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val="en-US" w:eastAsia="zh-CN"/>
        </w:rPr>
        <w:t>59</w:t>
      </w:r>
      <w:r>
        <w:rPr>
          <w:rFonts w:hint="eastAsia" w:ascii="宋体" w:hAnsi="宋体" w:cs="宋体"/>
          <w:color w:val="auto"/>
          <w:szCs w:val="21"/>
          <w:highlight w:val="none"/>
        </w:rPr>
        <w:t>（北京时间，法定节假日除外）。</w:t>
      </w:r>
    </w:p>
    <w:p w14:paraId="1CD9B7A9">
      <w:pPr>
        <w:shd w:val="clea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地点：广西政府采购云平台（https://www.gcy.zfcg.gxzf.gov.cn/）。</w:t>
      </w:r>
    </w:p>
    <w:p w14:paraId="4ECCE522">
      <w:pPr>
        <w:shd w:val="clear"/>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方式：网上下载。本项目不提供纸质采购文件，潜在供应商需使用账号登录或者使用CA登录广西政府采购云平台（https://www.gcy.zfcg.gxzf.gov.cn/）-进入“项目采购”应用，在获取采购文件菜单中选择项目，获取采购文件。电子响应文件制作需要基于广西政府采购云平台获取的采购文件编制，通过其他方式获取采购文件的，将有可能导致供应商无法在广西政府采购云平台编制及上传响应文件。</w:t>
      </w:r>
    </w:p>
    <w:p w14:paraId="1AF18BE6">
      <w:pPr>
        <w:shd w:val="clear"/>
        <w:spacing w:line="360" w:lineRule="auto"/>
        <w:ind w:firstLine="420" w:firstLineChars="200"/>
        <w:rPr>
          <w:rFonts w:ascii="宋体" w:hAnsi="宋体" w:cs="宋体"/>
          <w:b/>
          <w:bCs/>
          <w:color w:val="auto"/>
          <w:sz w:val="24"/>
          <w:highlight w:val="none"/>
        </w:rPr>
      </w:pPr>
      <w:r>
        <w:rPr>
          <w:rFonts w:hint="eastAsia" w:ascii="宋体" w:hAnsi="宋体" w:cs="宋体"/>
          <w:color w:val="auto"/>
          <w:szCs w:val="21"/>
          <w:highlight w:val="none"/>
        </w:rPr>
        <w:t>售价：</w:t>
      </w:r>
      <w:r>
        <w:rPr>
          <w:rFonts w:hint="eastAsia" w:ascii="宋体" w:hAnsi="宋体" w:cs="宋体"/>
          <w:color w:val="auto"/>
          <w:szCs w:val="21"/>
          <w:highlight w:val="none"/>
          <w:u w:val="single"/>
        </w:rPr>
        <w:t>0</w:t>
      </w:r>
      <w:r>
        <w:rPr>
          <w:rFonts w:hint="eastAsia" w:ascii="宋体" w:hAnsi="宋体" w:cs="宋体"/>
          <w:color w:val="auto"/>
          <w:szCs w:val="21"/>
          <w:highlight w:val="none"/>
        </w:rPr>
        <w:t>元。</w:t>
      </w:r>
    </w:p>
    <w:p w14:paraId="531D2A2D">
      <w:pPr>
        <w:shd w:val="clear"/>
        <w:spacing w:line="360" w:lineRule="auto"/>
        <w:rPr>
          <w:rFonts w:ascii="宋体" w:hAnsi="宋体" w:cs="宋体"/>
          <w:b/>
          <w:color w:val="auto"/>
          <w:kern w:val="44"/>
          <w:sz w:val="24"/>
          <w:highlight w:val="none"/>
        </w:rPr>
      </w:pPr>
      <w:r>
        <w:rPr>
          <w:rFonts w:hint="eastAsia" w:ascii="宋体" w:hAnsi="宋体" w:cs="宋体"/>
          <w:b/>
          <w:color w:val="auto"/>
          <w:kern w:val="44"/>
          <w:sz w:val="24"/>
          <w:highlight w:val="none"/>
        </w:rPr>
        <w:t>四、</w:t>
      </w:r>
      <w:bookmarkEnd w:id="18"/>
      <w:bookmarkEnd w:id="19"/>
      <w:bookmarkEnd w:id="20"/>
      <w:bookmarkEnd w:id="21"/>
      <w:r>
        <w:rPr>
          <w:rFonts w:hint="eastAsia" w:ascii="宋体" w:hAnsi="宋体" w:cs="宋体"/>
          <w:b/>
          <w:color w:val="auto"/>
          <w:kern w:val="44"/>
          <w:sz w:val="24"/>
          <w:highlight w:val="none"/>
        </w:rPr>
        <w:t>响应文件提交</w:t>
      </w:r>
    </w:p>
    <w:p w14:paraId="47E3E014">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截止时间：</w:t>
      </w:r>
      <w:r>
        <w:rPr>
          <w:rFonts w:hint="eastAsia" w:ascii="宋体" w:hAnsi="宋体" w:cs="宋体"/>
          <w:color w:val="auto"/>
          <w:szCs w:val="21"/>
          <w:highlight w:val="none"/>
          <w:u w:val="single"/>
          <w:lang w:eastAsia="zh-CN"/>
        </w:rPr>
        <w:t>2026年4月24日9点30分</w:t>
      </w:r>
      <w:r>
        <w:rPr>
          <w:rFonts w:hint="eastAsia" w:ascii="宋体" w:hAnsi="宋体" w:cs="宋体"/>
          <w:bCs/>
          <w:color w:val="auto"/>
          <w:szCs w:val="21"/>
          <w:highlight w:val="none"/>
        </w:rPr>
        <w:t>（北京时间）。</w:t>
      </w:r>
    </w:p>
    <w:p w14:paraId="7B732FA0">
      <w:pPr>
        <w:shd w:val="clear"/>
        <w:spacing w:line="360" w:lineRule="auto"/>
        <w:ind w:firstLine="420" w:firstLineChars="200"/>
        <w:rPr>
          <w:rFonts w:ascii="宋体" w:hAnsi="宋体" w:cs="宋体"/>
          <w:bCs/>
          <w:color w:val="auto"/>
          <w:szCs w:val="21"/>
          <w:highlight w:val="none"/>
          <w:u w:val="single"/>
        </w:rPr>
      </w:pPr>
      <w:r>
        <w:rPr>
          <w:rFonts w:hint="eastAsia" w:ascii="宋体" w:hAnsi="宋体" w:cs="宋体"/>
          <w:color w:val="auto"/>
          <w:szCs w:val="21"/>
          <w:highlight w:val="none"/>
        </w:rPr>
        <w:t>地点：广西政府采购云平台（https://www.gcy.zfcg.gxzf.gov.cn/）。</w:t>
      </w:r>
    </w:p>
    <w:p w14:paraId="5BA095E1">
      <w:pPr>
        <w:shd w:val="clear"/>
        <w:spacing w:line="360" w:lineRule="auto"/>
        <w:rPr>
          <w:rFonts w:ascii="宋体" w:hAnsi="宋体" w:cs="宋体"/>
          <w:b/>
          <w:color w:val="auto"/>
          <w:kern w:val="44"/>
          <w:sz w:val="24"/>
          <w:highlight w:val="none"/>
        </w:rPr>
      </w:pPr>
      <w:r>
        <w:rPr>
          <w:rFonts w:hint="eastAsia" w:ascii="宋体" w:hAnsi="宋体" w:cs="宋体"/>
          <w:b/>
          <w:color w:val="auto"/>
          <w:kern w:val="44"/>
          <w:sz w:val="24"/>
          <w:highlight w:val="none"/>
        </w:rPr>
        <w:t>五、开启</w:t>
      </w:r>
    </w:p>
    <w:p w14:paraId="59991C17">
      <w:pPr>
        <w:shd w:val="clear"/>
        <w:spacing w:line="360" w:lineRule="auto"/>
        <w:ind w:firstLine="420" w:firstLineChars="200"/>
        <w:rPr>
          <w:rFonts w:ascii="宋体" w:hAnsi="宋体" w:cs="宋体"/>
          <w:bCs/>
          <w:color w:val="auto"/>
          <w:szCs w:val="21"/>
          <w:highlight w:val="none"/>
          <w:u w:val="single"/>
        </w:rPr>
      </w:pPr>
      <w:r>
        <w:rPr>
          <w:rFonts w:hint="eastAsia" w:ascii="宋体" w:hAnsi="宋体" w:cs="宋体"/>
          <w:color w:val="auto"/>
          <w:szCs w:val="21"/>
          <w:highlight w:val="none"/>
        </w:rPr>
        <w:t>时间：</w:t>
      </w:r>
      <w:r>
        <w:rPr>
          <w:rFonts w:hint="eastAsia" w:ascii="宋体" w:hAnsi="宋体" w:cs="宋体"/>
          <w:color w:val="auto"/>
          <w:szCs w:val="21"/>
          <w:highlight w:val="none"/>
          <w:u w:val="single"/>
          <w:lang w:eastAsia="zh-CN"/>
        </w:rPr>
        <w:t>2026年4月24日9点30分</w:t>
      </w:r>
      <w:r>
        <w:rPr>
          <w:rFonts w:hint="eastAsia" w:ascii="宋体" w:hAnsi="宋体" w:cs="宋体"/>
          <w:bCs/>
          <w:color w:val="auto"/>
          <w:szCs w:val="21"/>
          <w:highlight w:val="none"/>
        </w:rPr>
        <w:t>（北京时间）。</w:t>
      </w:r>
    </w:p>
    <w:p w14:paraId="377594F7">
      <w:pPr>
        <w:shd w:val="clear"/>
        <w:spacing w:line="360" w:lineRule="auto"/>
        <w:ind w:firstLine="420" w:firstLineChars="200"/>
        <w:rPr>
          <w:rFonts w:ascii="宋体" w:hAnsi="宋体" w:cs="宋体"/>
          <w:bCs/>
          <w:color w:val="auto"/>
          <w:szCs w:val="21"/>
          <w:highlight w:val="none"/>
          <w:u w:val="single"/>
        </w:rPr>
      </w:pPr>
      <w:r>
        <w:rPr>
          <w:rFonts w:hint="eastAsia" w:ascii="宋体" w:hAnsi="宋体" w:cs="宋体"/>
          <w:color w:val="auto"/>
          <w:szCs w:val="21"/>
          <w:highlight w:val="none"/>
        </w:rPr>
        <w:t>地点：广西政府采购云平台（https://www.gcy.zfcg.gxzf.gov.cn/）。</w:t>
      </w:r>
    </w:p>
    <w:p w14:paraId="35DA472A">
      <w:pPr>
        <w:shd w:val="clear"/>
        <w:spacing w:line="360" w:lineRule="auto"/>
        <w:rPr>
          <w:rFonts w:ascii="宋体" w:hAnsi="宋体" w:cs="宋体"/>
          <w:b/>
          <w:color w:val="auto"/>
          <w:kern w:val="44"/>
          <w:sz w:val="24"/>
          <w:highlight w:val="none"/>
        </w:rPr>
      </w:pPr>
      <w:bookmarkStart w:id="22" w:name="_Toc28359084"/>
      <w:bookmarkStart w:id="23" w:name="_Toc35393625"/>
      <w:bookmarkStart w:id="24" w:name="_Toc28359007"/>
      <w:bookmarkStart w:id="25" w:name="_Toc35393794"/>
      <w:r>
        <w:rPr>
          <w:rFonts w:hint="eastAsia" w:ascii="宋体" w:hAnsi="宋体" w:cs="宋体"/>
          <w:b/>
          <w:color w:val="auto"/>
          <w:kern w:val="44"/>
          <w:sz w:val="24"/>
          <w:highlight w:val="none"/>
        </w:rPr>
        <w:t>六、公告期限</w:t>
      </w:r>
      <w:bookmarkEnd w:id="22"/>
      <w:bookmarkEnd w:id="23"/>
      <w:bookmarkEnd w:id="24"/>
      <w:bookmarkEnd w:id="25"/>
    </w:p>
    <w:p w14:paraId="763A373B">
      <w:pPr>
        <w:shd w:val="clea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个工作日。</w:t>
      </w:r>
    </w:p>
    <w:p w14:paraId="65040457">
      <w:pPr>
        <w:shd w:val="clear"/>
        <w:spacing w:line="360" w:lineRule="auto"/>
        <w:rPr>
          <w:rFonts w:ascii="宋体" w:hAnsi="宋体" w:cs="宋体"/>
          <w:b/>
          <w:color w:val="auto"/>
          <w:kern w:val="44"/>
          <w:sz w:val="24"/>
          <w:highlight w:val="none"/>
        </w:rPr>
      </w:pPr>
      <w:bookmarkStart w:id="26" w:name="_Toc35393795"/>
      <w:bookmarkStart w:id="27" w:name="_Toc35393626"/>
      <w:r>
        <w:rPr>
          <w:rFonts w:hint="eastAsia" w:ascii="宋体" w:hAnsi="宋体" w:cs="宋体"/>
          <w:b/>
          <w:color w:val="auto"/>
          <w:kern w:val="44"/>
          <w:sz w:val="24"/>
          <w:highlight w:val="none"/>
        </w:rPr>
        <w:t>七、其他补充事宜</w:t>
      </w:r>
      <w:bookmarkEnd w:id="26"/>
      <w:bookmarkEnd w:id="27"/>
    </w:p>
    <w:p w14:paraId="65ECB688">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1.磋商保证金：</w:t>
      </w:r>
      <w:r>
        <w:rPr>
          <w:rFonts w:hint="eastAsia" w:ascii="宋体" w:hAnsi="宋体" w:cs="宋体"/>
          <w:color w:val="auto"/>
          <w:szCs w:val="21"/>
          <w:highlight w:val="none"/>
          <w:lang w:eastAsia="zh-CN"/>
        </w:rPr>
        <w:t>人民币玖仟元整（¥9,000.00）</w:t>
      </w:r>
      <w:r>
        <w:rPr>
          <w:rFonts w:hint="eastAsia" w:ascii="宋体" w:hAnsi="宋体" w:cs="宋体"/>
          <w:color w:val="auto"/>
          <w:szCs w:val="21"/>
          <w:highlight w:val="none"/>
        </w:rPr>
        <w:t>；</w:t>
      </w:r>
    </w:p>
    <w:p w14:paraId="353BDBD7">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磋商供应商可自主选择以转账、电汇、支票、汇票、本票、保函等非现金形式缴纳磋商保证金。采用转账、电汇形式的，磋商保证金必须从磋商供应商银行账户转出，并于</w:t>
      </w:r>
      <w:r>
        <w:rPr>
          <w:rFonts w:hint="eastAsia" w:ascii="宋体" w:hAnsi="宋体" w:cs="宋体"/>
          <w:color w:val="auto"/>
          <w:szCs w:val="21"/>
          <w:highlight w:val="none"/>
          <w:u w:val="single"/>
        </w:rPr>
        <w:t>响应文件提交截止时间</w:t>
      </w:r>
      <w:r>
        <w:rPr>
          <w:rFonts w:hint="eastAsia" w:ascii="宋体" w:hAnsi="宋体" w:cs="宋体"/>
          <w:color w:val="auto"/>
          <w:szCs w:val="21"/>
          <w:highlight w:val="none"/>
        </w:rPr>
        <w:t>前到达代理机构指定账户</w:t>
      </w:r>
      <w:r>
        <w:rPr>
          <w:rFonts w:hint="eastAsia" w:ascii="宋体" w:hAnsi="宋体" w:cs="宋体"/>
          <w:b/>
          <w:bCs/>
          <w:color w:val="auto"/>
          <w:szCs w:val="21"/>
          <w:highlight w:val="none"/>
        </w:rPr>
        <w:t>（户名：</w:t>
      </w:r>
      <w:r>
        <w:rPr>
          <w:rFonts w:hint="eastAsia" w:ascii="宋体" w:hAnsi="宋体" w:cs="宋体"/>
          <w:b/>
          <w:bCs/>
          <w:color w:val="auto"/>
          <w:szCs w:val="21"/>
          <w:highlight w:val="none"/>
          <w:u w:val="single"/>
        </w:rPr>
        <w:t>广西信永工程咨询有限责任公司</w:t>
      </w:r>
      <w:r>
        <w:rPr>
          <w:rFonts w:hint="eastAsia" w:ascii="宋体" w:hAnsi="宋体" w:cs="宋体"/>
          <w:b/>
          <w:bCs/>
          <w:color w:val="auto"/>
          <w:szCs w:val="21"/>
          <w:highlight w:val="none"/>
        </w:rPr>
        <w:t>，开户银行：</w:t>
      </w:r>
      <w:r>
        <w:rPr>
          <w:rFonts w:hint="eastAsia" w:ascii="宋体" w:hAnsi="宋体" w:cs="宋体"/>
          <w:b/>
          <w:bCs/>
          <w:color w:val="auto"/>
          <w:szCs w:val="21"/>
          <w:highlight w:val="none"/>
          <w:u w:val="single"/>
        </w:rPr>
        <w:t>中国银行南宁市桃源支行</w:t>
      </w:r>
      <w:r>
        <w:rPr>
          <w:rFonts w:hint="eastAsia" w:ascii="宋体" w:hAnsi="宋体" w:cs="宋体"/>
          <w:b/>
          <w:bCs/>
          <w:color w:val="auto"/>
          <w:szCs w:val="21"/>
          <w:highlight w:val="none"/>
        </w:rPr>
        <w:t>，银行账号：</w:t>
      </w:r>
      <w:r>
        <w:rPr>
          <w:rFonts w:ascii="宋体" w:hAnsi="宋体" w:cs="宋体"/>
          <w:b/>
          <w:bCs/>
          <w:color w:val="auto"/>
          <w:szCs w:val="21"/>
          <w:highlight w:val="none"/>
          <w:u w:val="single"/>
        </w:rPr>
        <w:t>6197 5749 8910</w:t>
      </w:r>
      <w:r>
        <w:rPr>
          <w:rFonts w:hint="eastAsia" w:ascii="宋体" w:hAnsi="宋体" w:cs="宋体"/>
          <w:b/>
          <w:bCs/>
          <w:color w:val="auto"/>
          <w:szCs w:val="21"/>
          <w:highlight w:val="none"/>
        </w:rPr>
        <w:t>）</w:t>
      </w:r>
      <w:r>
        <w:rPr>
          <w:rFonts w:hint="eastAsia" w:ascii="宋体" w:hAnsi="宋体" w:cs="宋体"/>
          <w:color w:val="auto"/>
          <w:szCs w:val="21"/>
          <w:highlight w:val="none"/>
        </w:rPr>
        <w:t>；采用支票、汇票、本票、保函形式的，磋商供应商应于</w:t>
      </w:r>
      <w:r>
        <w:rPr>
          <w:rFonts w:hint="eastAsia" w:ascii="宋体" w:hAnsi="宋体" w:cs="宋体"/>
          <w:color w:val="auto"/>
          <w:szCs w:val="21"/>
          <w:highlight w:val="none"/>
          <w:u w:val="single"/>
        </w:rPr>
        <w:t>响应文件提交截止时间</w:t>
      </w:r>
      <w:r>
        <w:rPr>
          <w:rFonts w:hint="eastAsia" w:ascii="宋体" w:hAnsi="宋体" w:cs="宋体"/>
          <w:color w:val="auto"/>
          <w:szCs w:val="21"/>
          <w:highlight w:val="none"/>
        </w:rPr>
        <w:t>前递交单独密封的支票、汇票、本票、保函原件；否则视为无效磋商保证金。</w:t>
      </w:r>
      <w:r>
        <w:rPr>
          <w:rFonts w:hint="eastAsia" w:ascii="宋体" w:hAnsi="宋体" w:cs="宋体"/>
          <w:b/>
          <w:bCs/>
          <w:color w:val="auto"/>
          <w:szCs w:val="21"/>
          <w:highlight w:val="none"/>
        </w:rPr>
        <w:t>本项目不接受现金形式或从个人账户转出的保证金。</w:t>
      </w:r>
    </w:p>
    <w:p w14:paraId="687FFE49">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2.网上查询地址：中国政府采购网（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hint="eastAsia" w:ascii="宋体" w:hAnsi="宋体" w:cs="宋体"/>
          <w:color w:val="auto"/>
          <w:szCs w:val="21"/>
          <w:highlight w:val="none"/>
        </w:rPr>
        <w:t>www.ccgp.gov.cn</w:t>
      </w:r>
      <w:r>
        <w:rPr>
          <w:rFonts w:hint="eastAsia" w:ascii="宋体" w:hAnsi="宋体" w:cs="宋体"/>
          <w:color w:val="auto"/>
          <w:szCs w:val="21"/>
          <w:highlight w:val="none"/>
        </w:rPr>
        <w:fldChar w:fldCharType="end"/>
      </w:r>
      <w:r>
        <w:rPr>
          <w:rFonts w:hint="eastAsia" w:ascii="宋体" w:hAnsi="宋体" w:cs="宋体"/>
          <w:color w:val="auto"/>
          <w:szCs w:val="21"/>
          <w:highlight w:val="none"/>
        </w:rPr>
        <w:t>）、广西壮族自治区政府采购网（</w:t>
      </w:r>
      <w:r>
        <w:rPr>
          <w:color w:val="auto"/>
          <w:highlight w:val="none"/>
        </w:rPr>
        <w:fldChar w:fldCharType="begin"/>
      </w:r>
      <w:r>
        <w:rPr>
          <w:color w:val="auto"/>
          <w:highlight w:val="none"/>
        </w:rPr>
        <w:instrText xml:space="preserve"> HYPERLINK "http://www.gxzfcg.gov.cn" </w:instrText>
      </w:r>
      <w:r>
        <w:rPr>
          <w:color w:val="auto"/>
          <w:highlight w:val="none"/>
        </w:rPr>
        <w:fldChar w:fldCharType="separate"/>
      </w:r>
      <w:r>
        <w:rPr>
          <w:rFonts w:hint="eastAsia" w:ascii="宋体" w:hAnsi="宋体" w:cs="宋体"/>
          <w:color w:val="auto"/>
          <w:szCs w:val="21"/>
          <w:highlight w:val="none"/>
        </w:rPr>
        <w:t>http://zfcg.gxzf.gov.cn</w:t>
      </w:r>
      <w:r>
        <w:rPr>
          <w:rFonts w:hint="eastAsia" w:ascii="宋体" w:hAnsi="宋体" w:cs="宋体"/>
          <w:color w:val="auto"/>
          <w:szCs w:val="21"/>
          <w:highlight w:val="none"/>
        </w:rPr>
        <w:fldChar w:fldCharType="end"/>
      </w:r>
      <w:r>
        <w:rPr>
          <w:rFonts w:hint="eastAsia" w:ascii="宋体" w:hAnsi="宋体" w:cs="宋体"/>
          <w:color w:val="auto"/>
          <w:szCs w:val="21"/>
          <w:highlight w:val="none"/>
        </w:rPr>
        <w:t>）。</w:t>
      </w:r>
    </w:p>
    <w:p w14:paraId="14C97365">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3.本项目需要落实的政府采购政策：政府采购促进中小企业发展政策，政府采购促进残疾人就业政策，政府采购支持监狱企业发展政策。</w:t>
      </w:r>
    </w:p>
    <w:p w14:paraId="747E588D">
      <w:pPr>
        <w:shd w:val="clea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E928C11">
      <w:pPr>
        <w:widowControl/>
        <w:shd w:val="clea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3AE6CC03">
      <w:pPr>
        <w:widowControl/>
        <w:shd w:val="clear"/>
        <w:spacing w:line="360" w:lineRule="auto"/>
        <w:ind w:firstLine="420" w:firstLineChars="200"/>
        <w:jc w:val="left"/>
        <w:rPr>
          <w:rFonts w:ascii="宋体" w:hAnsi="宋体"/>
          <w:color w:val="auto"/>
          <w:szCs w:val="21"/>
          <w:highlight w:val="none"/>
        </w:rPr>
      </w:pPr>
      <w:r>
        <w:rPr>
          <w:rFonts w:hint="eastAsia" w:ascii="宋体" w:hAnsi="宋体" w:cs="宋体"/>
          <w:color w:val="auto"/>
          <w:kern w:val="0"/>
          <w:szCs w:val="21"/>
          <w:highlight w:val="none"/>
        </w:rPr>
        <w:t>6.供应商</w:t>
      </w:r>
      <w:r>
        <w:rPr>
          <w:rFonts w:hint="eastAsia" w:ascii="宋体" w:hAnsi="宋体"/>
          <w:color w:val="auto"/>
          <w:szCs w:val="21"/>
          <w:highlight w:val="none"/>
        </w:rPr>
        <w:t>竞标注意事项</w:t>
      </w:r>
    </w:p>
    <w:p w14:paraId="2177848C">
      <w:pPr>
        <w:widowControl/>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本项目为全流程电子化采购项目，通过广西政府采购云平台（https://www.gcy.zfcg.gxzf.gov.cn/）实行在线电子竞标，供应商应先安装“广西政府采购云平台新版客户端”[新版客户端下载路径：广西政府采购网（访问地址http://zfcg.gxzf.gov.cn/）—办事服务—下载专区]，并按照本项目竞争性磋商文件和广西政府采购云平台的要求编制、加密后在提交响应文件截止时间前通过网络上传至广西政府采购云平台（加密的电子响应文件是指</w:t>
      </w:r>
      <w:r>
        <w:rPr>
          <w:rFonts w:hint="eastAsia"/>
          <w:color w:val="auto"/>
          <w:highlight w:val="none"/>
        </w:rPr>
        <w:t>后缀名为“jm</w:t>
      </w:r>
      <w:r>
        <w:rPr>
          <w:color w:val="auto"/>
          <w:highlight w:val="none"/>
        </w:rPr>
        <w:t>bs</w:t>
      </w:r>
      <w:r>
        <w:rPr>
          <w:rFonts w:hint="eastAsia"/>
          <w:color w:val="auto"/>
          <w:highlight w:val="none"/>
        </w:rPr>
        <w:t>”的文件</w:t>
      </w:r>
      <w:r>
        <w:rPr>
          <w:rFonts w:hint="eastAsia" w:ascii="宋体" w:hAnsi="宋体"/>
          <w:color w:val="auto"/>
          <w:szCs w:val="21"/>
          <w:highlight w:val="none"/>
        </w:rPr>
        <w:t>），</w:t>
      </w:r>
      <w:r>
        <w:rPr>
          <w:rFonts w:hint="eastAsia" w:ascii="宋体" w:hAnsi="宋体"/>
          <w:b/>
          <w:color w:val="auto"/>
          <w:szCs w:val="21"/>
          <w:highlight w:val="none"/>
        </w:rPr>
        <w:t>供应商在广西政府采购云平台提交电子响应文件时，请填写参加远程采购活动经办人联系方式。</w:t>
      </w:r>
      <w:r>
        <w:rPr>
          <w:rFonts w:hint="eastAsia" w:ascii="宋体" w:hAnsi="宋体"/>
          <w:color w:val="auto"/>
          <w:szCs w:val="21"/>
          <w:highlight w:val="none"/>
        </w:rPr>
        <w:t>供应商登录广西政府采购云平台，依次进入“服务中心-项目采购-操作流程-电子招投标-</w:t>
      </w:r>
      <w:r>
        <w:rPr>
          <w:rFonts w:hint="eastAsia"/>
          <w:color w:val="auto"/>
          <w:highlight w:val="none"/>
        </w:rPr>
        <w:t>政府采购项目电子交易管理操作指南</w:t>
      </w:r>
      <w:r>
        <w:rPr>
          <w:color w:val="auto"/>
          <w:highlight w:val="none"/>
        </w:rPr>
        <w:t>-</w:t>
      </w:r>
      <w:r>
        <w:rPr>
          <w:rFonts w:hint="eastAsia"/>
          <w:color w:val="auto"/>
          <w:highlight w:val="none"/>
        </w:rPr>
        <w:t>供应商</w:t>
      </w:r>
      <w:r>
        <w:rPr>
          <w:rFonts w:hint="eastAsia" w:ascii="宋体" w:hAnsi="宋体"/>
          <w:color w:val="auto"/>
          <w:szCs w:val="21"/>
          <w:highlight w:val="none"/>
        </w:rPr>
        <w:t>”查看电子竞标具体操作流程。</w:t>
      </w:r>
    </w:p>
    <w:p w14:paraId="741661E9">
      <w:pPr>
        <w:widowControl/>
        <w:shd w:val="clea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未进行网上注册（原在政采云平台注册的临时供应商需在新平台启用后重新注册登记）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w:t>
      </w:r>
      <w:r>
        <w:rPr>
          <w:rFonts w:hint="eastAsia" w:ascii="宋体" w:hAnsi="宋体" w:cs="宋体"/>
          <w:color w:val="auto"/>
          <w:kern w:val="0"/>
          <w:szCs w:val="21"/>
          <w:highlight w:val="none"/>
        </w:rPr>
        <w:t>广西政府采购云平台，</w:t>
      </w:r>
      <w:r>
        <w:rPr>
          <w:rFonts w:hint="eastAsia" w:ascii="宋体" w:hAnsi="宋体"/>
          <w:color w:val="auto"/>
          <w:szCs w:val="21"/>
          <w:highlight w:val="none"/>
        </w:rPr>
        <w:t>依次进入“服务中心-入驻与配置”中查看CA数字证书办理操作流程。</w:t>
      </w:r>
      <w:r>
        <w:rPr>
          <w:rFonts w:hint="eastAsia" w:ascii="宋体" w:hAnsi="宋体" w:cs="宋体"/>
          <w:bCs/>
          <w:color w:val="auto"/>
          <w:kern w:val="0"/>
          <w:szCs w:val="21"/>
          <w:highlight w:val="none"/>
        </w:rPr>
        <w:t>如在操作过程中遇到问题或者需要技术支持，请致电政采云客服热线：</w:t>
      </w:r>
      <w:r>
        <w:rPr>
          <w:rFonts w:ascii="宋体" w:hAnsi="宋体" w:cs="宋体"/>
          <w:bCs/>
          <w:color w:val="auto"/>
          <w:kern w:val="0"/>
          <w:szCs w:val="21"/>
          <w:highlight w:val="none"/>
        </w:rPr>
        <w:t>95763</w:t>
      </w:r>
      <w:r>
        <w:rPr>
          <w:rFonts w:hint="eastAsia" w:ascii="宋体" w:hAnsi="宋体"/>
          <w:color w:val="auto"/>
          <w:szCs w:val="21"/>
          <w:highlight w:val="none"/>
        </w:rPr>
        <w:t>）。</w:t>
      </w:r>
    </w:p>
    <w:p w14:paraId="7F594C3C">
      <w:pPr>
        <w:shd w:val="clea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14:paraId="070764AA">
      <w:pPr>
        <w:widowControl/>
        <w:shd w:val="clear"/>
        <w:spacing w:line="360" w:lineRule="auto"/>
        <w:ind w:firstLine="420" w:firstLineChars="200"/>
        <w:jc w:val="left"/>
        <w:rPr>
          <w:rFonts w:ascii="仿宋" w:hAnsi="仿宋" w:eastAsia="仿宋" w:cs="仿宋"/>
          <w:bCs/>
          <w:color w:val="auto"/>
          <w:szCs w:val="21"/>
          <w:highlight w:val="none"/>
        </w:rPr>
      </w:pPr>
      <w:r>
        <w:rPr>
          <w:rFonts w:hint="eastAsia" w:ascii="仿宋" w:hAnsi="仿宋" w:eastAsia="仿宋" w:cs="仿宋"/>
          <w:color w:val="auto"/>
          <w:szCs w:val="21"/>
          <w:highlight w:val="none"/>
        </w:rPr>
        <w:t>注：</w:t>
      </w:r>
      <w:r>
        <w:rPr>
          <w:rFonts w:ascii="仿宋" w:hAnsi="仿宋" w:eastAsia="仿宋" w:cs="仿宋"/>
          <w:color w:val="auto"/>
          <w:szCs w:val="21"/>
          <w:highlight w:val="none"/>
        </w:rPr>
        <w:t>1）为确保网上操作合法、有效和安全，请供应商确保在电子竞标过程中能够对相关数据电文进行加密和使用电子签章，妥善保管CA数字证书并使用有效的CA数字证书参与整个采购活动。2）</w:t>
      </w:r>
      <w:r>
        <w:rPr>
          <w:rFonts w:hint="eastAsia" w:ascii="仿宋" w:hAnsi="仿宋" w:eastAsia="仿宋" w:cs="仿宋"/>
          <w:bCs/>
          <w:color w:val="auto"/>
          <w:szCs w:val="21"/>
          <w:highlight w:val="none"/>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485A2FAC">
      <w:pPr>
        <w:shd w:val="clea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（4）供应商需要在具备摄像头及语音功能且互联网网络状况良好的电脑登录广西政府采购云平台远程开标大厅参与本次磋商，否则后果自负。</w:t>
      </w:r>
    </w:p>
    <w:p w14:paraId="3D58E68F">
      <w:pPr>
        <w:shd w:val="clear"/>
        <w:spacing w:line="360" w:lineRule="auto"/>
        <w:rPr>
          <w:rFonts w:ascii="宋体" w:hAnsi="宋体" w:cs="宋体"/>
          <w:b/>
          <w:color w:val="auto"/>
          <w:kern w:val="44"/>
          <w:sz w:val="24"/>
          <w:highlight w:val="none"/>
        </w:rPr>
      </w:pPr>
      <w:r>
        <w:rPr>
          <w:rFonts w:hint="eastAsia" w:ascii="宋体" w:hAnsi="宋体" w:cs="宋体"/>
          <w:b/>
          <w:color w:val="auto"/>
          <w:kern w:val="44"/>
          <w:sz w:val="24"/>
          <w:highlight w:val="none"/>
        </w:rPr>
        <w:t>八、凡对本次采购提出询问，请按以下方式联系</w:t>
      </w:r>
    </w:p>
    <w:p w14:paraId="35FDA286">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1.采购人信息</w:t>
      </w:r>
    </w:p>
    <w:p w14:paraId="2E544FD0">
      <w:pPr>
        <w:shd w:val="clea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名称：</w:t>
      </w:r>
      <w:r>
        <w:rPr>
          <w:rFonts w:hint="eastAsia" w:ascii="宋体" w:hAnsi="宋体" w:cs="宋体"/>
          <w:color w:val="auto"/>
          <w:szCs w:val="21"/>
          <w:highlight w:val="none"/>
          <w:u w:val="single"/>
          <w:lang w:eastAsia="zh-CN"/>
        </w:rPr>
        <w:t>广西壮族自治区水利厅</w:t>
      </w:r>
    </w:p>
    <w:p w14:paraId="44BB6C98">
      <w:pPr>
        <w:shd w:val="clea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地址：</w:t>
      </w:r>
      <w:r>
        <w:rPr>
          <w:rFonts w:hint="eastAsia" w:ascii="宋体" w:hAnsi="宋体" w:cs="宋体"/>
          <w:color w:val="auto"/>
          <w:szCs w:val="21"/>
          <w:highlight w:val="none"/>
          <w:u w:val="single"/>
          <w:lang w:eastAsia="zh-CN"/>
        </w:rPr>
        <w:t>南宁市青秀区建政路12号</w:t>
      </w:r>
    </w:p>
    <w:p w14:paraId="1CFE84E8">
      <w:pPr>
        <w:shd w:val="clear"/>
        <w:spacing w:line="360" w:lineRule="auto"/>
        <w:ind w:firstLine="420" w:firstLineChars="200"/>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rPr>
        <w:t>联系方式：</w:t>
      </w:r>
      <w:bookmarkStart w:id="28" w:name="_Toc28359009"/>
      <w:bookmarkStart w:id="29" w:name="_Toc28359086"/>
      <w:r>
        <w:rPr>
          <w:rFonts w:hint="eastAsia" w:ascii="宋体" w:hAnsi="宋体" w:cs="宋体"/>
          <w:color w:val="auto"/>
          <w:szCs w:val="21"/>
          <w:highlight w:val="none"/>
          <w:u w:val="single"/>
          <w:lang w:val="en-US" w:eastAsia="zh-CN"/>
        </w:rPr>
        <w:t>李工</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eastAsia="zh-CN"/>
        </w:rPr>
        <w:t>0771-</w:t>
      </w:r>
      <w:r>
        <w:rPr>
          <w:rFonts w:hint="eastAsia" w:ascii="宋体" w:hAnsi="宋体" w:cs="宋体"/>
          <w:color w:val="auto"/>
          <w:szCs w:val="21"/>
          <w:highlight w:val="none"/>
          <w:u w:val="single"/>
          <w:lang w:val="en-US" w:eastAsia="zh-CN"/>
        </w:rPr>
        <w:t>2185010</w:t>
      </w:r>
    </w:p>
    <w:p w14:paraId="76D8521C">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2.采购代理机构信息</w:t>
      </w:r>
      <w:bookmarkEnd w:id="28"/>
      <w:bookmarkEnd w:id="29"/>
    </w:p>
    <w:p w14:paraId="785EF616">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名称：</w:t>
      </w:r>
      <w:r>
        <w:rPr>
          <w:rFonts w:hint="eastAsia" w:ascii="宋体" w:hAnsi="宋体" w:cs="宋体"/>
          <w:color w:val="auto"/>
          <w:szCs w:val="21"/>
          <w:highlight w:val="none"/>
          <w:u w:val="single"/>
        </w:rPr>
        <w:t>广西信永工程咨询有限责任公司</w:t>
      </w:r>
    </w:p>
    <w:p w14:paraId="0F05E1BF">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南宁市青秀区中柬路9号利海亚洲国际4号楼领峰A座610室</w:t>
      </w:r>
    </w:p>
    <w:p w14:paraId="64490260">
      <w:pPr>
        <w:shd w:val="clea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联系方式：</w:t>
      </w:r>
      <w:bookmarkStart w:id="30" w:name="_Toc28359087"/>
      <w:bookmarkStart w:id="31" w:name="_Toc28359010"/>
      <w:r>
        <w:rPr>
          <w:rFonts w:hint="eastAsia" w:ascii="宋体" w:hAnsi="宋体" w:cs="宋体"/>
          <w:color w:val="auto"/>
          <w:szCs w:val="21"/>
          <w:highlight w:val="none"/>
          <w:u w:val="single"/>
        </w:rPr>
        <w:t>陈法林，</w:t>
      </w:r>
      <w:r>
        <w:rPr>
          <w:rFonts w:hint="eastAsia" w:ascii="宋体" w:hAnsi="宋体" w:cs="宋体"/>
          <w:color w:val="auto"/>
          <w:szCs w:val="21"/>
          <w:highlight w:val="none"/>
          <w:u w:val="single"/>
          <w:lang w:eastAsia="zh-CN"/>
        </w:rPr>
        <w:t>0771-5782260（分机号：628）</w:t>
      </w:r>
    </w:p>
    <w:p w14:paraId="5FE709A4">
      <w:pPr>
        <w:shd w:val="clea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3.项目联系方式</w:t>
      </w:r>
      <w:bookmarkEnd w:id="30"/>
      <w:bookmarkEnd w:id="31"/>
    </w:p>
    <w:p w14:paraId="1A74220C">
      <w:pPr>
        <w:shd w:val="clear"/>
        <w:spacing w:line="360" w:lineRule="auto"/>
        <w:ind w:firstLine="420" w:firstLineChars="200"/>
        <w:rPr>
          <w:rFonts w:ascii="宋体" w:hAnsi="宋体" w:cs="宋体"/>
          <w:color w:val="auto"/>
          <w:kern w:val="0"/>
          <w:szCs w:val="21"/>
          <w:highlight w:val="none"/>
          <w:lang w:val="zh-CN"/>
        </w:rPr>
      </w:pPr>
      <w:r>
        <w:rPr>
          <w:rFonts w:ascii="宋体" w:hAnsi="宋体" w:cs="宋体"/>
          <w:color w:val="auto"/>
          <w:kern w:val="0"/>
          <w:szCs w:val="21"/>
          <w:highlight w:val="none"/>
          <w:lang w:val="zh-CN"/>
        </w:rPr>
        <w:t>项目联系人：</w:t>
      </w:r>
      <w:r>
        <w:rPr>
          <w:rFonts w:hint="eastAsia" w:ascii="宋体" w:hAnsi="宋体" w:cs="宋体"/>
          <w:color w:val="auto"/>
          <w:kern w:val="0"/>
          <w:szCs w:val="21"/>
          <w:highlight w:val="none"/>
          <w:u w:val="single"/>
          <w:lang w:val="zh-CN"/>
        </w:rPr>
        <w:t>陈法林</w:t>
      </w:r>
    </w:p>
    <w:p w14:paraId="021E73CE">
      <w:pPr>
        <w:shd w:val="clear"/>
        <w:spacing w:line="360" w:lineRule="auto"/>
        <w:ind w:firstLine="420" w:firstLineChars="200"/>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电话：</w:t>
      </w:r>
      <w:r>
        <w:rPr>
          <w:rFonts w:hint="eastAsia" w:ascii="宋体" w:hAnsi="宋体"/>
          <w:color w:val="auto"/>
          <w:szCs w:val="21"/>
          <w:highlight w:val="none"/>
          <w:u w:val="single"/>
          <w:lang w:eastAsia="zh-CN"/>
        </w:rPr>
        <w:t>0771-5782260（分机号：628）</w:t>
      </w:r>
    </w:p>
    <w:p w14:paraId="733EEF6D">
      <w:pPr>
        <w:shd w:val="clear"/>
        <w:spacing w:line="360" w:lineRule="auto"/>
        <w:ind w:firstLine="420" w:firstLineChars="200"/>
        <w:jc w:val="left"/>
        <w:rPr>
          <w:rFonts w:ascii="宋体" w:hAnsi="宋体" w:cs="宋体"/>
          <w:color w:val="auto"/>
          <w:szCs w:val="21"/>
          <w:highlight w:val="none"/>
          <w:lang w:val="zh-CN"/>
        </w:rPr>
      </w:pPr>
    </w:p>
    <w:p w14:paraId="44C7AEE5">
      <w:pPr>
        <w:shd w:val="clear"/>
        <w:spacing w:line="360" w:lineRule="auto"/>
        <w:ind w:firstLine="420" w:firstLineChars="200"/>
        <w:jc w:val="right"/>
        <w:rPr>
          <w:rFonts w:ascii="宋体" w:hAnsi="宋体" w:cs="宋体"/>
          <w:color w:val="auto"/>
          <w:szCs w:val="21"/>
          <w:highlight w:val="none"/>
          <w:lang w:val="zh-CN"/>
        </w:rPr>
      </w:pPr>
      <w:r>
        <w:rPr>
          <w:rFonts w:hint="eastAsia" w:ascii="宋体" w:hAnsi="宋体" w:cs="宋体"/>
          <w:color w:val="auto"/>
          <w:szCs w:val="21"/>
          <w:highlight w:val="none"/>
          <w:lang w:val="zh-CN"/>
        </w:rPr>
        <w:t>广西信永工程咨询有限责任公司</w:t>
      </w:r>
    </w:p>
    <w:p w14:paraId="606D112B">
      <w:pPr>
        <w:shd w:val="clear"/>
        <w:wordWrap w:val="0"/>
        <w:spacing w:line="360" w:lineRule="auto"/>
        <w:ind w:firstLine="420" w:firstLineChars="200"/>
        <w:jc w:val="right"/>
        <w:rPr>
          <w:color w:val="auto"/>
          <w:highlight w:val="none"/>
        </w:rPr>
      </w:pP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日</w:t>
      </w:r>
    </w:p>
    <w:p w14:paraId="13378F75">
      <w:pPr>
        <w:widowControl/>
        <w:shd w:val="clear"/>
        <w:jc w:val="left"/>
        <w:rPr>
          <w:rFonts w:ascii="宋体" w:hAnsi="宋体" w:cs="宋体"/>
          <w:b/>
          <w:bCs/>
          <w:color w:val="auto"/>
          <w:kern w:val="44"/>
          <w:sz w:val="44"/>
          <w:szCs w:val="44"/>
          <w:highlight w:val="none"/>
        </w:rPr>
      </w:pPr>
      <w:r>
        <w:rPr>
          <w:rFonts w:ascii="宋体" w:hAnsi="宋体" w:cs="宋体"/>
          <w:color w:val="auto"/>
          <w:highlight w:val="none"/>
        </w:rPr>
        <w:br w:type="page"/>
      </w:r>
    </w:p>
    <w:p w14:paraId="0BA456D5">
      <w:pPr>
        <w:keepNext/>
        <w:keepLines/>
        <w:shd w:val="clear"/>
        <w:spacing w:before="340" w:after="330" w:line="360" w:lineRule="auto"/>
        <w:jc w:val="center"/>
        <w:outlineLvl w:val="0"/>
        <w:rPr>
          <w:rFonts w:ascii="宋体" w:hAnsi="宋体" w:cs="宋体"/>
          <w:b/>
          <w:bCs/>
          <w:color w:val="auto"/>
          <w:kern w:val="44"/>
          <w:sz w:val="44"/>
          <w:szCs w:val="44"/>
          <w:highlight w:val="none"/>
          <w:lang w:val="zh-CN"/>
        </w:rPr>
      </w:pPr>
      <w:bookmarkStart w:id="32" w:name="_Toc106283324"/>
      <w:r>
        <w:rPr>
          <w:rFonts w:hint="eastAsia" w:ascii="宋体" w:hAnsi="宋体" w:cs="宋体"/>
          <w:b/>
          <w:bCs/>
          <w:color w:val="auto"/>
          <w:kern w:val="44"/>
          <w:sz w:val="44"/>
          <w:szCs w:val="44"/>
          <w:highlight w:val="none"/>
          <w:lang w:val="zh-CN"/>
        </w:rPr>
        <w:t>第二章 采购需求</w:t>
      </w:r>
      <w:bookmarkEnd w:id="3"/>
      <w:bookmarkEnd w:id="32"/>
    </w:p>
    <w:p w14:paraId="3CBBF3AC">
      <w:pPr>
        <w:shd w:val="clear"/>
        <w:spacing w:line="360" w:lineRule="auto"/>
        <w:jc w:val="left"/>
        <w:rPr>
          <w:rFonts w:ascii="宋体" w:hAnsi="宋体" w:cs="宋体"/>
          <w:color w:val="auto"/>
          <w:szCs w:val="21"/>
          <w:highlight w:val="none"/>
        </w:rPr>
      </w:pPr>
      <w:r>
        <w:rPr>
          <w:rFonts w:hint="eastAsia" w:ascii="宋体" w:hAnsi="宋体" w:cs="宋体"/>
          <w:color w:val="auto"/>
          <w:szCs w:val="21"/>
          <w:highlight w:val="none"/>
        </w:rPr>
        <w:t>说明：</w:t>
      </w:r>
    </w:p>
    <w:p w14:paraId="33EF3D8D">
      <w:pPr>
        <w:shd w:val="clear"/>
        <w:spacing w:line="360" w:lineRule="auto"/>
        <w:ind w:firstLine="420" w:firstLineChars="200"/>
        <w:jc w:val="left"/>
        <w:rPr>
          <w:rFonts w:ascii="宋体" w:hAnsi="宋体" w:cs="宋体"/>
          <w:color w:val="auto"/>
          <w:szCs w:val="21"/>
          <w:highlight w:val="none"/>
        </w:rPr>
      </w:pPr>
      <w:r>
        <w:rPr>
          <w:rFonts w:hint="eastAsia" w:ascii="宋体" w:hAnsi="宋体" w:cs="宋体"/>
          <w:color w:val="auto"/>
          <w:highlight w:val="none"/>
        </w:rPr>
        <w:t>1.为落实政府采购政策需满足的要求</w:t>
      </w:r>
    </w:p>
    <w:p w14:paraId="7838DA8B">
      <w:pPr>
        <w:shd w:val="clea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（1）本竞争性磋商文件所称中小企业必须符合《政府采购促进中小企业发展管理办法》（财库〔2020〕46号）的规定。</w:t>
      </w:r>
    </w:p>
    <w:p w14:paraId="41DD626A">
      <w:pPr>
        <w:shd w:val="clear"/>
        <w:tabs>
          <w:tab w:val="left" w:pos="180"/>
          <w:tab w:val="left" w:pos="1620"/>
        </w:tabs>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评审程序、评审方法和评审标准”。</w:t>
      </w:r>
    </w:p>
    <w:p w14:paraId="4CC2979F">
      <w:pPr>
        <w:shd w:val="clea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服务项目中包含货物的，根据《中华人民共和国网络安全法》《关于调整网络安全专用产品安全管理有关事项的公告》（2023年第1号）、《关于调整〈网络关键设备和网络安全专用产品目录〉的公告》（2023年第2号）、《国家认监委 工业和信息化部 公安部 国家互联网信息办公室关于发布承担网络关键设备和网络安全专用产品安全认证和安全检测任务机构名录（第一批）的公告》（2018年第12号）、《关于统一发布网络关键设备和网络安全专用产品安全认证和安全检测结果的公告》（2022年第1号）：自2023年7月1日起，列入《网络关键设备和网络安全专用产品目录》的“网络安全专用产品”，应当按照《信息安全技术网络安全专用产品安全技术要求》等相关国家标准的强制性要求，对网络安全专用产品进行安全认证或安全检测，供应商必须在响应文件中提供由具备资格的机构出具的安全认证合格证书或者安全检测合格证书（加盖供应商公章）；已获得《计算机信息系统安全专用产品销售许可证》的产品，在有效期内可继续销售或者提供。如属于《网络关键设备和网络安全专用产品目录》中“二、网络安全专用产品”内“产品类别”中的所描述的产品，但不属于所列“产品描述”情形的，应提供相应的说明及证明材料。</w:t>
      </w:r>
    </w:p>
    <w:p w14:paraId="6D8EE7D8">
      <w:pPr>
        <w:shd w:val="clear"/>
        <w:spacing w:line="360" w:lineRule="auto"/>
        <w:ind w:firstLine="413" w:firstLineChars="196"/>
        <w:rPr>
          <w:rFonts w:ascii="宋体" w:hAnsi="宋体" w:cs="宋体"/>
          <w:b/>
          <w:bCs/>
          <w:color w:val="auto"/>
          <w:szCs w:val="21"/>
          <w:highlight w:val="none"/>
        </w:rPr>
      </w:pPr>
      <w:r>
        <w:rPr>
          <w:rFonts w:hint="eastAsia" w:ascii="宋体" w:hAnsi="宋体" w:cs="宋体"/>
          <w:b/>
          <w:bCs/>
          <w:color w:val="auto"/>
          <w:szCs w:val="21"/>
          <w:highlight w:val="none"/>
        </w:rPr>
        <w:t>2.“实质性要求”是指采购需求中带“</w:t>
      </w:r>
      <w:r>
        <w:rPr>
          <w:rFonts w:hint="eastAsia" w:ascii="宋体" w:hAnsi="宋体" w:cs="宋体"/>
          <w:color w:val="auto"/>
          <w:szCs w:val="21"/>
          <w:highlight w:val="none"/>
        </w:rPr>
        <w:t>▲</w:t>
      </w:r>
      <w:r>
        <w:rPr>
          <w:rFonts w:hint="eastAsia" w:ascii="宋体" w:hAnsi="宋体" w:cs="宋体"/>
          <w:b/>
          <w:bCs/>
          <w:color w:val="auto"/>
          <w:szCs w:val="21"/>
          <w:highlight w:val="none"/>
        </w:rPr>
        <w:t>”的条款或者不能负偏离的条款或者已经指明不满足按响应文件作无效处理的条款。</w:t>
      </w:r>
    </w:p>
    <w:p w14:paraId="410BF825">
      <w:pPr>
        <w:shd w:val="clear"/>
        <w:spacing w:line="360"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3.采购需求中出现的品牌、型号或者生产供应商仅起参考作用，不属于指定品牌、型号或者生产供应商的情形。供应商可参照或者选用其他相当的品牌、型号或者生产供应商替代。</w:t>
      </w:r>
    </w:p>
    <w:p w14:paraId="2AF5BFEA">
      <w:pPr>
        <w:shd w:val="clea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4.如供应商竞标产品存在侵犯他人的知识产权或者专利成果行为的，应承担相应法律责任。</w:t>
      </w:r>
    </w:p>
    <w:p w14:paraId="4217903B">
      <w:pPr>
        <w:shd w:val="clea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5.所属行业依照《中小企业划型标准规定》（工信部联企业〔2011〕300号）</w:t>
      </w:r>
      <w:r>
        <w:rPr>
          <w:rFonts w:hint="eastAsia" w:ascii="宋体" w:hAnsi="宋体" w:cs="宋体"/>
          <w:color w:val="auto"/>
          <w:szCs w:val="21"/>
          <w:highlight w:val="none"/>
          <w:lang w:eastAsia="zh-CN"/>
        </w:rPr>
        <w:t>（见本章附件</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有关规定执行。</w:t>
      </w:r>
      <w:r>
        <w:rPr>
          <w:rFonts w:hint="eastAsia" w:ascii="宋体" w:hAnsi="宋体" w:cs="宋体"/>
          <w:color w:val="auto"/>
          <w:szCs w:val="21"/>
          <w:highlight w:val="none"/>
          <w:u w:val="single"/>
        </w:rPr>
        <w:t>本项目所属行业为“</w:t>
      </w:r>
      <w:r>
        <w:rPr>
          <w:rFonts w:hint="eastAsia" w:ascii="宋体" w:hAnsi="宋体" w:cs="宋体"/>
          <w:color w:val="auto"/>
          <w:szCs w:val="21"/>
          <w:highlight w:val="none"/>
          <w:u w:val="single"/>
          <w:lang w:eastAsia="zh-CN"/>
        </w:rPr>
        <w:t>其他未列明行业</w:t>
      </w:r>
      <w:r>
        <w:rPr>
          <w:rFonts w:hint="eastAsia" w:ascii="宋体" w:hAnsi="宋体" w:cs="宋体"/>
          <w:color w:val="auto"/>
          <w:szCs w:val="21"/>
          <w:highlight w:val="none"/>
          <w:u w:val="single"/>
        </w:rPr>
        <w:t>”</w:t>
      </w:r>
      <w:r>
        <w:rPr>
          <w:rFonts w:hint="eastAsia" w:ascii="宋体" w:hAnsi="宋体" w:cs="宋体"/>
          <w:color w:val="auto"/>
          <w:szCs w:val="21"/>
          <w:highlight w:val="none"/>
        </w:rPr>
        <w:t>。</w:t>
      </w:r>
    </w:p>
    <w:p w14:paraId="5A414E08">
      <w:pPr>
        <w:shd w:val="clear"/>
        <w:rPr>
          <w:color w:val="auto"/>
          <w:highlight w:val="none"/>
        </w:rPr>
      </w:pPr>
    </w:p>
    <w:p w14:paraId="3BF4A990">
      <w:pPr>
        <w:pStyle w:val="50"/>
        <w:shd w:val="clear"/>
        <w:rPr>
          <w:color w:val="auto"/>
          <w:highlight w:val="none"/>
        </w:rPr>
      </w:pPr>
    </w:p>
    <w:p w14:paraId="38983AA9">
      <w:pPr>
        <w:shd w:val="clear"/>
        <w:rPr>
          <w:color w:val="auto"/>
          <w:highlight w:val="none"/>
        </w:rPr>
      </w:pPr>
    </w:p>
    <w:tbl>
      <w:tblPr>
        <w:tblStyle w:val="51"/>
        <w:tblW w:w="905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9"/>
        <w:gridCol w:w="1134"/>
        <w:gridCol w:w="486"/>
        <w:gridCol w:w="487"/>
        <w:gridCol w:w="6417"/>
      </w:tblGrid>
      <w:tr w14:paraId="6E44A8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053" w:type="dxa"/>
            <w:gridSpan w:val="5"/>
            <w:shd w:val="clear" w:color="auto" w:fill="auto"/>
            <w:vAlign w:val="center"/>
          </w:tcPr>
          <w:p w14:paraId="505CF1CE">
            <w:pPr>
              <w:shd w:val="clear"/>
              <w:tabs>
                <w:tab w:val="left" w:pos="2055"/>
              </w:tabs>
              <w:spacing w:line="360" w:lineRule="auto"/>
              <w:rPr>
                <w:rStyle w:val="57"/>
                <w:rFonts w:hint="eastAsia" w:ascii="宋体" w:hAnsi="宋体" w:eastAsia="宋体" w:cs="宋体"/>
                <w:color w:val="auto"/>
                <w:sz w:val="21"/>
                <w:szCs w:val="21"/>
                <w:highlight w:val="none"/>
                <w:u w:val="none"/>
              </w:rPr>
            </w:pPr>
            <w:r>
              <w:rPr>
                <w:rStyle w:val="57"/>
                <w:rFonts w:hint="eastAsia" w:ascii="宋体" w:hAnsi="宋体" w:eastAsia="宋体" w:cs="宋体"/>
                <w:b/>
                <w:bCs/>
                <w:color w:val="auto"/>
                <w:sz w:val="21"/>
                <w:szCs w:val="21"/>
                <w:highlight w:val="none"/>
                <w:u w:val="none"/>
              </w:rPr>
              <w:t>一、服务需求</w:t>
            </w:r>
          </w:p>
        </w:tc>
      </w:tr>
      <w:tr w14:paraId="757A84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9" w:type="dxa"/>
            <w:shd w:val="clear" w:color="auto" w:fill="auto"/>
            <w:vAlign w:val="center"/>
          </w:tcPr>
          <w:p w14:paraId="05EC3023">
            <w:pPr>
              <w:shd w:val="clear"/>
              <w:tabs>
                <w:tab w:val="left" w:pos="2055"/>
              </w:tabs>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34" w:type="dxa"/>
            <w:shd w:val="clear" w:color="auto" w:fill="auto"/>
            <w:vAlign w:val="center"/>
          </w:tcPr>
          <w:p w14:paraId="489B9CCE">
            <w:pPr>
              <w:shd w:val="clear"/>
              <w:tabs>
                <w:tab w:val="left" w:pos="2055"/>
              </w:tabs>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标的名称</w:t>
            </w:r>
          </w:p>
        </w:tc>
        <w:tc>
          <w:tcPr>
            <w:tcW w:w="486" w:type="dxa"/>
            <w:shd w:val="clear" w:color="auto" w:fill="auto"/>
            <w:vAlign w:val="center"/>
          </w:tcPr>
          <w:p w14:paraId="03208003">
            <w:pPr>
              <w:shd w:val="clea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tc>
        <w:tc>
          <w:tcPr>
            <w:tcW w:w="487" w:type="dxa"/>
            <w:shd w:val="clear" w:color="auto" w:fill="auto"/>
            <w:vAlign w:val="center"/>
          </w:tcPr>
          <w:p w14:paraId="37609C29">
            <w:pPr>
              <w:shd w:val="clea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单位</w:t>
            </w:r>
          </w:p>
        </w:tc>
        <w:tc>
          <w:tcPr>
            <w:tcW w:w="6417" w:type="dxa"/>
            <w:shd w:val="clear" w:color="auto" w:fill="auto"/>
            <w:vAlign w:val="center"/>
          </w:tcPr>
          <w:p w14:paraId="4188A9E6">
            <w:pPr>
              <w:shd w:val="clear"/>
              <w:tabs>
                <w:tab w:val="left" w:pos="2055"/>
              </w:tabs>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服务需求</w:t>
            </w:r>
          </w:p>
        </w:tc>
      </w:tr>
      <w:tr w14:paraId="0EA79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9" w:type="dxa"/>
            <w:shd w:val="clear" w:color="auto" w:fill="auto"/>
            <w:vAlign w:val="center"/>
          </w:tcPr>
          <w:p w14:paraId="7CE6420E">
            <w:pPr>
              <w:shd w:val="clear"/>
              <w:spacing w:line="360" w:lineRule="auto"/>
              <w:jc w:val="center"/>
              <w:rPr>
                <w:rStyle w:val="57"/>
                <w:rFonts w:hint="eastAsia" w:ascii="宋体" w:hAnsi="宋体" w:eastAsia="宋体" w:cs="宋体"/>
                <w:color w:val="auto"/>
                <w:sz w:val="21"/>
                <w:szCs w:val="21"/>
                <w:highlight w:val="none"/>
              </w:rPr>
            </w:pPr>
            <w:r>
              <w:rPr>
                <w:rStyle w:val="57"/>
                <w:rFonts w:hint="eastAsia" w:ascii="宋体" w:hAnsi="宋体" w:eastAsia="宋体" w:cs="宋体"/>
                <w:color w:val="auto"/>
                <w:sz w:val="21"/>
                <w:szCs w:val="21"/>
                <w:highlight w:val="none"/>
                <w:u w:val="none"/>
              </w:rPr>
              <w:t>1</w:t>
            </w:r>
          </w:p>
        </w:tc>
        <w:tc>
          <w:tcPr>
            <w:tcW w:w="1134" w:type="dxa"/>
            <w:shd w:val="clear" w:color="auto" w:fill="auto"/>
            <w:vAlign w:val="center"/>
          </w:tcPr>
          <w:p w14:paraId="660AB37E">
            <w:pPr>
              <w:shd w:val="clear"/>
              <w:spacing w:line="360" w:lineRule="auto"/>
              <w:jc w:val="center"/>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《&lt;工业行业主要产品用水定额&gt;&lt;城镇生活用水定额&gt;评估及修订》（2026—2027）</w:t>
            </w:r>
          </w:p>
        </w:tc>
        <w:tc>
          <w:tcPr>
            <w:tcW w:w="486" w:type="dxa"/>
            <w:shd w:val="clear" w:color="auto" w:fill="auto"/>
            <w:vAlign w:val="center"/>
          </w:tcPr>
          <w:p w14:paraId="14EF8472">
            <w:pPr>
              <w:shd w:val="clea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487" w:type="dxa"/>
            <w:shd w:val="clear" w:color="auto" w:fill="auto"/>
            <w:vAlign w:val="center"/>
          </w:tcPr>
          <w:p w14:paraId="5621ECE0">
            <w:pPr>
              <w:shd w:val="clea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w:t>
            </w:r>
          </w:p>
        </w:tc>
        <w:tc>
          <w:tcPr>
            <w:tcW w:w="6417" w:type="dxa"/>
            <w:shd w:val="clear" w:color="auto" w:fill="auto"/>
          </w:tcPr>
          <w:p w14:paraId="40FDF2BF">
            <w:pPr>
              <w:pStyle w:val="93"/>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一、</w:t>
            </w:r>
            <w:r>
              <w:rPr>
                <w:rFonts w:hint="eastAsia" w:ascii="宋体" w:hAnsi="宋体" w:eastAsia="宋体" w:cs="宋体"/>
                <w:b/>
                <w:bCs/>
                <w:color w:val="auto"/>
                <w:sz w:val="21"/>
                <w:szCs w:val="21"/>
                <w:highlight w:val="none"/>
                <w:lang w:val="en-US" w:eastAsia="zh-CN"/>
              </w:rPr>
              <w:t>工作背景</w:t>
            </w:r>
          </w:p>
          <w:p w14:paraId="0D1E96E0">
            <w:pPr>
              <w:pStyle w:val="93"/>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val="en-US" w:eastAsia="zh-CN"/>
              </w:rPr>
              <w:t>23</w:t>
            </w:r>
            <w:r>
              <w:rPr>
                <w:rFonts w:hint="eastAsia" w:ascii="宋体" w:hAnsi="宋体" w:eastAsia="宋体" w:cs="宋体"/>
                <w:color w:val="auto"/>
                <w:sz w:val="21"/>
                <w:szCs w:val="21"/>
                <w:highlight w:val="none"/>
              </w:rPr>
              <w:t>年，自治区水利厅联合</w:t>
            </w:r>
            <w:r>
              <w:rPr>
                <w:rFonts w:hint="eastAsia" w:ascii="宋体" w:hAnsi="宋体" w:eastAsia="宋体" w:cs="宋体"/>
                <w:color w:val="auto"/>
                <w:sz w:val="21"/>
                <w:szCs w:val="21"/>
                <w:highlight w:val="none"/>
                <w:lang w:val="en-US" w:eastAsia="zh-CN"/>
              </w:rPr>
              <w:t>工信厅</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住建厅</w:t>
            </w:r>
            <w:r>
              <w:rPr>
                <w:rFonts w:hint="eastAsia" w:ascii="宋体" w:hAnsi="宋体" w:eastAsia="宋体" w:cs="宋体"/>
                <w:color w:val="auto"/>
                <w:sz w:val="21"/>
                <w:szCs w:val="21"/>
                <w:highlight w:val="none"/>
              </w:rPr>
              <w:t>等行业部门制定并出台了广西地方标准《工业行业主要产品用水定额》</w:t>
            </w:r>
            <w:r>
              <w:rPr>
                <w:rFonts w:hint="eastAsia" w:ascii="宋体" w:hAnsi="宋体" w:eastAsia="宋体" w:cs="宋体"/>
                <w:color w:val="auto"/>
                <w:sz w:val="21"/>
                <w:szCs w:val="21"/>
                <w:highlight w:val="none"/>
                <w:lang w:eastAsia="zh-CN"/>
              </w:rPr>
              <w:t>（DB45/T 678—2023）</w:t>
            </w:r>
            <w:r>
              <w:rPr>
                <w:rFonts w:hint="eastAsia" w:ascii="宋体" w:hAnsi="宋体" w:eastAsia="宋体" w:cs="宋体"/>
                <w:color w:val="auto"/>
                <w:sz w:val="21"/>
                <w:szCs w:val="21"/>
                <w:highlight w:val="none"/>
              </w:rPr>
              <w:t>和《城镇生活用水定额》</w:t>
            </w:r>
            <w:r>
              <w:rPr>
                <w:rFonts w:hint="eastAsia" w:ascii="宋体" w:hAnsi="宋体" w:eastAsia="宋体" w:cs="宋体"/>
                <w:color w:val="auto"/>
                <w:sz w:val="21"/>
                <w:szCs w:val="21"/>
                <w:highlight w:val="none"/>
                <w:lang w:eastAsia="zh-CN"/>
              </w:rPr>
              <w:t>（DB45/T 67</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—2023）（</w:t>
            </w:r>
            <w:r>
              <w:rPr>
                <w:rFonts w:hint="eastAsia" w:ascii="宋体" w:hAnsi="宋体" w:eastAsia="宋体" w:cs="宋体"/>
                <w:color w:val="auto"/>
                <w:sz w:val="21"/>
                <w:szCs w:val="21"/>
                <w:highlight w:val="none"/>
                <w:lang w:val="en-US" w:eastAsia="zh-CN"/>
              </w:rPr>
              <w:t>第二次修订</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，提出37个工业行业380种产品、14个城镇公共用水行业62种用水类型和3种住宅类型、6种城镇规模的城镇居民生活用水定额指标。随着</w:t>
            </w:r>
            <w:r>
              <w:rPr>
                <w:rFonts w:hint="eastAsia" w:ascii="宋体" w:hAnsi="宋体" w:eastAsia="宋体" w:cs="宋体"/>
                <w:color w:val="auto"/>
                <w:sz w:val="21"/>
                <w:szCs w:val="21"/>
                <w:highlight w:val="none"/>
                <w:lang w:val="en-US" w:eastAsia="zh-CN"/>
              </w:rPr>
              <w:t>近几年</w:t>
            </w:r>
            <w:r>
              <w:rPr>
                <w:rFonts w:hint="eastAsia" w:ascii="宋体" w:hAnsi="宋体" w:eastAsia="宋体" w:cs="宋体"/>
                <w:color w:val="auto"/>
                <w:sz w:val="21"/>
                <w:szCs w:val="21"/>
                <w:highlight w:val="none"/>
              </w:rPr>
              <w:t>产业结构变化、产品技术</w:t>
            </w:r>
            <w:r>
              <w:rPr>
                <w:rFonts w:hint="eastAsia" w:ascii="宋体" w:hAnsi="宋体" w:eastAsia="宋体" w:cs="宋体"/>
                <w:color w:val="auto"/>
                <w:sz w:val="21"/>
                <w:szCs w:val="21"/>
                <w:highlight w:val="none"/>
                <w:lang w:val="en-US" w:eastAsia="zh-CN"/>
              </w:rPr>
              <w:t>产品升级改造</w:t>
            </w:r>
            <w:r>
              <w:rPr>
                <w:rFonts w:hint="eastAsia" w:ascii="宋体" w:hAnsi="宋体" w:eastAsia="宋体" w:cs="宋体"/>
                <w:color w:val="auto"/>
                <w:sz w:val="21"/>
                <w:szCs w:val="21"/>
                <w:highlight w:val="none"/>
              </w:rPr>
              <w:t>、生产生活水平提高，部分定额指标</w:t>
            </w:r>
            <w:r>
              <w:rPr>
                <w:rFonts w:hint="eastAsia" w:ascii="宋体" w:hAnsi="宋体" w:eastAsia="宋体" w:cs="宋体"/>
                <w:color w:val="auto"/>
                <w:sz w:val="21"/>
                <w:szCs w:val="21"/>
                <w:highlight w:val="none"/>
                <w:lang w:val="en-US" w:eastAsia="zh-CN"/>
              </w:rPr>
              <w:t>执行过程中</w:t>
            </w:r>
            <w:r>
              <w:rPr>
                <w:rFonts w:hint="eastAsia" w:ascii="宋体" w:hAnsi="宋体" w:eastAsia="宋体" w:cs="宋体"/>
                <w:color w:val="auto"/>
                <w:sz w:val="21"/>
                <w:szCs w:val="21"/>
                <w:highlight w:val="none"/>
              </w:rPr>
              <w:t>与实际用水</w:t>
            </w:r>
            <w:r>
              <w:rPr>
                <w:rFonts w:hint="eastAsia" w:ascii="宋体" w:hAnsi="宋体" w:eastAsia="宋体" w:cs="宋体"/>
                <w:color w:val="auto"/>
                <w:sz w:val="21"/>
                <w:szCs w:val="21"/>
                <w:highlight w:val="none"/>
                <w:lang w:val="en-US" w:eastAsia="zh-CN"/>
              </w:rPr>
              <w:t>出现了</w:t>
            </w:r>
            <w:r>
              <w:rPr>
                <w:rFonts w:hint="eastAsia" w:ascii="宋体" w:hAnsi="宋体" w:eastAsia="宋体" w:cs="宋体"/>
                <w:color w:val="auto"/>
                <w:sz w:val="21"/>
                <w:szCs w:val="21"/>
                <w:highlight w:val="none"/>
              </w:rPr>
              <w:t>偏差</w:t>
            </w:r>
            <w:r>
              <w:rPr>
                <w:rFonts w:hint="eastAsia" w:ascii="宋体" w:hAnsi="宋体" w:eastAsia="宋体" w:cs="宋体"/>
                <w:color w:val="auto"/>
                <w:sz w:val="21"/>
                <w:szCs w:val="21"/>
                <w:highlight w:val="none"/>
                <w:lang w:eastAsia="zh-CN"/>
              </w:rPr>
              <w:t>，为</w:t>
            </w:r>
            <w:r>
              <w:rPr>
                <w:rFonts w:hint="eastAsia" w:ascii="宋体" w:hAnsi="宋体" w:eastAsia="宋体" w:cs="宋体"/>
                <w:color w:val="auto"/>
                <w:sz w:val="21"/>
                <w:szCs w:val="21"/>
                <w:highlight w:val="none"/>
              </w:rPr>
              <w:t>深入实施国家节水行动</w:t>
            </w:r>
            <w:r>
              <w:rPr>
                <w:rFonts w:hint="eastAsia" w:ascii="宋体" w:hAnsi="宋体" w:eastAsia="宋体" w:cs="宋体"/>
                <w:color w:val="auto"/>
                <w:sz w:val="21"/>
                <w:szCs w:val="21"/>
                <w:highlight w:val="none"/>
                <w:lang w:eastAsia="zh-CN"/>
              </w:rPr>
              <w:t>，贯彻执行节水工作的新要求，需对</w:t>
            </w:r>
            <w:r>
              <w:rPr>
                <w:rFonts w:hint="eastAsia" w:ascii="宋体" w:hAnsi="宋体" w:eastAsia="宋体" w:cs="宋体"/>
                <w:color w:val="auto"/>
                <w:sz w:val="21"/>
                <w:szCs w:val="21"/>
                <w:highlight w:val="none"/>
                <w:lang w:val="en-US" w:eastAsia="zh-CN"/>
              </w:rPr>
              <w:t>现行</w:t>
            </w:r>
            <w:r>
              <w:rPr>
                <w:rFonts w:hint="eastAsia" w:ascii="宋体" w:hAnsi="宋体" w:cs="宋体"/>
                <w:color w:val="auto"/>
                <w:sz w:val="21"/>
                <w:szCs w:val="21"/>
                <w:highlight w:val="none"/>
                <w:lang w:val="en-US" w:eastAsia="zh-CN"/>
              </w:rPr>
              <w:t>广西地方标准</w:t>
            </w:r>
            <w:r>
              <w:rPr>
                <w:rFonts w:hint="eastAsia" w:ascii="宋体" w:hAnsi="宋体" w:eastAsia="宋体" w:cs="宋体"/>
                <w:color w:val="auto"/>
                <w:sz w:val="21"/>
                <w:szCs w:val="21"/>
                <w:highlight w:val="none"/>
              </w:rPr>
              <w:t>《工业行业主要产品用水定额》《城镇生活用水定额》</w:t>
            </w:r>
            <w:r>
              <w:rPr>
                <w:rFonts w:hint="eastAsia" w:ascii="宋体" w:hAnsi="宋体" w:eastAsia="宋体" w:cs="宋体"/>
                <w:color w:val="auto"/>
                <w:sz w:val="21"/>
                <w:szCs w:val="21"/>
                <w:highlight w:val="none"/>
                <w:lang w:eastAsia="zh-CN"/>
              </w:rPr>
              <w:t>（以下简称</w:t>
            </w:r>
            <w:r>
              <w:rPr>
                <w:rFonts w:hint="eastAsia" w:ascii="宋体" w:hAnsi="宋体" w:eastAsia="宋体" w:cs="宋体"/>
                <w:color w:val="auto"/>
                <w:sz w:val="21"/>
                <w:szCs w:val="21"/>
                <w:highlight w:val="none"/>
                <w:lang w:val="en-US" w:eastAsia="zh-CN"/>
              </w:rPr>
              <w:t>2项定额</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lang w:val="en-US" w:eastAsia="zh-CN"/>
              </w:rPr>
              <w:t>用水定额标准</w:t>
            </w:r>
            <w:r>
              <w:rPr>
                <w:rFonts w:hint="eastAsia" w:ascii="宋体" w:hAnsi="宋体" w:cs="宋体"/>
                <w:color w:val="auto"/>
                <w:sz w:val="21"/>
                <w:szCs w:val="21"/>
                <w:highlight w:val="none"/>
                <w:lang w:eastAsia="zh-CN"/>
              </w:rPr>
              <w:t>开展修订</w:t>
            </w:r>
            <w:r>
              <w:rPr>
                <w:rFonts w:hint="eastAsia" w:ascii="宋体" w:hAnsi="宋体" w:eastAsia="宋体" w:cs="宋体"/>
                <w:color w:val="auto"/>
                <w:sz w:val="21"/>
                <w:szCs w:val="21"/>
                <w:highlight w:val="none"/>
                <w:lang w:eastAsia="zh-CN"/>
              </w:rPr>
              <w:t>，以提高用水定额的覆盖性、合理性、实用性、先进性。</w:t>
            </w:r>
          </w:p>
          <w:p w14:paraId="358A97AD">
            <w:pPr>
              <w:pStyle w:val="93"/>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根据《水利部关于严格用水定额管理的通知》</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水资源〔2013〕268号</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各流域机构和省级水行政主管部门要全面跟踪用水定额执行情况。用水定额原则上每5年至少修订1次”和《水利部关于加强重点行业用水定额管理的通知》（水节约〔2024〕286号）“各级水行政主管部门要注重检视已发布用水定额的科学性、合理性，结合行业实际和节水科技发展开展用水定额评估，及时开展用水定额修订工作，进一步完善用水定额标准体系，更好发挥用水定额的关键标尺作用，促进从严从细管好水资源、精打细算用好水资源。”等要求，考虑到《定额》修订工作程序复杂、环节较多、时间较长，需对</w:t>
            </w:r>
            <w:r>
              <w:rPr>
                <w:rFonts w:hint="eastAsia" w:ascii="宋体" w:hAnsi="宋体" w:cs="宋体"/>
                <w:color w:val="auto"/>
                <w:kern w:val="2"/>
                <w:sz w:val="21"/>
                <w:szCs w:val="21"/>
                <w:highlight w:val="none"/>
                <w:lang w:val="en-US" w:eastAsia="zh-CN" w:bidi="ar-SA"/>
              </w:rPr>
              <w:t>现行</w:t>
            </w:r>
            <w:r>
              <w:rPr>
                <w:rFonts w:hint="eastAsia" w:ascii="宋体" w:hAnsi="宋体" w:eastAsia="宋体" w:cs="宋体"/>
                <w:color w:val="auto"/>
                <w:kern w:val="2"/>
                <w:sz w:val="21"/>
                <w:szCs w:val="21"/>
                <w:highlight w:val="none"/>
                <w:lang w:val="en-US" w:eastAsia="zh-CN" w:bidi="ar-SA"/>
              </w:rPr>
              <w:t>的2项定额启动并开展修订工作。</w:t>
            </w:r>
          </w:p>
          <w:p w14:paraId="2AFCC1B3">
            <w:pPr>
              <w:pStyle w:val="93"/>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二、工作任务</w:t>
            </w:r>
          </w:p>
          <w:p w14:paraId="138BCC54">
            <w:pPr>
              <w:pStyle w:val="93"/>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通过开展资料收集、现场调研等方式，根据2项定额的实施和管理现状对用水定额的覆盖性、合理性、实用性和先进性，以及制订和执行中过程中存在的问题进行分析评估，并提出修订建议。根据评估结果，明确用水定额修订的内容，组织开展用水调查、收集用水户用水资料，开展用水定额指标补充完善和修订，完成</w:t>
            </w:r>
            <w:r>
              <w:rPr>
                <w:rFonts w:hint="eastAsia" w:ascii="宋体" w:hAnsi="宋体" w:cs="宋体"/>
                <w:color w:val="auto"/>
                <w:sz w:val="21"/>
                <w:szCs w:val="21"/>
                <w:highlight w:val="none"/>
                <w:lang w:val="en-US" w:eastAsia="zh-CN"/>
              </w:rPr>
              <w:t>2项定额</w:t>
            </w:r>
            <w:r>
              <w:rPr>
                <w:rFonts w:hint="eastAsia" w:ascii="宋体" w:hAnsi="宋体" w:eastAsia="宋体" w:cs="宋体"/>
                <w:color w:val="auto"/>
                <w:sz w:val="21"/>
                <w:szCs w:val="21"/>
                <w:highlight w:val="none"/>
                <w:lang w:val="en-US" w:eastAsia="zh-CN"/>
              </w:rPr>
              <w:t>修订并协助采购人将修订成果提交自治区市场监管局或自治区有关部门报批。</w:t>
            </w:r>
          </w:p>
          <w:p w14:paraId="47E1ADB2">
            <w:pPr>
              <w:pStyle w:val="93"/>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三、工作时间和范围</w:t>
            </w:r>
          </w:p>
          <w:p w14:paraId="1BCF1460">
            <w:pPr>
              <w:pStyle w:val="93"/>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实施年限：2026—2027年</w:t>
            </w:r>
            <w:r>
              <w:rPr>
                <w:rFonts w:hint="eastAsia" w:ascii="宋体" w:hAnsi="宋体" w:cs="宋体"/>
                <w:color w:val="auto"/>
                <w:sz w:val="21"/>
                <w:szCs w:val="21"/>
                <w:highlight w:val="none"/>
                <w:lang w:val="en-US" w:eastAsia="zh-CN"/>
              </w:rPr>
              <w:t>。</w:t>
            </w:r>
          </w:p>
          <w:p w14:paraId="7E7A2284">
            <w:pPr>
              <w:pStyle w:val="93"/>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工作范围与对象：广西14个市用水单位</w:t>
            </w:r>
            <w:r>
              <w:rPr>
                <w:rFonts w:hint="eastAsia" w:ascii="宋体" w:hAnsi="宋体" w:cs="宋体"/>
                <w:color w:val="auto"/>
                <w:sz w:val="21"/>
                <w:szCs w:val="21"/>
                <w:highlight w:val="none"/>
                <w:lang w:val="en-US" w:eastAsia="zh-CN"/>
              </w:rPr>
              <w:t>。</w:t>
            </w:r>
          </w:p>
          <w:p w14:paraId="328D6B83">
            <w:pPr>
              <w:pStyle w:val="93"/>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四、主要工作内容</w:t>
            </w:r>
          </w:p>
          <w:p w14:paraId="2A4F50CA">
            <w:pPr>
              <w:pStyle w:val="93"/>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按照采购人要求，完成从立项申报到定额</w:t>
            </w:r>
            <w:r>
              <w:rPr>
                <w:rFonts w:hint="eastAsia" w:ascii="宋体" w:hAnsi="宋体" w:cs="宋体"/>
                <w:color w:val="auto"/>
                <w:sz w:val="21"/>
                <w:szCs w:val="21"/>
                <w:highlight w:val="none"/>
                <w:lang w:val="en-US" w:eastAsia="zh-CN"/>
              </w:rPr>
              <w:t>修订成果</w:t>
            </w:r>
            <w:r>
              <w:rPr>
                <w:rFonts w:hint="eastAsia" w:ascii="宋体" w:hAnsi="宋体" w:eastAsia="宋体" w:cs="宋体"/>
                <w:color w:val="auto"/>
                <w:sz w:val="21"/>
                <w:szCs w:val="21"/>
                <w:highlight w:val="none"/>
                <w:lang w:val="en-US" w:eastAsia="zh-CN"/>
              </w:rPr>
              <w:t>正式提交自治区市场监管局或自治区有关部门报批等全流程、全环节工作，主要包括但不仅限于以下工作内容：</w:t>
            </w:r>
          </w:p>
          <w:p w14:paraId="64516A91">
            <w:pPr>
              <w:pStyle w:val="93"/>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用水定额</w:t>
            </w:r>
            <w:r>
              <w:rPr>
                <w:rFonts w:hint="eastAsia" w:ascii="宋体" w:hAnsi="宋体" w:cs="宋体"/>
                <w:color w:val="auto"/>
                <w:sz w:val="21"/>
                <w:szCs w:val="21"/>
                <w:highlight w:val="none"/>
                <w:lang w:val="en-US" w:eastAsia="zh-CN"/>
              </w:rPr>
              <w:t>立项</w:t>
            </w:r>
            <w:r>
              <w:rPr>
                <w:rFonts w:hint="eastAsia" w:ascii="宋体" w:hAnsi="宋体" w:eastAsia="宋体" w:cs="宋体"/>
                <w:color w:val="auto"/>
                <w:sz w:val="21"/>
                <w:szCs w:val="21"/>
                <w:highlight w:val="none"/>
                <w:lang w:val="en-US" w:eastAsia="zh-CN"/>
              </w:rPr>
              <w:t>申报</w:t>
            </w:r>
          </w:p>
          <w:p w14:paraId="71BE4734">
            <w:pPr>
              <w:pStyle w:val="93"/>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编制2项</w:t>
            </w:r>
            <w:r>
              <w:rPr>
                <w:rFonts w:hint="eastAsia" w:ascii="宋体" w:hAnsi="宋体" w:cs="宋体"/>
                <w:color w:val="auto"/>
                <w:sz w:val="21"/>
                <w:szCs w:val="21"/>
                <w:highlight w:val="none"/>
                <w:lang w:val="en-US" w:eastAsia="zh-CN"/>
              </w:rPr>
              <w:t>定额立项申报</w:t>
            </w:r>
            <w:r>
              <w:rPr>
                <w:rFonts w:hint="eastAsia" w:ascii="宋体" w:hAnsi="宋体" w:eastAsia="宋体" w:cs="宋体"/>
                <w:color w:val="auto"/>
                <w:sz w:val="21"/>
                <w:szCs w:val="21"/>
                <w:highlight w:val="none"/>
                <w:lang w:val="en-US" w:eastAsia="zh-CN"/>
              </w:rPr>
              <w:t>草案，形成立项申报书、查新报告、相关行业主管部门意见等立项申请材料。</w:t>
            </w:r>
          </w:p>
          <w:p w14:paraId="5E2B6D8E">
            <w:pPr>
              <w:pStyle w:val="93"/>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用水定额实施现状评估</w:t>
            </w:r>
          </w:p>
          <w:p w14:paraId="18C17C8E">
            <w:pPr>
              <w:pStyle w:val="93"/>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收集现有的定额标准、政策法规、用水单位用水相关资料等，开展修订征求意见、现场调研、用水调查、用水调查资料汇总及审核，评估分析现行用水定额标准（37个工业行业380种产品、14个城镇公共用水行业62种用水类型和3种住宅类型、6种城镇规模的城镇居民生活）的覆盖性、合理性、实用性和先进性。</w:t>
            </w:r>
          </w:p>
          <w:p w14:paraId="2B31D175">
            <w:pPr>
              <w:pStyle w:val="93"/>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用水定额修订</w:t>
            </w:r>
          </w:p>
          <w:p w14:paraId="4E5D6614">
            <w:pPr>
              <w:pStyle w:val="93"/>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根据现行2项定额分析评估情况，开展用水定额指标修订或制定。</w:t>
            </w:r>
          </w:p>
          <w:p w14:paraId="0A424698">
            <w:pPr>
              <w:pStyle w:val="93"/>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用水定额</w:t>
            </w:r>
            <w:r>
              <w:rPr>
                <w:rFonts w:hint="eastAsia" w:ascii="宋体" w:hAnsi="宋体" w:cs="宋体"/>
                <w:color w:val="auto"/>
                <w:sz w:val="21"/>
                <w:szCs w:val="21"/>
                <w:highlight w:val="none"/>
                <w:lang w:val="en-US" w:eastAsia="zh-CN"/>
              </w:rPr>
              <w:t>修订材料</w:t>
            </w:r>
            <w:r>
              <w:rPr>
                <w:rFonts w:hint="eastAsia" w:ascii="宋体" w:hAnsi="宋体" w:eastAsia="宋体" w:cs="宋体"/>
                <w:color w:val="auto"/>
                <w:sz w:val="21"/>
                <w:szCs w:val="21"/>
                <w:highlight w:val="none"/>
                <w:lang w:val="en-US" w:eastAsia="zh-CN"/>
              </w:rPr>
              <w:t>编制、征求意见、送审、报批</w:t>
            </w:r>
          </w:p>
          <w:p w14:paraId="2974621F">
            <w:pPr>
              <w:pStyle w:val="93"/>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编制</w:t>
            </w:r>
            <w:r>
              <w:rPr>
                <w:rFonts w:hint="eastAsia" w:ascii="宋体" w:hAnsi="宋体" w:cs="宋体"/>
                <w:color w:val="auto"/>
                <w:sz w:val="21"/>
                <w:szCs w:val="21"/>
                <w:highlight w:val="none"/>
                <w:lang w:val="en-US" w:eastAsia="zh-CN"/>
              </w:rPr>
              <w:t>2项定额</w:t>
            </w:r>
            <w:r>
              <w:rPr>
                <w:rFonts w:hint="eastAsia" w:ascii="宋体" w:hAnsi="宋体" w:eastAsia="宋体" w:cs="宋体"/>
                <w:color w:val="auto"/>
                <w:sz w:val="21"/>
                <w:szCs w:val="21"/>
                <w:highlight w:val="none"/>
                <w:lang w:val="en-US" w:eastAsia="zh-CN"/>
              </w:rPr>
              <w:t>修订材料，并开展征求意见、预审、技术审查、报批等工作。</w:t>
            </w:r>
          </w:p>
          <w:p w14:paraId="54EBFC78">
            <w:pPr>
              <w:pStyle w:val="93"/>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五、主要成果</w:t>
            </w:r>
          </w:p>
          <w:p w14:paraId="5AA58BB9">
            <w:pPr>
              <w:pStyle w:val="93"/>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形成</w:t>
            </w:r>
            <w:r>
              <w:rPr>
                <w:rFonts w:hint="eastAsia" w:ascii="宋体" w:hAnsi="宋体" w:cs="宋体"/>
                <w:color w:val="auto"/>
                <w:sz w:val="21"/>
                <w:szCs w:val="21"/>
                <w:highlight w:val="none"/>
                <w:lang w:val="en-US" w:eastAsia="zh-CN"/>
              </w:rPr>
              <w:t>2项定额</w:t>
            </w:r>
            <w:r>
              <w:rPr>
                <w:rFonts w:hint="eastAsia" w:ascii="宋体" w:hAnsi="宋体" w:eastAsia="宋体" w:cs="宋体"/>
                <w:color w:val="auto"/>
                <w:sz w:val="21"/>
                <w:szCs w:val="21"/>
                <w:highlight w:val="none"/>
                <w:lang w:val="en-US" w:eastAsia="zh-CN"/>
              </w:rPr>
              <w:t>评估报告</w:t>
            </w:r>
            <w:r>
              <w:rPr>
                <w:rFonts w:hint="eastAsia" w:ascii="宋体" w:hAnsi="宋体" w:cs="宋体"/>
                <w:color w:val="auto"/>
                <w:sz w:val="21"/>
                <w:szCs w:val="21"/>
                <w:highlight w:val="none"/>
                <w:lang w:val="en-US" w:eastAsia="zh-CN"/>
              </w:rPr>
              <w:t>和</w:t>
            </w:r>
            <w:r>
              <w:rPr>
                <w:rFonts w:hint="eastAsia" w:ascii="宋体" w:hAnsi="宋体" w:eastAsia="宋体" w:cs="宋体"/>
                <w:color w:val="auto"/>
                <w:sz w:val="21"/>
                <w:szCs w:val="21"/>
                <w:highlight w:val="none"/>
                <w:lang w:val="en-US" w:eastAsia="zh-CN"/>
              </w:rPr>
              <w:t>修订成果</w:t>
            </w:r>
            <w:r>
              <w:rPr>
                <w:rFonts w:hint="eastAsia" w:ascii="宋体" w:hAnsi="宋体" w:cs="宋体"/>
                <w:color w:val="auto"/>
                <w:sz w:val="21"/>
                <w:szCs w:val="21"/>
                <w:highlight w:val="none"/>
                <w:lang w:val="en-US" w:eastAsia="zh-CN"/>
              </w:rPr>
              <w:t>报告</w:t>
            </w:r>
            <w:r>
              <w:rPr>
                <w:rFonts w:hint="eastAsia" w:ascii="宋体" w:hAnsi="宋体" w:eastAsia="宋体" w:cs="宋体"/>
                <w:color w:val="auto"/>
                <w:sz w:val="21"/>
                <w:szCs w:val="21"/>
                <w:highlight w:val="none"/>
                <w:lang w:val="en-US" w:eastAsia="zh-CN"/>
              </w:rPr>
              <w:t>。</w:t>
            </w:r>
          </w:p>
        </w:tc>
      </w:tr>
      <w:tr w14:paraId="62163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053" w:type="dxa"/>
            <w:gridSpan w:val="5"/>
            <w:shd w:val="clear" w:color="auto" w:fill="auto"/>
            <w:vAlign w:val="center"/>
          </w:tcPr>
          <w:p w14:paraId="498F2850">
            <w:pPr>
              <w:shd w:val="clear"/>
              <w:autoSpaceDE w:val="0"/>
              <w:autoSpaceDN w:val="0"/>
              <w:spacing w:line="360" w:lineRule="auto"/>
              <w:rPr>
                <w:rStyle w:val="57"/>
                <w:rFonts w:hint="eastAsia" w:ascii="宋体" w:hAnsi="宋体" w:eastAsia="宋体" w:cs="宋体"/>
                <w:color w:val="auto"/>
                <w:sz w:val="21"/>
                <w:szCs w:val="21"/>
                <w:highlight w:val="none"/>
                <w:u w:val="none"/>
              </w:rPr>
            </w:pPr>
            <w:r>
              <w:rPr>
                <w:rStyle w:val="57"/>
                <w:rFonts w:hint="eastAsia" w:ascii="宋体" w:hAnsi="宋体" w:eastAsia="宋体" w:cs="宋体"/>
                <w:b/>
                <w:bCs/>
                <w:color w:val="auto"/>
                <w:sz w:val="21"/>
                <w:szCs w:val="21"/>
                <w:highlight w:val="none"/>
                <w:u w:val="none"/>
              </w:rPr>
              <w:t>二、商务条款</w:t>
            </w:r>
          </w:p>
        </w:tc>
      </w:tr>
      <w:tr w14:paraId="0D1301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663" w:type="dxa"/>
            <w:gridSpan w:val="2"/>
            <w:shd w:val="clear" w:color="auto" w:fill="auto"/>
            <w:vAlign w:val="center"/>
          </w:tcPr>
          <w:p w14:paraId="5A7322BD">
            <w:pPr>
              <w:shd w:val="clear"/>
              <w:tabs>
                <w:tab w:val="left" w:pos="180"/>
                <w:tab w:val="left" w:pos="1620"/>
              </w:tabs>
              <w:spacing w:line="360" w:lineRule="auto"/>
              <w:jc w:val="center"/>
              <w:rPr>
                <w:rStyle w:val="57"/>
                <w:rFonts w:hint="eastAsia" w:ascii="宋体" w:hAnsi="宋体" w:eastAsia="宋体" w:cs="宋体"/>
                <w:color w:val="auto"/>
                <w:sz w:val="21"/>
                <w:szCs w:val="21"/>
                <w:highlight w:val="none"/>
                <w:u w:val="none"/>
                <w:lang w:eastAsia="zh-CN"/>
              </w:rPr>
            </w:pPr>
            <w:r>
              <w:rPr>
                <w:rStyle w:val="57"/>
                <w:rFonts w:hint="eastAsia" w:ascii="宋体" w:hAnsi="宋体" w:eastAsia="宋体" w:cs="宋体"/>
                <w:color w:val="auto"/>
                <w:sz w:val="21"/>
                <w:szCs w:val="21"/>
                <w:highlight w:val="none"/>
                <w:u w:val="none"/>
              </w:rPr>
              <w:t>合同签订</w:t>
            </w:r>
            <w:r>
              <w:rPr>
                <w:rStyle w:val="57"/>
                <w:rFonts w:hint="eastAsia" w:ascii="宋体" w:hAnsi="宋体" w:eastAsia="宋体" w:cs="宋体"/>
                <w:color w:val="auto"/>
                <w:sz w:val="21"/>
                <w:szCs w:val="21"/>
                <w:highlight w:val="none"/>
                <w:u w:val="none"/>
                <w:lang w:eastAsia="zh-CN"/>
              </w:rPr>
              <w:t>时间</w:t>
            </w:r>
          </w:p>
        </w:tc>
        <w:tc>
          <w:tcPr>
            <w:tcW w:w="7390" w:type="dxa"/>
            <w:gridSpan w:val="3"/>
            <w:shd w:val="clear" w:color="auto" w:fill="auto"/>
            <w:vAlign w:val="center"/>
          </w:tcPr>
          <w:p w14:paraId="13D4183D">
            <w:pPr>
              <w:pStyle w:val="19"/>
              <w:shd w:val="clear"/>
              <w:spacing w:line="360" w:lineRule="auto"/>
              <w:ind w:firstLine="420" w:firstLineChars="200"/>
              <w:rPr>
                <w:rStyle w:val="57"/>
                <w:rFonts w:hint="eastAsia" w:ascii="宋体" w:hAnsi="宋体" w:eastAsia="宋体" w:cs="宋体"/>
                <w:color w:val="auto"/>
                <w:sz w:val="21"/>
                <w:szCs w:val="21"/>
                <w:highlight w:val="none"/>
                <w:u w:val="none"/>
              </w:rPr>
            </w:pPr>
            <w:r>
              <w:rPr>
                <w:rStyle w:val="57"/>
                <w:rFonts w:hint="eastAsia" w:ascii="宋体" w:hAnsi="宋体" w:eastAsia="宋体" w:cs="宋体"/>
                <w:color w:val="auto"/>
                <w:sz w:val="21"/>
                <w:szCs w:val="21"/>
                <w:highlight w:val="none"/>
                <w:u w:val="none"/>
              </w:rPr>
              <w:t>自</w:t>
            </w:r>
            <w:r>
              <w:rPr>
                <w:rStyle w:val="57"/>
                <w:rFonts w:hint="eastAsia" w:ascii="宋体" w:hAnsi="宋体" w:eastAsia="宋体" w:cs="宋体"/>
                <w:color w:val="auto"/>
                <w:sz w:val="21"/>
                <w:szCs w:val="21"/>
                <w:highlight w:val="none"/>
                <w:u w:val="none"/>
                <w:lang w:eastAsia="zh-CN"/>
              </w:rPr>
              <w:t>成交</w:t>
            </w:r>
            <w:r>
              <w:rPr>
                <w:rStyle w:val="57"/>
                <w:rFonts w:hint="eastAsia" w:ascii="宋体" w:hAnsi="宋体" w:eastAsia="宋体" w:cs="宋体"/>
                <w:color w:val="auto"/>
                <w:sz w:val="21"/>
                <w:szCs w:val="21"/>
                <w:highlight w:val="none"/>
                <w:u w:val="none"/>
              </w:rPr>
              <w:t>通知书发出之日起</w:t>
            </w:r>
            <w:r>
              <w:rPr>
                <w:rStyle w:val="57"/>
                <w:rFonts w:hint="eastAsia" w:ascii="宋体" w:hAnsi="宋体" w:eastAsia="宋体" w:cs="宋体"/>
                <w:color w:val="auto"/>
                <w:sz w:val="21"/>
                <w:szCs w:val="21"/>
                <w:highlight w:val="none"/>
                <w:u w:val="none"/>
                <w:lang w:val="en-US" w:eastAsia="zh-CN"/>
              </w:rPr>
              <w:t>25</w:t>
            </w:r>
            <w:r>
              <w:rPr>
                <w:rStyle w:val="57"/>
                <w:rFonts w:hint="eastAsia" w:ascii="宋体" w:hAnsi="宋体" w:eastAsia="宋体" w:cs="宋体"/>
                <w:color w:val="auto"/>
                <w:sz w:val="21"/>
                <w:szCs w:val="21"/>
                <w:highlight w:val="none"/>
                <w:u w:val="none"/>
              </w:rPr>
              <w:t>日内。</w:t>
            </w:r>
          </w:p>
        </w:tc>
      </w:tr>
      <w:tr w14:paraId="31D056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663" w:type="dxa"/>
            <w:gridSpan w:val="2"/>
            <w:shd w:val="clear" w:color="auto" w:fill="auto"/>
            <w:vAlign w:val="center"/>
          </w:tcPr>
          <w:p w14:paraId="2B46174F">
            <w:pPr>
              <w:shd w:val="clear"/>
              <w:spacing w:line="360" w:lineRule="auto"/>
              <w:jc w:val="center"/>
              <w:rPr>
                <w:rStyle w:val="57"/>
                <w:rFonts w:hint="eastAsia" w:ascii="宋体" w:hAnsi="宋体" w:eastAsia="宋体" w:cs="宋体"/>
                <w:color w:val="auto"/>
                <w:sz w:val="21"/>
                <w:szCs w:val="21"/>
                <w:highlight w:val="none"/>
                <w:u w:val="none"/>
              </w:rPr>
            </w:pPr>
            <w:r>
              <w:rPr>
                <w:rStyle w:val="57"/>
                <w:rFonts w:hint="eastAsia" w:ascii="宋体" w:hAnsi="宋体" w:eastAsia="宋体" w:cs="宋体"/>
                <w:color w:val="auto"/>
                <w:sz w:val="21"/>
                <w:szCs w:val="21"/>
                <w:highlight w:val="none"/>
                <w:u w:val="none"/>
              </w:rPr>
              <w:t>服务期限</w:t>
            </w:r>
          </w:p>
        </w:tc>
        <w:tc>
          <w:tcPr>
            <w:tcW w:w="7390" w:type="dxa"/>
            <w:gridSpan w:val="3"/>
            <w:shd w:val="clear" w:color="auto" w:fill="auto"/>
            <w:vAlign w:val="center"/>
          </w:tcPr>
          <w:p w14:paraId="0D0EBA68">
            <w:pPr>
              <w:shd w:val="clear"/>
              <w:spacing w:line="360" w:lineRule="auto"/>
              <w:ind w:firstLine="420" w:firstLineChars="200"/>
              <w:rPr>
                <w:rStyle w:val="57"/>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rPr>
              <w:t>自合同签订之日起至</w:t>
            </w:r>
            <w:r>
              <w:rPr>
                <w:rFonts w:hint="eastAsia" w:ascii="宋体" w:hAnsi="宋体" w:eastAsia="宋体" w:cs="宋体"/>
                <w:color w:val="auto"/>
                <w:kern w:val="2"/>
                <w:sz w:val="21"/>
                <w:szCs w:val="21"/>
                <w:highlight w:val="none"/>
                <w:lang w:val="en-US" w:eastAsia="zh-CN" w:bidi="ar-SA"/>
              </w:rPr>
              <w:t>广西地方标准《工业行业主要产品用水定额》《城镇生活用水定额》修订成果</w:t>
            </w:r>
            <w:r>
              <w:rPr>
                <w:rFonts w:hint="eastAsia" w:ascii="宋体" w:hAnsi="宋体" w:eastAsia="宋体" w:cs="宋体"/>
                <w:color w:val="auto"/>
                <w:sz w:val="21"/>
                <w:szCs w:val="21"/>
                <w:highlight w:val="none"/>
                <w:lang w:val="en-US" w:eastAsia="zh-CN"/>
              </w:rPr>
              <w:t>正式提交自治区市场监管局或自治区有关部门报批</w:t>
            </w:r>
            <w:r>
              <w:rPr>
                <w:rFonts w:hint="eastAsia" w:ascii="宋体" w:hAnsi="宋体" w:eastAsia="宋体" w:cs="宋体"/>
                <w:color w:val="auto"/>
                <w:sz w:val="21"/>
                <w:szCs w:val="21"/>
                <w:highlight w:val="none"/>
              </w:rPr>
              <w:t>之日止。</w:t>
            </w:r>
          </w:p>
        </w:tc>
      </w:tr>
      <w:tr w14:paraId="7DC39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1663" w:type="dxa"/>
            <w:gridSpan w:val="2"/>
            <w:shd w:val="clear" w:color="auto" w:fill="auto"/>
            <w:vAlign w:val="center"/>
          </w:tcPr>
          <w:p w14:paraId="04AAE5C2">
            <w:pPr>
              <w:shd w:val="clear"/>
              <w:spacing w:line="360" w:lineRule="auto"/>
              <w:jc w:val="center"/>
              <w:rPr>
                <w:rStyle w:val="57"/>
                <w:rFonts w:hint="eastAsia" w:ascii="宋体" w:hAnsi="宋体" w:eastAsia="宋体" w:cs="宋体"/>
                <w:color w:val="auto"/>
                <w:sz w:val="21"/>
                <w:szCs w:val="21"/>
                <w:highlight w:val="none"/>
                <w:u w:val="none"/>
              </w:rPr>
            </w:pPr>
            <w:r>
              <w:rPr>
                <w:rStyle w:val="57"/>
                <w:rFonts w:hint="eastAsia" w:ascii="宋体" w:hAnsi="宋体" w:eastAsia="宋体" w:cs="宋体"/>
                <w:color w:val="auto"/>
                <w:sz w:val="21"/>
                <w:szCs w:val="21"/>
                <w:highlight w:val="none"/>
                <w:u w:val="none"/>
              </w:rPr>
              <w:t>进度要</w:t>
            </w:r>
            <w:r>
              <w:rPr>
                <w:rStyle w:val="57"/>
                <w:rFonts w:hint="eastAsia" w:ascii="宋体" w:hAnsi="宋体" w:eastAsia="宋体" w:cs="宋体"/>
                <w:color w:val="auto"/>
                <w:sz w:val="21"/>
                <w:szCs w:val="21"/>
                <w:highlight w:val="none"/>
                <w:u w:val="none"/>
                <w:lang w:eastAsia="zh-CN"/>
              </w:rPr>
              <w:t>求</w:t>
            </w:r>
            <w:r>
              <w:rPr>
                <w:rStyle w:val="57"/>
                <w:rFonts w:hint="eastAsia" w:ascii="宋体" w:hAnsi="宋体" w:eastAsia="宋体" w:cs="宋体"/>
                <w:color w:val="auto"/>
                <w:sz w:val="21"/>
                <w:szCs w:val="21"/>
                <w:highlight w:val="none"/>
                <w:u w:val="none"/>
              </w:rPr>
              <w:t>及成果交付地点</w:t>
            </w:r>
          </w:p>
        </w:tc>
        <w:tc>
          <w:tcPr>
            <w:tcW w:w="7390" w:type="dxa"/>
            <w:gridSpan w:val="3"/>
            <w:shd w:val="clear" w:color="auto" w:fill="auto"/>
            <w:vAlign w:val="center"/>
          </w:tcPr>
          <w:p w14:paraId="389EDE4C">
            <w:pPr>
              <w:shd w:val="clear"/>
              <w:spacing w:line="360" w:lineRule="auto"/>
              <w:ind w:firstLine="420" w:firstLineChars="200"/>
              <w:rPr>
                <w:rStyle w:val="57"/>
                <w:rFonts w:hint="eastAsia" w:ascii="宋体" w:hAnsi="宋体" w:eastAsia="宋体" w:cs="宋体"/>
                <w:color w:val="auto"/>
                <w:sz w:val="21"/>
                <w:szCs w:val="21"/>
                <w:highlight w:val="none"/>
                <w:u w:val="none"/>
              </w:rPr>
            </w:pPr>
            <w:r>
              <w:rPr>
                <w:rStyle w:val="57"/>
                <w:rFonts w:hint="eastAsia" w:ascii="宋体" w:hAnsi="宋体" w:eastAsia="宋体" w:cs="宋体"/>
                <w:color w:val="auto"/>
                <w:sz w:val="21"/>
                <w:szCs w:val="21"/>
                <w:highlight w:val="none"/>
                <w:u w:val="none"/>
                <w:lang w:val="en-US" w:eastAsia="zh-CN"/>
              </w:rPr>
              <w:t>1.</w:t>
            </w:r>
            <w:r>
              <w:rPr>
                <w:rStyle w:val="57"/>
                <w:rFonts w:hint="eastAsia" w:ascii="宋体" w:hAnsi="宋体" w:eastAsia="宋体" w:cs="宋体"/>
                <w:color w:val="auto"/>
                <w:sz w:val="21"/>
                <w:szCs w:val="21"/>
                <w:highlight w:val="none"/>
                <w:u w:val="none"/>
              </w:rPr>
              <w:t>进度要求</w:t>
            </w:r>
          </w:p>
          <w:p w14:paraId="60C5AC58">
            <w:pPr>
              <w:shd w:val="clear"/>
              <w:spacing w:line="360" w:lineRule="auto"/>
              <w:ind w:firstLine="420" w:firstLineChars="200"/>
              <w:rPr>
                <w:rStyle w:val="57"/>
                <w:rFonts w:hint="eastAsia" w:ascii="宋体" w:hAnsi="宋体" w:eastAsia="宋体" w:cs="宋体"/>
                <w:color w:val="auto"/>
                <w:sz w:val="21"/>
                <w:szCs w:val="21"/>
                <w:highlight w:val="none"/>
                <w:u w:val="none"/>
                <w:lang w:val="en-US" w:eastAsia="zh-CN"/>
              </w:rPr>
            </w:pPr>
            <w:r>
              <w:rPr>
                <w:rStyle w:val="57"/>
                <w:rFonts w:hint="eastAsia" w:ascii="宋体" w:hAnsi="宋体" w:eastAsia="宋体" w:cs="宋体"/>
                <w:color w:val="auto"/>
                <w:sz w:val="21"/>
                <w:szCs w:val="21"/>
                <w:highlight w:val="none"/>
                <w:u w:val="none"/>
                <w:lang w:val="en-US" w:eastAsia="zh-CN"/>
              </w:rPr>
              <w:t>（1）自合同签订之日起至2026年5月底完成</w:t>
            </w:r>
            <w:r>
              <w:rPr>
                <w:rStyle w:val="57"/>
                <w:rFonts w:hint="eastAsia" w:ascii="宋体" w:hAnsi="宋体" w:cs="宋体"/>
                <w:color w:val="auto"/>
                <w:sz w:val="21"/>
                <w:szCs w:val="21"/>
                <w:highlight w:val="none"/>
                <w:u w:val="none"/>
                <w:lang w:val="en-US" w:eastAsia="zh-CN"/>
              </w:rPr>
              <w:t>2项</w:t>
            </w:r>
            <w:r>
              <w:rPr>
                <w:rStyle w:val="57"/>
                <w:rFonts w:hint="eastAsia" w:ascii="宋体" w:hAnsi="宋体" w:eastAsia="宋体" w:cs="宋体"/>
                <w:color w:val="auto"/>
                <w:sz w:val="21"/>
                <w:szCs w:val="21"/>
                <w:highlight w:val="none"/>
                <w:u w:val="none"/>
                <w:lang w:val="en-US" w:eastAsia="zh-CN"/>
              </w:rPr>
              <w:t>定额</w:t>
            </w:r>
            <w:r>
              <w:rPr>
                <w:rStyle w:val="57"/>
                <w:rFonts w:hint="eastAsia" w:ascii="宋体" w:hAnsi="宋体" w:cs="宋体"/>
                <w:color w:val="auto"/>
                <w:sz w:val="21"/>
                <w:szCs w:val="21"/>
                <w:highlight w:val="none"/>
                <w:u w:val="none"/>
                <w:lang w:val="en-US" w:eastAsia="zh-CN"/>
              </w:rPr>
              <w:t>立项</w:t>
            </w:r>
            <w:r>
              <w:rPr>
                <w:rStyle w:val="57"/>
                <w:rFonts w:hint="eastAsia" w:ascii="宋体" w:hAnsi="宋体" w:eastAsia="宋体" w:cs="宋体"/>
                <w:color w:val="auto"/>
                <w:sz w:val="21"/>
                <w:szCs w:val="21"/>
                <w:highlight w:val="none"/>
                <w:u w:val="none"/>
                <w:lang w:val="en-US" w:eastAsia="zh-CN"/>
              </w:rPr>
              <w:t>申报。</w:t>
            </w:r>
          </w:p>
          <w:p w14:paraId="322E93A2">
            <w:pPr>
              <w:shd w:val="clear"/>
              <w:spacing w:line="360" w:lineRule="auto"/>
              <w:ind w:firstLine="420" w:firstLineChars="200"/>
              <w:rPr>
                <w:rStyle w:val="57"/>
                <w:rFonts w:hint="eastAsia" w:ascii="宋体" w:hAnsi="宋体" w:eastAsia="宋体" w:cs="宋体"/>
                <w:color w:val="auto"/>
                <w:sz w:val="21"/>
                <w:szCs w:val="21"/>
                <w:highlight w:val="none"/>
                <w:u w:val="none"/>
                <w:lang w:val="en-US" w:eastAsia="zh-CN"/>
              </w:rPr>
            </w:pPr>
            <w:r>
              <w:rPr>
                <w:rStyle w:val="57"/>
                <w:rFonts w:hint="eastAsia" w:ascii="宋体" w:hAnsi="宋体" w:eastAsia="宋体" w:cs="宋体"/>
                <w:color w:val="auto"/>
                <w:sz w:val="21"/>
                <w:szCs w:val="21"/>
                <w:highlight w:val="none"/>
                <w:u w:val="none"/>
                <w:lang w:val="en-US" w:eastAsia="zh-CN"/>
              </w:rPr>
              <w:t>（2）2026年8月底，提交2项定额的分析评估报告。</w:t>
            </w:r>
          </w:p>
          <w:p w14:paraId="651E2E62">
            <w:pPr>
              <w:shd w:val="clear"/>
              <w:spacing w:line="360" w:lineRule="auto"/>
              <w:ind w:firstLine="420" w:firstLineChars="200"/>
              <w:rPr>
                <w:rStyle w:val="57"/>
                <w:rFonts w:hint="eastAsia" w:ascii="宋体" w:hAnsi="宋体" w:eastAsia="宋体" w:cs="宋体"/>
                <w:color w:val="auto"/>
                <w:sz w:val="21"/>
                <w:szCs w:val="21"/>
                <w:highlight w:val="none"/>
                <w:u w:val="none"/>
                <w:lang w:val="en-US" w:eastAsia="zh-CN"/>
              </w:rPr>
            </w:pPr>
            <w:r>
              <w:rPr>
                <w:rStyle w:val="57"/>
                <w:rFonts w:hint="eastAsia" w:ascii="宋体" w:hAnsi="宋体" w:eastAsia="宋体" w:cs="宋体"/>
                <w:color w:val="auto"/>
                <w:sz w:val="21"/>
                <w:szCs w:val="21"/>
                <w:highlight w:val="none"/>
                <w:u w:val="none"/>
                <w:lang w:val="en-US" w:eastAsia="zh-CN"/>
              </w:rPr>
              <w:t>（3）2026年11月完成2项定额修订</w:t>
            </w:r>
            <w:r>
              <w:rPr>
                <w:rStyle w:val="57"/>
                <w:rFonts w:hint="eastAsia" w:ascii="宋体" w:hAnsi="宋体" w:cs="宋体"/>
                <w:color w:val="auto"/>
                <w:sz w:val="21"/>
                <w:szCs w:val="21"/>
                <w:highlight w:val="none"/>
                <w:u w:val="none"/>
                <w:lang w:val="en-US" w:eastAsia="zh-CN"/>
              </w:rPr>
              <w:t>成果</w:t>
            </w:r>
            <w:r>
              <w:rPr>
                <w:rStyle w:val="57"/>
                <w:rFonts w:hint="eastAsia" w:ascii="宋体" w:hAnsi="宋体" w:eastAsia="宋体" w:cs="宋体"/>
                <w:color w:val="auto"/>
                <w:sz w:val="21"/>
                <w:szCs w:val="21"/>
                <w:highlight w:val="none"/>
                <w:u w:val="none"/>
                <w:lang w:val="en-US" w:eastAsia="zh-CN"/>
              </w:rPr>
              <w:t>的征求意见稿，并通过采购人审核。</w:t>
            </w:r>
          </w:p>
          <w:p w14:paraId="5001F2B7">
            <w:pPr>
              <w:shd w:val="clear"/>
              <w:spacing w:line="360" w:lineRule="auto"/>
              <w:ind w:firstLine="420" w:firstLineChars="200"/>
              <w:rPr>
                <w:rStyle w:val="57"/>
                <w:rFonts w:hint="eastAsia" w:ascii="宋体" w:hAnsi="宋体" w:eastAsia="宋体" w:cs="宋体"/>
                <w:color w:val="auto"/>
                <w:sz w:val="21"/>
                <w:szCs w:val="21"/>
                <w:highlight w:val="none"/>
                <w:u w:val="none"/>
                <w:lang w:val="en-US" w:eastAsia="zh-CN"/>
              </w:rPr>
            </w:pPr>
            <w:r>
              <w:rPr>
                <w:rStyle w:val="57"/>
                <w:rFonts w:hint="eastAsia" w:ascii="宋体" w:hAnsi="宋体" w:eastAsia="宋体" w:cs="宋体"/>
                <w:color w:val="auto"/>
                <w:sz w:val="21"/>
                <w:szCs w:val="21"/>
                <w:highlight w:val="none"/>
                <w:u w:val="none"/>
                <w:lang w:val="en-US" w:eastAsia="zh-CN"/>
              </w:rPr>
              <w:t>（4）2026年12月—2027年11月按照水利部、自治区有关单位要求开展用水定额修订成果征求意见、送审、提交报批等工作</w:t>
            </w:r>
            <w:r>
              <w:rPr>
                <w:rStyle w:val="57"/>
                <w:rFonts w:hint="eastAsia" w:ascii="宋体" w:hAnsi="宋体" w:cs="宋体"/>
                <w:color w:val="auto"/>
                <w:sz w:val="21"/>
                <w:szCs w:val="21"/>
                <w:highlight w:val="none"/>
                <w:u w:val="none"/>
                <w:lang w:val="en-US" w:eastAsia="zh-CN"/>
              </w:rPr>
              <w:t>，其中2027年6月上旬前形成送审稿。</w:t>
            </w:r>
          </w:p>
          <w:p w14:paraId="53905FB4">
            <w:pPr>
              <w:shd w:val="clear"/>
              <w:spacing w:line="360" w:lineRule="auto"/>
              <w:ind w:firstLine="420" w:firstLineChars="200"/>
              <w:rPr>
                <w:rStyle w:val="57"/>
                <w:rFonts w:hint="eastAsia" w:ascii="宋体" w:hAnsi="宋体" w:eastAsia="宋体" w:cs="宋体"/>
                <w:color w:val="auto"/>
                <w:sz w:val="21"/>
                <w:szCs w:val="21"/>
                <w:highlight w:val="none"/>
                <w:u w:val="none"/>
              </w:rPr>
            </w:pPr>
            <w:r>
              <w:rPr>
                <w:rStyle w:val="57"/>
                <w:rFonts w:hint="eastAsia" w:ascii="宋体" w:hAnsi="宋体" w:eastAsia="宋体" w:cs="宋体"/>
                <w:color w:val="auto"/>
                <w:sz w:val="21"/>
                <w:szCs w:val="21"/>
                <w:highlight w:val="none"/>
                <w:u w:val="none"/>
                <w:lang w:val="en-US" w:eastAsia="zh-CN"/>
              </w:rPr>
              <w:t>2.</w:t>
            </w:r>
            <w:r>
              <w:rPr>
                <w:rStyle w:val="57"/>
                <w:rFonts w:hint="eastAsia" w:ascii="宋体" w:hAnsi="宋体" w:eastAsia="宋体" w:cs="宋体"/>
                <w:color w:val="auto"/>
                <w:sz w:val="21"/>
                <w:szCs w:val="21"/>
                <w:highlight w:val="none"/>
                <w:u w:val="none"/>
              </w:rPr>
              <w:t>成果交付地点</w:t>
            </w:r>
          </w:p>
          <w:p w14:paraId="0ADC619B">
            <w:pPr>
              <w:shd w:val="clear"/>
              <w:spacing w:line="360" w:lineRule="auto"/>
              <w:ind w:firstLine="420" w:firstLineChars="200"/>
              <w:rPr>
                <w:rStyle w:val="57"/>
                <w:rFonts w:hint="eastAsia" w:ascii="宋体" w:hAnsi="宋体" w:eastAsia="宋体" w:cs="宋体"/>
                <w:color w:val="auto"/>
                <w:sz w:val="21"/>
                <w:szCs w:val="21"/>
                <w:highlight w:val="none"/>
                <w:u w:val="none"/>
              </w:rPr>
            </w:pPr>
            <w:r>
              <w:rPr>
                <w:rStyle w:val="57"/>
                <w:rFonts w:hint="eastAsia" w:ascii="宋体" w:hAnsi="宋体" w:eastAsia="宋体" w:cs="宋体"/>
                <w:color w:val="auto"/>
                <w:sz w:val="21"/>
                <w:szCs w:val="21"/>
                <w:highlight w:val="none"/>
                <w:u w:val="none"/>
              </w:rPr>
              <w:t>广西区内采购人指定地点。</w:t>
            </w:r>
          </w:p>
        </w:tc>
      </w:tr>
      <w:tr w14:paraId="6E01B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63" w:type="dxa"/>
            <w:gridSpan w:val="2"/>
            <w:shd w:val="clear" w:color="auto" w:fill="auto"/>
            <w:vAlign w:val="center"/>
          </w:tcPr>
          <w:p w14:paraId="6AC20436">
            <w:pPr>
              <w:shd w:val="clear"/>
              <w:spacing w:line="360" w:lineRule="auto"/>
              <w:jc w:val="center"/>
              <w:outlineLvl w:val="0"/>
              <w:rPr>
                <w:rStyle w:val="57"/>
                <w:rFonts w:hint="eastAsia" w:ascii="宋体" w:hAnsi="宋体" w:eastAsia="宋体" w:cs="宋体"/>
                <w:color w:val="auto"/>
                <w:sz w:val="21"/>
                <w:szCs w:val="21"/>
                <w:highlight w:val="none"/>
                <w:u w:val="none"/>
              </w:rPr>
            </w:pPr>
            <w:r>
              <w:rPr>
                <w:rStyle w:val="57"/>
                <w:rFonts w:hint="eastAsia" w:ascii="宋体" w:hAnsi="宋体" w:eastAsia="宋体" w:cs="宋体"/>
                <w:color w:val="auto"/>
                <w:sz w:val="21"/>
                <w:szCs w:val="21"/>
                <w:highlight w:val="none"/>
                <w:u w:val="none"/>
              </w:rPr>
              <w:t>付款方式</w:t>
            </w:r>
          </w:p>
        </w:tc>
        <w:tc>
          <w:tcPr>
            <w:tcW w:w="7390" w:type="dxa"/>
            <w:gridSpan w:val="3"/>
            <w:shd w:val="clear" w:color="auto" w:fill="auto"/>
            <w:vAlign w:val="center"/>
          </w:tcPr>
          <w:p w14:paraId="624EC1A8">
            <w:pPr>
              <w:shd w:val="clear"/>
              <w:spacing w:line="360" w:lineRule="auto"/>
              <w:ind w:firstLine="420" w:firstLineChars="200"/>
              <w:rPr>
                <w:rStyle w:val="57"/>
                <w:rFonts w:hint="eastAsia" w:ascii="宋体" w:hAnsi="宋体" w:eastAsia="宋体" w:cs="宋体"/>
                <w:color w:val="auto"/>
                <w:sz w:val="21"/>
                <w:szCs w:val="21"/>
                <w:highlight w:val="none"/>
                <w:u w:val="none"/>
              </w:rPr>
            </w:pPr>
            <w:r>
              <w:rPr>
                <w:rStyle w:val="57"/>
                <w:rFonts w:hint="eastAsia" w:ascii="宋体" w:hAnsi="宋体" w:eastAsia="宋体" w:cs="宋体"/>
                <w:color w:val="auto"/>
                <w:sz w:val="21"/>
                <w:szCs w:val="21"/>
                <w:highlight w:val="none"/>
                <w:u w:val="none"/>
              </w:rPr>
              <w:t>本项目服务费用分两年支付，</w:t>
            </w:r>
            <w:r>
              <w:rPr>
                <w:rStyle w:val="57"/>
                <w:rFonts w:hint="eastAsia" w:ascii="宋体" w:hAnsi="宋体" w:eastAsia="宋体" w:cs="宋体"/>
                <w:color w:val="auto"/>
                <w:sz w:val="21"/>
                <w:szCs w:val="21"/>
                <w:highlight w:val="none"/>
                <w:u w:val="none"/>
                <w:lang w:eastAsia="zh-CN"/>
              </w:rPr>
              <w:t>采购人</w:t>
            </w:r>
            <w:r>
              <w:rPr>
                <w:rStyle w:val="57"/>
                <w:rFonts w:hint="eastAsia" w:ascii="宋体" w:hAnsi="宋体" w:eastAsia="宋体" w:cs="宋体"/>
                <w:color w:val="auto"/>
                <w:sz w:val="21"/>
                <w:szCs w:val="21"/>
                <w:highlight w:val="none"/>
                <w:u w:val="none"/>
              </w:rPr>
              <w:t>每支付一笔款项前，</w:t>
            </w:r>
            <w:r>
              <w:rPr>
                <w:rStyle w:val="57"/>
                <w:rFonts w:hint="eastAsia" w:ascii="宋体" w:hAnsi="宋体" w:eastAsia="宋体" w:cs="宋体"/>
                <w:color w:val="auto"/>
                <w:sz w:val="21"/>
                <w:szCs w:val="21"/>
                <w:highlight w:val="none"/>
                <w:u w:val="none"/>
                <w:lang w:eastAsia="zh-CN"/>
              </w:rPr>
              <w:t>成交供应商</w:t>
            </w:r>
            <w:r>
              <w:rPr>
                <w:rStyle w:val="57"/>
                <w:rFonts w:hint="eastAsia" w:ascii="宋体" w:hAnsi="宋体" w:eastAsia="宋体" w:cs="宋体"/>
                <w:color w:val="auto"/>
                <w:sz w:val="21"/>
                <w:szCs w:val="21"/>
                <w:highlight w:val="none"/>
                <w:u w:val="none"/>
              </w:rPr>
              <w:t>必须提供相应数额的增值税发票。具体支付方法和时间如下：</w:t>
            </w:r>
          </w:p>
          <w:p w14:paraId="0EEF8418">
            <w:pPr>
              <w:shd w:val="clear"/>
              <w:spacing w:line="360" w:lineRule="auto"/>
              <w:ind w:firstLine="420" w:firstLineChars="200"/>
              <w:rPr>
                <w:rStyle w:val="57"/>
                <w:rFonts w:hint="eastAsia" w:ascii="宋体" w:hAnsi="宋体" w:eastAsia="宋体" w:cs="宋体"/>
                <w:color w:val="auto"/>
                <w:sz w:val="21"/>
                <w:szCs w:val="21"/>
                <w:highlight w:val="none"/>
                <w:u w:val="none"/>
              </w:rPr>
            </w:pPr>
            <w:r>
              <w:rPr>
                <w:rStyle w:val="57"/>
                <w:rFonts w:hint="eastAsia" w:ascii="宋体" w:hAnsi="宋体" w:eastAsia="宋体" w:cs="宋体"/>
                <w:color w:val="auto"/>
                <w:sz w:val="21"/>
                <w:szCs w:val="21"/>
                <w:highlight w:val="none"/>
                <w:u w:val="none"/>
              </w:rPr>
              <w:t>（1）合同签订后15个工作日内，</w:t>
            </w:r>
            <w:r>
              <w:rPr>
                <w:rStyle w:val="57"/>
                <w:rFonts w:hint="eastAsia" w:ascii="宋体" w:hAnsi="宋体" w:eastAsia="宋体" w:cs="宋体"/>
                <w:color w:val="auto"/>
                <w:sz w:val="21"/>
                <w:szCs w:val="21"/>
                <w:highlight w:val="none"/>
                <w:u w:val="none"/>
                <w:lang w:eastAsia="zh-CN"/>
              </w:rPr>
              <w:t>采购人</w:t>
            </w:r>
            <w:r>
              <w:rPr>
                <w:rStyle w:val="57"/>
                <w:rFonts w:hint="eastAsia" w:ascii="宋体" w:hAnsi="宋体" w:eastAsia="宋体" w:cs="宋体"/>
                <w:color w:val="auto"/>
                <w:sz w:val="21"/>
                <w:szCs w:val="21"/>
                <w:highlight w:val="none"/>
                <w:u w:val="none"/>
              </w:rPr>
              <w:t>向</w:t>
            </w:r>
            <w:r>
              <w:rPr>
                <w:rStyle w:val="57"/>
                <w:rFonts w:hint="eastAsia" w:ascii="宋体" w:hAnsi="宋体" w:eastAsia="宋体" w:cs="宋体"/>
                <w:color w:val="auto"/>
                <w:sz w:val="21"/>
                <w:szCs w:val="21"/>
                <w:highlight w:val="none"/>
                <w:u w:val="none"/>
                <w:lang w:eastAsia="zh-CN"/>
              </w:rPr>
              <w:t>成交供应商</w:t>
            </w:r>
            <w:r>
              <w:rPr>
                <w:rStyle w:val="57"/>
                <w:rFonts w:hint="eastAsia" w:ascii="宋体" w:hAnsi="宋体" w:eastAsia="宋体" w:cs="宋体"/>
                <w:color w:val="auto"/>
                <w:sz w:val="21"/>
                <w:szCs w:val="21"/>
                <w:highlight w:val="none"/>
                <w:u w:val="none"/>
              </w:rPr>
              <w:t>支付合同总金额</w:t>
            </w:r>
            <w:r>
              <w:rPr>
                <w:rStyle w:val="57"/>
                <w:rFonts w:hint="eastAsia" w:ascii="宋体" w:hAnsi="宋体" w:eastAsia="宋体" w:cs="宋体"/>
                <w:color w:val="auto"/>
                <w:sz w:val="21"/>
                <w:szCs w:val="21"/>
                <w:highlight w:val="none"/>
                <w:u w:val="none"/>
                <w:lang w:val="en-US" w:eastAsia="zh-CN"/>
              </w:rPr>
              <w:t>3</w:t>
            </w:r>
            <w:r>
              <w:rPr>
                <w:rStyle w:val="57"/>
                <w:rFonts w:hint="eastAsia" w:ascii="宋体" w:hAnsi="宋体" w:eastAsia="宋体" w:cs="宋体"/>
                <w:color w:val="auto"/>
                <w:sz w:val="21"/>
                <w:szCs w:val="21"/>
                <w:highlight w:val="none"/>
                <w:u w:val="none"/>
              </w:rPr>
              <w:t>0%；</w:t>
            </w:r>
          </w:p>
          <w:p w14:paraId="02D26F72">
            <w:pPr>
              <w:shd w:val="clear"/>
              <w:spacing w:line="360" w:lineRule="auto"/>
              <w:ind w:firstLine="420" w:firstLineChars="200"/>
              <w:rPr>
                <w:rStyle w:val="57"/>
                <w:rFonts w:hint="eastAsia" w:ascii="宋体" w:hAnsi="宋体" w:eastAsia="宋体" w:cs="宋体"/>
                <w:color w:val="auto"/>
                <w:sz w:val="21"/>
                <w:szCs w:val="21"/>
                <w:highlight w:val="none"/>
                <w:u w:val="none"/>
              </w:rPr>
            </w:pPr>
            <w:r>
              <w:rPr>
                <w:rStyle w:val="57"/>
                <w:rFonts w:hint="eastAsia" w:ascii="宋体" w:hAnsi="宋体" w:eastAsia="宋体" w:cs="宋体"/>
                <w:color w:val="auto"/>
                <w:sz w:val="21"/>
                <w:szCs w:val="21"/>
                <w:highlight w:val="none"/>
                <w:u w:val="none"/>
              </w:rPr>
              <w:t>（2）</w:t>
            </w:r>
            <w:r>
              <w:rPr>
                <w:rStyle w:val="57"/>
                <w:rFonts w:hint="eastAsia" w:ascii="宋体" w:hAnsi="宋体" w:eastAsia="宋体" w:cs="宋体"/>
                <w:color w:val="auto"/>
                <w:sz w:val="21"/>
                <w:szCs w:val="21"/>
                <w:highlight w:val="none"/>
                <w:u w:val="none"/>
                <w:lang w:val="en-US" w:eastAsia="zh-CN"/>
              </w:rPr>
              <w:t>提交的2项定额修订</w:t>
            </w:r>
            <w:r>
              <w:rPr>
                <w:rStyle w:val="57"/>
                <w:rFonts w:hint="eastAsia" w:ascii="宋体" w:hAnsi="宋体" w:cs="宋体"/>
                <w:color w:val="auto"/>
                <w:sz w:val="21"/>
                <w:szCs w:val="21"/>
                <w:highlight w:val="none"/>
                <w:u w:val="none"/>
                <w:lang w:val="en-US" w:eastAsia="zh-CN"/>
              </w:rPr>
              <w:t>成果</w:t>
            </w:r>
            <w:r>
              <w:rPr>
                <w:rStyle w:val="57"/>
                <w:rFonts w:hint="eastAsia" w:ascii="宋体" w:hAnsi="宋体" w:eastAsia="宋体" w:cs="宋体"/>
                <w:color w:val="auto"/>
                <w:sz w:val="21"/>
                <w:szCs w:val="21"/>
                <w:highlight w:val="none"/>
                <w:u w:val="none"/>
                <w:lang w:val="en-US" w:eastAsia="zh-CN"/>
              </w:rPr>
              <w:t>的征求意见稿通过采购人组织的审核后15个工作日内</w:t>
            </w:r>
            <w:r>
              <w:rPr>
                <w:rStyle w:val="57"/>
                <w:rFonts w:hint="eastAsia" w:ascii="宋体" w:hAnsi="宋体" w:eastAsia="宋体" w:cs="宋体"/>
                <w:color w:val="auto"/>
                <w:sz w:val="21"/>
                <w:szCs w:val="21"/>
                <w:highlight w:val="none"/>
                <w:u w:val="none"/>
              </w:rPr>
              <w:t>，</w:t>
            </w:r>
            <w:r>
              <w:rPr>
                <w:rStyle w:val="57"/>
                <w:rFonts w:hint="eastAsia" w:ascii="宋体" w:hAnsi="宋体" w:eastAsia="宋体" w:cs="宋体"/>
                <w:color w:val="auto"/>
                <w:sz w:val="21"/>
                <w:szCs w:val="21"/>
                <w:highlight w:val="none"/>
                <w:u w:val="none"/>
                <w:lang w:eastAsia="zh-CN"/>
              </w:rPr>
              <w:t>采购人</w:t>
            </w:r>
            <w:r>
              <w:rPr>
                <w:rStyle w:val="57"/>
                <w:rFonts w:hint="eastAsia" w:ascii="宋体" w:hAnsi="宋体" w:eastAsia="宋体" w:cs="宋体"/>
                <w:color w:val="auto"/>
                <w:sz w:val="21"/>
                <w:szCs w:val="21"/>
                <w:highlight w:val="none"/>
                <w:u w:val="none"/>
              </w:rPr>
              <w:t>向</w:t>
            </w:r>
            <w:r>
              <w:rPr>
                <w:rStyle w:val="57"/>
                <w:rFonts w:hint="eastAsia" w:ascii="宋体" w:hAnsi="宋体" w:eastAsia="宋体" w:cs="宋体"/>
                <w:color w:val="auto"/>
                <w:sz w:val="21"/>
                <w:szCs w:val="21"/>
                <w:highlight w:val="none"/>
                <w:u w:val="none"/>
                <w:lang w:eastAsia="zh-CN"/>
              </w:rPr>
              <w:t>成交供应商</w:t>
            </w:r>
            <w:r>
              <w:rPr>
                <w:rStyle w:val="57"/>
                <w:rFonts w:hint="eastAsia" w:ascii="宋体" w:hAnsi="宋体" w:eastAsia="宋体" w:cs="宋体"/>
                <w:color w:val="auto"/>
                <w:sz w:val="21"/>
                <w:szCs w:val="21"/>
                <w:highlight w:val="none"/>
                <w:u w:val="none"/>
              </w:rPr>
              <w:t>支付</w:t>
            </w:r>
            <w:r>
              <w:rPr>
                <w:rStyle w:val="57"/>
                <w:rFonts w:hint="eastAsia" w:ascii="宋体" w:hAnsi="宋体" w:cs="宋体"/>
                <w:color w:val="auto"/>
                <w:sz w:val="21"/>
                <w:szCs w:val="21"/>
                <w:highlight w:val="none"/>
                <w:u w:val="none"/>
                <w:lang w:eastAsia="zh-CN"/>
              </w:rPr>
              <w:t>本项目</w:t>
            </w:r>
            <w:r>
              <w:rPr>
                <w:rStyle w:val="57"/>
                <w:rFonts w:hint="eastAsia" w:ascii="宋体" w:hAnsi="宋体" w:eastAsia="宋体" w:cs="宋体"/>
                <w:color w:val="auto"/>
                <w:sz w:val="21"/>
                <w:szCs w:val="21"/>
                <w:highlight w:val="none"/>
                <w:u w:val="none"/>
                <w:lang w:val="en-US" w:eastAsia="zh-CN"/>
              </w:rPr>
              <w:t>2026年度预算剩余金额</w:t>
            </w:r>
            <w:r>
              <w:rPr>
                <w:rStyle w:val="57"/>
                <w:rFonts w:hint="eastAsia" w:ascii="宋体" w:hAnsi="宋体" w:eastAsia="宋体" w:cs="宋体"/>
                <w:color w:val="auto"/>
                <w:sz w:val="21"/>
                <w:szCs w:val="21"/>
                <w:highlight w:val="none"/>
                <w:u w:val="none"/>
              </w:rPr>
              <w:t>，且</w:t>
            </w:r>
            <w:r>
              <w:rPr>
                <w:rStyle w:val="57"/>
                <w:rFonts w:hint="eastAsia" w:ascii="宋体" w:hAnsi="宋体" w:eastAsia="宋体" w:cs="宋体"/>
                <w:color w:val="auto"/>
                <w:sz w:val="21"/>
                <w:szCs w:val="21"/>
                <w:highlight w:val="none"/>
                <w:u w:val="none"/>
                <w:lang w:eastAsia="zh-CN"/>
              </w:rPr>
              <w:t>采购人</w:t>
            </w:r>
            <w:r>
              <w:rPr>
                <w:rStyle w:val="57"/>
                <w:rFonts w:hint="eastAsia" w:ascii="宋体" w:hAnsi="宋体" w:eastAsia="宋体" w:cs="宋体"/>
                <w:color w:val="auto"/>
                <w:sz w:val="21"/>
                <w:szCs w:val="21"/>
                <w:highlight w:val="none"/>
                <w:u w:val="none"/>
                <w:lang w:val="en-US" w:eastAsia="zh-CN"/>
              </w:rPr>
              <w:t>2026年累计</w:t>
            </w:r>
            <w:r>
              <w:rPr>
                <w:rStyle w:val="57"/>
                <w:rFonts w:hint="eastAsia" w:ascii="宋体" w:hAnsi="宋体" w:eastAsia="宋体" w:cs="宋体"/>
                <w:color w:val="auto"/>
                <w:sz w:val="21"/>
                <w:szCs w:val="21"/>
                <w:highlight w:val="none"/>
                <w:u w:val="none"/>
              </w:rPr>
              <w:t>支付的合同金额不超过</w:t>
            </w:r>
            <w:r>
              <w:rPr>
                <w:rStyle w:val="57"/>
                <w:rFonts w:hint="eastAsia" w:ascii="宋体" w:hAnsi="宋体" w:cs="宋体"/>
                <w:color w:val="auto"/>
                <w:sz w:val="21"/>
                <w:szCs w:val="21"/>
                <w:highlight w:val="none"/>
                <w:u w:val="none"/>
                <w:lang w:val="en-US" w:eastAsia="zh-CN"/>
              </w:rPr>
              <w:t>合同总</w:t>
            </w:r>
            <w:r>
              <w:rPr>
                <w:rStyle w:val="57"/>
                <w:rFonts w:hint="eastAsia" w:ascii="宋体" w:hAnsi="宋体" w:eastAsia="宋体" w:cs="宋体"/>
                <w:color w:val="auto"/>
                <w:sz w:val="21"/>
                <w:szCs w:val="21"/>
                <w:highlight w:val="none"/>
                <w:u w:val="none"/>
                <w:lang w:val="en-US" w:eastAsia="zh-CN"/>
              </w:rPr>
              <w:t>金额</w:t>
            </w:r>
            <w:r>
              <w:rPr>
                <w:rStyle w:val="57"/>
                <w:rFonts w:hint="eastAsia" w:ascii="宋体" w:hAnsi="宋体" w:eastAsia="宋体" w:cs="宋体"/>
                <w:color w:val="auto"/>
                <w:sz w:val="21"/>
                <w:szCs w:val="21"/>
                <w:highlight w:val="none"/>
                <w:u w:val="none"/>
              </w:rPr>
              <w:t>；</w:t>
            </w:r>
          </w:p>
          <w:p w14:paraId="01E0AA70">
            <w:pPr>
              <w:shd w:val="clear"/>
              <w:spacing w:line="360" w:lineRule="auto"/>
              <w:ind w:firstLine="420" w:firstLineChars="200"/>
              <w:rPr>
                <w:rStyle w:val="57"/>
                <w:rFonts w:hint="eastAsia" w:ascii="宋体" w:hAnsi="宋体" w:eastAsia="宋体" w:cs="宋体"/>
                <w:color w:val="auto"/>
                <w:sz w:val="21"/>
                <w:szCs w:val="21"/>
                <w:highlight w:val="none"/>
                <w:u w:val="none"/>
                <w:lang w:val="en-US" w:eastAsia="zh-CN"/>
              </w:rPr>
            </w:pPr>
            <w:r>
              <w:rPr>
                <w:rStyle w:val="57"/>
                <w:rFonts w:hint="eastAsia" w:ascii="宋体" w:hAnsi="宋体" w:eastAsia="宋体" w:cs="宋体"/>
                <w:color w:val="auto"/>
                <w:sz w:val="21"/>
                <w:szCs w:val="21"/>
                <w:highlight w:val="none"/>
                <w:u w:val="none"/>
              </w:rPr>
              <w:t>（3）</w:t>
            </w:r>
            <w:r>
              <w:rPr>
                <w:rStyle w:val="57"/>
                <w:rFonts w:hint="eastAsia" w:ascii="宋体" w:hAnsi="宋体" w:eastAsia="宋体" w:cs="宋体"/>
                <w:color w:val="auto"/>
                <w:sz w:val="21"/>
                <w:szCs w:val="21"/>
                <w:highlight w:val="none"/>
                <w:u w:val="none"/>
                <w:lang w:val="en-US" w:eastAsia="zh-CN"/>
              </w:rPr>
              <w:t>2项定额修订成果经征求意见、修改完善，并形成送审稿提交采购人后15个工作日内，采购人向成交供应商支付合同</w:t>
            </w:r>
            <w:r>
              <w:rPr>
                <w:rStyle w:val="57"/>
                <w:rFonts w:hint="eastAsia" w:ascii="宋体" w:hAnsi="宋体" w:cs="宋体"/>
                <w:color w:val="auto"/>
                <w:sz w:val="21"/>
                <w:szCs w:val="21"/>
                <w:highlight w:val="none"/>
                <w:u w:val="none"/>
                <w:lang w:val="en-US" w:eastAsia="zh-CN"/>
              </w:rPr>
              <w:t>总</w:t>
            </w:r>
            <w:r>
              <w:rPr>
                <w:rStyle w:val="57"/>
                <w:rFonts w:hint="eastAsia" w:ascii="宋体" w:hAnsi="宋体" w:eastAsia="宋体" w:cs="宋体"/>
                <w:color w:val="auto"/>
                <w:sz w:val="21"/>
                <w:szCs w:val="21"/>
                <w:highlight w:val="none"/>
                <w:u w:val="none"/>
                <w:lang w:val="en-US" w:eastAsia="zh-CN"/>
              </w:rPr>
              <w:t>金额</w:t>
            </w:r>
            <w:r>
              <w:rPr>
                <w:rStyle w:val="57"/>
                <w:rFonts w:hint="eastAsia" w:ascii="宋体" w:hAnsi="宋体" w:cs="宋体"/>
                <w:color w:val="auto"/>
                <w:sz w:val="21"/>
                <w:szCs w:val="21"/>
                <w:highlight w:val="none"/>
                <w:u w:val="none"/>
                <w:lang w:val="en-US" w:eastAsia="zh-CN"/>
              </w:rPr>
              <w:t>剩余部分</w:t>
            </w:r>
            <w:r>
              <w:rPr>
                <w:rStyle w:val="57"/>
                <w:rFonts w:hint="eastAsia" w:ascii="宋体" w:hAnsi="宋体" w:eastAsia="宋体" w:cs="宋体"/>
                <w:color w:val="auto"/>
                <w:sz w:val="21"/>
                <w:szCs w:val="21"/>
                <w:highlight w:val="none"/>
                <w:u w:val="none"/>
                <w:lang w:val="en-US" w:eastAsia="zh-CN"/>
              </w:rPr>
              <w:t>的</w:t>
            </w:r>
            <w:r>
              <w:rPr>
                <w:rStyle w:val="57"/>
                <w:rFonts w:hint="eastAsia" w:ascii="宋体" w:hAnsi="宋体" w:cs="宋体"/>
                <w:color w:val="auto"/>
                <w:sz w:val="21"/>
                <w:szCs w:val="21"/>
                <w:highlight w:val="none"/>
                <w:u w:val="none"/>
                <w:lang w:val="en-US" w:eastAsia="zh-CN"/>
              </w:rPr>
              <w:t>80</w:t>
            </w:r>
            <w:r>
              <w:rPr>
                <w:rStyle w:val="57"/>
                <w:rFonts w:hint="eastAsia" w:ascii="宋体" w:hAnsi="宋体" w:eastAsia="宋体" w:cs="宋体"/>
                <w:color w:val="auto"/>
                <w:sz w:val="21"/>
                <w:szCs w:val="21"/>
                <w:highlight w:val="none"/>
                <w:u w:val="none"/>
                <w:lang w:val="en-US" w:eastAsia="zh-CN"/>
              </w:rPr>
              <w:t>%；</w:t>
            </w:r>
          </w:p>
          <w:p w14:paraId="0F42D571">
            <w:pPr>
              <w:shd w:val="clear"/>
              <w:spacing w:line="360" w:lineRule="auto"/>
              <w:ind w:firstLine="420" w:firstLineChars="200"/>
              <w:rPr>
                <w:rStyle w:val="57"/>
                <w:rFonts w:hint="eastAsia" w:ascii="宋体" w:hAnsi="宋体" w:eastAsia="宋体" w:cs="宋体"/>
                <w:color w:val="auto"/>
                <w:sz w:val="21"/>
                <w:szCs w:val="21"/>
                <w:highlight w:val="none"/>
                <w:u w:val="none"/>
              </w:rPr>
            </w:pPr>
            <w:r>
              <w:rPr>
                <w:rStyle w:val="57"/>
                <w:rFonts w:hint="eastAsia" w:ascii="宋体" w:hAnsi="宋体" w:eastAsia="宋体" w:cs="宋体"/>
                <w:color w:val="auto"/>
                <w:sz w:val="21"/>
                <w:szCs w:val="21"/>
                <w:highlight w:val="none"/>
                <w:u w:val="none"/>
                <w:lang w:eastAsia="zh-CN"/>
              </w:rPr>
              <w:t>（</w:t>
            </w:r>
            <w:r>
              <w:rPr>
                <w:rStyle w:val="57"/>
                <w:rFonts w:hint="eastAsia" w:ascii="宋体" w:hAnsi="宋体" w:eastAsia="宋体" w:cs="宋体"/>
                <w:color w:val="auto"/>
                <w:sz w:val="21"/>
                <w:szCs w:val="21"/>
                <w:highlight w:val="none"/>
                <w:u w:val="none"/>
                <w:lang w:val="en-US" w:eastAsia="zh-CN"/>
              </w:rPr>
              <w:t>4</w:t>
            </w:r>
            <w:r>
              <w:rPr>
                <w:rStyle w:val="57"/>
                <w:rFonts w:hint="eastAsia" w:ascii="宋体" w:hAnsi="宋体" w:eastAsia="宋体" w:cs="宋体"/>
                <w:color w:val="auto"/>
                <w:sz w:val="21"/>
                <w:szCs w:val="21"/>
                <w:highlight w:val="none"/>
                <w:u w:val="none"/>
                <w:lang w:eastAsia="zh-CN"/>
              </w:rPr>
              <w:t>）完成成果送审、提交</w:t>
            </w:r>
            <w:r>
              <w:rPr>
                <w:rStyle w:val="57"/>
                <w:rFonts w:hint="eastAsia" w:ascii="宋体" w:hAnsi="宋体" w:eastAsia="宋体" w:cs="宋体"/>
                <w:color w:val="auto"/>
                <w:sz w:val="21"/>
                <w:szCs w:val="21"/>
                <w:highlight w:val="none"/>
                <w:u w:val="none"/>
                <w:lang w:val="en-US" w:eastAsia="zh-CN"/>
              </w:rPr>
              <w:t>报批</w:t>
            </w:r>
            <w:r>
              <w:rPr>
                <w:rStyle w:val="57"/>
                <w:rFonts w:hint="eastAsia" w:ascii="宋体" w:hAnsi="宋体" w:eastAsia="宋体" w:cs="宋体"/>
                <w:color w:val="auto"/>
                <w:sz w:val="21"/>
                <w:szCs w:val="21"/>
                <w:highlight w:val="none"/>
                <w:u w:val="none"/>
              </w:rPr>
              <w:t>及项目</w:t>
            </w:r>
            <w:r>
              <w:rPr>
                <w:rStyle w:val="57"/>
                <w:rFonts w:hint="eastAsia" w:ascii="宋体" w:hAnsi="宋体" w:eastAsia="宋体" w:cs="宋体"/>
                <w:color w:val="auto"/>
                <w:sz w:val="21"/>
                <w:szCs w:val="21"/>
                <w:highlight w:val="none"/>
                <w:u w:val="none"/>
                <w:lang w:val="en-US" w:eastAsia="zh-CN"/>
              </w:rPr>
              <w:t>履约</w:t>
            </w:r>
            <w:r>
              <w:rPr>
                <w:rStyle w:val="57"/>
                <w:rFonts w:hint="eastAsia" w:ascii="宋体" w:hAnsi="宋体" w:eastAsia="宋体" w:cs="宋体"/>
                <w:color w:val="auto"/>
                <w:sz w:val="21"/>
                <w:szCs w:val="21"/>
                <w:highlight w:val="none"/>
                <w:u w:val="none"/>
              </w:rPr>
              <w:t>验收后15个工作日内，</w:t>
            </w:r>
            <w:r>
              <w:rPr>
                <w:rStyle w:val="57"/>
                <w:rFonts w:hint="eastAsia" w:ascii="宋体" w:hAnsi="宋体" w:eastAsia="宋体" w:cs="宋体"/>
                <w:color w:val="auto"/>
                <w:sz w:val="21"/>
                <w:szCs w:val="21"/>
                <w:highlight w:val="none"/>
                <w:u w:val="none"/>
                <w:lang w:eastAsia="zh-CN"/>
              </w:rPr>
              <w:t>采购人</w:t>
            </w:r>
            <w:r>
              <w:rPr>
                <w:rStyle w:val="57"/>
                <w:rFonts w:hint="eastAsia" w:ascii="宋体" w:hAnsi="宋体" w:eastAsia="宋体" w:cs="宋体"/>
                <w:color w:val="auto"/>
                <w:sz w:val="21"/>
                <w:szCs w:val="21"/>
                <w:highlight w:val="none"/>
                <w:u w:val="none"/>
              </w:rPr>
              <w:t>向</w:t>
            </w:r>
            <w:r>
              <w:rPr>
                <w:rStyle w:val="57"/>
                <w:rFonts w:hint="eastAsia" w:ascii="宋体" w:hAnsi="宋体" w:eastAsia="宋体" w:cs="宋体"/>
                <w:color w:val="auto"/>
                <w:sz w:val="21"/>
                <w:szCs w:val="21"/>
                <w:highlight w:val="none"/>
                <w:u w:val="none"/>
                <w:lang w:eastAsia="zh-CN"/>
              </w:rPr>
              <w:t>成交供应商</w:t>
            </w:r>
            <w:r>
              <w:rPr>
                <w:rStyle w:val="57"/>
                <w:rFonts w:hint="eastAsia" w:ascii="宋体" w:hAnsi="宋体" w:eastAsia="宋体" w:cs="宋体"/>
                <w:color w:val="auto"/>
                <w:sz w:val="21"/>
                <w:szCs w:val="21"/>
                <w:highlight w:val="none"/>
                <w:u w:val="none"/>
              </w:rPr>
              <w:t>支付合同剩余金额。</w:t>
            </w:r>
          </w:p>
        </w:tc>
      </w:tr>
      <w:tr w14:paraId="79B30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63" w:type="dxa"/>
            <w:gridSpan w:val="2"/>
            <w:shd w:val="clear" w:color="auto" w:fill="auto"/>
            <w:vAlign w:val="center"/>
          </w:tcPr>
          <w:p w14:paraId="019C7A53">
            <w:pPr>
              <w:shd w:val="clear"/>
              <w:spacing w:line="360" w:lineRule="auto"/>
              <w:jc w:val="center"/>
              <w:outlineLvl w:val="0"/>
              <w:rPr>
                <w:rStyle w:val="57"/>
                <w:rFonts w:hint="eastAsia" w:ascii="宋体" w:hAnsi="宋体" w:eastAsia="宋体" w:cs="宋体"/>
                <w:color w:val="auto"/>
                <w:sz w:val="21"/>
                <w:szCs w:val="21"/>
                <w:highlight w:val="none"/>
                <w:u w:val="none"/>
                <w:lang w:eastAsia="zh-CN"/>
              </w:rPr>
            </w:pPr>
            <w:r>
              <w:rPr>
                <w:rStyle w:val="57"/>
                <w:rFonts w:hint="eastAsia" w:ascii="宋体" w:hAnsi="宋体" w:eastAsia="宋体" w:cs="宋体"/>
                <w:color w:val="auto"/>
                <w:sz w:val="21"/>
                <w:szCs w:val="21"/>
                <w:highlight w:val="none"/>
                <w:u w:val="none"/>
                <w:lang w:eastAsia="zh-CN"/>
              </w:rPr>
              <w:t>成果要求</w:t>
            </w:r>
          </w:p>
        </w:tc>
        <w:tc>
          <w:tcPr>
            <w:tcW w:w="7390" w:type="dxa"/>
            <w:gridSpan w:val="3"/>
            <w:shd w:val="clear" w:color="auto" w:fill="auto"/>
            <w:vAlign w:val="center"/>
          </w:tcPr>
          <w:p w14:paraId="312052F3">
            <w:pPr>
              <w:shd w:val="clear"/>
              <w:spacing w:line="360" w:lineRule="auto"/>
              <w:ind w:firstLine="420" w:firstLineChars="200"/>
              <w:rPr>
                <w:rStyle w:val="57"/>
                <w:rFonts w:hint="eastAsia" w:ascii="宋体" w:hAnsi="宋体" w:eastAsia="宋体" w:cs="宋体"/>
                <w:color w:val="auto"/>
                <w:sz w:val="21"/>
                <w:szCs w:val="21"/>
                <w:highlight w:val="none"/>
                <w:u w:val="none"/>
              </w:rPr>
            </w:pPr>
            <w:r>
              <w:rPr>
                <w:rStyle w:val="57"/>
                <w:rFonts w:hint="eastAsia" w:ascii="宋体" w:hAnsi="宋体" w:cs="宋体"/>
                <w:color w:val="auto"/>
                <w:sz w:val="21"/>
                <w:szCs w:val="21"/>
                <w:highlight w:val="none"/>
                <w:u w:val="none"/>
                <w:lang w:val="en-US" w:eastAsia="zh-CN"/>
              </w:rPr>
              <w:t>1.</w:t>
            </w:r>
            <w:r>
              <w:rPr>
                <w:rStyle w:val="57"/>
                <w:rFonts w:hint="eastAsia" w:ascii="宋体" w:hAnsi="宋体" w:eastAsia="宋体" w:cs="宋体"/>
                <w:color w:val="auto"/>
                <w:sz w:val="21"/>
                <w:szCs w:val="21"/>
                <w:highlight w:val="none"/>
                <w:u w:val="none"/>
                <w:lang w:val="en-US" w:eastAsia="zh-CN"/>
              </w:rPr>
              <w:t>编制形成</w:t>
            </w:r>
            <w:r>
              <w:rPr>
                <w:rStyle w:val="57"/>
                <w:rFonts w:hint="eastAsia" w:ascii="宋体" w:hAnsi="宋体" w:cs="宋体"/>
                <w:color w:val="auto"/>
                <w:sz w:val="21"/>
                <w:szCs w:val="21"/>
                <w:highlight w:val="none"/>
                <w:u w:val="none"/>
                <w:lang w:val="en-US" w:eastAsia="zh-CN"/>
              </w:rPr>
              <w:t>2项定额</w:t>
            </w:r>
            <w:r>
              <w:rPr>
                <w:rStyle w:val="57"/>
                <w:rFonts w:hint="eastAsia" w:ascii="宋体" w:hAnsi="宋体" w:eastAsia="宋体" w:cs="宋体"/>
                <w:color w:val="auto"/>
                <w:sz w:val="21"/>
                <w:szCs w:val="21"/>
                <w:highlight w:val="none"/>
                <w:u w:val="none"/>
                <w:lang w:val="en-US" w:eastAsia="zh-CN"/>
              </w:rPr>
              <w:t>评估报告</w:t>
            </w:r>
            <w:r>
              <w:rPr>
                <w:rStyle w:val="57"/>
                <w:rFonts w:hint="eastAsia" w:ascii="宋体" w:hAnsi="宋体" w:cs="宋体"/>
                <w:color w:val="auto"/>
                <w:sz w:val="21"/>
                <w:szCs w:val="21"/>
                <w:highlight w:val="none"/>
                <w:u w:val="none"/>
                <w:lang w:val="en-US" w:eastAsia="zh-CN"/>
              </w:rPr>
              <w:t>和</w:t>
            </w:r>
            <w:r>
              <w:rPr>
                <w:rStyle w:val="57"/>
                <w:rFonts w:hint="eastAsia" w:ascii="宋体" w:hAnsi="宋体" w:eastAsia="宋体" w:cs="宋体"/>
                <w:color w:val="auto"/>
                <w:sz w:val="21"/>
                <w:szCs w:val="21"/>
                <w:highlight w:val="none"/>
                <w:u w:val="none"/>
                <w:lang w:val="en-US" w:eastAsia="zh-CN"/>
              </w:rPr>
              <w:t>修订成果</w:t>
            </w:r>
            <w:r>
              <w:rPr>
                <w:rStyle w:val="57"/>
                <w:rFonts w:hint="eastAsia" w:ascii="宋体" w:hAnsi="宋体" w:cs="宋体"/>
                <w:color w:val="auto"/>
                <w:sz w:val="21"/>
                <w:szCs w:val="21"/>
                <w:highlight w:val="none"/>
                <w:u w:val="none"/>
                <w:lang w:val="en-US" w:eastAsia="zh-CN"/>
              </w:rPr>
              <w:t>报告</w:t>
            </w:r>
            <w:r>
              <w:rPr>
                <w:rStyle w:val="57"/>
                <w:rFonts w:hint="eastAsia" w:ascii="宋体" w:hAnsi="宋体" w:eastAsia="宋体" w:cs="宋体"/>
                <w:color w:val="auto"/>
                <w:sz w:val="21"/>
                <w:szCs w:val="21"/>
                <w:highlight w:val="none"/>
                <w:u w:val="none"/>
              </w:rPr>
              <w:t>。</w:t>
            </w:r>
          </w:p>
          <w:p w14:paraId="37CFD8E6">
            <w:pPr>
              <w:shd w:val="clear"/>
              <w:spacing w:line="360" w:lineRule="auto"/>
              <w:ind w:firstLine="420" w:firstLineChars="200"/>
              <w:rPr>
                <w:rFonts w:hint="eastAsia"/>
                <w:color w:val="auto"/>
                <w:highlight w:val="none"/>
                <w:lang w:eastAsia="zh-CN"/>
              </w:rPr>
            </w:pPr>
            <w:r>
              <w:rPr>
                <w:rFonts w:hint="eastAsia" w:ascii="宋体" w:hAnsi="宋体" w:eastAsia="宋体" w:cs="宋体"/>
                <w:color w:val="auto"/>
                <w:highlight w:val="none"/>
                <w:lang w:eastAsia="zh-CN"/>
              </w:rPr>
              <w:t>2.服务成果提交word或wps格式电子文档（刻录光盘）6份，印刷装订6份，采购人根据需要可适量增加。</w:t>
            </w:r>
          </w:p>
        </w:tc>
      </w:tr>
      <w:tr w14:paraId="28B64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63" w:type="dxa"/>
            <w:gridSpan w:val="2"/>
            <w:shd w:val="clear" w:color="auto" w:fill="auto"/>
            <w:vAlign w:val="center"/>
          </w:tcPr>
          <w:p w14:paraId="33C0EEEE">
            <w:pPr>
              <w:shd w:val="clear"/>
              <w:spacing w:line="360" w:lineRule="auto"/>
              <w:jc w:val="center"/>
              <w:outlineLvl w:val="0"/>
              <w:rPr>
                <w:rFonts w:hint="eastAsia" w:ascii="宋体" w:hAnsi="宋体" w:eastAsia="宋体" w:cs="宋体"/>
                <w:color w:val="auto"/>
                <w:kern w:val="2"/>
                <w:sz w:val="21"/>
                <w:szCs w:val="21"/>
                <w:highlight w:val="none"/>
                <w:u w:val="none"/>
                <w:lang w:val="en-US" w:eastAsia="zh-CN" w:bidi="ar-SA"/>
              </w:rPr>
            </w:pPr>
            <w:r>
              <w:rPr>
                <w:rStyle w:val="57"/>
                <w:rFonts w:hint="eastAsia" w:ascii="宋体" w:hAnsi="宋体" w:eastAsia="宋体" w:cs="宋体"/>
                <w:color w:val="auto"/>
                <w:sz w:val="21"/>
                <w:szCs w:val="21"/>
                <w:highlight w:val="none"/>
                <w:u w:val="none"/>
              </w:rPr>
              <w:t>报价要求</w:t>
            </w:r>
          </w:p>
        </w:tc>
        <w:tc>
          <w:tcPr>
            <w:tcW w:w="7390" w:type="dxa"/>
            <w:gridSpan w:val="3"/>
            <w:shd w:val="clear" w:color="auto" w:fill="auto"/>
            <w:vAlign w:val="center"/>
          </w:tcPr>
          <w:p w14:paraId="29C7702A">
            <w:pPr>
              <w:shd w:val="clear"/>
              <w:spacing w:line="360" w:lineRule="auto"/>
              <w:ind w:firstLine="420" w:firstLineChars="200"/>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响应报价为完成采购人指定服务全部内容的报价，即履行合同的最终价格，包括了供应商完成本项目所需的一切工作内容而发生的所有直接费用、间接费用、其他费用、税金等全部费用和供应商要求获得的利润以及应由供应商承担的义务、责任和风险所发生的一切费用。</w:t>
            </w:r>
          </w:p>
        </w:tc>
      </w:tr>
      <w:tr w14:paraId="45F59B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63" w:type="dxa"/>
            <w:gridSpan w:val="2"/>
            <w:shd w:val="clear" w:color="auto" w:fill="auto"/>
            <w:vAlign w:val="center"/>
          </w:tcPr>
          <w:p w14:paraId="64DA70DE">
            <w:pPr>
              <w:shd w:val="clear"/>
              <w:spacing w:line="360" w:lineRule="auto"/>
              <w:jc w:val="center"/>
              <w:outlineLvl w:val="0"/>
              <w:rPr>
                <w:rStyle w:val="57"/>
                <w:rFonts w:hint="eastAsia" w:ascii="宋体" w:hAnsi="宋体" w:eastAsia="宋体" w:cs="宋体"/>
                <w:color w:val="auto"/>
                <w:sz w:val="21"/>
                <w:szCs w:val="21"/>
                <w:highlight w:val="none"/>
                <w:u w:val="none"/>
              </w:rPr>
            </w:pPr>
            <w:r>
              <w:rPr>
                <w:rStyle w:val="57"/>
                <w:rFonts w:hint="eastAsia" w:ascii="宋体" w:hAnsi="宋体" w:eastAsia="宋体" w:cs="宋体"/>
                <w:color w:val="auto"/>
                <w:sz w:val="21"/>
                <w:szCs w:val="21"/>
                <w:highlight w:val="none"/>
                <w:u w:val="none"/>
              </w:rPr>
              <w:t>验收要求</w:t>
            </w:r>
          </w:p>
        </w:tc>
        <w:tc>
          <w:tcPr>
            <w:tcW w:w="7390" w:type="dxa"/>
            <w:gridSpan w:val="3"/>
            <w:shd w:val="clear" w:color="auto" w:fill="auto"/>
            <w:vAlign w:val="center"/>
          </w:tcPr>
          <w:p w14:paraId="575776FC">
            <w:pPr>
              <w:shd w:val="clear"/>
              <w:spacing w:line="360" w:lineRule="auto"/>
              <w:ind w:firstLine="420" w:firstLineChars="200"/>
              <w:rPr>
                <w:rStyle w:val="57"/>
                <w:rFonts w:hint="eastAsia" w:ascii="宋体" w:hAnsi="宋体" w:eastAsia="宋体" w:cs="宋体"/>
                <w:color w:val="auto"/>
                <w:sz w:val="21"/>
                <w:szCs w:val="21"/>
                <w:highlight w:val="none"/>
                <w:u w:val="none"/>
              </w:rPr>
            </w:pPr>
            <w:r>
              <w:rPr>
                <w:rStyle w:val="57"/>
                <w:rFonts w:hint="eastAsia" w:ascii="宋体" w:hAnsi="宋体" w:eastAsia="宋体" w:cs="宋体"/>
                <w:color w:val="auto"/>
                <w:sz w:val="21"/>
                <w:szCs w:val="21"/>
                <w:highlight w:val="none"/>
                <w:u w:val="none"/>
                <w:lang w:val="en-US" w:eastAsia="zh-CN"/>
              </w:rPr>
              <w:t>1.</w:t>
            </w:r>
            <w:r>
              <w:rPr>
                <w:rStyle w:val="57"/>
                <w:rFonts w:hint="eastAsia" w:ascii="宋体" w:hAnsi="宋体" w:eastAsia="宋体" w:cs="宋体"/>
                <w:color w:val="auto"/>
                <w:sz w:val="21"/>
                <w:szCs w:val="21"/>
                <w:highlight w:val="none"/>
                <w:u w:val="none"/>
              </w:rPr>
              <w:t>验收方式：由采购人组织验收。</w:t>
            </w:r>
          </w:p>
          <w:p w14:paraId="797CF607">
            <w:pPr>
              <w:shd w:val="clear"/>
              <w:spacing w:line="360" w:lineRule="auto"/>
              <w:ind w:firstLine="420" w:firstLineChars="200"/>
              <w:rPr>
                <w:rStyle w:val="57"/>
                <w:rFonts w:hint="eastAsia" w:ascii="宋体" w:hAnsi="宋体" w:eastAsia="宋体" w:cs="宋体"/>
                <w:color w:val="auto"/>
                <w:sz w:val="21"/>
                <w:szCs w:val="21"/>
                <w:highlight w:val="none"/>
                <w:u w:val="none"/>
              </w:rPr>
            </w:pPr>
            <w:r>
              <w:rPr>
                <w:rStyle w:val="57"/>
                <w:rFonts w:hint="eastAsia" w:ascii="宋体" w:hAnsi="宋体" w:eastAsia="宋体" w:cs="宋体"/>
                <w:color w:val="auto"/>
                <w:sz w:val="21"/>
                <w:szCs w:val="21"/>
                <w:highlight w:val="none"/>
                <w:u w:val="none"/>
                <w:lang w:val="en-US" w:eastAsia="zh-CN"/>
              </w:rPr>
              <w:t>2.</w:t>
            </w:r>
            <w:r>
              <w:rPr>
                <w:rStyle w:val="57"/>
                <w:rFonts w:hint="eastAsia" w:ascii="宋体" w:hAnsi="宋体" w:eastAsia="宋体" w:cs="宋体"/>
                <w:color w:val="auto"/>
                <w:sz w:val="21"/>
                <w:szCs w:val="21"/>
                <w:highlight w:val="none"/>
                <w:u w:val="none"/>
              </w:rPr>
              <w:t>验收费用：包含在响应报价中，如因采购项目验收发生的邀请国家认可的质量检测机构、邀请专家及相关人员及检验费等费用由采购人承担。</w:t>
            </w:r>
          </w:p>
          <w:p w14:paraId="349091C3">
            <w:pPr>
              <w:shd w:val="clear"/>
              <w:spacing w:line="360" w:lineRule="auto"/>
              <w:ind w:firstLine="420" w:firstLineChars="200"/>
              <w:rPr>
                <w:rStyle w:val="57"/>
                <w:rFonts w:hint="eastAsia" w:ascii="宋体" w:hAnsi="宋体" w:eastAsia="宋体" w:cs="宋体"/>
                <w:color w:val="auto"/>
                <w:sz w:val="21"/>
                <w:szCs w:val="21"/>
                <w:highlight w:val="none"/>
                <w:u w:val="none"/>
              </w:rPr>
            </w:pPr>
            <w:r>
              <w:rPr>
                <w:rStyle w:val="57"/>
                <w:rFonts w:hint="eastAsia" w:ascii="宋体" w:hAnsi="宋体" w:eastAsia="宋体" w:cs="宋体"/>
                <w:color w:val="auto"/>
                <w:sz w:val="21"/>
                <w:szCs w:val="21"/>
                <w:highlight w:val="none"/>
                <w:u w:val="none"/>
                <w:lang w:val="en-US" w:eastAsia="zh-CN"/>
              </w:rPr>
              <w:t>3.</w:t>
            </w:r>
            <w:r>
              <w:rPr>
                <w:rStyle w:val="57"/>
                <w:rFonts w:hint="eastAsia" w:ascii="宋体" w:hAnsi="宋体" w:eastAsia="宋体" w:cs="宋体"/>
                <w:color w:val="auto"/>
                <w:sz w:val="21"/>
                <w:szCs w:val="21"/>
                <w:highlight w:val="none"/>
                <w:u w:val="none"/>
              </w:rPr>
              <w:t>验收标准、规范：符合现行国家相关标准、行业标准、地方标准或者其他标准、规范。</w:t>
            </w:r>
          </w:p>
        </w:tc>
      </w:tr>
      <w:tr w14:paraId="4A06A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63" w:type="dxa"/>
            <w:gridSpan w:val="2"/>
            <w:shd w:val="clear" w:color="auto" w:fill="auto"/>
            <w:vAlign w:val="center"/>
          </w:tcPr>
          <w:p w14:paraId="0743380D">
            <w:pPr>
              <w:shd w:val="clear"/>
              <w:spacing w:line="360" w:lineRule="auto"/>
              <w:jc w:val="center"/>
              <w:outlineLvl w:val="0"/>
              <w:rPr>
                <w:rStyle w:val="57"/>
                <w:rFonts w:hint="eastAsia" w:ascii="宋体" w:hAnsi="宋体" w:eastAsia="宋体" w:cs="宋体"/>
                <w:color w:val="auto"/>
                <w:sz w:val="21"/>
                <w:szCs w:val="21"/>
                <w:highlight w:val="none"/>
                <w:u w:val="none"/>
              </w:rPr>
            </w:pPr>
            <w:r>
              <w:rPr>
                <w:rStyle w:val="57"/>
                <w:rFonts w:hint="eastAsia" w:ascii="宋体" w:hAnsi="宋体" w:eastAsia="宋体" w:cs="宋体"/>
                <w:color w:val="auto"/>
                <w:sz w:val="21"/>
                <w:szCs w:val="21"/>
                <w:highlight w:val="none"/>
                <w:u w:val="none"/>
              </w:rPr>
              <w:t>售后服务要求</w:t>
            </w:r>
          </w:p>
        </w:tc>
        <w:tc>
          <w:tcPr>
            <w:tcW w:w="7390" w:type="dxa"/>
            <w:gridSpan w:val="3"/>
            <w:shd w:val="clear" w:color="auto" w:fill="auto"/>
            <w:vAlign w:val="center"/>
          </w:tcPr>
          <w:p w14:paraId="6F9DA208">
            <w:pPr>
              <w:shd w:val="clear"/>
              <w:spacing w:line="360" w:lineRule="auto"/>
              <w:ind w:firstLine="420" w:firstLineChars="200"/>
              <w:rPr>
                <w:rStyle w:val="57"/>
                <w:rFonts w:hint="eastAsia" w:ascii="宋体" w:hAnsi="宋体" w:eastAsia="宋体" w:cs="宋体"/>
                <w:color w:val="auto"/>
                <w:sz w:val="21"/>
                <w:szCs w:val="21"/>
                <w:highlight w:val="none"/>
                <w:u w:val="none"/>
                <w:lang w:val="en-US" w:eastAsia="zh-CN"/>
              </w:rPr>
            </w:pPr>
            <w:r>
              <w:rPr>
                <w:rStyle w:val="57"/>
                <w:rFonts w:hint="eastAsia" w:ascii="宋体" w:hAnsi="宋体" w:eastAsia="宋体" w:cs="宋体"/>
                <w:color w:val="auto"/>
                <w:sz w:val="21"/>
                <w:szCs w:val="21"/>
                <w:highlight w:val="none"/>
                <w:u w:val="none"/>
                <w:lang w:val="en-US" w:eastAsia="zh-CN"/>
              </w:rPr>
              <w:t>1.在服务期限内，当行业标准、技术规范发生改变时，成交供应商须免费修改相关内容。</w:t>
            </w:r>
          </w:p>
          <w:p w14:paraId="42306847">
            <w:pPr>
              <w:shd w:val="clear"/>
              <w:spacing w:line="360" w:lineRule="auto"/>
              <w:ind w:firstLine="420" w:firstLineChars="200"/>
              <w:rPr>
                <w:rStyle w:val="57"/>
                <w:rFonts w:hint="eastAsia" w:ascii="宋体" w:hAnsi="宋体" w:eastAsia="宋体" w:cs="宋体"/>
                <w:color w:val="auto"/>
                <w:sz w:val="21"/>
                <w:szCs w:val="21"/>
                <w:highlight w:val="none"/>
                <w:u w:val="none"/>
                <w:lang w:val="en-US" w:eastAsia="zh-CN"/>
              </w:rPr>
            </w:pPr>
            <w:r>
              <w:rPr>
                <w:rStyle w:val="57"/>
                <w:rFonts w:hint="eastAsia" w:ascii="宋体" w:hAnsi="宋体" w:eastAsia="宋体" w:cs="宋体"/>
                <w:color w:val="auto"/>
                <w:sz w:val="21"/>
                <w:szCs w:val="21"/>
                <w:highlight w:val="none"/>
                <w:u w:val="none"/>
                <w:lang w:val="en-US" w:eastAsia="zh-CN"/>
              </w:rPr>
              <w:t>2.在服务期限内，成交供应商提供5×24小时电话服务。</w:t>
            </w:r>
          </w:p>
          <w:p w14:paraId="2E4CDCAB">
            <w:pPr>
              <w:shd w:val="clear"/>
              <w:spacing w:line="360" w:lineRule="auto"/>
              <w:ind w:firstLine="420" w:firstLineChars="200"/>
              <w:rPr>
                <w:rStyle w:val="57"/>
                <w:rFonts w:hint="eastAsia" w:ascii="宋体" w:hAnsi="宋体" w:eastAsia="宋体" w:cs="宋体"/>
                <w:color w:val="auto"/>
                <w:sz w:val="21"/>
                <w:szCs w:val="21"/>
                <w:highlight w:val="none"/>
                <w:u w:val="none"/>
                <w:lang w:val="en-US" w:eastAsia="zh-CN"/>
              </w:rPr>
            </w:pPr>
            <w:r>
              <w:rPr>
                <w:rStyle w:val="57"/>
                <w:rFonts w:hint="eastAsia" w:ascii="宋体" w:hAnsi="宋体" w:eastAsia="宋体" w:cs="宋体"/>
                <w:color w:val="auto"/>
                <w:sz w:val="21"/>
                <w:szCs w:val="21"/>
                <w:highlight w:val="none"/>
                <w:u w:val="none"/>
                <w:lang w:val="en-US" w:eastAsia="zh-CN"/>
              </w:rPr>
              <w:t>3.具体成果文件份数按采购人实际需要提供。</w:t>
            </w:r>
          </w:p>
          <w:p w14:paraId="06D9001A">
            <w:pPr>
              <w:shd w:val="clear"/>
              <w:spacing w:line="360" w:lineRule="auto"/>
              <w:ind w:firstLine="420" w:firstLineChars="200"/>
              <w:rPr>
                <w:rStyle w:val="57"/>
                <w:rFonts w:hint="eastAsia" w:ascii="宋体" w:hAnsi="宋体" w:eastAsia="宋体" w:cs="宋体"/>
                <w:color w:val="auto"/>
                <w:sz w:val="21"/>
                <w:szCs w:val="21"/>
                <w:highlight w:val="none"/>
                <w:u w:val="none"/>
                <w:lang w:val="en-US" w:eastAsia="zh-CN"/>
              </w:rPr>
            </w:pPr>
            <w:r>
              <w:rPr>
                <w:rStyle w:val="57"/>
                <w:rFonts w:hint="eastAsia" w:ascii="宋体" w:hAnsi="宋体" w:eastAsia="宋体" w:cs="宋体"/>
                <w:color w:val="auto"/>
                <w:sz w:val="21"/>
                <w:szCs w:val="21"/>
                <w:highlight w:val="none"/>
                <w:u w:val="none"/>
                <w:lang w:val="en-US" w:eastAsia="zh-CN"/>
              </w:rPr>
              <w:t>4.广西地方标准《工业行业主要产品用水定额》、《城镇生活用水定额》修订成果</w:t>
            </w:r>
            <w:r>
              <w:rPr>
                <w:rFonts w:hint="eastAsia" w:ascii="宋体" w:hAnsi="宋体" w:eastAsia="宋体" w:cs="宋体"/>
                <w:color w:val="auto"/>
                <w:sz w:val="21"/>
                <w:szCs w:val="21"/>
                <w:highlight w:val="none"/>
                <w:lang w:val="en-US" w:eastAsia="zh-CN"/>
              </w:rPr>
              <w:t>正式提交自治区市场监管局或自治区有关部门报批</w:t>
            </w:r>
            <w:r>
              <w:rPr>
                <w:rFonts w:hint="eastAsia" w:ascii="宋体" w:hAnsi="宋体" w:eastAsia="宋体" w:cs="宋体"/>
                <w:color w:val="auto"/>
                <w:sz w:val="21"/>
                <w:szCs w:val="21"/>
                <w:highlight w:val="none"/>
                <w:lang w:eastAsia="zh-CN"/>
              </w:rPr>
              <w:t>后，</w:t>
            </w:r>
            <w:r>
              <w:rPr>
                <w:rStyle w:val="57"/>
                <w:rFonts w:hint="eastAsia" w:ascii="宋体" w:hAnsi="宋体" w:eastAsia="宋体" w:cs="宋体"/>
                <w:color w:val="auto"/>
                <w:sz w:val="21"/>
                <w:szCs w:val="21"/>
                <w:highlight w:val="none"/>
                <w:u w:val="none"/>
                <w:lang w:val="en-US" w:eastAsia="zh-CN"/>
              </w:rPr>
              <w:t>协助采购人按照审批部门开展修订成果修改完善，以及成果发布工作</w:t>
            </w:r>
            <w:r>
              <w:rPr>
                <w:rStyle w:val="57"/>
                <w:rFonts w:hint="eastAsia" w:ascii="宋体" w:hAnsi="宋体" w:eastAsia="宋体" w:cs="宋体"/>
                <w:color w:val="auto"/>
                <w:sz w:val="21"/>
                <w:szCs w:val="21"/>
                <w:highlight w:val="none"/>
                <w:u w:val="none"/>
              </w:rPr>
              <w:t>。</w:t>
            </w:r>
          </w:p>
        </w:tc>
      </w:tr>
      <w:tr w14:paraId="463BFD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1663" w:type="dxa"/>
            <w:gridSpan w:val="2"/>
            <w:shd w:val="clear" w:color="auto" w:fill="auto"/>
            <w:vAlign w:val="center"/>
          </w:tcPr>
          <w:p w14:paraId="2B06C094">
            <w:pPr>
              <w:shd w:val="clear"/>
              <w:tabs>
                <w:tab w:val="left" w:pos="180"/>
                <w:tab w:val="left" w:pos="1620"/>
              </w:tabs>
              <w:spacing w:line="360" w:lineRule="auto"/>
              <w:jc w:val="center"/>
              <w:rPr>
                <w:rStyle w:val="57"/>
                <w:rFonts w:hint="eastAsia" w:ascii="宋体" w:hAnsi="宋体" w:eastAsia="宋体" w:cs="宋体"/>
                <w:color w:val="auto"/>
                <w:sz w:val="21"/>
                <w:szCs w:val="21"/>
                <w:highlight w:val="none"/>
                <w:u w:val="none"/>
              </w:rPr>
            </w:pPr>
            <w:r>
              <w:rPr>
                <w:rStyle w:val="57"/>
                <w:rFonts w:hint="eastAsia" w:ascii="宋体" w:hAnsi="宋体" w:eastAsia="宋体" w:cs="宋体"/>
                <w:color w:val="auto"/>
                <w:sz w:val="21"/>
                <w:szCs w:val="21"/>
                <w:highlight w:val="none"/>
                <w:u w:val="none"/>
              </w:rPr>
              <w:t>采购人其他</w:t>
            </w:r>
          </w:p>
          <w:p w14:paraId="320989E0">
            <w:pPr>
              <w:shd w:val="clear"/>
              <w:tabs>
                <w:tab w:val="left" w:pos="180"/>
                <w:tab w:val="left" w:pos="1620"/>
              </w:tabs>
              <w:spacing w:line="360" w:lineRule="auto"/>
              <w:jc w:val="center"/>
              <w:rPr>
                <w:rStyle w:val="57"/>
                <w:rFonts w:hint="eastAsia" w:ascii="宋体" w:hAnsi="宋体" w:eastAsia="宋体" w:cs="宋体"/>
                <w:color w:val="auto"/>
                <w:sz w:val="21"/>
                <w:szCs w:val="21"/>
                <w:highlight w:val="none"/>
                <w:u w:val="none"/>
              </w:rPr>
            </w:pPr>
            <w:r>
              <w:rPr>
                <w:rStyle w:val="57"/>
                <w:rFonts w:hint="eastAsia" w:ascii="宋体" w:hAnsi="宋体" w:eastAsia="宋体" w:cs="宋体"/>
                <w:color w:val="auto"/>
                <w:sz w:val="21"/>
                <w:szCs w:val="21"/>
                <w:highlight w:val="none"/>
                <w:u w:val="none"/>
              </w:rPr>
              <w:t>要求</w:t>
            </w:r>
          </w:p>
        </w:tc>
        <w:tc>
          <w:tcPr>
            <w:tcW w:w="7390" w:type="dxa"/>
            <w:gridSpan w:val="3"/>
            <w:shd w:val="clear" w:color="auto" w:fill="auto"/>
            <w:vAlign w:val="center"/>
          </w:tcPr>
          <w:p w14:paraId="01CB3FD8">
            <w:pPr>
              <w:shd w:val="clear"/>
              <w:spacing w:line="360" w:lineRule="auto"/>
              <w:ind w:firstLine="420" w:firstLineChars="200"/>
              <w:rPr>
                <w:rStyle w:val="57"/>
                <w:rFonts w:hint="eastAsia" w:ascii="宋体" w:hAnsi="宋体" w:eastAsia="宋体" w:cs="宋体"/>
                <w:color w:val="auto"/>
                <w:sz w:val="21"/>
                <w:szCs w:val="21"/>
                <w:highlight w:val="none"/>
                <w:u w:val="none"/>
              </w:rPr>
            </w:pPr>
            <w:r>
              <w:rPr>
                <w:rStyle w:val="57"/>
                <w:rFonts w:hint="eastAsia" w:ascii="宋体" w:hAnsi="宋体" w:eastAsia="宋体" w:cs="宋体"/>
                <w:color w:val="auto"/>
                <w:sz w:val="21"/>
                <w:szCs w:val="21"/>
                <w:highlight w:val="none"/>
                <w:u w:val="none"/>
                <w:lang w:val="en-US" w:eastAsia="zh-CN"/>
              </w:rPr>
              <w:t>1.</w:t>
            </w:r>
            <w:r>
              <w:rPr>
                <w:rStyle w:val="57"/>
                <w:rFonts w:hint="eastAsia" w:ascii="宋体" w:hAnsi="宋体" w:eastAsia="宋体" w:cs="宋体"/>
                <w:color w:val="auto"/>
                <w:sz w:val="21"/>
                <w:szCs w:val="21"/>
                <w:highlight w:val="none"/>
                <w:u w:val="none"/>
              </w:rPr>
              <w:t>供应商应保证针对本项目的服务（或货物）所涉及的知识产权和所提供的相关技术资料是合法取得，并享有完整的知识产权，不会因为采购人的使用而被责令停止使用、追偿或要求赔偿损失，如出现此情况，一切经济和法律责任均由供应商承担。</w:t>
            </w:r>
          </w:p>
          <w:p w14:paraId="0154E079">
            <w:pPr>
              <w:shd w:val="clear"/>
              <w:spacing w:line="360" w:lineRule="auto"/>
              <w:ind w:firstLine="420" w:firstLineChars="200"/>
              <w:rPr>
                <w:rStyle w:val="57"/>
                <w:rFonts w:hint="eastAsia" w:ascii="宋体" w:hAnsi="宋体" w:eastAsia="宋体" w:cs="宋体"/>
                <w:color w:val="auto"/>
                <w:sz w:val="21"/>
                <w:szCs w:val="21"/>
                <w:highlight w:val="none"/>
                <w:u w:val="none"/>
              </w:rPr>
            </w:pPr>
            <w:r>
              <w:rPr>
                <w:rStyle w:val="57"/>
                <w:rFonts w:hint="eastAsia" w:ascii="宋体" w:hAnsi="宋体" w:eastAsia="宋体" w:cs="宋体"/>
                <w:color w:val="auto"/>
                <w:sz w:val="21"/>
                <w:szCs w:val="21"/>
                <w:highlight w:val="none"/>
                <w:u w:val="none"/>
                <w:lang w:val="en-US" w:eastAsia="zh-CN"/>
              </w:rPr>
              <w:t>2.</w:t>
            </w:r>
            <w:r>
              <w:rPr>
                <w:rStyle w:val="57"/>
                <w:rFonts w:hint="eastAsia" w:ascii="宋体" w:hAnsi="宋体" w:eastAsia="宋体" w:cs="宋体"/>
                <w:color w:val="auto"/>
                <w:sz w:val="21"/>
                <w:szCs w:val="21"/>
                <w:highlight w:val="none"/>
                <w:u w:val="none"/>
              </w:rPr>
              <w:t>成交供应商有义务随时向采购单位解释所有成果内容。</w:t>
            </w:r>
          </w:p>
          <w:p w14:paraId="07B5035C">
            <w:pPr>
              <w:shd w:val="clear"/>
              <w:spacing w:line="360" w:lineRule="auto"/>
              <w:ind w:firstLine="420" w:firstLineChars="200"/>
              <w:rPr>
                <w:rStyle w:val="57"/>
                <w:rFonts w:hint="eastAsia" w:ascii="宋体" w:hAnsi="宋体" w:eastAsia="宋体" w:cs="宋体"/>
                <w:color w:val="auto"/>
                <w:sz w:val="21"/>
                <w:szCs w:val="21"/>
                <w:highlight w:val="none"/>
                <w:u w:val="none"/>
              </w:rPr>
            </w:pPr>
            <w:r>
              <w:rPr>
                <w:rStyle w:val="57"/>
                <w:rFonts w:hint="eastAsia" w:ascii="宋体" w:hAnsi="宋体" w:eastAsia="宋体" w:cs="宋体"/>
                <w:color w:val="auto"/>
                <w:sz w:val="21"/>
                <w:szCs w:val="21"/>
                <w:highlight w:val="none"/>
                <w:u w:val="none"/>
                <w:lang w:val="en-US" w:eastAsia="zh-CN"/>
              </w:rPr>
              <w:t>3.</w:t>
            </w:r>
            <w:r>
              <w:rPr>
                <w:rStyle w:val="57"/>
                <w:rFonts w:hint="eastAsia" w:ascii="宋体" w:hAnsi="宋体" w:eastAsia="宋体" w:cs="宋体"/>
                <w:color w:val="auto"/>
                <w:sz w:val="21"/>
                <w:szCs w:val="21"/>
                <w:highlight w:val="none"/>
                <w:u w:val="none"/>
              </w:rPr>
              <w:t>知识产权归属：本次项目成果归采购人所有，成交供应商不得擅自对外发表、出版。</w:t>
            </w:r>
          </w:p>
          <w:p w14:paraId="45C1B195">
            <w:pPr>
              <w:shd w:val="clear"/>
              <w:spacing w:line="360" w:lineRule="auto"/>
              <w:ind w:firstLine="420" w:firstLineChars="200"/>
              <w:rPr>
                <w:rStyle w:val="57"/>
                <w:rFonts w:hint="eastAsia" w:ascii="宋体" w:hAnsi="宋体" w:eastAsia="宋体" w:cs="宋体"/>
                <w:color w:val="auto"/>
                <w:sz w:val="21"/>
                <w:szCs w:val="21"/>
                <w:highlight w:val="none"/>
                <w:u w:val="none"/>
              </w:rPr>
            </w:pPr>
            <w:r>
              <w:rPr>
                <w:rStyle w:val="57"/>
                <w:rFonts w:hint="eastAsia" w:ascii="宋体" w:hAnsi="宋体" w:eastAsia="宋体" w:cs="宋体"/>
                <w:color w:val="auto"/>
                <w:sz w:val="21"/>
                <w:szCs w:val="21"/>
                <w:highlight w:val="none"/>
                <w:u w:val="none"/>
                <w:lang w:val="en-US" w:eastAsia="zh-CN"/>
              </w:rPr>
              <w:t>4.</w:t>
            </w:r>
            <w:r>
              <w:rPr>
                <w:rStyle w:val="57"/>
                <w:rFonts w:hint="eastAsia" w:ascii="宋体" w:hAnsi="宋体" w:eastAsia="宋体" w:cs="宋体"/>
                <w:color w:val="auto"/>
                <w:sz w:val="21"/>
                <w:szCs w:val="21"/>
                <w:highlight w:val="none"/>
                <w:u w:val="none"/>
              </w:rPr>
              <w:t>保密要求：工作人员应对本项目中接触到的采购人所有的知识产权、商业秘密、技术成果等信息负保密义务。未经采购人书面同意，不得向社会公众或第三方通过任何途径出示、泄露，不得许可使用，不得对上述信息进行复制、传播、销售；保证不向外泄漏任何相关数据，不向外泄漏任何保密的技术资料。如出现工作人员泄密事件，成交供应商应负有连带责任。</w:t>
            </w:r>
          </w:p>
        </w:tc>
      </w:tr>
      <w:tr w14:paraId="5EC12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053" w:type="dxa"/>
            <w:gridSpan w:val="5"/>
            <w:shd w:val="clear" w:color="auto" w:fill="auto"/>
            <w:vAlign w:val="center"/>
          </w:tcPr>
          <w:p w14:paraId="0E624E71">
            <w:pPr>
              <w:shd w:val="clear"/>
              <w:spacing w:line="360" w:lineRule="auto"/>
              <w:rPr>
                <w:rStyle w:val="57"/>
                <w:rFonts w:hint="eastAsia" w:ascii="宋体" w:hAnsi="宋体" w:eastAsia="宋体" w:cs="宋体"/>
                <w:color w:val="auto"/>
                <w:sz w:val="21"/>
                <w:szCs w:val="21"/>
                <w:highlight w:val="none"/>
                <w:u w:val="none"/>
              </w:rPr>
            </w:pPr>
            <w:r>
              <w:rPr>
                <w:rStyle w:val="57"/>
                <w:rFonts w:hint="eastAsia" w:ascii="宋体" w:hAnsi="宋体" w:eastAsia="宋体" w:cs="宋体"/>
                <w:b/>
                <w:bCs/>
                <w:color w:val="auto"/>
                <w:sz w:val="21"/>
                <w:szCs w:val="21"/>
                <w:highlight w:val="none"/>
                <w:u w:val="none"/>
              </w:rPr>
              <w:t>三、其他要求</w:t>
            </w:r>
          </w:p>
        </w:tc>
      </w:tr>
      <w:tr w14:paraId="5C574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63" w:type="dxa"/>
            <w:gridSpan w:val="2"/>
            <w:shd w:val="clear" w:color="auto" w:fill="auto"/>
            <w:vAlign w:val="center"/>
          </w:tcPr>
          <w:p w14:paraId="208C8847">
            <w:pPr>
              <w:shd w:val="clear"/>
              <w:tabs>
                <w:tab w:val="left" w:pos="180"/>
                <w:tab w:val="left" w:pos="1620"/>
              </w:tabs>
              <w:spacing w:line="360" w:lineRule="auto"/>
              <w:jc w:val="center"/>
              <w:rPr>
                <w:rStyle w:val="57"/>
                <w:rFonts w:hint="eastAsia" w:ascii="宋体" w:hAnsi="宋体" w:eastAsia="宋体" w:cs="宋体"/>
                <w:color w:val="auto"/>
                <w:sz w:val="21"/>
                <w:szCs w:val="21"/>
                <w:highlight w:val="none"/>
                <w:u w:val="none"/>
              </w:rPr>
            </w:pPr>
            <w:r>
              <w:rPr>
                <w:rStyle w:val="57"/>
                <w:rFonts w:hint="eastAsia" w:ascii="宋体" w:hAnsi="宋体" w:eastAsia="宋体" w:cs="宋体"/>
                <w:color w:val="auto"/>
                <w:sz w:val="21"/>
                <w:szCs w:val="21"/>
                <w:highlight w:val="none"/>
                <w:u w:val="none"/>
              </w:rPr>
              <w:t>其他要求</w:t>
            </w:r>
          </w:p>
        </w:tc>
        <w:tc>
          <w:tcPr>
            <w:tcW w:w="7390" w:type="dxa"/>
            <w:gridSpan w:val="3"/>
            <w:shd w:val="clear" w:color="auto" w:fill="auto"/>
            <w:vAlign w:val="center"/>
          </w:tcPr>
          <w:p w14:paraId="1023C1F5">
            <w:pPr>
              <w:shd w:val="clear"/>
              <w:spacing w:line="360" w:lineRule="auto"/>
              <w:ind w:firstLine="420" w:firstLineChars="200"/>
              <w:rPr>
                <w:rStyle w:val="57"/>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rPr>
              <w:t>供应商应根据项目采购需求结合自身情况提供以下内容（包括但不限于）：</w:t>
            </w:r>
            <w:r>
              <w:rPr>
                <w:rFonts w:hint="eastAsia" w:ascii="宋体" w:hAnsi="宋体" w:eastAsia="宋体" w:cs="宋体"/>
                <w:color w:val="auto"/>
                <w:sz w:val="21"/>
                <w:szCs w:val="21"/>
                <w:highlight w:val="none"/>
                <w:lang w:eastAsia="zh-CN"/>
              </w:rPr>
              <w:t>项目需求理解、</w:t>
            </w:r>
            <w:r>
              <w:rPr>
                <w:rFonts w:hint="eastAsia" w:ascii="宋体" w:hAnsi="宋体" w:eastAsia="宋体" w:cs="宋体"/>
                <w:color w:val="auto"/>
                <w:sz w:val="21"/>
                <w:szCs w:val="21"/>
                <w:highlight w:val="none"/>
              </w:rPr>
              <w:t>项目实施方案、</w:t>
            </w:r>
            <w:r>
              <w:rPr>
                <w:rFonts w:hint="eastAsia" w:ascii="宋体" w:hAnsi="宋体" w:eastAsia="宋体" w:cs="宋体"/>
                <w:color w:val="auto"/>
                <w:sz w:val="21"/>
                <w:szCs w:val="21"/>
                <w:highlight w:val="none"/>
                <w:lang w:eastAsia="zh-CN"/>
              </w:rPr>
              <w:t>服务承诺</w:t>
            </w:r>
            <w:r>
              <w:rPr>
                <w:rFonts w:hint="eastAsia" w:ascii="宋体" w:hAnsi="宋体" w:eastAsia="宋体" w:cs="宋体"/>
                <w:color w:val="auto"/>
                <w:sz w:val="21"/>
                <w:szCs w:val="21"/>
                <w:highlight w:val="none"/>
              </w:rPr>
              <w:t>、项目实施人员（包括项目负责人、其他人员）等。</w:t>
            </w:r>
          </w:p>
        </w:tc>
      </w:tr>
    </w:tbl>
    <w:p w14:paraId="0A80B071">
      <w:pPr>
        <w:shd w:val="clear"/>
        <w:rPr>
          <w:color w:val="auto"/>
          <w:highlight w:val="none"/>
        </w:rPr>
      </w:pPr>
    </w:p>
    <w:p w14:paraId="5CF5AD8E">
      <w:pPr>
        <w:rPr>
          <w:rFonts w:hint="eastAsia" w:ascii="宋体" w:hAnsi="宋体" w:cs="宋体"/>
          <w:color w:val="auto"/>
          <w:szCs w:val="21"/>
          <w:highlight w:val="none"/>
        </w:rPr>
      </w:pPr>
      <w:r>
        <w:rPr>
          <w:rFonts w:hint="eastAsia" w:ascii="宋体" w:hAnsi="宋体" w:cs="宋体"/>
          <w:color w:val="auto"/>
          <w:szCs w:val="21"/>
          <w:highlight w:val="none"/>
        </w:rPr>
        <w:br w:type="page"/>
      </w:r>
    </w:p>
    <w:p w14:paraId="0E532B1B">
      <w:pPr>
        <w:shd w:val="clear" w:color="auto" w:fill="auto"/>
        <w:spacing w:line="428" w:lineRule="exac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rPr>
        <w:t>：</w:t>
      </w:r>
    </w:p>
    <w:p w14:paraId="6812DF85">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中小微企业划型标准</w:t>
      </w:r>
    </w:p>
    <w:tbl>
      <w:tblPr>
        <w:tblStyle w:val="51"/>
        <w:tblW w:w="0" w:type="auto"/>
        <w:jc w:val="center"/>
        <w:tblLayout w:type="fixed"/>
        <w:tblCellMar>
          <w:top w:w="0" w:type="dxa"/>
          <w:left w:w="108" w:type="dxa"/>
          <w:bottom w:w="0" w:type="dxa"/>
          <w:right w:w="108" w:type="dxa"/>
        </w:tblCellMar>
      </w:tblPr>
      <w:tblGrid>
        <w:gridCol w:w="1985"/>
        <w:gridCol w:w="1712"/>
        <w:gridCol w:w="1123"/>
        <w:gridCol w:w="1842"/>
        <w:gridCol w:w="1701"/>
        <w:gridCol w:w="1134"/>
      </w:tblGrid>
      <w:tr w14:paraId="355F4A70">
        <w:tblPrEx>
          <w:tblCellMar>
            <w:top w:w="0" w:type="dxa"/>
            <w:left w:w="108" w:type="dxa"/>
            <w:bottom w:w="0" w:type="dxa"/>
            <w:right w:w="108" w:type="dxa"/>
          </w:tblCellMar>
        </w:tblPrEx>
        <w:trPr>
          <w:trHeight w:val="369" w:hRule="atLeast"/>
          <w:jc w:val="center"/>
        </w:trPr>
        <w:tc>
          <w:tcPr>
            <w:tcW w:w="1985" w:type="dxa"/>
            <w:tcBorders>
              <w:top w:val="single" w:color="auto" w:sz="4" w:space="0"/>
              <w:left w:val="single" w:color="auto" w:sz="4" w:space="0"/>
              <w:bottom w:val="single" w:color="auto" w:sz="4" w:space="0"/>
              <w:right w:val="single" w:color="auto" w:sz="4" w:space="0"/>
            </w:tcBorders>
            <w:noWrap/>
            <w:vAlign w:val="center"/>
          </w:tcPr>
          <w:p w14:paraId="3294D508">
            <w:pPr>
              <w:widowControl/>
              <w:shd w:val="clear" w:color="auto" w:fill="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行业名称</w:t>
            </w:r>
          </w:p>
        </w:tc>
        <w:tc>
          <w:tcPr>
            <w:tcW w:w="1712" w:type="dxa"/>
            <w:tcBorders>
              <w:top w:val="single" w:color="auto" w:sz="4" w:space="0"/>
              <w:left w:val="nil"/>
              <w:bottom w:val="single" w:color="auto" w:sz="4" w:space="0"/>
              <w:right w:val="single" w:color="auto" w:sz="4" w:space="0"/>
            </w:tcBorders>
            <w:noWrap/>
            <w:vAlign w:val="center"/>
          </w:tcPr>
          <w:p w14:paraId="7D50D31A">
            <w:pPr>
              <w:widowControl/>
              <w:shd w:val="clear" w:color="auto" w:fill="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指标名称</w:t>
            </w:r>
          </w:p>
        </w:tc>
        <w:tc>
          <w:tcPr>
            <w:tcW w:w="1123" w:type="dxa"/>
            <w:tcBorders>
              <w:top w:val="single" w:color="auto" w:sz="4" w:space="0"/>
              <w:left w:val="nil"/>
              <w:bottom w:val="single" w:color="auto" w:sz="4" w:space="0"/>
              <w:right w:val="single" w:color="auto" w:sz="4" w:space="0"/>
            </w:tcBorders>
            <w:noWrap/>
            <w:vAlign w:val="center"/>
          </w:tcPr>
          <w:p w14:paraId="1533C030">
            <w:pPr>
              <w:widowControl/>
              <w:shd w:val="clear" w:color="auto" w:fill="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计量单位</w:t>
            </w:r>
          </w:p>
        </w:tc>
        <w:tc>
          <w:tcPr>
            <w:tcW w:w="1842" w:type="dxa"/>
            <w:tcBorders>
              <w:top w:val="single" w:color="auto" w:sz="4" w:space="0"/>
              <w:left w:val="nil"/>
              <w:bottom w:val="single" w:color="auto" w:sz="4" w:space="0"/>
              <w:right w:val="single" w:color="auto" w:sz="4" w:space="0"/>
            </w:tcBorders>
            <w:noWrap/>
            <w:vAlign w:val="center"/>
          </w:tcPr>
          <w:p w14:paraId="3FA2F904">
            <w:pPr>
              <w:widowControl/>
              <w:shd w:val="clear" w:color="auto" w:fill="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中型</w:t>
            </w:r>
          </w:p>
        </w:tc>
        <w:tc>
          <w:tcPr>
            <w:tcW w:w="1701" w:type="dxa"/>
            <w:tcBorders>
              <w:top w:val="single" w:color="auto" w:sz="4" w:space="0"/>
              <w:left w:val="nil"/>
              <w:bottom w:val="single" w:color="auto" w:sz="4" w:space="0"/>
              <w:right w:val="single" w:color="auto" w:sz="4" w:space="0"/>
            </w:tcBorders>
            <w:noWrap/>
            <w:vAlign w:val="center"/>
          </w:tcPr>
          <w:p w14:paraId="33D53D64">
            <w:pPr>
              <w:widowControl/>
              <w:shd w:val="clear" w:color="auto" w:fill="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小型</w:t>
            </w:r>
          </w:p>
        </w:tc>
        <w:tc>
          <w:tcPr>
            <w:tcW w:w="1134" w:type="dxa"/>
            <w:tcBorders>
              <w:top w:val="single" w:color="auto" w:sz="4" w:space="0"/>
              <w:left w:val="nil"/>
              <w:bottom w:val="single" w:color="auto" w:sz="4" w:space="0"/>
              <w:right w:val="single" w:color="auto" w:sz="4" w:space="0"/>
            </w:tcBorders>
            <w:noWrap/>
            <w:vAlign w:val="center"/>
          </w:tcPr>
          <w:p w14:paraId="4BF1BB7F">
            <w:pPr>
              <w:widowControl/>
              <w:shd w:val="clear" w:color="auto" w:fill="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微型</w:t>
            </w:r>
          </w:p>
        </w:tc>
      </w:tr>
      <w:tr w14:paraId="2A9160DE">
        <w:tblPrEx>
          <w:tblCellMar>
            <w:top w:w="0" w:type="dxa"/>
            <w:left w:w="108" w:type="dxa"/>
            <w:bottom w:w="0" w:type="dxa"/>
            <w:right w:w="108" w:type="dxa"/>
          </w:tblCellMar>
        </w:tblPrEx>
        <w:trPr>
          <w:trHeight w:val="369" w:hRule="atLeast"/>
          <w:jc w:val="center"/>
        </w:trPr>
        <w:tc>
          <w:tcPr>
            <w:tcW w:w="1985" w:type="dxa"/>
            <w:tcBorders>
              <w:top w:val="nil"/>
              <w:left w:val="single" w:color="auto" w:sz="4" w:space="0"/>
              <w:bottom w:val="single" w:color="auto" w:sz="4" w:space="0"/>
              <w:right w:val="single" w:color="auto" w:sz="4" w:space="0"/>
            </w:tcBorders>
            <w:noWrap/>
            <w:vAlign w:val="center"/>
          </w:tcPr>
          <w:p w14:paraId="2CC5104F">
            <w:pPr>
              <w:widowControl/>
              <w:shd w:val="clear" w:color="auto" w:fill="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农、林、牧、渔</w:t>
            </w:r>
          </w:p>
        </w:tc>
        <w:tc>
          <w:tcPr>
            <w:tcW w:w="1712" w:type="dxa"/>
            <w:tcBorders>
              <w:top w:val="nil"/>
              <w:left w:val="nil"/>
              <w:bottom w:val="single" w:color="auto" w:sz="4" w:space="0"/>
              <w:right w:val="single" w:color="auto" w:sz="4" w:space="0"/>
            </w:tcBorders>
            <w:noWrap/>
            <w:vAlign w:val="center"/>
          </w:tcPr>
          <w:p w14:paraId="4E5C1496">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123" w:type="dxa"/>
            <w:tcBorders>
              <w:top w:val="nil"/>
              <w:left w:val="nil"/>
              <w:bottom w:val="single" w:color="auto" w:sz="4" w:space="0"/>
              <w:right w:val="single" w:color="auto" w:sz="4" w:space="0"/>
            </w:tcBorders>
            <w:noWrap/>
            <w:vAlign w:val="center"/>
          </w:tcPr>
          <w:p w14:paraId="1EADDCD5">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42" w:type="dxa"/>
            <w:tcBorders>
              <w:top w:val="nil"/>
              <w:left w:val="nil"/>
              <w:bottom w:val="single" w:color="auto" w:sz="4" w:space="0"/>
              <w:right w:val="single" w:color="auto" w:sz="4" w:space="0"/>
            </w:tcBorders>
            <w:noWrap/>
            <w:vAlign w:val="center"/>
          </w:tcPr>
          <w:p w14:paraId="46F42E09">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500≤Y＜20000</w:t>
            </w:r>
          </w:p>
        </w:tc>
        <w:tc>
          <w:tcPr>
            <w:tcW w:w="1701" w:type="dxa"/>
            <w:tcBorders>
              <w:top w:val="nil"/>
              <w:left w:val="nil"/>
              <w:bottom w:val="single" w:color="auto" w:sz="4" w:space="0"/>
              <w:right w:val="single" w:color="auto" w:sz="4" w:space="0"/>
            </w:tcBorders>
            <w:noWrap/>
            <w:vAlign w:val="center"/>
          </w:tcPr>
          <w:p w14:paraId="67E7C2CC">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50≤Y＜500</w:t>
            </w:r>
          </w:p>
        </w:tc>
        <w:tc>
          <w:tcPr>
            <w:tcW w:w="1134" w:type="dxa"/>
            <w:tcBorders>
              <w:top w:val="nil"/>
              <w:left w:val="nil"/>
              <w:bottom w:val="single" w:color="auto" w:sz="4" w:space="0"/>
              <w:right w:val="single" w:color="auto" w:sz="4" w:space="0"/>
            </w:tcBorders>
            <w:noWrap/>
            <w:vAlign w:val="center"/>
          </w:tcPr>
          <w:p w14:paraId="14D80ABF">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w:t>
            </w:r>
          </w:p>
        </w:tc>
      </w:tr>
      <w:tr w14:paraId="2AB8B825">
        <w:tblPrEx>
          <w:tblCellMar>
            <w:top w:w="0" w:type="dxa"/>
            <w:left w:w="108" w:type="dxa"/>
            <w:bottom w:w="0" w:type="dxa"/>
            <w:right w:w="108" w:type="dxa"/>
          </w:tblCellMar>
        </w:tblPrEx>
        <w:trPr>
          <w:trHeight w:val="369" w:hRule="atLeast"/>
          <w:jc w:val="center"/>
        </w:trPr>
        <w:tc>
          <w:tcPr>
            <w:tcW w:w="1985" w:type="dxa"/>
            <w:vMerge w:val="restart"/>
            <w:tcBorders>
              <w:top w:val="nil"/>
              <w:left w:val="single" w:color="auto" w:sz="4" w:space="0"/>
              <w:bottom w:val="single" w:color="auto" w:sz="4" w:space="0"/>
              <w:right w:val="single" w:color="auto" w:sz="4" w:space="0"/>
            </w:tcBorders>
            <w:noWrap/>
            <w:vAlign w:val="center"/>
          </w:tcPr>
          <w:p w14:paraId="4944FA3F">
            <w:pPr>
              <w:widowControl/>
              <w:shd w:val="clear" w:color="auto" w:fill="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工业</w:t>
            </w:r>
          </w:p>
        </w:tc>
        <w:tc>
          <w:tcPr>
            <w:tcW w:w="1712" w:type="dxa"/>
            <w:tcBorders>
              <w:top w:val="nil"/>
              <w:left w:val="nil"/>
              <w:bottom w:val="single" w:color="auto" w:sz="4" w:space="0"/>
              <w:right w:val="single" w:color="auto" w:sz="4" w:space="0"/>
            </w:tcBorders>
            <w:noWrap/>
            <w:vAlign w:val="center"/>
          </w:tcPr>
          <w:p w14:paraId="74B08D37">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123" w:type="dxa"/>
            <w:tcBorders>
              <w:top w:val="nil"/>
              <w:left w:val="nil"/>
              <w:bottom w:val="single" w:color="auto" w:sz="4" w:space="0"/>
              <w:right w:val="single" w:color="auto" w:sz="4" w:space="0"/>
            </w:tcBorders>
            <w:noWrap/>
            <w:vAlign w:val="center"/>
          </w:tcPr>
          <w:p w14:paraId="3752B952">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842" w:type="dxa"/>
            <w:tcBorders>
              <w:top w:val="nil"/>
              <w:left w:val="nil"/>
              <w:bottom w:val="single" w:color="auto" w:sz="4" w:space="0"/>
              <w:right w:val="single" w:color="auto" w:sz="4" w:space="0"/>
            </w:tcBorders>
            <w:noWrap/>
            <w:vAlign w:val="center"/>
          </w:tcPr>
          <w:p w14:paraId="1D7AC281">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701" w:type="dxa"/>
            <w:tcBorders>
              <w:top w:val="nil"/>
              <w:left w:val="nil"/>
              <w:bottom w:val="single" w:color="auto" w:sz="4" w:space="0"/>
              <w:right w:val="single" w:color="auto" w:sz="4" w:space="0"/>
            </w:tcBorders>
            <w:noWrap/>
            <w:vAlign w:val="center"/>
          </w:tcPr>
          <w:p w14:paraId="0B82A28C">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20≤X＜300</w:t>
            </w:r>
          </w:p>
        </w:tc>
        <w:tc>
          <w:tcPr>
            <w:tcW w:w="1134" w:type="dxa"/>
            <w:tcBorders>
              <w:top w:val="nil"/>
              <w:left w:val="nil"/>
              <w:bottom w:val="single" w:color="auto" w:sz="4" w:space="0"/>
              <w:right w:val="single" w:color="auto" w:sz="4" w:space="0"/>
            </w:tcBorders>
            <w:noWrap/>
            <w:vAlign w:val="center"/>
          </w:tcPr>
          <w:p w14:paraId="283C9B65">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11A04353">
        <w:tblPrEx>
          <w:tblCellMar>
            <w:top w:w="0" w:type="dxa"/>
            <w:left w:w="108" w:type="dxa"/>
            <w:bottom w:w="0" w:type="dxa"/>
            <w:right w:w="108" w:type="dxa"/>
          </w:tblCellMar>
        </w:tblPrEx>
        <w:trPr>
          <w:trHeight w:val="369"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6C72A782">
            <w:pPr>
              <w:widowControl/>
              <w:shd w:val="clear" w:color="auto" w:fill="auto"/>
              <w:jc w:val="left"/>
              <w:rPr>
                <w:rFonts w:hint="eastAsia" w:ascii="宋体" w:hAnsi="宋体" w:eastAsia="宋体" w:cs="宋体"/>
                <w:b/>
                <w:bCs/>
                <w:color w:val="auto"/>
                <w:kern w:val="0"/>
                <w:sz w:val="21"/>
                <w:szCs w:val="21"/>
                <w:highlight w:val="none"/>
              </w:rPr>
            </w:pPr>
          </w:p>
        </w:tc>
        <w:tc>
          <w:tcPr>
            <w:tcW w:w="1712" w:type="dxa"/>
            <w:tcBorders>
              <w:top w:val="nil"/>
              <w:left w:val="nil"/>
              <w:bottom w:val="single" w:color="auto" w:sz="4" w:space="0"/>
              <w:right w:val="single" w:color="auto" w:sz="4" w:space="0"/>
            </w:tcBorders>
            <w:noWrap/>
            <w:vAlign w:val="center"/>
          </w:tcPr>
          <w:p w14:paraId="317252D9">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123" w:type="dxa"/>
            <w:tcBorders>
              <w:top w:val="nil"/>
              <w:left w:val="nil"/>
              <w:bottom w:val="single" w:color="auto" w:sz="4" w:space="0"/>
              <w:right w:val="single" w:color="auto" w:sz="4" w:space="0"/>
            </w:tcBorders>
            <w:noWrap/>
            <w:vAlign w:val="center"/>
          </w:tcPr>
          <w:p w14:paraId="481F1950">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42" w:type="dxa"/>
            <w:tcBorders>
              <w:top w:val="nil"/>
              <w:left w:val="nil"/>
              <w:bottom w:val="single" w:color="auto" w:sz="4" w:space="0"/>
              <w:right w:val="single" w:color="auto" w:sz="4" w:space="0"/>
            </w:tcBorders>
            <w:noWrap/>
            <w:vAlign w:val="center"/>
          </w:tcPr>
          <w:p w14:paraId="6189D1D8">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2000≤Y＜40000</w:t>
            </w:r>
          </w:p>
        </w:tc>
        <w:tc>
          <w:tcPr>
            <w:tcW w:w="1701" w:type="dxa"/>
            <w:tcBorders>
              <w:top w:val="nil"/>
              <w:left w:val="nil"/>
              <w:bottom w:val="single" w:color="auto" w:sz="4" w:space="0"/>
              <w:right w:val="single" w:color="auto" w:sz="4" w:space="0"/>
            </w:tcBorders>
            <w:noWrap/>
            <w:vAlign w:val="center"/>
          </w:tcPr>
          <w:p w14:paraId="35DD185C">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300≤Y＜2000</w:t>
            </w:r>
          </w:p>
        </w:tc>
        <w:tc>
          <w:tcPr>
            <w:tcW w:w="1134" w:type="dxa"/>
            <w:tcBorders>
              <w:top w:val="nil"/>
              <w:left w:val="nil"/>
              <w:bottom w:val="single" w:color="auto" w:sz="4" w:space="0"/>
              <w:right w:val="single" w:color="auto" w:sz="4" w:space="0"/>
            </w:tcBorders>
            <w:noWrap/>
            <w:vAlign w:val="center"/>
          </w:tcPr>
          <w:p w14:paraId="05527BD1">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w:t>
            </w:r>
          </w:p>
        </w:tc>
      </w:tr>
      <w:tr w14:paraId="14BF523A">
        <w:tblPrEx>
          <w:tblCellMar>
            <w:top w:w="0" w:type="dxa"/>
            <w:left w:w="108" w:type="dxa"/>
            <w:bottom w:w="0" w:type="dxa"/>
            <w:right w:w="108" w:type="dxa"/>
          </w:tblCellMar>
        </w:tblPrEx>
        <w:trPr>
          <w:trHeight w:val="369" w:hRule="atLeast"/>
          <w:jc w:val="center"/>
        </w:trPr>
        <w:tc>
          <w:tcPr>
            <w:tcW w:w="1985" w:type="dxa"/>
            <w:vMerge w:val="restart"/>
            <w:tcBorders>
              <w:top w:val="nil"/>
              <w:left w:val="single" w:color="auto" w:sz="4" w:space="0"/>
              <w:bottom w:val="single" w:color="auto" w:sz="4" w:space="0"/>
              <w:right w:val="single" w:color="auto" w:sz="4" w:space="0"/>
            </w:tcBorders>
            <w:noWrap/>
            <w:vAlign w:val="center"/>
          </w:tcPr>
          <w:p w14:paraId="48807BE3">
            <w:pPr>
              <w:widowControl/>
              <w:shd w:val="clear" w:color="auto" w:fill="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建筑业</w:t>
            </w:r>
          </w:p>
        </w:tc>
        <w:tc>
          <w:tcPr>
            <w:tcW w:w="1712" w:type="dxa"/>
            <w:tcBorders>
              <w:top w:val="nil"/>
              <w:left w:val="nil"/>
              <w:bottom w:val="single" w:color="auto" w:sz="4" w:space="0"/>
              <w:right w:val="single" w:color="auto" w:sz="4" w:space="0"/>
            </w:tcBorders>
            <w:noWrap/>
            <w:vAlign w:val="center"/>
          </w:tcPr>
          <w:p w14:paraId="6B391D41">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123" w:type="dxa"/>
            <w:tcBorders>
              <w:top w:val="nil"/>
              <w:left w:val="nil"/>
              <w:bottom w:val="single" w:color="auto" w:sz="4" w:space="0"/>
              <w:right w:val="single" w:color="auto" w:sz="4" w:space="0"/>
            </w:tcBorders>
            <w:noWrap/>
            <w:vAlign w:val="center"/>
          </w:tcPr>
          <w:p w14:paraId="7F15056E">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42" w:type="dxa"/>
            <w:tcBorders>
              <w:top w:val="nil"/>
              <w:left w:val="nil"/>
              <w:bottom w:val="single" w:color="auto" w:sz="4" w:space="0"/>
              <w:right w:val="single" w:color="auto" w:sz="4" w:space="0"/>
            </w:tcBorders>
            <w:noWrap/>
            <w:vAlign w:val="center"/>
          </w:tcPr>
          <w:p w14:paraId="4264A254">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6000≤Y＜80000</w:t>
            </w:r>
          </w:p>
        </w:tc>
        <w:tc>
          <w:tcPr>
            <w:tcW w:w="1701" w:type="dxa"/>
            <w:tcBorders>
              <w:top w:val="nil"/>
              <w:left w:val="nil"/>
              <w:bottom w:val="single" w:color="auto" w:sz="4" w:space="0"/>
              <w:right w:val="single" w:color="auto" w:sz="4" w:space="0"/>
            </w:tcBorders>
            <w:noWrap/>
            <w:vAlign w:val="center"/>
          </w:tcPr>
          <w:p w14:paraId="17E3BB5A">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300≤Y＜6000</w:t>
            </w:r>
          </w:p>
        </w:tc>
        <w:tc>
          <w:tcPr>
            <w:tcW w:w="1134" w:type="dxa"/>
            <w:tcBorders>
              <w:top w:val="nil"/>
              <w:left w:val="nil"/>
              <w:bottom w:val="single" w:color="auto" w:sz="4" w:space="0"/>
              <w:right w:val="single" w:color="auto" w:sz="4" w:space="0"/>
            </w:tcBorders>
            <w:noWrap/>
            <w:vAlign w:val="center"/>
          </w:tcPr>
          <w:p w14:paraId="6BBF1FB6">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w:t>
            </w:r>
          </w:p>
        </w:tc>
      </w:tr>
      <w:tr w14:paraId="61A61D82">
        <w:tblPrEx>
          <w:tblCellMar>
            <w:top w:w="0" w:type="dxa"/>
            <w:left w:w="108" w:type="dxa"/>
            <w:bottom w:w="0" w:type="dxa"/>
            <w:right w:w="108" w:type="dxa"/>
          </w:tblCellMar>
        </w:tblPrEx>
        <w:trPr>
          <w:trHeight w:val="369"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4150933A">
            <w:pPr>
              <w:widowControl/>
              <w:shd w:val="clear" w:color="auto" w:fill="auto"/>
              <w:jc w:val="left"/>
              <w:rPr>
                <w:rFonts w:hint="eastAsia" w:ascii="宋体" w:hAnsi="宋体" w:eastAsia="宋体" w:cs="宋体"/>
                <w:b/>
                <w:bCs/>
                <w:color w:val="auto"/>
                <w:kern w:val="0"/>
                <w:sz w:val="21"/>
                <w:szCs w:val="21"/>
                <w:highlight w:val="none"/>
              </w:rPr>
            </w:pPr>
          </w:p>
        </w:tc>
        <w:tc>
          <w:tcPr>
            <w:tcW w:w="1712" w:type="dxa"/>
            <w:tcBorders>
              <w:top w:val="nil"/>
              <w:left w:val="nil"/>
              <w:bottom w:val="single" w:color="auto" w:sz="4" w:space="0"/>
              <w:right w:val="single" w:color="auto" w:sz="4" w:space="0"/>
            </w:tcBorders>
            <w:noWrap/>
            <w:vAlign w:val="center"/>
          </w:tcPr>
          <w:p w14:paraId="016DE5E6">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1123" w:type="dxa"/>
            <w:tcBorders>
              <w:top w:val="nil"/>
              <w:left w:val="nil"/>
              <w:bottom w:val="single" w:color="auto" w:sz="4" w:space="0"/>
              <w:right w:val="single" w:color="auto" w:sz="4" w:space="0"/>
            </w:tcBorders>
            <w:noWrap/>
            <w:vAlign w:val="center"/>
          </w:tcPr>
          <w:p w14:paraId="15DC8D31">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42" w:type="dxa"/>
            <w:tcBorders>
              <w:top w:val="nil"/>
              <w:left w:val="nil"/>
              <w:bottom w:val="single" w:color="auto" w:sz="4" w:space="0"/>
              <w:right w:val="single" w:color="auto" w:sz="4" w:space="0"/>
            </w:tcBorders>
            <w:noWrap/>
            <w:vAlign w:val="center"/>
          </w:tcPr>
          <w:p w14:paraId="30ED8F25">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5000≤Z＜80000</w:t>
            </w:r>
          </w:p>
        </w:tc>
        <w:tc>
          <w:tcPr>
            <w:tcW w:w="1701" w:type="dxa"/>
            <w:tcBorders>
              <w:top w:val="nil"/>
              <w:left w:val="nil"/>
              <w:bottom w:val="single" w:color="auto" w:sz="4" w:space="0"/>
              <w:right w:val="single" w:color="auto" w:sz="4" w:space="0"/>
            </w:tcBorders>
            <w:noWrap/>
            <w:vAlign w:val="center"/>
          </w:tcPr>
          <w:p w14:paraId="0DB73E1C">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300≤Z＜5000</w:t>
            </w:r>
          </w:p>
        </w:tc>
        <w:tc>
          <w:tcPr>
            <w:tcW w:w="1134" w:type="dxa"/>
            <w:tcBorders>
              <w:top w:val="nil"/>
              <w:left w:val="nil"/>
              <w:bottom w:val="single" w:color="auto" w:sz="4" w:space="0"/>
              <w:right w:val="single" w:color="auto" w:sz="4" w:space="0"/>
            </w:tcBorders>
            <w:noWrap/>
            <w:vAlign w:val="center"/>
          </w:tcPr>
          <w:p w14:paraId="0A860EF6">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Z＜300</w:t>
            </w:r>
          </w:p>
        </w:tc>
      </w:tr>
      <w:tr w14:paraId="6091F074">
        <w:tblPrEx>
          <w:tblCellMar>
            <w:top w:w="0" w:type="dxa"/>
            <w:left w:w="108" w:type="dxa"/>
            <w:bottom w:w="0" w:type="dxa"/>
            <w:right w:w="108" w:type="dxa"/>
          </w:tblCellMar>
        </w:tblPrEx>
        <w:trPr>
          <w:trHeight w:val="369" w:hRule="atLeast"/>
          <w:jc w:val="center"/>
        </w:trPr>
        <w:tc>
          <w:tcPr>
            <w:tcW w:w="1985" w:type="dxa"/>
            <w:vMerge w:val="restart"/>
            <w:tcBorders>
              <w:top w:val="nil"/>
              <w:left w:val="single" w:color="auto" w:sz="4" w:space="0"/>
              <w:bottom w:val="single" w:color="auto" w:sz="4" w:space="0"/>
              <w:right w:val="single" w:color="auto" w:sz="4" w:space="0"/>
            </w:tcBorders>
            <w:noWrap/>
            <w:vAlign w:val="center"/>
          </w:tcPr>
          <w:p w14:paraId="3B650D39">
            <w:pPr>
              <w:widowControl/>
              <w:shd w:val="clear" w:color="auto" w:fill="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批发业</w:t>
            </w:r>
          </w:p>
        </w:tc>
        <w:tc>
          <w:tcPr>
            <w:tcW w:w="1712" w:type="dxa"/>
            <w:tcBorders>
              <w:top w:val="nil"/>
              <w:left w:val="nil"/>
              <w:bottom w:val="single" w:color="auto" w:sz="4" w:space="0"/>
              <w:right w:val="single" w:color="auto" w:sz="4" w:space="0"/>
            </w:tcBorders>
            <w:noWrap/>
            <w:vAlign w:val="center"/>
          </w:tcPr>
          <w:p w14:paraId="2BE15220">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123" w:type="dxa"/>
            <w:tcBorders>
              <w:top w:val="nil"/>
              <w:left w:val="nil"/>
              <w:bottom w:val="single" w:color="auto" w:sz="4" w:space="0"/>
              <w:right w:val="single" w:color="auto" w:sz="4" w:space="0"/>
            </w:tcBorders>
            <w:noWrap/>
            <w:vAlign w:val="center"/>
          </w:tcPr>
          <w:p w14:paraId="5DE4654D">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842" w:type="dxa"/>
            <w:tcBorders>
              <w:top w:val="nil"/>
              <w:left w:val="nil"/>
              <w:bottom w:val="single" w:color="auto" w:sz="4" w:space="0"/>
              <w:right w:val="single" w:color="auto" w:sz="4" w:space="0"/>
            </w:tcBorders>
            <w:noWrap/>
            <w:vAlign w:val="center"/>
          </w:tcPr>
          <w:p w14:paraId="16A84347">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20≤X＜200</w:t>
            </w:r>
          </w:p>
        </w:tc>
        <w:tc>
          <w:tcPr>
            <w:tcW w:w="1701" w:type="dxa"/>
            <w:tcBorders>
              <w:top w:val="nil"/>
              <w:left w:val="nil"/>
              <w:bottom w:val="single" w:color="auto" w:sz="4" w:space="0"/>
              <w:right w:val="single" w:color="auto" w:sz="4" w:space="0"/>
            </w:tcBorders>
            <w:noWrap/>
            <w:vAlign w:val="center"/>
          </w:tcPr>
          <w:p w14:paraId="7BC523E6">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5≤X＜20</w:t>
            </w:r>
          </w:p>
        </w:tc>
        <w:tc>
          <w:tcPr>
            <w:tcW w:w="1134" w:type="dxa"/>
            <w:tcBorders>
              <w:top w:val="nil"/>
              <w:left w:val="nil"/>
              <w:bottom w:val="single" w:color="auto" w:sz="4" w:space="0"/>
              <w:right w:val="single" w:color="auto" w:sz="4" w:space="0"/>
            </w:tcBorders>
            <w:noWrap/>
            <w:vAlign w:val="center"/>
          </w:tcPr>
          <w:p w14:paraId="788E7516">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X＜5</w:t>
            </w:r>
          </w:p>
        </w:tc>
      </w:tr>
      <w:tr w14:paraId="64D7A243">
        <w:tblPrEx>
          <w:tblCellMar>
            <w:top w:w="0" w:type="dxa"/>
            <w:left w:w="108" w:type="dxa"/>
            <w:bottom w:w="0" w:type="dxa"/>
            <w:right w:w="108" w:type="dxa"/>
          </w:tblCellMar>
        </w:tblPrEx>
        <w:trPr>
          <w:trHeight w:val="369"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3653EA31">
            <w:pPr>
              <w:widowControl/>
              <w:shd w:val="clear" w:color="auto" w:fill="auto"/>
              <w:jc w:val="left"/>
              <w:rPr>
                <w:rFonts w:hint="eastAsia" w:ascii="宋体" w:hAnsi="宋体" w:eastAsia="宋体" w:cs="宋体"/>
                <w:b/>
                <w:bCs/>
                <w:color w:val="auto"/>
                <w:kern w:val="0"/>
                <w:sz w:val="21"/>
                <w:szCs w:val="21"/>
                <w:highlight w:val="none"/>
              </w:rPr>
            </w:pPr>
          </w:p>
        </w:tc>
        <w:tc>
          <w:tcPr>
            <w:tcW w:w="1712" w:type="dxa"/>
            <w:tcBorders>
              <w:top w:val="nil"/>
              <w:left w:val="nil"/>
              <w:bottom w:val="single" w:color="auto" w:sz="4" w:space="0"/>
              <w:right w:val="single" w:color="auto" w:sz="4" w:space="0"/>
            </w:tcBorders>
            <w:noWrap/>
            <w:vAlign w:val="center"/>
          </w:tcPr>
          <w:p w14:paraId="6EA564FF">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123" w:type="dxa"/>
            <w:tcBorders>
              <w:top w:val="nil"/>
              <w:left w:val="nil"/>
              <w:bottom w:val="single" w:color="auto" w:sz="4" w:space="0"/>
              <w:right w:val="single" w:color="auto" w:sz="4" w:space="0"/>
            </w:tcBorders>
            <w:noWrap/>
            <w:vAlign w:val="center"/>
          </w:tcPr>
          <w:p w14:paraId="71E6E0CA">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42" w:type="dxa"/>
            <w:tcBorders>
              <w:top w:val="nil"/>
              <w:left w:val="nil"/>
              <w:bottom w:val="single" w:color="auto" w:sz="4" w:space="0"/>
              <w:right w:val="single" w:color="auto" w:sz="4" w:space="0"/>
            </w:tcBorders>
            <w:noWrap/>
            <w:vAlign w:val="center"/>
          </w:tcPr>
          <w:p w14:paraId="23CBEA75">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5000≤Y＜40000</w:t>
            </w:r>
          </w:p>
        </w:tc>
        <w:tc>
          <w:tcPr>
            <w:tcW w:w="1701" w:type="dxa"/>
            <w:tcBorders>
              <w:top w:val="nil"/>
              <w:left w:val="nil"/>
              <w:bottom w:val="single" w:color="auto" w:sz="4" w:space="0"/>
              <w:right w:val="single" w:color="auto" w:sz="4" w:space="0"/>
            </w:tcBorders>
            <w:noWrap/>
            <w:vAlign w:val="center"/>
          </w:tcPr>
          <w:p w14:paraId="523F62F9">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1000≤Y＜5000</w:t>
            </w:r>
          </w:p>
        </w:tc>
        <w:tc>
          <w:tcPr>
            <w:tcW w:w="1134" w:type="dxa"/>
            <w:tcBorders>
              <w:top w:val="nil"/>
              <w:left w:val="nil"/>
              <w:bottom w:val="single" w:color="auto" w:sz="4" w:space="0"/>
              <w:right w:val="single" w:color="auto" w:sz="4" w:space="0"/>
            </w:tcBorders>
            <w:noWrap/>
            <w:vAlign w:val="center"/>
          </w:tcPr>
          <w:p w14:paraId="019545D0">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w:t>
            </w:r>
          </w:p>
        </w:tc>
      </w:tr>
      <w:tr w14:paraId="41246193">
        <w:tblPrEx>
          <w:tblCellMar>
            <w:top w:w="0" w:type="dxa"/>
            <w:left w:w="108" w:type="dxa"/>
            <w:bottom w:w="0" w:type="dxa"/>
            <w:right w:w="108" w:type="dxa"/>
          </w:tblCellMar>
        </w:tblPrEx>
        <w:trPr>
          <w:trHeight w:val="369" w:hRule="atLeast"/>
          <w:jc w:val="center"/>
        </w:trPr>
        <w:tc>
          <w:tcPr>
            <w:tcW w:w="1985" w:type="dxa"/>
            <w:vMerge w:val="restart"/>
            <w:tcBorders>
              <w:top w:val="nil"/>
              <w:left w:val="single" w:color="auto" w:sz="4" w:space="0"/>
              <w:bottom w:val="single" w:color="auto" w:sz="4" w:space="0"/>
              <w:right w:val="single" w:color="auto" w:sz="4" w:space="0"/>
            </w:tcBorders>
            <w:noWrap/>
            <w:vAlign w:val="center"/>
          </w:tcPr>
          <w:p w14:paraId="52E3177D">
            <w:pPr>
              <w:widowControl/>
              <w:shd w:val="clear" w:color="auto" w:fill="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零售业</w:t>
            </w:r>
          </w:p>
        </w:tc>
        <w:tc>
          <w:tcPr>
            <w:tcW w:w="1712" w:type="dxa"/>
            <w:tcBorders>
              <w:top w:val="nil"/>
              <w:left w:val="nil"/>
              <w:bottom w:val="single" w:color="auto" w:sz="4" w:space="0"/>
              <w:right w:val="single" w:color="auto" w:sz="4" w:space="0"/>
            </w:tcBorders>
            <w:noWrap/>
            <w:vAlign w:val="center"/>
          </w:tcPr>
          <w:p w14:paraId="37E7351F">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123" w:type="dxa"/>
            <w:tcBorders>
              <w:top w:val="nil"/>
              <w:left w:val="nil"/>
              <w:bottom w:val="single" w:color="auto" w:sz="4" w:space="0"/>
              <w:right w:val="single" w:color="auto" w:sz="4" w:space="0"/>
            </w:tcBorders>
            <w:noWrap/>
            <w:vAlign w:val="center"/>
          </w:tcPr>
          <w:p w14:paraId="3BF6A79A">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842" w:type="dxa"/>
            <w:tcBorders>
              <w:top w:val="nil"/>
              <w:left w:val="nil"/>
              <w:bottom w:val="single" w:color="auto" w:sz="4" w:space="0"/>
              <w:right w:val="single" w:color="auto" w:sz="4" w:space="0"/>
            </w:tcBorders>
            <w:noWrap/>
            <w:vAlign w:val="center"/>
          </w:tcPr>
          <w:p w14:paraId="4E77BFFE">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50≤X＜300</w:t>
            </w:r>
          </w:p>
        </w:tc>
        <w:tc>
          <w:tcPr>
            <w:tcW w:w="1701" w:type="dxa"/>
            <w:tcBorders>
              <w:top w:val="nil"/>
              <w:left w:val="nil"/>
              <w:bottom w:val="single" w:color="auto" w:sz="4" w:space="0"/>
              <w:right w:val="single" w:color="auto" w:sz="4" w:space="0"/>
            </w:tcBorders>
            <w:noWrap/>
            <w:vAlign w:val="center"/>
          </w:tcPr>
          <w:p w14:paraId="2A1042D3">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10≤X＜50</w:t>
            </w:r>
          </w:p>
        </w:tc>
        <w:tc>
          <w:tcPr>
            <w:tcW w:w="1134" w:type="dxa"/>
            <w:tcBorders>
              <w:top w:val="nil"/>
              <w:left w:val="nil"/>
              <w:bottom w:val="single" w:color="auto" w:sz="4" w:space="0"/>
              <w:right w:val="single" w:color="auto" w:sz="4" w:space="0"/>
            </w:tcBorders>
            <w:noWrap/>
            <w:vAlign w:val="center"/>
          </w:tcPr>
          <w:p w14:paraId="382C40C4">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26C76771">
        <w:tblPrEx>
          <w:tblCellMar>
            <w:top w:w="0" w:type="dxa"/>
            <w:left w:w="108" w:type="dxa"/>
            <w:bottom w:w="0" w:type="dxa"/>
            <w:right w:w="108" w:type="dxa"/>
          </w:tblCellMar>
        </w:tblPrEx>
        <w:trPr>
          <w:trHeight w:val="369"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40F60D41">
            <w:pPr>
              <w:widowControl/>
              <w:shd w:val="clear" w:color="auto" w:fill="auto"/>
              <w:jc w:val="left"/>
              <w:rPr>
                <w:rFonts w:hint="eastAsia" w:ascii="宋体" w:hAnsi="宋体" w:eastAsia="宋体" w:cs="宋体"/>
                <w:b/>
                <w:bCs/>
                <w:color w:val="auto"/>
                <w:kern w:val="0"/>
                <w:sz w:val="21"/>
                <w:szCs w:val="21"/>
                <w:highlight w:val="none"/>
              </w:rPr>
            </w:pPr>
          </w:p>
        </w:tc>
        <w:tc>
          <w:tcPr>
            <w:tcW w:w="1712" w:type="dxa"/>
            <w:tcBorders>
              <w:top w:val="nil"/>
              <w:left w:val="nil"/>
              <w:bottom w:val="single" w:color="auto" w:sz="4" w:space="0"/>
              <w:right w:val="single" w:color="auto" w:sz="4" w:space="0"/>
            </w:tcBorders>
            <w:noWrap/>
            <w:vAlign w:val="center"/>
          </w:tcPr>
          <w:p w14:paraId="1B0A1BF7">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123" w:type="dxa"/>
            <w:tcBorders>
              <w:top w:val="nil"/>
              <w:left w:val="nil"/>
              <w:bottom w:val="single" w:color="auto" w:sz="4" w:space="0"/>
              <w:right w:val="single" w:color="auto" w:sz="4" w:space="0"/>
            </w:tcBorders>
            <w:noWrap/>
            <w:vAlign w:val="center"/>
          </w:tcPr>
          <w:p w14:paraId="0ED4EE22">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42" w:type="dxa"/>
            <w:tcBorders>
              <w:top w:val="nil"/>
              <w:left w:val="nil"/>
              <w:bottom w:val="single" w:color="auto" w:sz="4" w:space="0"/>
              <w:right w:val="single" w:color="auto" w:sz="4" w:space="0"/>
            </w:tcBorders>
            <w:noWrap/>
            <w:vAlign w:val="center"/>
          </w:tcPr>
          <w:p w14:paraId="349AACA7">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500≤Y＜20000</w:t>
            </w:r>
          </w:p>
        </w:tc>
        <w:tc>
          <w:tcPr>
            <w:tcW w:w="1701" w:type="dxa"/>
            <w:tcBorders>
              <w:top w:val="nil"/>
              <w:left w:val="nil"/>
              <w:bottom w:val="single" w:color="auto" w:sz="4" w:space="0"/>
              <w:right w:val="single" w:color="auto" w:sz="4" w:space="0"/>
            </w:tcBorders>
            <w:noWrap/>
            <w:vAlign w:val="center"/>
          </w:tcPr>
          <w:p w14:paraId="06048735">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100≤Y＜500</w:t>
            </w:r>
          </w:p>
        </w:tc>
        <w:tc>
          <w:tcPr>
            <w:tcW w:w="1134" w:type="dxa"/>
            <w:tcBorders>
              <w:top w:val="nil"/>
              <w:left w:val="nil"/>
              <w:bottom w:val="single" w:color="auto" w:sz="4" w:space="0"/>
              <w:right w:val="single" w:color="auto" w:sz="4" w:space="0"/>
            </w:tcBorders>
            <w:noWrap/>
            <w:vAlign w:val="center"/>
          </w:tcPr>
          <w:p w14:paraId="4094D1AE">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18210FFF">
        <w:tblPrEx>
          <w:tblCellMar>
            <w:top w:w="0" w:type="dxa"/>
            <w:left w:w="108" w:type="dxa"/>
            <w:bottom w:w="0" w:type="dxa"/>
            <w:right w:w="108" w:type="dxa"/>
          </w:tblCellMar>
        </w:tblPrEx>
        <w:trPr>
          <w:trHeight w:val="369" w:hRule="atLeast"/>
          <w:jc w:val="center"/>
        </w:trPr>
        <w:tc>
          <w:tcPr>
            <w:tcW w:w="1985" w:type="dxa"/>
            <w:vMerge w:val="restart"/>
            <w:tcBorders>
              <w:top w:val="nil"/>
              <w:left w:val="single" w:color="auto" w:sz="4" w:space="0"/>
              <w:bottom w:val="single" w:color="auto" w:sz="4" w:space="0"/>
              <w:right w:val="single" w:color="auto" w:sz="4" w:space="0"/>
            </w:tcBorders>
            <w:noWrap/>
            <w:vAlign w:val="center"/>
          </w:tcPr>
          <w:p w14:paraId="2AA62A01">
            <w:pPr>
              <w:widowControl/>
              <w:shd w:val="clear" w:color="auto" w:fill="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交通运输业</w:t>
            </w:r>
          </w:p>
        </w:tc>
        <w:tc>
          <w:tcPr>
            <w:tcW w:w="1712" w:type="dxa"/>
            <w:tcBorders>
              <w:top w:val="nil"/>
              <w:left w:val="nil"/>
              <w:bottom w:val="single" w:color="auto" w:sz="4" w:space="0"/>
              <w:right w:val="single" w:color="auto" w:sz="4" w:space="0"/>
            </w:tcBorders>
            <w:noWrap/>
            <w:vAlign w:val="center"/>
          </w:tcPr>
          <w:p w14:paraId="361E1F58">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123" w:type="dxa"/>
            <w:tcBorders>
              <w:top w:val="nil"/>
              <w:left w:val="nil"/>
              <w:bottom w:val="single" w:color="auto" w:sz="4" w:space="0"/>
              <w:right w:val="single" w:color="auto" w:sz="4" w:space="0"/>
            </w:tcBorders>
            <w:noWrap/>
            <w:vAlign w:val="center"/>
          </w:tcPr>
          <w:p w14:paraId="66D2EF1B">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842" w:type="dxa"/>
            <w:tcBorders>
              <w:top w:val="nil"/>
              <w:left w:val="nil"/>
              <w:bottom w:val="single" w:color="auto" w:sz="4" w:space="0"/>
              <w:right w:val="single" w:color="auto" w:sz="4" w:space="0"/>
            </w:tcBorders>
            <w:noWrap/>
            <w:vAlign w:val="center"/>
          </w:tcPr>
          <w:p w14:paraId="74F45C1B">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701" w:type="dxa"/>
            <w:tcBorders>
              <w:top w:val="nil"/>
              <w:left w:val="nil"/>
              <w:bottom w:val="single" w:color="auto" w:sz="4" w:space="0"/>
              <w:right w:val="single" w:color="auto" w:sz="4" w:space="0"/>
            </w:tcBorders>
            <w:noWrap/>
            <w:vAlign w:val="center"/>
          </w:tcPr>
          <w:p w14:paraId="14617369">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20≤X＜300</w:t>
            </w:r>
          </w:p>
        </w:tc>
        <w:tc>
          <w:tcPr>
            <w:tcW w:w="1134" w:type="dxa"/>
            <w:tcBorders>
              <w:top w:val="nil"/>
              <w:left w:val="nil"/>
              <w:bottom w:val="single" w:color="auto" w:sz="4" w:space="0"/>
              <w:right w:val="single" w:color="auto" w:sz="4" w:space="0"/>
            </w:tcBorders>
            <w:noWrap/>
            <w:vAlign w:val="center"/>
          </w:tcPr>
          <w:p w14:paraId="0709E1AB">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0F530263">
        <w:tblPrEx>
          <w:tblCellMar>
            <w:top w:w="0" w:type="dxa"/>
            <w:left w:w="108" w:type="dxa"/>
            <w:bottom w:w="0" w:type="dxa"/>
            <w:right w:w="108" w:type="dxa"/>
          </w:tblCellMar>
        </w:tblPrEx>
        <w:trPr>
          <w:trHeight w:val="369"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52985F60">
            <w:pPr>
              <w:widowControl/>
              <w:shd w:val="clear" w:color="auto" w:fill="auto"/>
              <w:jc w:val="left"/>
              <w:rPr>
                <w:rFonts w:hint="eastAsia" w:ascii="宋体" w:hAnsi="宋体" w:eastAsia="宋体" w:cs="宋体"/>
                <w:b/>
                <w:bCs/>
                <w:color w:val="auto"/>
                <w:kern w:val="0"/>
                <w:sz w:val="21"/>
                <w:szCs w:val="21"/>
                <w:highlight w:val="none"/>
              </w:rPr>
            </w:pPr>
          </w:p>
        </w:tc>
        <w:tc>
          <w:tcPr>
            <w:tcW w:w="1712" w:type="dxa"/>
            <w:tcBorders>
              <w:top w:val="nil"/>
              <w:left w:val="nil"/>
              <w:bottom w:val="single" w:color="auto" w:sz="4" w:space="0"/>
              <w:right w:val="single" w:color="auto" w:sz="4" w:space="0"/>
            </w:tcBorders>
            <w:noWrap/>
            <w:vAlign w:val="center"/>
          </w:tcPr>
          <w:p w14:paraId="64D0A4D9">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123" w:type="dxa"/>
            <w:tcBorders>
              <w:top w:val="nil"/>
              <w:left w:val="nil"/>
              <w:bottom w:val="single" w:color="auto" w:sz="4" w:space="0"/>
              <w:right w:val="single" w:color="auto" w:sz="4" w:space="0"/>
            </w:tcBorders>
            <w:noWrap/>
            <w:vAlign w:val="center"/>
          </w:tcPr>
          <w:p w14:paraId="0804D5CE">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42" w:type="dxa"/>
            <w:tcBorders>
              <w:top w:val="nil"/>
              <w:left w:val="nil"/>
              <w:bottom w:val="single" w:color="auto" w:sz="4" w:space="0"/>
              <w:right w:val="single" w:color="auto" w:sz="4" w:space="0"/>
            </w:tcBorders>
            <w:noWrap/>
            <w:vAlign w:val="center"/>
          </w:tcPr>
          <w:p w14:paraId="0B61C0F3">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3000≤Y＜30000</w:t>
            </w:r>
          </w:p>
        </w:tc>
        <w:tc>
          <w:tcPr>
            <w:tcW w:w="1701" w:type="dxa"/>
            <w:tcBorders>
              <w:top w:val="nil"/>
              <w:left w:val="nil"/>
              <w:bottom w:val="single" w:color="auto" w:sz="4" w:space="0"/>
              <w:right w:val="single" w:color="auto" w:sz="4" w:space="0"/>
            </w:tcBorders>
            <w:noWrap/>
            <w:vAlign w:val="center"/>
          </w:tcPr>
          <w:p w14:paraId="143B538D">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200≤Y＜3000</w:t>
            </w:r>
          </w:p>
        </w:tc>
        <w:tc>
          <w:tcPr>
            <w:tcW w:w="1134" w:type="dxa"/>
            <w:tcBorders>
              <w:top w:val="nil"/>
              <w:left w:val="nil"/>
              <w:bottom w:val="single" w:color="auto" w:sz="4" w:space="0"/>
              <w:right w:val="single" w:color="auto" w:sz="4" w:space="0"/>
            </w:tcBorders>
            <w:noWrap/>
            <w:vAlign w:val="center"/>
          </w:tcPr>
          <w:p w14:paraId="44C0B9BA">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w:t>
            </w:r>
          </w:p>
        </w:tc>
      </w:tr>
      <w:tr w14:paraId="34F98B3B">
        <w:tblPrEx>
          <w:tblCellMar>
            <w:top w:w="0" w:type="dxa"/>
            <w:left w:w="108" w:type="dxa"/>
            <w:bottom w:w="0" w:type="dxa"/>
            <w:right w:w="108" w:type="dxa"/>
          </w:tblCellMar>
        </w:tblPrEx>
        <w:trPr>
          <w:trHeight w:val="369" w:hRule="atLeast"/>
          <w:jc w:val="center"/>
        </w:trPr>
        <w:tc>
          <w:tcPr>
            <w:tcW w:w="1985" w:type="dxa"/>
            <w:vMerge w:val="restart"/>
            <w:tcBorders>
              <w:top w:val="nil"/>
              <w:left w:val="single" w:color="auto" w:sz="4" w:space="0"/>
              <w:bottom w:val="single" w:color="auto" w:sz="4" w:space="0"/>
              <w:right w:val="single" w:color="auto" w:sz="4" w:space="0"/>
            </w:tcBorders>
            <w:noWrap/>
            <w:vAlign w:val="center"/>
          </w:tcPr>
          <w:p w14:paraId="3D32F87C">
            <w:pPr>
              <w:widowControl/>
              <w:shd w:val="clear" w:color="auto" w:fill="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仓储业</w:t>
            </w:r>
          </w:p>
        </w:tc>
        <w:tc>
          <w:tcPr>
            <w:tcW w:w="1712" w:type="dxa"/>
            <w:tcBorders>
              <w:top w:val="nil"/>
              <w:left w:val="nil"/>
              <w:bottom w:val="single" w:color="auto" w:sz="4" w:space="0"/>
              <w:right w:val="single" w:color="auto" w:sz="4" w:space="0"/>
            </w:tcBorders>
            <w:noWrap/>
            <w:vAlign w:val="center"/>
          </w:tcPr>
          <w:p w14:paraId="17F702C8">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123" w:type="dxa"/>
            <w:tcBorders>
              <w:top w:val="nil"/>
              <w:left w:val="nil"/>
              <w:bottom w:val="single" w:color="auto" w:sz="4" w:space="0"/>
              <w:right w:val="single" w:color="auto" w:sz="4" w:space="0"/>
            </w:tcBorders>
            <w:noWrap/>
            <w:vAlign w:val="center"/>
          </w:tcPr>
          <w:p w14:paraId="5F4D40B1">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842" w:type="dxa"/>
            <w:tcBorders>
              <w:top w:val="nil"/>
              <w:left w:val="nil"/>
              <w:bottom w:val="single" w:color="auto" w:sz="4" w:space="0"/>
              <w:right w:val="single" w:color="auto" w:sz="4" w:space="0"/>
            </w:tcBorders>
            <w:noWrap/>
            <w:vAlign w:val="center"/>
          </w:tcPr>
          <w:p w14:paraId="2B5AB3A5">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100≤X＜200</w:t>
            </w:r>
          </w:p>
        </w:tc>
        <w:tc>
          <w:tcPr>
            <w:tcW w:w="1701" w:type="dxa"/>
            <w:tcBorders>
              <w:top w:val="nil"/>
              <w:left w:val="nil"/>
              <w:bottom w:val="single" w:color="auto" w:sz="4" w:space="0"/>
              <w:right w:val="single" w:color="auto" w:sz="4" w:space="0"/>
            </w:tcBorders>
            <w:noWrap/>
            <w:vAlign w:val="center"/>
          </w:tcPr>
          <w:p w14:paraId="448984B9">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20≤X＜100</w:t>
            </w:r>
          </w:p>
        </w:tc>
        <w:tc>
          <w:tcPr>
            <w:tcW w:w="1134" w:type="dxa"/>
            <w:tcBorders>
              <w:top w:val="nil"/>
              <w:left w:val="nil"/>
              <w:bottom w:val="single" w:color="auto" w:sz="4" w:space="0"/>
              <w:right w:val="single" w:color="auto" w:sz="4" w:space="0"/>
            </w:tcBorders>
            <w:noWrap/>
            <w:vAlign w:val="center"/>
          </w:tcPr>
          <w:p w14:paraId="23047D9B">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059D6D54">
        <w:tblPrEx>
          <w:tblCellMar>
            <w:top w:w="0" w:type="dxa"/>
            <w:left w:w="108" w:type="dxa"/>
            <w:bottom w:w="0" w:type="dxa"/>
            <w:right w:w="108" w:type="dxa"/>
          </w:tblCellMar>
        </w:tblPrEx>
        <w:trPr>
          <w:trHeight w:val="369"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6B934304">
            <w:pPr>
              <w:widowControl/>
              <w:shd w:val="clear" w:color="auto" w:fill="auto"/>
              <w:jc w:val="left"/>
              <w:rPr>
                <w:rFonts w:hint="eastAsia" w:ascii="宋体" w:hAnsi="宋体" w:eastAsia="宋体" w:cs="宋体"/>
                <w:b/>
                <w:bCs/>
                <w:color w:val="auto"/>
                <w:kern w:val="0"/>
                <w:sz w:val="21"/>
                <w:szCs w:val="21"/>
                <w:highlight w:val="none"/>
              </w:rPr>
            </w:pPr>
          </w:p>
        </w:tc>
        <w:tc>
          <w:tcPr>
            <w:tcW w:w="1712" w:type="dxa"/>
            <w:tcBorders>
              <w:top w:val="nil"/>
              <w:left w:val="nil"/>
              <w:bottom w:val="single" w:color="auto" w:sz="4" w:space="0"/>
              <w:right w:val="single" w:color="auto" w:sz="4" w:space="0"/>
            </w:tcBorders>
            <w:noWrap/>
            <w:vAlign w:val="center"/>
          </w:tcPr>
          <w:p w14:paraId="56B48FF4">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123" w:type="dxa"/>
            <w:tcBorders>
              <w:top w:val="nil"/>
              <w:left w:val="nil"/>
              <w:bottom w:val="single" w:color="auto" w:sz="4" w:space="0"/>
              <w:right w:val="single" w:color="auto" w:sz="4" w:space="0"/>
            </w:tcBorders>
            <w:noWrap/>
            <w:vAlign w:val="center"/>
          </w:tcPr>
          <w:p w14:paraId="1E8806AB">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42" w:type="dxa"/>
            <w:tcBorders>
              <w:top w:val="nil"/>
              <w:left w:val="nil"/>
              <w:bottom w:val="single" w:color="auto" w:sz="4" w:space="0"/>
              <w:right w:val="single" w:color="auto" w:sz="4" w:space="0"/>
            </w:tcBorders>
            <w:noWrap/>
            <w:vAlign w:val="center"/>
          </w:tcPr>
          <w:p w14:paraId="29BA8926">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1000≤Y＜30000</w:t>
            </w:r>
          </w:p>
        </w:tc>
        <w:tc>
          <w:tcPr>
            <w:tcW w:w="1701" w:type="dxa"/>
            <w:tcBorders>
              <w:top w:val="nil"/>
              <w:left w:val="nil"/>
              <w:bottom w:val="single" w:color="auto" w:sz="4" w:space="0"/>
              <w:right w:val="single" w:color="auto" w:sz="4" w:space="0"/>
            </w:tcBorders>
            <w:noWrap/>
            <w:vAlign w:val="center"/>
          </w:tcPr>
          <w:p w14:paraId="53568056">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100≤Y＜1000</w:t>
            </w:r>
          </w:p>
        </w:tc>
        <w:tc>
          <w:tcPr>
            <w:tcW w:w="1134" w:type="dxa"/>
            <w:tcBorders>
              <w:top w:val="nil"/>
              <w:left w:val="nil"/>
              <w:bottom w:val="single" w:color="auto" w:sz="4" w:space="0"/>
              <w:right w:val="single" w:color="auto" w:sz="4" w:space="0"/>
            </w:tcBorders>
            <w:noWrap/>
            <w:vAlign w:val="center"/>
          </w:tcPr>
          <w:p w14:paraId="7267FEA6">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7B1F1A97">
        <w:tblPrEx>
          <w:tblCellMar>
            <w:top w:w="0" w:type="dxa"/>
            <w:left w:w="108" w:type="dxa"/>
            <w:bottom w:w="0" w:type="dxa"/>
            <w:right w:w="108" w:type="dxa"/>
          </w:tblCellMar>
        </w:tblPrEx>
        <w:trPr>
          <w:trHeight w:val="369" w:hRule="atLeast"/>
          <w:jc w:val="center"/>
        </w:trPr>
        <w:tc>
          <w:tcPr>
            <w:tcW w:w="1985" w:type="dxa"/>
            <w:vMerge w:val="restart"/>
            <w:tcBorders>
              <w:top w:val="nil"/>
              <w:left w:val="single" w:color="auto" w:sz="4" w:space="0"/>
              <w:bottom w:val="single" w:color="auto" w:sz="4" w:space="0"/>
              <w:right w:val="single" w:color="auto" w:sz="4" w:space="0"/>
            </w:tcBorders>
            <w:noWrap/>
            <w:vAlign w:val="center"/>
          </w:tcPr>
          <w:p w14:paraId="32D744D3">
            <w:pPr>
              <w:widowControl/>
              <w:shd w:val="clear" w:color="auto" w:fill="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邮政业</w:t>
            </w:r>
          </w:p>
        </w:tc>
        <w:tc>
          <w:tcPr>
            <w:tcW w:w="1712" w:type="dxa"/>
            <w:tcBorders>
              <w:top w:val="nil"/>
              <w:left w:val="nil"/>
              <w:bottom w:val="single" w:color="auto" w:sz="4" w:space="0"/>
              <w:right w:val="single" w:color="auto" w:sz="4" w:space="0"/>
            </w:tcBorders>
            <w:noWrap/>
            <w:vAlign w:val="center"/>
          </w:tcPr>
          <w:p w14:paraId="4A4966C8">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123" w:type="dxa"/>
            <w:tcBorders>
              <w:top w:val="nil"/>
              <w:left w:val="nil"/>
              <w:bottom w:val="single" w:color="auto" w:sz="4" w:space="0"/>
              <w:right w:val="single" w:color="auto" w:sz="4" w:space="0"/>
            </w:tcBorders>
            <w:noWrap/>
            <w:vAlign w:val="center"/>
          </w:tcPr>
          <w:p w14:paraId="71887019">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842" w:type="dxa"/>
            <w:tcBorders>
              <w:top w:val="nil"/>
              <w:left w:val="nil"/>
              <w:bottom w:val="single" w:color="auto" w:sz="4" w:space="0"/>
              <w:right w:val="single" w:color="auto" w:sz="4" w:space="0"/>
            </w:tcBorders>
            <w:noWrap/>
            <w:vAlign w:val="center"/>
          </w:tcPr>
          <w:p w14:paraId="7518E633">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701" w:type="dxa"/>
            <w:tcBorders>
              <w:top w:val="nil"/>
              <w:left w:val="nil"/>
              <w:bottom w:val="single" w:color="auto" w:sz="4" w:space="0"/>
              <w:right w:val="single" w:color="auto" w:sz="4" w:space="0"/>
            </w:tcBorders>
            <w:noWrap/>
            <w:vAlign w:val="center"/>
          </w:tcPr>
          <w:p w14:paraId="59E399ED">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20≤X＜300</w:t>
            </w:r>
          </w:p>
        </w:tc>
        <w:tc>
          <w:tcPr>
            <w:tcW w:w="1134" w:type="dxa"/>
            <w:tcBorders>
              <w:top w:val="nil"/>
              <w:left w:val="nil"/>
              <w:bottom w:val="single" w:color="auto" w:sz="4" w:space="0"/>
              <w:right w:val="single" w:color="auto" w:sz="4" w:space="0"/>
            </w:tcBorders>
            <w:noWrap/>
            <w:vAlign w:val="center"/>
          </w:tcPr>
          <w:p w14:paraId="4ECDE893">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404646A9">
        <w:tblPrEx>
          <w:tblCellMar>
            <w:top w:w="0" w:type="dxa"/>
            <w:left w:w="108" w:type="dxa"/>
            <w:bottom w:w="0" w:type="dxa"/>
            <w:right w:w="108" w:type="dxa"/>
          </w:tblCellMar>
        </w:tblPrEx>
        <w:trPr>
          <w:trHeight w:val="369"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34255E3C">
            <w:pPr>
              <w:widowControl/>
              <w:shd w:val="clear" w:color="auto" w:fill="auto"/>
              <w:jc w:val="left"/>
              <w:rPr>
                <w:rFonts w:hint="eastAsia" w:ascii="宋体" w:hAnsi="宋体" w:eastAsia="宋体" w:cs="宋体"/>
                <w:b/>
                <w:bCs/>
                <w:color w:val="auto"/>
                <w:kern w:val="0"/>
                <w:sz w:val="21"/>
                <w:szCs w:val="21"/>
                <w:highlight w:val="none"/>
              </w:rPr>
            </w:pPr>
          </w:p>
        </w:tc>
        <w:tc>
          <w:tcPr>
            <w:tcW w:w="1712" w:type="dxa"/>
            <w:tcBorders>
              <w:top w:val="nil"/>
              <w:left w:val="nil"/>
              <w:bottom w:val="single" w:color="auto" w:sz="4" w:space="0"/>
              <w:right w:val="single" w:color="auto" w:sz="4" w:space="0"/>
            </w:tcBorders>
            <w:noWrap/>
            <w:vAlign w:val="center"/>
          </w:tcPr>
          <w:p w14:paraId="44EE2047">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123" w:type="dxa"/>
            <w:tcBorders>
              <w:top w:val="nil"/>
              <w:left w:val="nil"/>
              <w:bottom w:val="single" w:color="auto" w:sz="4" w:space="0"/>
              <w:right w:val="single" w:color="auto" w:sz="4" w:space="0"/>
            </w:tcBorders>
            <w:noWrap/>
            <w:vAlign w:val="center"/>
          </w:tcPr>
          <w:p w14:paraId="04E72E8C">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42" w:type="dxa"/>
            <w:tcBorders>
              <w:top w:val="nil"/>
              <w:left w:val="nil"/>
              <w:bottom w:val="single" w:color="auto" w:sz="4" w:space="0"/>
              <w:right w:val="single" w:color="auto" w:sz="4" w:space="0"/>
            </w:tcBorders>
            <w:noWrap/>
            <w:vAlign w:val="center"/>
          </w:tcPr>
          <w:p w14:paraId="1F75D5B4">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2000≤Y＜30000</w:t>
            </w:r>
          </w:p>
        </w:tc>
        <w:tc>
          <w:tcPr>
            <w:tcW w:w="1701" w:type="dxa"/>
            <w:tcBorders>
              <w:top w:val="nil"/>
              <w:left w:val="nil"/>
              <w:bottom w:val="single" w:color="auto" w:sz="4" w:space="0"/>
              <w:right w:val="single" w:color="auto" w:sz="4" w:space="0"/>
            </w:tcBorders>
            <w:noWrap/>
            <w:vAlign w:val="center"/>
          </w:tcPr>
          <w:p w14:paraId="35D4E55F">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1134" w:type="dxa"/>
            <w:tcBorders>
              <w:top w:val="nil"/>
              <w:left w:val="nil"/>
              <w:bottom w:val="single" w:color="auto" w:sz="4" w:space="0"/>
              <w:right w:val="single" w:color="auto" w:sz="4" w:space="0"/>
            </w:tcBorders>
            <w:noWrap/>
            <w:vAlign w:val="center"/>
          </w:tcPr>
          <w:p w14:paraId="15B86613">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14355040">
        <w:tblPrEx>
          <w:tblCellMar>
            <w:top w:w="0" w:type="dxa"/>
            <w:left w:w="108" w:type="dxa"/>
            <w:bottom w:w="0" w:type="dxa"/>
            <w:right w:w="108" w:type="dxa"/>
          </w:tblCellMar>
        </w:tblPrEx>
        <w:trPr>
          <w:trHeight w:val="369" w:hRule="atLeast"/>
          <w:jc w:val="center"/>
        </w:trPr>
        <w:tc>
          <w:tcPr>
            <w:tcW w:w="1985" w:type="dxa"/>
            <w:vMerge w:val="restart"/>
            <w:tcBorders>
              <w:top w:val="nil"/>
              <w:left w:val="single" w:color="auto" w:sz="4" w:space="0"/>
              <w:bottom w:val="single" w:color="auto" w:sz="4" w:space="0"/>
              <w:right w:val="single" w:color="auto" w:sz="4" w:space="0"/>
            </w:tcBorders>
            <w:noWrap/>
            <w:vAlign w:val="center"/>
          </w:tcPr>
          <w:p w14:paraId="6B21BCA1">
            <w:pPr>
              <w:widowControl/>
              <w:shd w:val="clear" w:color="auto" w:fill="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住宿业</w:t>
            </w:r>
          </w:p>
        </w:tc>
        <w:tc>
          <w:tcPr>
            <w:tcW w:w="1712" w:type="dxa"/>
            <w:tcBorders>
              <w:top w:val="nil"/>
              <w:left w:val="nil"/>
              <w:bottom w:val="single" w:color="auto" w:sz="4" w:space="0"/>
              <w:right w:val="single" w:color="auto" w:sz="4" w:space="0"/>
            </w:tcBorders>
            <w:noWrap/>
            <w:vAlign w:val="center"/>
          </w:tcPr>
          <w:p w14:paraId="035B47D1">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123" w:type="dxa"/>
            <w:tcBorders>
              <w:top w:val="nil"/>
              <w:left w:val="nil"/>
              <w:bottom w:val="single" w:color="auto" w:sz="4" w:space="0"/>
              <w:right w:val="single" w:color="auto" w:sz="4" w:space="0"/>
            </w:tcBorders>
            <w:noWrap/>
            <w:vAlign w:val="center"/>
          </w:tcPr>
          <w:p w14:paraId="2D26E7E2">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842" w:type="dxa"/>
            <w:tcBorders>
              <w:top w:val="nil"/>
              <w:left w:val="nil"/>
              <w:bottom w:val="single" w:color="auto" w:sz="4" w:space="0"/>
              <w:right w:val="single" w:color="auto" w:sz="4" w:space="0"/>
            </w:tcBorders>
            <w:noWrap/>
            <w:vAlign w:val="center"/>
          </w:tcPr>
          <w:p w14:paraId="4F8B70BB">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701" w:type="dxa"/>
            <w:tcBorders>
              <w:top w:val="nil"/>
              <w:left w:val="nil"/>
              <w:bottom w:val="single" w:color="auto" w:sz="4" w:space="0"/>
              <w:right w:val="single" w:color="auto" w:sz="4" w:space="0"/>
            </w:tcBorders>
            <w:noWrap/>
            <w:vAlign w:val="center"/>
          </w:tcPr>
          <w:p w14:paraId="118F022B">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1134" w:type="dxa"/>
            <w:tcBorders>
              <w:top w:val="nil"/>
              <w:left w:val="nil"/>
              <w:bottom w:val="single" w:color="auto" w:sz="4" w:space="0"/>
              <w:right w:val="single" w:color="auto" w:sz="4" w:space="0"/>
            </w:tcBorders>
            <w:noWrap/>
            <w:vAlign w:val="center"/>
          </w:tcPr>
          <w:p w14:paraId="64381E07">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1A1BFF9B">
        <w:tblPrEx>
          <w:tblCellMar>
            <w:top w:w="0" w:type="dxa"/>
            <w:left w:w="108" w:type="dxa"/>
            <w:bottom w:w="0" w:type="dxa"/>
            <w:right w:w="108" w:type="dxa"/>
          </w:tblCellMar>
        </w:tblPrEx>
        <w:trPr>
          <w:trHeight w:val="369"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00462DD6">
            <w:pPr>
              <w:widowControl/>
              <w:shd w:val="clear" w:color="auto" w:fill="auto"/>
              <w:jc w:val="left"/>
              <w:rPr>
                <w:rFonts w:hint="eastAsia" w:ascii="宋体" w:hAnsi="宋体" w:eastAsia="宋体" w:cs="宋体"/>
                <w:b/>
                <w:bCs/>
                <w:color w:val="auto"/>
                <w:kern w:val="0"/>
                <w:sz w:val="21"/>
                <w:szCs w:val="21"/>
                <w:highlight w:val="none"/>
              </w:rPr>
            </w:pPr>
          </w:p>
        </w:tc>
        <w:tc>
          <w:tcPr>
            <w:tcW w:w="1712" w:type="dxa"/>
            <w:tcBorders>
              <w:top w:val="nil"/>
              <w:left w:val="nil"/>
              <w:bottom w:val="single" w:color="auto" w:sz="4" w:space="0"/>
              <w:right w:val="single" w:color="auto" w:sz="4" w:space="0"/>
            </w:tcBorders>
            <w:noWrap/>
            <w:vAlign w:val="center"/>
          </w:tcPr>
          <w:p w14:paraId="788DEA32">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123" w:type="dxa"/>
            <w:tcBorders>
              <w:top w:val="nil"/>
              <w:left w:val="nil"/>
              <w:bottom w:val="single" w:color="auto" w:sz="4" w:space="0"/>
              <w:right w:val="single" w:color="auto" w:sz="4" w:space="0"/>
            </w:tcBorders>
            <w:noWrap/>
            <w:vAlign w:val="center"/>
          </w:tcPr>
          <w:p w14:paraId="5C77678A">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42" w:type="dxa"/>
            <w:tcBorders>
              <w:top w:val="nil"/>
              <w:left w:val="nil"/>
              <w:bottom w:val="single" w:color="auto" w:sz="4" w:space="0"/>
              <w:right w:val="single" w:color="auto" w:sz="4" w:space="0"/>
            </w:tcBorders>
            <w:noWrap/>
            <w:vAlign w:val="center"/>
          </w:tcPr>
          <w:p w14:paraId="40B60B65">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2000≤Y＜10000</w:t>
            </w:r>
          </w:p>
        </w:tc>
        <w:tc>
          <w:tcPr>
            <w:tcW w:w="1701" w:type="dxa"/>
            <w:tcBorders>
              <w:top w:val="nil"/>
              <w:left w:val="nil"/>
              <w:bottom w:val="single" w:color="auto" w:sz="4" w:space="0"/>
              <w:right w:val="single" w:color="auto" w:sz="4" w:space="0"/>
            </w:tcBorders>
            <w:noWrap/>
            <w:vAlign w:val="center"/>
          </w:tcPr>
          <w:p w14:paraId="6085D350">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1134" w:type="dxa"/>
            <w:tcBorders>
              <w:top w:val="nil"/>
              <w:left w:val="nil"/>
              <w:bottom w:val="single" w:color="auto" w:sz="4" w:space="0"/>
              <w:right w:val="single" w:color="auto" w:sz="4" w:space="0"/>
            </w:tcBorders>
            <w:noWrap/>
            <w:vAlign w:val="center"/>
          </w:tcPr>
          <w:p w14:paraId="586AE9AF">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13AAD3A7">
        <w:tblPrEx>
          <w:tblCellMar>
            <w:top w:w="0" w:type="dxa"/>
            <w:left w:w="108" w:type="dxa"/>
            <w:bottom w:w="0" w:type="dxa"/>
            <w:right w:w="108" w:type="dxa"/>
          </w:tblCellMar>
        </w:tblPrEx>
        <w:trPr>
          <w:trHeight w:val="369" w:hRule="atLeast"/>
          <w:jc w:val="center"/>
        </w:trPr>
        <w:tc>
          <w:tcPr>
            <w:tcW w:w="1985" w:type="dxa"/>
            <w:vMerge w:val="restart"/>
            <w:tcBorders>
              <w:top w:val="nil"/>
              <w:left w:val="single" w:color="auto" w:sz="4" w:space="0"/>
              <w:bottom w:val="single" w:color="auto" w:sz="4" w:space="0"/>
              <w:right w:val="single" w:color="auto" w:sz="4" w:space="0"/>
            </w:tcBorders>
            <w:noWrap/>
            <w:vAlign w:val="center"/>
          </w:tcPr>
          <w:p w14:paraId="4630EEE8">
            <w:pPr>
              <w:widowControl/>
              <w:shd w:val="clear" w:color="auto" w:fill="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餐饮业</w:t>
            </w:r>
          </w:p>
        </w:tc>
        <w:tc>
          <w:tcPr>
            <w:tcW w:w="1712" w:type="dxa"/>
            <w:tcBorders>
              <w:top w:val="nil"/>
              <w:left w:val="nil"/>
              <w:bottom w:val="single" w:color="auto" w:sz="4" w:space="0"/>
              <w:right w:val="single" w:color="auto" w:sz="4" w:space="0"/>
            </w:tcBorders>
            <w:noWrap/>
            <w:vAlign w:val="center"/>
          </w:tcPr>
          <w:p w14:paraId="280A5F18">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123" w:type="dxa"/>
            <w:tcBorders>
              <w:top w:val="nil"/>
              <w:left w:val="nil"/>
              <w:bottom w:val="single" w:color="auto" w:sz="4" w:space="0"/>
              <w:right w:val="single" w:color="auto" w:sz="4" w:space="0"/>
            </w:tcBorders>
            <w:noWrap/>
            <w:vAlign w:val="center"/>
          </w:tcPr>
          <w:p w14:paraId="0136B475">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842" w:type="dxa"/>
            <w:tcBorders>
              <w:top w:val="nil"/>
              <w:left w:val="nil"/>
              <w:bottom w:val="single" w:color="auto" w:sz="4" w:space="0"/>
              <w:right w:val="single" w:color="auto" w:sz="4" w:space="0"/>
            </w:tcBorders>
            <w:noWrap/>
            <w:vAlign w:val="center"/>
          </w:tcPr>
          <w:p w14:paraId="59652CCD">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701" w:type="dxa"/>
            <w:tcBorders>
              <w:top w:val="nil"/>
              <w:left w:val="nil"/>
              <w:bottom w:val="single" w:color="auto" w:sz="4" w:space="0"/>
              <w:right w:val="single" w:color="auto" w:sz="4" w:space="0"/>
            </w:tcBorders>
            <w:noWrap/>
            <w:vAlign w:val="center"/>
          </w:tcPr>
          <w:p w14:paraId="068C199D">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1134" w:type="dxa"/>
            <w:tcBorders>
              <w:top w:val="nil"/>
              <w:left w:val="nil"/>
              <w:bottom w:val="single" w:color="auto" w:sz="4" w:space="0"/>
              <w:right w:val="single" w:color="auto" w:sz="4" w:space="0"/>
            </w:tcBorders>
            <w:noWrap/>
            <w:vAlign w:val="center"/>
          </w:tcPr>
          <w:p w14:paraId="7FF80CB9">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3546D406">
        <w:tblPrEx>
          <w:tblCellMar>
            <w:top w:w="0" w:type="dxa"/>
            <w:left w:w="108" w:type="dxa"/>
            <w:bottom w:w="0" w:type="dxa"/>
            <w:right w:w="108" w:type="dxa"/>
          </w:tblCellMar>
        </w:tblPrEx>
        <w:trPr>
          <w:trHeight w:val="369"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7E9B1E3E">
            <w:pPr>
              <w:widowControl/>
              <w:shd w:val="clear" w:color="auto" w:fill="auto"/>
              <w:jc w:val="left"/>
              <w:rPr>
                <w:rFonts w:hint="eastAsia" w:ascii="宋体" w:hAnsi="宋体" w:eastAsia="宋体" w:cs="宋体"/>
                <w:b/>
                <w:bCs/>
                <w:color w:val="auto"/>
                <w:kern w:val="0"/>
                <w:sz w:val="21"/>
                <w:szCs w:val="21"/>
                <w:highlight w:val="none"/>
              </w:rPr>
            </w:pPr>
          </w:p>
        </w:tc>
        <w:tc>
          <w:tcPr>
            <w:tcW w:w="1712" w:type="dxa"/>
            <w:tcBorders>
              <w:top w:val="nil"/>
              <w:left w:val="nil"/>
              <w:bottom w:val="single" w:color="auto" w:sz="4" w:space="0"/>
              <w:right w:val="single" w:color="auto" w:sz="4" w:space="0"/>
            </w:tcBorders>
            <w:noWrap/>
            <w:vAlign w:val="center"/>
          </w:tcPr>
          <w:p w14:paraId="6A9EA0A3">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123" w:type="dxa"/>
            <w:tcBorders>
              <w:top w:val="nil"/>
              <w:left w:val="nil"/>
              <w:bottom w:val="single" w:color="auto" w:sz="4" w:space="0"/>
              <w:right w:val="single" w:color="auto" w:sz="4" w:space="0"/>
            </w:tcBorders>
            <w:noWrap/>
            <w:vAlign w:val="center"/>
          </w:tcPr>
          <w:p w14:paraId="4E7DB5DF">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42" w:type="dxa"/>
            <w:tcBorders>
              <w:top w:val="nil"/>
              <w:left w:val="nil"/>
              <w:bottom w:val="single" w:color="auto" w:sz="4" w:space="0"/>
              <w:right w:val="single" w:color="auto" w:sz="4" w:space="0"/>
            </w:tcBorders>
            <w:noWrap/>
            <w:vAlign w:val="center"/>
          </w:tcPr>
          <w:p w14:paraId="55E6C6E6">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2000≤Y＜10000</w:t>
            </w:r>
          </w:p>
        </w:tc>
        <w:tc>
          <w:tcPr>
            <w:tcW w:w="1701" w:type="dxa"/>
            <w:tcBorders>
              <w:top w:val="nil"/>
              <w:left w:val="nil"/>
              <w:bottom w:val="single" w:color="auto" w:sz="4" w:space="0"/>
              <w:right w:val="single" w:color="auto" w:sz="4" w:space="0"/>
            </w:tcBorders>
            <w:noWrap/>
            <w:vAlign w:val="center"/>
          </w:tcPr>
          <w:p w14:paraId="71E12B1F">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1134" w:type="dxa"/>
            <w:tcBorders>
              <w:top w:val="nil"/>
              <w:left w:val="nil"/>
              <w:bottom w:val="single" w:color="auto" w:sz="4" w:space="0"/>
              <w:right w:val="single" w:color="auto" w:sz="4" w:space="0"/>
            </w:tcBorders>
            <w:noWrap/>
            <w:vAlign w:val="center"/>
          </w:tcPr>
          <w:p w14:paraId="69BE4A3C">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157BD0E0">
        <w:tblPrEx>
          <w:tblCellMar>
            <w:top w:w="0" w:type="dxa"/>
            <w:left w:w="108" w:type="dxa"/>
            <w:bottom w:w="0" w:type="dxa"/>
            <w:right w:w="108" w:type="dxa"/>
          </w:tblCellMar>
        </w:tblPrEx>
        <w:trPr>
          <w:trHeight w:val="369" w:hRule="atLeast"/>
          <w:jc w:val="center"/>
        </w:trPr>
        <w:tc>
          <w:tcPr>
            <w:tcW w:w="1985" w:type="dxa"/>
            <w:vMerge w:val="restart"/>
            <w:tcBorders>
              <w:top w:val="nil"/>
              <w:left w:val="single" w:color="auto" w:sz="4" w:space="0"/>
              <w:bottom w:val="single" w:color="auto" w:sz="4" w:space="0"/>
              <w:right w:val="single" w:color="auto" w:sz="4" w:space="0"/>
            </w:tcBorders>
            <w:noWrap/>
            <w:vAlign w:val="center"/>
          </w:tcPr>
          <w:p w14:paraId="54FEABF9">
            <w:pPr>
              <w:widowControl/>
              <w:shd w:val="clear" w:color="auto" w:fill="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信息传输业</w:t>
            </w:r>
          </w:p>
        </w:tc>
        <w:tc>
          <w:tcPr>
            <w:tcW w:w="1712" w:type="dxa"/>
            <w:tcBorders>
              <w:top w:val="nil"/>
              <w:left w:val="nil"/>
              <w:bottom w:val="single" w:color="auto" w:sz="4" w:space="0"/>
              <w:right w:val="single" w:color="auto" w:sz="4" w:space="0"/>
            </w:tcBorders>
            <w:noWrap/>
            <w:vAlign w:val="center"/>
          </w:tcPr>
          <w:p w14:paraId="3D7DA1FB">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123" w:type="dxa"/>
            <w:tcBorders>
              <w:top w:val="nil"/>
              <w:left w:val="nil"/>
              <w:bottom w:val="single" w:color="auto" w:sz="4" w:space="0"/>
              <w:right w:val="single" w:color="auto" w:sz="4" w:space="0"/>
            </w:tcBorders>
            <w:noWrap/>
            <w:vAlign w:val="center"/>
          </w:tcPr>
          <w:p w14:paraId="1F926728">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842" w:type="dxa"/>
            <w:tcBorders>
              <w:top w:val="nil"/>
              <w:left w:val="nil"/>
              <w:bottom w:val="single" w:color="auto" w:sz="4" w:space="0"/>
              <w:right w:val="single" w:color="auto" w:sz="4" w:space="0"/>
            </w:tcBorders>
            <w:noWrap/>
            <w:vAlign w:val="center"/>
          </w:tcPr>
          <w:p w14:paraId="2A19451D">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100≤X＜2000</w:t>
            </w:r>
          </w:p>
        </w:tc>
        <w:tc>
          <w:tcPr>
            <w:tcW w:w="1701" w:type="dxa"/>
            <w:tcBorders>
              <w:top w:val="nil"/>
              <w:left w:val="nil"/>
              <w:bottom w:val="single" w:color="auto" w:sz="4" w:space="0"/>
              <w:right w:val="single" w:color="auto" w:sz="4" w:space="0"/>
            </w:tcBorders>
            <w:noWrap/>
            <w:vAlign w:val="center"/>
          </w:tcPr>
          <w:p w14:paraId="214EE554">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1134" w:type="dxa"/>
            <w:tcBorders>
              <w:top w:val="nil"/>
              <w:left w:val="nil"/>
              <w:bottom w:val="single" w:color="auto" w:sz="4" w:space="0"/>
              <w:right w:val="single" w:color="auto" w:sz="4" w:space="0"/>
            </w:tcBorders>
            <w:noWrap/>
            <w:vAlign w:val="center"/>
          </w:tcPr>
          <w:p w14:paraId="5BCCFC98">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650B9BD3">
        <w:tblPrEx>
          <w:tblCellMar>
            <w:top w:w="0" w:type="dxa"/>
            <w:left w:w="108" w:type="dxa"/>
            <w:bottom w:w="0" w:type="dxa"/>
            <w:right w:w="108" w:type="dxa"/>
          </w:tblCellMar>
        </w:tblPrEx>
        <w:trPr>
          <w:trHeight w:val="369"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2251EFBF">
            <w:pPr>
              <w:widowControl/>
              <w:shd w:val="clear" w:color="auto" w:fill="auto"/>
              <w:jc w:val="left"/>
              <w:rPr>
                <w:rFonts w:hint="eastAsia" w:ascii="宋体" w:hAnsi="宋体" w:eastAsia="宋体" w:cs="宋体"/>
                <w:b/>
                <w:bCs/>
                <w:color w:val="auto"/>
                <w:kern w:val="0"/>
                <w:sz w:val="21"/>
                <w:szCs w:val="21"/>
                <w:highlight w:val="none"/>
              </w:rPr>
            </w:pPr>
          </w:p>
        </w:tc>
        <w:tc>
          <w:tcPr>
            <w:tcW w:w="1712" w:type="dxa"/>
            <w:tcBorders>
              <w:top w:val="nil"/>
              <w:left w:val="nil"/>
              <w:bottom w:val="single" w:color="auto" w:sz="4" w:space="0"/>
              <w:right w:val="single" w:color="auto" w:sz="4" w:space="0"/>
            </w:tcBorders>
            <w:noWrap/>
            <w:vAlign w:val="center"/>
          </w:tcPr>
          <w:p w14:paraId="738479C6">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123" w:type="dxa"/>
            <w:tcBorders>
              <w:top w:val="nil"/>
              <w:left w:val="nil"/>
              <w:bottom w:val="single" w:color="auto" w:sz="4" w:space="0"/>
              <w:right w:val="single" w:color="auto" w:sz="4" w:space="0"/>
            </w:tcBorders>
            <w:noWrap/>
            <w:vAlign w:val="center"/>
          </w:tcPr>
          <w:p w14:paraId="72C5C88F">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42" w:type="dxa"/>
            <w:tcBorders>
              <w:top w:val="nil"/>
              <w:left w:val="nil"/>
              <w:bottom w:val="single" w:color="auto" w:sz="4" w:space="0"/>
              <w:right w:val="single" w:color="auto" w:sz="4" w:space="0"/>
            </w:tcBorders>
            <w:noWrap/>
            <w:vAlign w:val="center"/>
          </w:tcPr>
          <w:p w14:paraId="5E88C67A">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1000≤Y＜100000</w:t>
            </w:r>
          </w:p>
        </w:tc>
        <w:tc>
          <w:tcPr>
            <w:tcW w:w="1701" w:type="dxa"/>
            <w:tcBorders>
              <w:top w:val="nil"/>
              <w:left w:val="nil"/>
              <w:bottom w:val="single" w:color="auto" w:sz="4" w:space="0"/>
              <w:right w:val="single" w:color="auto" w:sz="4" w:space="0"/>
            </w:tcBorders>
            <w:noWrap/>
            <w:vAlign w:val="center"/>
          </w:tcPr>
          <w:p w14:paraId="7CCE298F">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100≤Y＜1000</w:t>
            </w:r>
          </w:p>
        </w:tc>
        <w:tc>
          <w:tcPr>
            <w:tcW w:w="1134" w:type="dxa"/>
            <w:tcBorders>
              <w:top w:val="nil"/>
              <w:left w:val="nil"/>
              <w:bottom w:val="single" w:color="auto" w:sz="4" w:space="0"/>
              <w:right w:val="single" w:color="auto" w:sz="4" w:space="0"/>
            </w:tcBorders>
            <w:noWrap/>
            <w:vAlign w:val="center"/>
          </w:tcPr>
          <w:p w14:paraId="131E02A8">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5321BFAA">
        <w:tblPrEx>
          <w:tblCellMar>
            <w:top w:w="0" w:type="dxa"/>
            <w:left w:w="108" w:type="dxa"/>
            <w:bottom w:w="0" w:type="dxa"/>
            <w:right w:w="108" w:type="dxa"/>
          </w:tblCellMar>
        </w:tblPrEx>
        <w:trPr>
          <w:trHeight w:val="369" w:hRule="atLeast"/>
          <w:jc w:val="center"/>
        </w:trPr>
        <w:tc>
          <w:tcPr>
            <w:tcW w:w="1985" w:type="dxa"/>
            <w:vMerge w:val="restart"/>
            <w:tcBorders>
              <w:top w:val="nil"/>
              <w:left w:val="single" w:color="auto" w:sz="4" w:space="0"/>
              <w:bottom w:val="single" w:color="auto" w:sz="4" w:space="0"/>
              <w:right w:val="single" w:color="auto" w:sz="4" w:space="0"/>
            </w:tcBorders>
            <w:noWrap/>
            <w:vAlign w:val="center"/>
          </w:tcPr>
          <w:p w14:paraId="3F549144">
            <w:pPr>
              <w:widowControl/>
              <w:shd w:val="clear" w:color="auto" w:fill="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软件和信息技术服务业</w:t>
            </w:r>
          </w:p>
        </w:tc>
        <w:tc>
          <w:tcPr>
            <w:tcW w:w="1712" w:type="dxa"/>
            <w:tcBorders>
              <w:top w:val="nil"/>
              <w:left w:val="nil"/>
              <w:bottom w:val="single" w:color="auto" w:sz="4" w:space="0"/>
              <w:right w:val="single" w:color="auto" w:sz="4" w:space="0"/>
            </w:tcBorders>
            <w:noWrap/>
            <w:vAlign w:val="center"/>
          </w:tcPr>
          <w:p w14:paraId="111AA915">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123" w:type="dxa"/>
            <w:tcBorders>
              <w:top w:val="nil"/>
              <w:left w:val="nil"/>
              <w:bottom w:val="single" w:color="auto" w:sz="4" w:space="0"/>
              <w:right w:val="single" w:color="auto" w:sz="4" w:space="0"/>
            </w:tcBorders>
            <w:noWrap/>
            <w:vAlign w:val="center"/>
          </w:tcPr>
          <w:p w14:paraId="7E5C36AA">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842" w:type="dxa"/>
            <w:tcBorders>
              <w:top w:val="nil"/>
              <w:left w:val="nil"/>
              <w:bottom w:val="single" w:color="auto" w:sz="4" w:space="0"/>
              <w:right w:val="single" w:color="auto" w:sz="4" w:space="0"/>
            </w:tcBorders>
            <w:noWrap/>
            <w:vAlign w:val="center"/>
          </w:tcPr>
          <w:p w14:paraId="3A7B4494">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701" w:type="dxa"/>
            <w:tcBorders>
              <w:top w:val="nil"/>
              <w:left w:val="nil"/>
              <w:bottom w:val="single" w:color="auto" w:sz="4" w:space="0"/>
              <w:right w:val="single" w:color="auto" w:sz="4" w:space="0"/>
            </w:tcBorders>
            <w:noWrap/>
            <w:vAlign w:val="center"/>
          </w:tcPr>
          <w:p w14:paraId="657A7581">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1134" w:type="dxa"/>
            <w:tcBorders>
              <w:top w:val="nil"/>
              <w:left w:val="nil"/>
              <w:bottom w:val="single" w:color="auto" w:sz="4" w:space="0"/>
              <w:right w:val="single" w:color="auto" w:sz="4" w:space="0"/>
            </w:tcBorders>
            <w:noWrap/>
            <w:vAlign w:val="center"/>
          </w:tcPr>
          <w:p w14:paraId="24C4E408">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0ABBED06">
        <w:tblPrEx>
          <w:tblCellMar>
            <w:top w:w="0" w:type="dxa"/>
            <w:left w:w="108" w:type="dxa"/>
            <w:bottom w:w="0" w:type="dxa"/>
            <w:right w:w="108" w:type="dxa"/>
          </w:tblCellMar>
        </w:tblPrEx>
        <w:trPr>
          <w:trHeight w:val="369"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7E03CBB4">
            <w:pPr>
              <w:widowControl/>
              <w:shd w:val="clear" w:color="auto" w:fill="auto"/>
              <w:jc w:val="left"/>
              <w:rPr>
                <w:rFonts w:hint="eastAsia" w:ascii="宋体" w:hAnsi="宋体" w:eastAsia="宋体" w:cs="宋体"/>
                <w:b/>
                <w:bCs/>
                <w:color w:val="auto"/>
                <w:kern w:val="0"/>
                <w:sz w:val="21"/>
                <w:szCs w:val="21"/>
                <w:highlight w:val="none"/>
              </w:rPr>
            </w:pPr>
          </w:p>
        </w:tc>
        <w:tc>
          <w:tcPr>
            <w:tcW w:w="1712" w:type="dxa"/>
            <w:tcBorders>
              <w:top w:val="nil"/>
              <w:left w:val="nil"/>
              <w:bottom w:val="single" w:color="auto" w:sz="4" w:space="0"/>
              <w:right w:val="single" w:color="auto" w:sz="4" w:space="0"/>
            </w:tcBorders>
            <w:noWrap/>
            <w:vAlign w:val="center"/>
          </w:tcPr>
          <w:p w14:paraId="286705DB">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123" w:type="dxa"/>
            <w:tcBorders>
              <w:top w:val="nil"/>
              <w:left w:val="nil"/>
              <w:bottom w:val="single" w:color="auto" w:sz="4" w:space="0"/>
              <w:right w:val="single" w:color="auto" w:sz="4" w:space="0"/>
            </w:tcBorders>
            <w:noWrap/>
            <w:vAlign w:val="center"/>
          </w:tcPr>
          <w:p w14:paraId="75692C67">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42" w:type="dxa"/>
            <w:tcBorders>
              <w:top w:val="nil"/>
              <w:left w:val="nil"/>
              <w:bottom w:val="single" w:color="auto" w:sz="4" w:space="0"/>
              <w:right w:val="single" w:color="auto" w:sz="4" w:space="0"/>
            </w:tcBorders>
            <w:noWrap/>
            <w:vAlign w:val="center"/>
          </w:tcPr>
          <w:p w14:paraId="53DC9BAD">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1000≤Y＜10000</w:t>
            </w:r>
          </w:p>
        </w:tc>
        <w:tc>
          <w:tcPr>
            <w:tcW w:w="1701" w:type="dxa"/>
            <w:tcBorders>
              <w:top w:val="nil"/>
              <w:left w:val="nil"/>
              <w:bottom w:val="single" w:color="auto" w:sz="4" w:space="0"/>
              <w:right w:val="single" w:color="auto" w:sz="4" w:space="0"/>
            </w:tcBorders>
            <w:noWrap/>
            <w:vAlign w:val="center"/>
          </w:tcPr>
          <w:p w14:paraId="1F2EED6E">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50≤Y＜1000</w:t>
            </w:r>
          </w:p>
        </w:tc>
        <w:tc>
          <w:tcPr>
            <w:tcW w:w="1134" w:type="dxa"/>
            <w:tcBorders>
              <w:top w:val="nil"/>
              <w:left w:val="nil"/>
              <w:bottom w:val="single" w:color="auto" w:sz="4" w:space="0"/>
              <w:right w:val="single" w:color="auto" w:sz="4" w:space="0"/>
            </w:tcBorders>
            <w:noWrap/>
            <w:vAlign w:val="center"/>
          </w:tcPr>
          <w:p w14:paraId="790B553D">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w:t>
            </w:r>
          </w:p>
        </w:tc>
      </w:tr>
      <w:tr w14:paraId="68C1419B">
        <w:tblPrEx>
          <w:tblCellMar>
            <w:top w:w="0" w:type="dxa"/>
            <w:left w:w="108" w:type="dxa"/>
            <w:bottom w:w="0" w:type="dxa"/>
            <w:right w:w="108" w:type="dxa"/>
          </w:tblCellMar>
        </w:tblPrEx>
        <w:trPr>
          <w:trHeight w:val="369" w:hRule="atLeast"/>
          <w:jc w:val="center"/>
        </w:trPr>
        <w:tc>
          <w:tcPr>
            <w:tcW w:w="1985" w:type="dxa"/>
            <w:vMerge w:val="restart"/>
            <w:tcBorders>
              <w:top w:val="nil"/>
              <w:left w:val="single" w:color="auto" w:sz="4" w:space="0"/>
              <w:bottom w:val="single" w:color="auto" w:sz="4" w:space="0"/>
              <w:right w:val="single" w:color="auto" w:sz="4" w:space="0"/>
            </w:tcBorders>
            <w:noWrap/>
            <w:vAlign w:val="center"/>
          </w:tcPr>
          <w:p w14:paraId="5F63D88E">
            <w:pPr>
              <w:widowControl/>
              <w:shd w:val="clear" w:color="auto" w:fill="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房地产开发经营</w:t>
            </w:r>
          </w:p>
        </w:tc>
        <w:tc>
          <w:tcPr>
            <w:tcW w:w="1712" w:type="dxa"/>
            <w:tcBorders>
              <w:top w:val="nil"/>
              <w:left w:val="nil"/>
              <w:bottom w:val="single" w:color="auto" w:sz="4" w:space="0"/>
              <w:right w:val="single" w:color="auto" w:sz="4" w:space="0"/>
            </w:tcBorders>
            <w:noWrap/>
            <w:vAlign w:val="center"/>
          </w:tcPr>
          <w:p w14:paraId="67A35091">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123" w:type="dxa"/>
            <w:tcBorders>
              <w:top w:val="nil"/>
              <w:left w:val="nil"/>
              <w:bottom w:val="single" w:color="auto" w:sz="4" w:space="0"/>
              <w:right w:val="single" w:color="auto" w:sz="4" w:space="0"/>
            </w:tcBorders>
            <w:noWrap/>
            <w:vAlign w:val="center"/>
          </w:tcPr>
          <w:p w14:paraId="4F74B8C8">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42" w:type="dxa"/>
            <w:tcBorders>
              <w:top w:val="nil"/>
              <w:left w:val="nil"/>
              <w:bottom w:val="single" w:color="auto" w:sz="4" w:space="0"/>
              <w:right w:val="single" w:color="auto" w:sz="4" w:space="0"/>
            </w:tcBorders>
            <w:noWrap/>
            <w:vAlign w:val="center"/>
          </w:tcPr>
          <w:p w14:paraId="15DBA9C8">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1000≤Y＜200000</w:t>
            </w:r>
          </w:p>
        </w:tc>
        <w:tc>
          <w:tcPr>
            <w:tcW w:w="1701" w:type="dxa"/>
            <w:tcBorders>
              <w:top w:val="nil"/>
              <w:left w:val="nil"/>
              <w:bottom w:val="single" w:color="auto" w:sz="4" w:space="0"/>
              <w:right w:val="single" w:color="auto" w:sz="4" w:space="0"/>
            </w:tcBorders>
            <w:noWrap/>
            <w:vAlign w:val="center"/>
          </w:tcPr>
          <w:p w14:paraId="497756B3">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100≤X＜1000</w:t>
            </w:r>
          </w:p>
        </w:tc>
        <w:tc>
          <w:tcPr>
            <w:tcW w:w="1134" w:type="dxa"/>
            <w:tcBorders>
              <w:top w:val="nil"/>
              <w:left w:val="nil"/>
              <w:bottom w:val="single" w:color="auto" w:sz="4" w:space="0"/>
              <w:right w:val="single" w:color="auto" w:sz="4" w:space="0"/>
            </w:tcBorders>
            <w:noWrap/>
            <w:vAlign w:val="center"/>
          </w:tcPr>
          <w:p w14:paraId="2A085EAE">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w:t>
            </w:r>
          </w:p>
        </w:tc>
      </w:tr>
      <w:tr w14:paraId="6086B7F1">
        <w:tblPrEx>
          <w:tblCellMar>
            <w:top w:w="0" w:type="dxa"/>
            <w:left w:w="108" w:type="dxa"/>
            <w:bottom w:w="0" w:type="dxa"/>
            <w:right w:w="108" w:type="dxa"/>
          </w:tblCellMar>
        </w:tblPrEx>
        <w:trPr>
          <w:trHeight w:val="369"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367B3FFB">
            <w:pPr>
              <w:widowControl/>
              <w:shd w:val="clear" w:color="auto" w:fill="auto"/>
              <w:jc w:val="left"/>
              <w:rPr>
                <w:rFonts w:hint="eastAsia" w:ascii="宋体" w:hAnsi="宋体" w:eastAsia="宋体" w:cs="宋体"/>
                <w:b/>
                <w:bCs/>
                <w:color w:val="auto"/>
                <w:kern w:val="0"/>
                <w:sz w:val="21"/>
                <w:szCs w:val="21"/>
                <w:highlight w:val="none"/>
              </w:rPr>
            </w:pPr>
          </w:p>
        </w:tc>
        <w:tc>
          <w:tcPr>
            <w:tcW w:w="1712" w:type="dxa"/>
            <w:tcBorders>
              <w:top w:val="nil"/>
              <w:left w:val="nil"/>
              <w:bottom w:val="single" w:color="auto" w:sz="4" w:space="0"/>
              <w:right w:val="single" w:color="auto" w:sz="4" w:space="0"/>
            </w:tcBorders>
            <w:noWrap/>
            <w:vAlign w:val="center"/>
          </w:tcPr>
          <w:p w14:paraId="56C0DFBF">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1123" w:type="dxa"/>
            <w:tcBorders>
              <w:top w:val="nil"/>
              <w:left w:val="nil"/>
              <w:bottom w:val="single" w:color="auto" w:sz="4" w:space="0"/>
              <w:right w:val="single" w:color="auto" w:sz="4" w:space="0"/>
            </w:tcBorders>
            <w:noWrap/>
            <w:vAlign w:val="center"/>
          </w:tcPr>
          <w:p w14:paraId="6D53F38B">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42" w:type="dxa"/>
            <w:tcBorders>
              <w:top w:val="nil"/>
              <w:left w:val="nil"/>
              <w:bottom w:val="single" w:color="auto" w:sz="4" w:space="0"/>
              <w:right w:val="single" w:color="auto" w:sz="4" w:space="0"/>
            </w:tcBorders>
            <w:noWrap/>
            <w:vAlign w:val="center"/>
          </w:tcPr>
          <w:p w14:paraId="53FE13CA">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5000≤Z＜10000</w:t>
            </w:r>
          </w:p>
        </w:tc>
        <w:tc>
          <w:tcPr>
            <w:tcW w:w="1701" w:type="dxa"/>
            <w:tcBorders>
              <w:top w:val="nil"/>
              <w:left w:val="nil"/>
              <w:bottom w:val="single" w:color="auto" w:sz="4" w:space="0"/>
              <w:right w:val="single" w:color="auto" w:sz="4" w:space="0"/>
            </w:tcBorders>
            <w:noWrap/>
            <w:vAlign w:val="center"/>
          </w:tcPr>
          <w:p w14:paraId="5710F8CC">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2000≤Y＜5000</w:t>
            </w:r>
          </w:p>
        </w:tc>
        <w:tc>
          <w:tcPr>
            <w:tcW w:w="1134" w:type="dxa"/>
            <w:tcBorders>
              <w:top w:val="nil"/>
              <w:left w:val="nil"/>
              <w:bottom w:val="single" w:color="auto" w:sz="4" w:space="0"/>
              <w:right w:val="single" w:color="auto" w:sz="4" w:space="0"/>
            </w:tcBorders>
            <w:noWrap/>
            <w:vAlign w:val="center"/>
          </w:tcPr>
          <w:p w14:paraId="2191212C">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Y＜2000</w:t>
            </w:r>
          </w:p>
        </w:tc>
      </w:tr>
      <w:tr w14:paraId="3EC01356">
        <w:tblPrEx>
          <w:tblCellMar>
            <w:top w:w="0" w:type="dxa"/>
            <w:left w:w="108" w:type="dxa"/>
            <w:bottom w:w="0" w:type="dxa"/>
            <w:right w:w="108" w:type="dxa"/>
          </w:tblCellMar>
        </w:tblPrEx>
        <w:trPr>
          <w:trHeight w:val="369" w:hRule="atLeast"/>
          <w:jc w:val="center"/>
        </w:trPr>
        <w:tc>
          <w:tcPr>
            <w:tcW w:w="1985" w:type="dxa"/>
            <w:vMerge w:val="restart"/>
            <w:tcBorders>
              <w:top w:val="nil"/>
              <w:left w:val="single" w:color="auto" w:sz="4" w:space="0"/>
              <w:bottom w:val="single" w:color="auto" w:sz="4" w:space="0"/>
              <w:right w:val="single" w:color="auto" w:sz="4" w:space="0"/>
            </w:tcBorders>
            <w:noWrap/>
            <w:vAlign w:val="center"/>
          </w:tcPr>
          <w:p w14:paraId="651A553E">
            <w:pPr>
              <w:widowControl/>
              <w:shd w:val="clear" w:color="auto" w:fill="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物业管理</w:t>
            </w:r>
          </w:p>
        </w:tc>
        <w:tc>
          <w:tcPr>
            <w:tcW w:w="1712" w:type="dxa"/>
            <w:tcBorders>
              <w:top w:val="nil"/>
              <w:left w:val="nil"/>
              <w:bottom w:val="single" w:color="auto" w:sz="4" w:space="0"/>
              <w:right w:val="single" w:color="auto" w:sz="4" w:space="0"/>
            </w:tcBorders>
            <w:noWrap/>
            <w:vAlign w:val="center"/>
          </w:tcPr>
          <w:p w14:paraId="1B0B6E0D">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123" w:type="dxa"/>
            <w:tcBorders>
              <w:top w:val="nil"/>
              <w:left w:val="nil"/>
              <w:bottom w:val="single" w:color="auto" w:sz="4" w:space="0"/>
              <w:right w:val="single" w:color="auto" w:sz="4" w:space="0"/>
            </w:tcBorders>
            <w:noWrap/>
            <w:vAlign w:val="center"/>
          </w:tcPr>
          <w:p w14:paraId="05FAD248">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842" w:type="dxa"/>
            <w:tcBorders>
              <w:top w:val="nil"/>
              <w:left w:val="nil"/>
              <w:bottom w:val="single" w:color="auto" w:sz="4" w:space="0"/>
              <w:right w:val="single" w:color="auto" w:sz="4" w:space="0"/>
            </w:tcBorders>
            <w:noWrap/>
            <w:vAlign w:val="center"/>
          </w:tcPr>
          <w:p w14:paraId="0E8DF24D">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701" w:type="dxa"/>
            <w:tcBorders>
              <w:top w:val="nil"/>
              <w:left w:val="nil"/>
              <w:bottom w:val="single" w:color="auto" w:sz="4" w:space="0"/>
              <w:right w:val="single" w:color="auto" w:sz="4" w:space="0"/>
            </w:tcBorders>
            <w:noWrap/>
            <w:vAlign w:val="center"/>
          </w:tcPr>
          <w:p w14:paraId="42533F95">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134" w:type="dxa"/>
            <w:tcBorders>
              <w:top w:val="nil"/>
              <w:left w:val="nil"/>
              <w:bottom w:val="single" w:color="auto" w:sz="4" w:space="0"/>
              <w:right w:val="single" w:color="auto" w:sz="4" w:space="0"/>
            </w:tcBorders>
            <w:noWrap/>
            <w:vAlign w:val="center"/>
          </w:tcPr>
          <w:p w14:paraId="5A61D003">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w:t>
            </w:r>
          </w:p>
        </w:tc>
      </w:tr>
      <w:tr w14:paraId="465930C9">
        <w:tblPrEx>
          <w:tblCellMar>
            <w:top w:w="0" w:type="dxa"/>
            <w:left w:w="108" w:type="dxa"/>
            <w:bottom w:w="0" w:type="dxa"/>
            <w:right w:w="108" w:type="dxa"/>
          </w:tblCellMar>
        </w:tblPrEx>
        <w:trPr>
          <w:trHeight w:val="369"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4BBF3683">
            <w:pPr>
              <w:widowControl/>
              <w:shd w:val="clear" w:color="auto" w:fill="auto"/>
              <w:jc w:val="left"/>
              <w:rPr>
                <w:rFonts w:hint="eastAsia" w:ascii="宋体" w:hAnsi="宋体" w:eastAsia="宋体" w:cs="宋体"/>
                <w:b/>
                <w:bCs/>
                <w:color w:val="auto"/>
                <w:kern w:val="0"/>
                <w:sz w:val="21"/>
                <w:szCs w:val="21"/>
                <w:highlight w:val="none"/>
              </w:rPr>
            </w:pPr>
          </w:p>
        </w:tc>
        <w:tc>
          <w:tcPr>
            <w:tcW w:w="1712" w:type="dxa"/>
            <w:tcBorders>
              <w:top w:val="nil"/>
              <w:left w:val="nil"/>
              <w:bottom w:val="single" w:color="auto" w:sz="4" w:space="0"/>
              <w:right w:val="single" w:color="auto" w:sz="4" w:space="0"/>
            </w:tcBorders>
            <w:noWrap/>
            <w:vAlign w:val="center"/>
          </w:tcPr>
          <w:p w14:paraId="1384E5C9">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123" w:type="dxa"/>
            <w:tcBorders>
              <w:top w:val="nil"/>
              <w:left w:val="nil"/>
              <w:bottom w:val="single" w:color="auto" w:sz="4" w:space="0"/>
              <w:right w:val="single" w:color="auto" w:sz="4" w:space="0"/>
            </w:tcBorders>
            <w:noWrap/>
            <w:vAlign w:val="center"/>
          </w:tcPr>
          <w:p w14:paraId="552E0FA5">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42" w:type="dxa"/>
            <w:tcBorders>
              <w:top w:val="nil"/>
              <w:left w:val="nil"/>
              <w:bottom w:val="single" w:color="auto" w:sz="4" w:space="0"/>
              <w:right w:val="single" w:color="auto" w:sz="4" w:space="0"/>
            </w:tcBorders>
            <w:noWrap/>
            <w:vAlign w:val="center"/>
          </w:tcPr>
          <w:p w14:paraId="087126F9">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1000≤Y＜5000</w:t>
            </w:r>
          </w:p>
        </w:tc>
        <w:tc>
          <w:tcPr>
            <w:tcW w:w="1701" w:type="dxa"/>
            <w:tcBorders>
              <w:top w:val="nil"/>
              <w:left w:val="nil"/>
              <w:bottom w:val="single" w:color="auto" w:sz="4" w:space="0"/>
              <w:right w:val="single" w:color="auto" w:sz="4" w:space="0"/>
            </w:tcBorders>
            <w:noWrap/>
            <w:vAlign w:val="center"/>
          </w:tcPr>
          <w:p w14:paraId="26B33457">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500≤Y＜1000</w:t>
            </w:r>
          </w:p>
        </w:tc>
        <w:tc>
          <w:tcPr>
            <w:tcW w:w="1134" w:type="dxa"/>
            <w:tcBorders>
              <w:top w:val="nil"/>
              <w:left w:val="nil"/>
              <w:bottom w:val="single" w:color="auto" w:sz="4" w:space="0"/>
              <w:right w:val="single" w:color="auto" w:sz="4" w:space="0"/>
            </w:tcBorders>
            <w:noWrap/>
            <w:vAlign w:val="center"/>
          </w:tcPr>
          <w:p w14:paraId="0026495F">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Y＜500</w:t>
            </w:r>
          </w:p>
        </w:tc>
      </w:tr>
      <w:tr w14:paraId="368E8175">
        <w:tblPrEx>
          <w:tblCellMar>
            <w:top w:w="0" w:type="dxa"/>
            <w:left w:w="108" w:type="dxa"/>
            <w:bottom w:w="0" w:type="dxa"/>
            <w:right w:w="108" w:type="dxa"/>
          </w:tblCellMar>
        </w:tblPrEx>
        <w:trPr>
          <w:trHeight w:val="369" w:hRule="atLeast"/>
          <w:jc w:val="center"/>
        </w:trPr>
        <w:tc>
          <w:tcPr>
            <w:tcW w:w="1985" w:type="dxa"/>
            <w:vMerge w:val="restart"/>
            <w:tcBorders>
              <w:top w:val="nil"/>
              <w:left w:val="single" w:color="auto" w:sz="4" w:space="0"/>
              <w:bottom w:val="single" w:color="auto" w:sz="4" w:space="0"/>
              <w:right w:val="single" w:color="auto" w:sz="4" w:space="0"/>
            </w:tcBorders>
            <w:noWrap/>
            <w:vAlign w:val="center"/>
          </w:tcPr>
          <w:p w14:paraId="71BEAE58">
            <w:pPr>
              <w:widowControl/>
              <w:shd w:val="clear" w:color="auto" w:fill="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租赁和商务服务业</w:t>
            </w:r>
          </w:p>
        </w:tc>
        <w:tc>
          <w:tcPr>
            <w:tcW w:w="1712" w:type="dxa"/>
            <w:tcBorders>
              <w:top w:val="nil"/>
              <w:left w:val="nil"/>
              <w:bottom w:val="single" w:color="auto" w:sz="4" w:space="0"/>
              <w:right w:val="single" w:color="auto" w:sz="4" w:space="0"/>
            </w:tcBorders>
            <w:noWrap/>
            <w:vAlign w:val="center"/>
          </w:tcPr>
          <w:p w14:paraId="560F2761">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123" w:type="dxa"/>
            <w:tcBorders>
              <w:top w:val="nil"/>
              <w:left w:val="nil"/>
              <w:bottom w:val="single" w:color="auto" w:sz="4" w:space="0"/>
              <w:right w:val="single" w:color="auto" w:sz="4" w:space="0"/>
            </w:tcBorders>
            <w:noWrap/>
            <w:vAlign w:val="center"/>
          </w:tcPr>
          <w:p w14:paraId="0559034B">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842" w:type="dxa"/>
            <w:tcBorders>
              <w:top w:val="nil"/>
              <w:left w:val="nil"/>
              <w:bottom w:val="single" w:color="auto" w:sz="4" w:space="0"/>
              <w:right w:val="single" w:color="auto" w:sz="4" w:space="0"/>
            </w:tcBorders>
            <w:noWrap/>
            <w:vAlign w:val="center"/>
          </w:tcPr>
          <w:p w14:paraId="0CD36625">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701" w:type="dxa"/>
            <w:tcBorders>
              <w:top w:val="nil"/>
              <w:left w:val="nil"/>
              <w:bottom w:val="single" w:color="auto" w:sz="4" w:space="0"/>
              <w:right w:val="single" w:color="auto" w:sz="4" w:space="0"/>
            </w:tcBorders>
            <w:noWrap/>
            <w:vAlign w:val="center"/>
          </w:tcPr>
          <w:p w14:paraId="2E9C5864">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1134" w:type="dxa"/>
            <w:tcBorders>
              <w:top w:val="nil"/>
              <w:left w:val="nil"/>
              <w:bottom w:val="single" w:color="auto" w:sz="4" w:space="0"/>
              <w:right w:val="single" w:color="auto" w:sz="4" w:space="0"/>
            </w:tcBorders>
            <w:noWrap/>
            <w:vAlign w:val="center"/>
          </w:tcPr>
          <w:p w14:paraId="5F197E32">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0CAD0F41">
        <w:tblPrEx>
          <w:tblCellMar>
            <w:top w:w="0" w:type="dxa"/>
            <w:left w:w="108" w:type="dxa"/>
            <w:bottom w:w="0" w:type="dxa"/>
            <w:right w:w="108" w:type="dxa"/>
          </w:tblCellMar>
        </w:tblPrEx>
        <w:trPr>
          <w:trHeight w:val="369"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4A3C8F5F">
            <w:pPr>
              <w:widowControl/>
              <w:shd w:val="clear" w:color="auto" w:fill="auto"/>
              <w:jc w:val="left"/>
              <w:rPr>
                <w:rFonts w:hint="eastAsia" w:ascii="宋体" w:hAnsi="宋体" w:eastAsia="宋体" w:cs="宋体"/>
                <w:b/>
                <w:bCs/>
                <w:color w:val="auto"/>
                <w:kern w:val="0"/>
                <w:sz w:val="21"/>
                <w:szCs w:val="21"/>
                <w:highlight w:val="none"/>
              </w:rPr>
            </w:pPr>
          </w:p>
        </w:tc>
        <w:tc>
          <w:tcPr>
            <w:tcW w:w="1712" w:type="dxa"/>
            <w:tcBorders>
              <w:top w:val="nil"/>
              <w:left w:val="nil"/>
              <w:bottom w:val="single" w:color="auto" w:sz="4" w:space="0"/>
              <w:right w:val="single" w:color="auto" w:sz="4" w:space="0"/>
            </w:tcBorders>
            <w:noWrap/>
            <w:vAlign w:val="center"/>
          </w:tcPr>
          <w:p w14:paraId="44F9E167">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1123" w:type="dxa"/>
            <w:tcBorders>
              <w:top w:val="nil"/>
              <w:left w:val="nil"/>
              <w:bottom w:val="single" w:color="auto" w:sz="4" w:space="0"/>
              <w:right w:val="single" w:color="auto" w:sz="4" w:space="0"/>
            </w:tcBorders>
            <w:noWrap/>
            <w:vAlign w:val="center"/>
          </w:tcPr>
          <w:p w14:paraId="50A071CA">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842" w:type="dxa"/>
            <w:tcBorders>
              <w:top w:val="nil"/>
              <w:left w:val="nil"/>
              <w:bottom w:val="single" w:color="auto" w:sz="4" w:space="0"/>
              <w:right w:val="single" w:color="auto" w:sz="4" w:space="0"/>
            </w:tcBorders>
            <w:noWrap/>
            <w:vAlign w:val="center"/>
          </w:tcPr>
          <w:p w14:paraId="1E6B91AC">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8000≤Z＜120000</w:t>
            </w:r>
          </w:p>
        </w:tc>
        <w:tc>
          <w:tcPr>
            <w:tcW w:w="1701" w:type="dxa"/>
            <w:tcBorders>
              <w:top w:val="nil"/>
              <w:left w:val="nil"/>
              <w:bottom w:val="single" w:color="auto" w:sz="4" w:space="0"/>
              <w:right w:val="single" w:color="auto" w:sz="4" w:space="0"/>
            </w:tcBorders>
            <w:noWrap/>
            <w:vAlign w:val="center"/>
          </w:tcPr>
          <w:p w14:paraId="32FE695B">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100≤Z＜8000</w:t>
            </w:r>
          </w:p>
        </w:tc>
        <w:tc>
          <w:tcPr>
            <w:tcW w:w="1134" w:type="dxa"/>
            <w:tcBorders>
              <w:top w:val="nil"/>
              <w:left w:val="nil"/>
              <w:bottom w:val="single" w:color="auto" w:sz="4" w:space="0"/>
              <w:right w:val="single" w:color="auto" w:sz="4" w:space="0"/>
            </w:tcBorders>
            <w:noWrap/>
            <w:vAlign w:val="center"/>
          </w:tcPr>
          <w:p w14:paraId="7B916E4D">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6F632AAC">
        <w:tblPrEx>
          <w:tblCellMar>
            <w:top w:w="0" w:type="dxa"/>
            <w:left w:w="108" w:type="dxa"/>
            <w:bottom w:w="0" w:type="dxa"/>
            <w:right w:w="108" w:type="dxa"/>
          </w:tblCellMar>
        </w:tblPrEx>
        <w:trPr>
          <w:trHeight w:val="369" w:hRule="atLeast"/>
          <w:jc w:val="center"/>
        </w:trPr>
        <w:tc>
          <w:tcPr>
            <w:tcW w:w="1985" w:type="dxa"/>
            <w:tcBorders>
              <w:top w:val="nil"/>
              <w:left w:val="single" w:color="auto" w:sz="4" w:space="0"/>
              <w:bottom w:val="single" w:color="auto" w:sz="4" w:space="0"/>
              <w:right w:val="single" w:color="auto" w:sz="4" w:space="0"/>
            </w:tcBorders>
            <w:noWrap/>
            <w:vAlign w:val="center"/>
          </w:tcPr>
          <w:p w14:paraId="021C671E">
            <w:pPr>
              <w:widowControl/>
              <w:shd w:val="clear" w:color="auto" w:fill="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其他未列明行业</w:t>
            </w:r>
          </w:p>
        </w:tc>
        <w:tc>
          <w:tcPr>
            <w:tcW w:w="1712" w:type="dxa"/>
            <w:tcBorders>
              <w:top w:val="nil"/>
              <w:left w:val="nil"/>
              <w:bottom w:val="single" w:color="auto" w:sz="4" w:space="0"/>
              <w:right w:val="single" w:color="auto" w:sz="4" w:space="0"/>
            </w:tcBorders>
            <w:noWrap/>
            <w:vAlign w:val="center"/>
          </w:tcPr>
          <w:p w14:paraId="6A833940">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123" w:type="dxa"/>
            <w:tcBorders>
              <w:top w:val="nil"/>
              <w:left w:val="nil"/>
              <w:bottom w:val="single" w:color="auto" w:sz="4" w:space="0"/>
              <w:right w:val="single" w:color="auto" w:sz="4" w:space="0"/>
            </w:tcBorders>
            <w:noWrap/>
            <w:vAlign w:val="center"/>
          </w:tcPr>
          <w:p w14:paraId="66EA836C">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842" w:type="dxa"/>
            <w:tcBorders>
              <w:top w:val="nil"/>
              <w:left w:val="nil"/>
              <w:bottom w:val="single" w:color="auto" w:sz="4" w:space="0"/>
              <w:right w:val="single" w:color="auto" w:sz="4" w:space="0"/>
            </w:tcBorders>
            <w:noWrap/>
            <w:vAlign w:val="center"/>
          </w:tcPr>
          <w:p w14:paraId="0FF42A27">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701" w:type="dxa"/>
            <w:tcBorders>
              <w:top w:val="nil"/>
              <w:left w:val="nil"/>
              <w:bottom w:val="single" w:color="auto" w:sz="4" w:space="0"/>
              <w:right w:val="single" w:color="auto" w:sz="4" w:space="0"/>
            </w:tcBorders>
            <w:noWrap/>
            <w:vAlign w:val="center"/>
          </w:tcPr>
          <w:p w14:paraId="4F05C114">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1134" w:type="dxa"/>
            <w:tcBorders>
              <w:top w:val="nil"/>
              <w:left w:val="nil"/>
              <w:bottom w:val="single" w:color="auto" w:sz="4" w:space="0"/>
              <w:right w:val="single" w:color="auto" w:sz="4" w:space="0"/>
            </w:tcBorders>
            <w:noWrap/>
            <w:vAlign w:val="center"/>
          </w:tcPr>
          <w:p w14:paraId="5CDF9412">
            <w:pPr>
              <w:widowControl/>
              <w:shd w:val="clear" w:color="auto" w:fill="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bl>
    <w:p w14:paraId="0F16000B">
      <w:pPr>
        <w:keepNext w:val="0"/>
        <w:keepLines w:val="0"/>
        <w:pageBreakBefore w:val="0"/>
        <w:widowControl w:val="0"/>
        <w:shd w:val="clear" w:color="auto" w:fill="auto"/>
        <w:kinsoku/>
        <w:wordWrap/>
        <w:overflowPunct/>
        <w:topLinePunct w:val="0"/>
        <w:autoSpaceDE/>
        <w:autoSpaceDN/>
        <w:bidi w:val="0"/>
        <w:adjustRightInd/>
        <w:snapToGrid/>
        <w:spacing w:line="312" w:lineRule="auto"/>
        <w:ind w:firstLine="420" w:firstLineChars="200"/>
        <w:textAlignment w:val="auto"/>
        <w:rPr>
          <w:rFonts w:hint="eastAsia" w:ascii="仿宋_GB2312" w:hAnsi="仿宋" w:eastAsia="仿宋_GB2312"/>
          <w:color w:val="auto"/>
          <w:szCs w:val="21"/>
          <w:highlight w:val="none"/>
        </w:rPr>
      </w:pPr>
      <w:r>
        <w:rPr>
          <w:rFonts w:hint="eastAsia" w:ascii="仿宋_GB2312" w:hAnsi="仿宋" w:eastAsia="仿宋_GB2312"/>
          <w:color w:val="auto"/>
          <w:szCs w:val="21"/>
          <w:highlight w:val="none"/>
        </w:rPr>
        <w:t>说明：上述标准参照《关于印发中小企业划型标准规定的通知》（工信部联企业</w:t>
      </w:r>
      <w:r>
        <w:rPr>
          <w:rFonts w:hint="eastAsia" w:ascii="仿宋_GB2312" w:hAnsi="仿宋" w:eastAsia="仿宋_GB2312"/>
          <w:color w:val="auto"/>
          <w:szCs w:val="21"/>
          <w:highlight w:val="none"/>
          <w:lang w:eastAsia="zh-CN"/>
        </w:rPr>
        <w:t>〔2011〕300号</w:t>
      </w:r>
      <w:r>
        <w:rPr>
          <w:rFonts w:hint="eastAsia" w:ascii="仿宋_GB2312" w:hAnsi="仿宋" w:eastAsia="仿宋_GB2312"/>
          <w:color w:val="auto"/>
          <w:szCs w:val="21"/>
          <w:highlight w:val="none"/>
        </w:rPr>
        <w:t>），大型、中型和小型企业须同时满足所列指标的下限，否则下划一档；微型企业只须满足所列指标中的一项即可。</w:t>
      </w:r>
    </w:p>
    <w:p w14:paraId="21FAD8BF">
      <w:pPr>
        <w:shd w:val="clear"/>
        <w:jc w:val="left"/>
        <w:rPr>
          <w:rFonts w:ascii="宋体" w:hAnsi="宋体" w:cs="宋体"/>
          <w:color w:val="auto"/>
          <w:szCs w:val="21"/>
          <w:highlight w:val="none"/>
        </w:rPr>
      </w:pPr>
      <w:r>
        <w:rPr>
          <w:rFonts w:hint="eastAsia" w:ascii="宋体" w:hAnsi="宋体" w:cs="宋体"/>
          <w:color w:val="auto"/>
          <w:szCs w:val="21"/>
          <w:highlight w:val="none"/>
        </w:rPr>
        <w:br w:type="page"/>
      </w:r>
    </w:p>
    <w:p w14:paraId="42ED9289">
      <w:pPr>
        <w:pStyle w:val="50"/>
        <w:shd w:val="clear"/>
        <w:rPr>
          <w:color w:val="auto"/>
          <w:highlight w:val="none"/>
        </w:rPr>
        <w:sectPr>
          <w:footerReference r:id="rId7" w:type="default"/>
          <w:pgSz w:w="11910" w:h="16840"/>
          <w:pgMar w:top="1418" w:right="1418" w:bottom="1418" w:left="1418" w:header="720" w:footer="720" w:gutter="0"/>
          <w:pgNumType w:start="1"/>
          <w:cols w:space="720" w:num="1"/>
          <w:docGrid w:linePitch="286" w:charSpace="0"/>
        </w:sectPr>
      </w:pPr>
      <w:bookmarkStart w:id="33" w:name="_Toc254970631"/>
      <w:bookmarkStart w:id="34" w:name="_Toc254970490"/>
    </w:p>
    <w:bookmarkEnd w:id="33"/>
    <w:bookmarkEnd w:id="34"/>
    <w:p w14:paraId="7E810FF7">
      <w:pPr>
        <w:keepNext/>
        <w:keepLines/>
        <w:pageBreakBefore w:val="0"/>
        <w:widowControl w:val="0"/>
        <w:shd w:val="clear"/>
        <w:kinsoku/>
        <w:wordWrap/>
        <w:overflowPunct/>
        <w:topLinePunct w:val="0"/>
        <w:autoSpaceDE/>
        <w:autoSpaceDN/>
        <w:bidi w:val="0"/>
        <w:adjustRightInd/>
        <w:snapToGrid/>
        <w:spacing w:before="0" w:beforeLines="30" w:after="0" w:afterLines="30" w:line="360" w:lineRule="auto"/>
        <w:jc w:val="center"/>
        <w:textAlignment w:val="auto"/>
        <w:outlineLvl w:val="0"/>
        <w:rPr>
          <w:rFonts w:ascii="宋体" w:hAnsi="宋体" w:cs="宋体"/>
          <w:b/>
          <w:bCs/>
          <w:color w:val="auto"/>
          <w:kern w:val="44"/>
          <w:sz w:val="44"/>
          <w:szCs w:val="44"/>
          <w:highlight w:val="none"/>
          <w:lang w:val="zh-CN"/>
        </w:rPr>
      </w:pPr>
      <w:bookmarkStart w:id="35" w:name="_Toc106283325"/>
      <w:bookmarkStart w:id="36" w:name="_Toc30869"/>
      <w:r>
        <w:rPr>
          <w:rFonts w:hint="eastAsia" w:ascii="宋体" w:hAnsi="宋体" w:cs="宋体"/>
          <w:b/>
          <w:bCs/>
          <w:color w:val="auto"/>
          <w:kern w:val="44"/>
          <w:sz w:val="44"/>
          <w:szCs w:val="44"/>
          <w:highlight w:val="none"/>
          <w:lang w:val="zh-CN"/>
        </w:rPr>
        <w:t>第三章 供应商须知</w:t>
      </w:r>
      <w:bookmarkEnd w:id="35"/>
      <w:bookmarkEnd w:id="36"/>
    </w:p>
    <w:p w14:paraId="397AF1DE">
      <w:pPr>
        <w:keepNext/>
        <w:keepLines/>
        <w:shd w:val="clear"/>
        <w:spacing w:before="20" w:after="20" w:line="360" w:lineRule="auto"/>
        <w:jc w:val="center"/>
        <w:outlineLvl w:val="1"/>
        <w:rPr>
          <w:rFonts w:ascii="宋体" w:hAnsi="宋体" w:cs="宋体"/>
          <w:bCs/>
          <w:color w:val="auto"/>
          <w:sz w:val="32"/>
          <w:szCs w:val="32"/>
          <w:highlight w:val="none"/>
          <w:lang w:val="zh-CN"/>
        </w:rPr>
      </w:pPr>
      <w:bookmarkStart w:id="37" w:name="_Toc106283326"/>
      <w:bookmarkStart w:id="38" w:name="_Toc23950"/>
      <w:r>
        <w:rPr>
          <w:rFonts w:hint="eastAsia" w:ascii="宋体" w:hAnsi="宋体" w:cs="宋体"/>
          <w:bCs/>
          <w:color w:val="auto"/>
          <w:sz w:val="32"/>
          <w:szCs w:val="32"/>
          <w:highlight w:val="none"/>
          <w:lang w:val="zh-CN"/>
        </w:rPr>
        <w:t>第一节 供应商须知前附表</w:t>
      </w:r>
      <w:bookmarkEnd w:id="37"/>
      <w:bookmarkEnd w:id="38"/>
    </w:p>
    <w:tbl>
      <w:tblPr>
        <w:tblStyle w:val="51"/>
        <w:tblW w:w="96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5"/>
        <w:gridCol w:w="2378"/>
        <w:gridCol w:w="6355"/>
      </w:tblGrid>
      <w:tr w14:paraId="0B0E4D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05" w:type="dxa"/>
            <w:vAlign w:val="center"/>
          </w:tcPr>
          <w:p w14:paraId="154129AA">
            <w:pPr>
              <w:shd w:val="clea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2378" w:type="dxa"/>
            <w:vAlign w:val="center"/>
          </w:tcPr>
          <w:p w14:paraId="4A7FFE45">
            <w:pPr>
              <w:shd w:val="clea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条款内容</w:t>
            </w:r>
          </w:p>
        </w:tc>
        <w:tc>
          <w:tcPr>
            <w:tcW w:w="6355" w:type="dxa"/>
            <w:vAlign w:val="center"/>
          </w:tcPr>
          <w:p w14:paraId="4202EE05">
            <w:pPr>
              <w:shd w:val="clear"/>
              <w:spacing w:line="360" w:lineRule="auto"/>
              <w:rPr>
                <w:rFonts w:ascii="宋体" w:hAnsi="宋体" w:cs="宋体"/>
                <w:b/>
                <w:color w:val="auto"/>
                <w:szCs w:val="21"/>
                <w:highlight w:val="none"/>
              </w:rPr>
            </w:pPr>
            <w:r>
              <w:rPr>
                <w:rFonts w:hint="eastAsia" w:ascii="宋体" w:hAnsi="宋体" w:cs="宋体"/>
                <w:b/>
                <w:color w:val="auto"/>
                <w:szCs w:val="21"/>
                <w:highlight w:val="none"/>
              </w:rPr>
              <w:t>具体要求</w:t>
            </w:r>
          </w:p>
        </w:tc>
      </w:tr>
      <w:tr w14:paraId="22210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05" w:type="dxa"/>
            <w:vAlign w:val="center"/>
          </w:tcPr>
          <w:p w14:paraId="202FF9E9">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w:t>
            </w:r>
          </w:p>
        </w:tc>
        <w:tc>
          <w:tcPr>
            <w:tcW w:w="2378" w:type="dxa"/>
            <w:vAlign w:val="center"/>
          </w:tcPr>
          <w:p w14:paraId="734EC031">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供应商资格条件</w:t>
            </w:r>
          </w:p>
        </w:tc>
        <w:tc>
          <w:tcPr>
            <w:tcW w:w="6355" w:type="dxa"/>
            <w:vAlign w:val="center"/>
          </w:tcPr>
          <w:p w14:paraId="4C298E60">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供应商资格条件要求详见公告。</w:t>
            </w:r>
          </w:p>
        </w:tc>
      </w:tr>
      <w:tr w14:paraId="2B270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05" w:type="dxa"/>
            <w:vAlign w:val="center"/>
          </w:tcPr>
          <w:p w14:paraId="473AEC76">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5.1</w:t>
            </w:r>
          </w:p>
        </w:tc>
        <w:tc>
          <w:tcPr>
            <w:tcW w:w="2378" w:type="dxa"/>
            <w:vAlign w:val="center"/>
          </w:tcPr>
          <w:p w14:paraId="7707BBA9">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是否接受联合体竞标</w:t>
            </w:r>
          </w:p>
        </w:tc>
        <w:tc>
          <w:tcPr>
            <w:tcW w:w="6355" w:type="dxa"/>
            <w:vAlign w:val="center"/>
          </w:tcPr>
          <w:p w14:paraId="46AC1001">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□是/☑否</w:t>
            </w:r>
          </w:p>
        </w:tc>
      </w:tr>
      <w:tr w14:paraId="7EDBF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vAlign w:val="center"/>
          </w:tcPr>
          <w:p w14:paraId="621D51BA">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5.2</w:t>
            </w:r>
          </w:p>
        </w:tc>
        <w:tc>
          <w:tcPr>
            <w:tcW w:w="2378" w:type="dxa"/>
            <w:vAlign w:val="center"/>
          </w:tcPr>
          <w:p w14:paraId="18D77BA8">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联合体竞标要求</w:t>
            </w:r>
          </w:p>
        </w:tc>
        <w:tc>
          <w:tcPr>
            <w:tcW w:w="6355" w:type="dxa"/>
            <w:vAlign w:val="center"/>
          </w:tcPr>
          <w:p w14:paraId="0FF9DBCF">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1.两个以上竞标人可以组成一个竞标联合体，以一个竞标人的身份共同参加竞标，联合体竞标人的名称应统一按“XXX公司与XXX公司的联合体”的规则填写。</w:t>
            </w:r>
          </w:p>
          <w:p w14:paraId="1A332025">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2.以联合体形式参加竞标的，联合体各方均必须具备《中华人民共和国政府采购法》第二十二条第一款规定的基本条件（涉及行政许可范围的内容，联合体各方均应具备相应资质）。本项目有特殊要求规定竞标人特定条件的，联合体各方中至少有一方必须符合。</w:t>
            </w:r>
          </w:p>
          <w:p w14:paraId="47748FFB">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3. 联合体竞标的，须提供《联合体协议书》（格式后附），协议书必须明确主体方（或者牵头方）并明确约定联合体各方承担的工作和相应的责任（各方承担责任与义务的分工必须符合采购需求，否则，联合体竞标无效），并将联合竞标协议放入响应文件。联合体各方必须共同与采购人签订采购合同，就采购合同约定的事项对采购人承担连带责任。</w:t>
            </w:r>
          </w:p>
          <w:p w14:paraId="7024C980">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4.以联合体形式参加政府采购活动的，联合体各方不得再单独参加或者与其他竞标人另外组成联合体参加同一合同项下的政府采购活动，否则与之相关的响应文件作废。</w:t>
            </w:r>
          </w:p>
          <w:p w14:paraId="7DD5B928">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5.联合体中有同类资质的竞标人按照联合体分工承担相同工作的，应当按照资质等级较低的竞标人确定资质等级。</w:t>
            </w:r>
          </w:p>
          <w:p w14:paraId="625A73E6">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6.联合体竞标的商务分（即人员配置分、信誉分、业绩分）按照联合体中牵头方认定并计算。</w:t>
            </w:r>
          </w:p>
          <w:p w14:paraId="6B3C50E4">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7.联合体各方均应按照磋商文件的规定提交资格证明文件。</w:t>
            </w:r>
          </w:p>
        </w:tc>
      </w:tr>
      <w:tr w14:paraId="04474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vAlign w:val="center"/>
          </w:tcPr>
          <w:p w14:paraId="155EB8F0">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6.1</w:t>
            </w:r>
          </w:p>
        </w:tc>
        <w:tc>
          <w:tcPr>
            <w:tcW w:w="2378" w:type="dxa"/>
            <w:vAlign w:val="center"/>
          </w:tcPr>
          <w:p w14:paraId="5BB82E1F">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是否允许分包</w:t>
            </w:r>
          </w:p>
        </w:tc>
        <w:tc>
          <w:tcPr>
            <w:tcW w:w="6355" w:type="dxa"/>
            <w:vAlign w:val="center"/>
          </w:tcPr>
          <w:p w14:paraId="7F5F252F">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☑不允许分包</w:t>
            </w:r>
          </w:p>
          <w:p w14:paraId="4D196DAD">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□允许分包</w:t>
            </w:r>
          </w:p>
          <w:p w14:paraId="1BA08816">
            <w:pPr>
              <w:shd w:val="clear"/>
              <w:spacing w:line="360" w:lineRule="auto"/>
              <w:rPr>
                <w:rFonts w:ascii="宋体" w:hAnsi="宋体" w:cs="宋体"/>
                <w:color w:val="auto"/>
                <w:szCs w:val="21"/>
                <w:highlight w:val="none"/>
                <w:u w:val="single"/>
              </w:rPr>
            </w:pPr>
            <w:r>
              <w:rPr>
                <w:rFonts w:hint="eastAsia" w:ascii="宋体" w:hAnsi="宋体" w:cs="宋体"/>
                <w:color w:val="auto"/>
                <w:szCs w:val="21"/>
                <w:highlight w:val="none"/>
              </w:rPr>
              <w:t>分包内容：</w:t>
            </w:r>
            <w:r>
              <w:rPr>
                <w:rFonts w:hint="eastAsia" w:ascii="宋体" w:hAnsi="宋体" w:cs="宋体"/>
                <w:color w:val="auto"/>
                <w:szCs w:val="21"/>
                <w:highlight w:val="none"/>
                <w:u w:val="single"/>
              </w:rPr>
              <w:t xml:space="preserve">                                     。</w:t>
            </w:r>
          </w:p>
          <w:p w14:paraId="22230246">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分包金额或者比例：</w:t>
            </w:r>
            <w:r>
              <w:rPr>
                <w:rFonts w:hint="eastAsia" w:ascii="宋体" w:hAnsi="宋体" w:cs="宋体"/>
                <w:color w:val="auto"/>
                <w:szCs w:val="21"/>
                <w:highlight w:val="none"/>
                <w:u w:val="single"/>
              </w:rPr>
              <w:t xml:space="preserve">                                     。</w:t>
            </w:r>
          </w:p>
        </w:tc>
      </w:tr>
      <w:tr w14:paraId="65B12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vAlign w:val="center"/>
          </w:tcPr>
          <w:p w14:paraId="42EADF1B">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12.1.1</w:t>
            </w:r>
          </w:p>
        </w:tc>
        <w:tc>
          <w:tcPr>
            <w:tcW w:w="2378" w:type="dxa"/>
            <w:vAlign w:val="center"/>
          </w:tcPr>
          <w:p w14:paraId="7A5EC4FE">
            <w:pPr>
              <w:shd w:val="clear"/>
              <w:spacing w:line="360" w:lineRule="auto"/>
              <w:jc w:val="center"/>
              <w:rPr>
                <w:rFonts w:ascii="宋体" w:hAnsi="宋体" w:cs="宋体"/>
                <w:color w:val="auto"/>
                <w:szCs w:val="21"/>
                <w:highlight w:val="none"/>
              </w:rPr>
            </w:pPr>
            <w:r>
              <w:rPr>
                <w:rFonts w:hint="eastAsia" w:ascii="宋体" w:hAnsi="宋体" w:cs="宋体"/>
                <w:b/>
                <w:color w:val="auto"/>
                <w:szCs w:val="21"/>
                <w:highlight w:val="none"/>
              </w:rPr>
              <w:t>资格证明文件组成</w:t>
            </w:r>
          </w:p>
        </w:tc>
        <w:tc>
          <w:tcPr>
            <w:tcW w:w="6355" w:type="dxa"/>
            <w:vAlign w:val="center"/>
          </w:tcPr>
          <w:p w14:paraId="7D6D504C">
            <w:pPr>
              <w:numPr>
                <w:ilvl w:val="0"/>
                <w:numId w:val="2"/>
              </w:numPr>
              <w:shd w:val="clear"/>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供应商为法人或者其他组织的提供其营业执照等证明文件（如营业执照或者事业单位法人证书或者执业许可证等）复印件，供应商为自然人的提供其身份证复印件；（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AEA4522">
            <w:pPr>
              <w:numPr>
                <w:ilvl w:val="0"/>
                <w:numId w:val="2"/>
              </w:numPr>
              <w:shd w:val="clear"/>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供应商依法缴纳税收的相关材料（</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u w:val="single"/>
              </w:rPr>
              <w:t>月至202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rPr>
              <w:t>月</w:t>
            </w:r>
            <w:r>
              <w:rPr>
                <w:rFonts w:hint="eastAsia" w:ascii="宋体" w:hAnsi="宋体" w:cs="宋体"/>
                <w:color w:val="auto"/>
                <w:szCs w:val="21"/>
                <w:highlight w:val="none"/>
              </w:rPr>
              <w:t>内</w:t>
            </w:r>
            <w:r>
              <w:rPr>
                <w:rFonts w:hint="eastAsia" w:ascii="宋体" w:hAnsi="宋体" w:cs="宋体"/>
                <w:color w:val="auto"/>
                <w:szCs w:val="21"/>
                <w:highlight w:val="none"/>
                <w:lang w:val="en-US" w:eastAsia="zh-CN"/>
              </w:rPr>
              <w:t>任意1</w:t>
            </w:r>
            <w:r>
              <w:rPr>
                <w:rFonts w:hint="eastAsia" w:ascii="宋体" w:hAnsi="宋体" w:cs="宋体"/>
                <w:color w:val="auto"/>
                <w:szCs w:val="21"/>
                <w:highlight w:val="none"/>
              </w:rPr>
              <w:t>个月的依法缴纳税收的凭据复印件；依法免税的供应商，必须提供相应文件证明其依法免税。从取得营业执照时间起到响应文件提交截止时间为止不足要求月数的，只需提供从取得营业执照起的依法缴纳税收相应证明文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51585F7">
            <w:pPr>
              <w:numPr>
                <w:ilvl w:val="0"/>
                <w:numId w:val="2"/>
              </w:numPr>
              <w:shd w:val="clear"/>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供应商依法缴纳社会保障资金的相关材料[</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u w:val="single"/>
              </w:rPr>
              <w:t>月至202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rPr>
              <w:t>月</w:t>
            </w:r>
            <w:r>
              <w:rPr>
                <w:rFonts w:hint="eastAsia" w:ascii="宋体" w:hAnsi="宋体" w:cs="宋体"/>
                <w:color w:val="auto"/>
                <w:szCs w:val="21"/>
                <w:highlight w:val="none"/>
              </w:rPr>
              <w:t>内</w:t>
            </w:r>
            <w:r>
              <w:rPr>
                <w:rFonts w:hint="eastAsia" w:ascii="宋体" w:hAnsi="宋体" w:cs="宋体"/>
                <w:color w:val="auto"/>
                <w:szCs w:val="21"/>
                <w:highlight w:val="none"/>
                <w:lang w:val="en-US" w:eastAsia="zh-CN"/>
              </w:rPr>
              <w:t>任意1个月</w:t>
            </w:r>
            <w:r>
              <w:rPr>
                <w:rFonts w:hint="eastAsia" w:ascii="宋体" w:hAnsi="宋体" w:cs="宋体"/>
                <w:color w:val="auto"/>
                <w:szCs w:val="21"/>
                <w:highlight w:val="none"/>
              </w:rPr>
              <w:t>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84FDBBD">
            <w:pPr>
              <w:numPr>
                <w:ilvl w:val="0"/>
                <w:numId w:val="2"/>
              </w:numPr>
              <w:shd w:val="clear"/>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供应商财务状况报告[</w:t>
            </w:r>
            <w:r>
              <w:rPr>
                <w:rFonts w:hint="eastAsia" w:ascii="宋体" w:hAnsi="宋体" w:cs="宋体"/>
                <w:color w:val="auto"/>
                <w:szCs w:val="21"/>
                <w:highlight w:val="none"/>
                <w:lang w:val="en-US" w:eastAsia="zh-CN"/>
              </w:rPr>
              <w:t>2024年度或者2025年度</w:t>
            </w:r>
            <w:r>
              <w:rPr>
                <w:rFonts w:hint="eastAsia" w:ascii="宋体" w:hAnsi="宋体" w:cs="宋体"/>
                <w:color w:val="auto"/>
                <w:szCs w:val="21"/>
                <w:highlight w:val="none"/>
              </w:rPr>
              <w:t>（如供应商为竞标当年新成立公司的，应提供于公司成立之日后的）经审计的财务报告复印件或者银行出具的资信证明。上述经审计的财务报告包括：供应商执行《企业会计准则》的，提供资产负债表、利润表、现金流量表、所有者权益变动表及其附注；供应商执行《小企业会计准则》的，提供资产负债表、利润表、现金流量表及其附注；供应商执行《政府会计制度》的，提供资产负债表</w:t>
            </w:r>
            <w:r>
              <w:rPr>
                <w:rFonts w:hint="eastAsia" w:ascii="宋体" w:hAnsi="宋体" w:cs="宋体"/>
                <w:color w:val="auto"/>
                <w:szCs w:val="21"/>
                <w:highlight w:val="none"/>
                <w:lang w:val="en-US" w:eastAsia="zh-CN"/>
              </w:rPr>
              <w:t>和</w:t>
            </w:r>
            <w:r>
              <w:rPr>
                <w:rFonts w:hint="eastAsia" w:ascii="宋体" w:hAnsi="宋体" w:cs="宋体"/>
                <w:color w:val="auto"/>
                <w:szCs w:val="21"/>
                <w:highlight w:val="none"/>
              </w:rPr>
              <w:t>收入费用表及其附注]；（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2430AA1">
            <w:pPr>
              <w:numPr>
                <w:ilvl w:val="0"/>
                <w:numId w:val="2"/>
              </w:numPr>
              <w:shd w:val="clear"/>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供应商直接控股、管理关系信息表（格式后附）；（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197F45C">
            <w:pPr>
              <w:numPr>
                <w:ilvl w:val="0"/>
                <w:numId w:val="2"/>
              </w:numPr>
              <w:shd w:val="clear"/>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资格声明函（格式后附）；（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8568ADD">
            <w:pPr>
              <w:numPr>
                <w:ilvl w:val="0"/>
                <w:numId w:val="2"/>
              </w:numPr>
              <w:shd w:val="clear"/>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除磋商文件规定必须提供以外，供应商认为需要提供的其他证明材料。</w:t>
            </w:r>
          </w:p>
          <w:p w14:paraId="0223B30D">
            <w:pPr>
              <w:shd w:val="clear"/>
              <w:spacing w:line="360" w:lineRule="auto"/>
              <w:rPr>
                <w:rFonts w:ascii="宋体" w:hAnsi="宋体" w:cs="宋体"/>
                <w:b/>
                <w:color w:val="auto"/>
                <w:szCs w:val="21"/>
                <w:highlight w:val="none"/>
              </w:rPr>
            </w:pPr>
            <w:r>
              <w:rPr>
                <w:rFonts w:hint="eastAsia" w:ascii="宋体" w:hAnsi="宋体" w:cs="宋体"/>
                <w:b/>
                <w:color w:val="auto"/>
                <w:szCs w:val="21"/>
                <w:highlight w:val="none"/>
              </w:rPr>
              <w:t>注：</w:t>
            </w:r>
          </w:p>
          <w:p w14:paraId="15E12C62">
            <w:pPr>
              <w:shd w:val="clea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1.以上标明“必须提供”的材料属于复印件的扫描件的，必须加盖供应商电子公章，否则响应文件按无效响应处理。</w:t>
            </w:r>
          </w:p>
          <w:p w14:paraId="2B4BAE7F">
            <w:pPr>
              <w:shd w:val="clea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2.必须提供的材料在第五章“响应文件格式”中有要求法定代表人或委托代理人签字的，必须由法定代表人或委托代理人签字（签字方式可使用法定代表人或委托代理人个人CA证书签章，没有办理广西政府采购云平台个人CA证书签章的可在响应文件中涉及到签字的位置手写签字后扫描或者拍照做成 PDF 的格式上传），否则响应文件按无效响应处理。</w:t>
            </w:r>
          </w:p>
        </w:tc>
      </w:tr>
      <w:tr w14:paraId="3B998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vAlign w:val="center"/>
          </w:tcPr>
          <w:p w14:paraId="670F15D5">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12.1.2</w:t>
            </w:r>
          </w:p>
        </w:tc>
        <w:tc>
          <w:tcPr>
            <w:tcW w:w="2378" w:type="dxa"/>
            <w:vAlign w:val="center"/>
          </w:tcPr>
          <w:p w14:paraId="53A97B77">
            <w:pPr>
              <w:shd w:val="clea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商务技术文件组成</w:t>
            </w:r>
          </w:p>
        </w:tc>
        <w:tc>
          <w:tcPr>
            <w:tcW w:w="6355" w:type="dxa"/>
            <w:vAlign w:val="center"/>
          </w:tcPr>
          <w:p w14:paraId="31EB68F9">
            <w:pPr>
              <w:numPr>
                <w:ilvl w:val="0"/>
                <w:numId w:val="3"/>
              </w:numPr>
              <w:shd w:val="clear"/>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无串通竞标行为的承诺函（格式后附）；（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08A5007">
            <w:pPr>
              <w:numPr>
                <w:ilvl w:val="0"/>
                <w:numId w:val="3"/>
              </w:numPr>
              <w:shd w:val="clear"/>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磋商保证金提交凭证；（</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804B7B9">
            <w:pPr>
              <w:numPr>
                <w:ilvl w:val="0"/>
                <w:numId w:val="3"/>
              </w:numPr>
              <w:shd w:val="clear"/>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法定代表人身份证明书（格式后附）及法定代表人有效身份证正反面复印件；（</w:t>
            </w:r>
            <w:r>
              <w:rPr>
                <w:rFonts w:hint="eastAsia" w:ascii="宋体" w:hAnsi="宋体" w:cs="宋体"/>
                <w:b/>
                <w:bCs/>
                <w:color w:val="auto"/>
                <w:szCs w:val="21"/>
                <w:highlight w:val="none"/>
              </w:rPr>
              <w:t>除自然人竞标外必须提供，否则响应文件按无效响应处理）</w:t>
            </w:r>
          </w:p>
          <w:p w14:paraId="1D495EAD">
            <w:pPr>
              <w:numPr>
                <w:ilvl w:val="0"/>
                <w:numId w:val="3"/>
              </w:numPr>
              <w:shd w:val="clear"/>
              <w:spacing w:line="360" w:lineRule="auto"/>
              <w:ind w:firstLine="0"/>
              <w:rPr>
                <w:rFonts w:ascii="宋体" w:hAnsi="宋体" w:cs="宋体"/>
                <w:b/>
                <w:color w:val="auto"/>
                <w:szCs w:val="21"/>
                <w:highlight w:val="none"/>
              </w:rPr>
            </w:pPr>
            <w:r>
              <w:rPr>
                <w:rFonts w:hint="eastAsia" w:ascii="宋体" w:hAnsi="宋体" w:cs="宋体"/>
                <w:color w:val="auto"/>
                <w:szCs w:val="21"/>
                <w:highlight w:val="none"/>
              </w:rPr>
              <w:t>法定代表人授权委托书（格式后附）及委托代理人有效身份证正反面复印件；（</w:t>
            </w:r>
            <w:r>
              <w:rPr>
                <w:rFonts w:hint="eastAsia" w:ascii="宋体" w:hAnsi="宋体" w:cs="宋体"/>
                <w:b/>
                <w:color w:val="auto"/>
                <w:szCs w:val="21"/>
                <w:highlight w:val="none"/>
              </w:rPr>
              <w:t>委托时必须提供，否则响应文件按无效响应处理）</w:t>
            </w:r>
          </w:p>
          <w:p w14:paraId="4B64634B">
            <w:pPr>
              <w:numPr>
                <w:ilvl w:val="0"/>
                <w:numId w:val="3"/>
              </w:numPr>
              <w:shd w:val="clear"/>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商务条款偏离表（格式后附）；（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943929B">
            <w:pPr>
              <w:numPr>
                <w:ilvl w:val="0"/>
                <w:numId w:val="3"/>
              </w:numPr>
              <w:shd w:val="clear"/>
              <w:spacing w:line="360" w:lineRule="auto"/>
              <w:ind w:firstLine="0"/>
              <w:rPr>
                <w:rFonts w:ascii="宋体" w:hAnsi="宋体" w:cs="宋体"/>
                <w:b/>
                <w:color w:val="auto"/>
                <w:szCs w:val="21"/>
                <w:highlight w:val="none"/>
              </w:rPr>
            </w:pPr>
            <w:r>
              <w:rPr>
                <w:rFonts w:hint="eastAsia" w:ascii="宋体" w:hAnsi="宋体" w:cs="宋体"/>
                <w:color w:val="auto"/>
                <w:szCs w:val="21"/>
                <w:highlight w:val="none"/>
              </w:rPr>
              <w:t>服务需求偏离表（格式后附）；</w:t>
            </w:r>
            <w:r>
              <w:rPr>
                <w:rFonts w:hint="eastAsia" w:ascii="宋体" w:hAnsi="宋体" w:cs="宋体"/>
                <w:b/>
                <w:color w:val="auto"/>
                <w:szCs w:val="21"/>
                <w:highlight w:val="none"/>
              </w:rPr>
              <w:t>（必须提供，否则响应文件按无效响应处理）</w:t>
            </w:r>
          </w:p>
          <w:p w14:paraId="33B7FD10">
            <w:pPr>
              <w:numPr>
                <w:ilvl w:val="0"/>
                <w:numId w:val="3"/>
              </w:numPr>
              <w:shd w:val="clear"/>
              <w:spacing w:line="360" w:lineRule="auto"/>
              <w:ind w:firstLine="0"/>
              <w:rPr>
                <w:rFonts w:ascii="宋体" w:hAnsi="宋体" w:cs="宋体"/>
                <w:color w:val="auto"/>
                <w:szCs w:val="21"/>
                <w:highlight w:val="none"/>
              </w:rPr>
            </w:pPr>
            <w:r>
              <w:rPr>
                <w:rFonts w:hint="eastAsia" w:ascii="宋体" w:hAnsi="宋体" w:cs="宋体"/>
                <w:color w:val="auto"/>
                <w:szCs w:val="21"/>
                <w:highlight w:val="none"/>
                <w:lang w:eastAsia="zh-CN"/>
              </w:rPr>
              <w:t>项目需求理解</w:t>
            </w:r>
            <w:r>
              <w:rPr>
                <w:rFonts w:hint="eastAsia" w:ascii="宋体" w:hAnsi="宋体" w:cs="宋体"/>
                <w:color w:val="auto"/>
                <w:szCs w:val="21"/>
                <w:highlight w:val="none"/>
              </w:rPr>
              <w:t>（格式自拟）；</w:t>
            </w:r>
          </w:p>
          <w:p w14:paraId="72D67C0D">
            <w:pPr>
              <w:numPr>
                <w:ilvl w:val="0"/>
                <w:numId w:val="3"/>
              </w:numPr>
              <w:shd w:val="clear"/>
              <w:spacing w:line="360" w:lineRule="auto"/>
              <w:ind w:firstLine="0"/>
              <w:rPr>
                <w:rFonts w:ascii="宋体" w:hAnsi="宋体" w:cs="宋体"/>
                <w:color w:val="auto"/>
                <w:szCs w:val="21"/>
                <w:highlight w:val="none"/>
              </w:rPr>
            </w:pPr>
            <w:r>
              <w:rPr>
                <w:rFonts w:hint="eastAsia" w:ascii="宋体" w:hAnsi="宋体" w:eastAsia="宋体" w:cs="宋体"/>
                <w:color w:val="auto"/>
                <w:szCs w:val="21"/>
                <w:highlight w:val="none"/>
              </w:rPr>
              <w:t>项目实施方案</w:t>
            </w:r>
            <w:r>
              <w:rPr>
                <w:rFonts w:hint="eastAsia" w:ascii="宋体" w:hAnsi="宋体" w:cs="宋体"/>
                <w:color w:val="auto"/>
                <w:szCs w:val="21"/>
                <w:highlight w:val="none"/>
              </w:rPr>
              <w:t>（格式自拟）；</w:t>
            </w:r>
          </w:p>
          <w:p w14:paraId="37D0B894">
            <w:pPr>
              <w:numPr>
                <w:ilvl w:val="0"/>
                <w:numId w:val="3"/>
              </w:numPr>
              <w:shd w:val="clear"/>
              <w:spacing w:line="360" w:lineRule="auto"/>
              <w:ind w:firstLine="0"/>
              <w:rPr>
                <w:rFonts w:ascii="宋体" w:hAnsi="宋体" w:cs="宋体"/>
                <w:color w:val="auto"/>
                <w:szCs w:val="21"/>
                <w:highlight w:val="none"/>
              </w:rPr>
            </w:pPr>
            <w:r>
              <w:rPr>
                <w:rFonts w:hint="eastAsia" w:ascii="宋体" w:hAnsi="宋体" w:cs="宋体"/>
                <w:bCs/>
                <w:color w:val="auto"/>
                <w:szCs w:val="21"/>
                <w:highlight w:val="none"/>
                <w:lang w:eastAsia="zh-CN"/>
              </w:rPr>
              <w:t>服务承诺</w:t>
            </w:r>
            <w:r>
              <w:rPr>
                <w:rFonts w:hint="eastAsia" w:ascii="宋体" w:hAnsi="宋体" w:cs="宋体"/>
                <w:color w:val="auto"/>
                <w:szCs w:val="21"/>
                <w:highlight w:val="none"/>
              </w:rPr>
              <w:t>（格式自拟）；</w:t>
            </w:r>
          </w:p>
          <w:p w14:paraId="772C475F">
            <w:pPr>
              <w:numPr>
                <w:ilvl w:val="0"/>
                <w:numId w:val="3"/>
              </w:numPr>
              <w:shd w:val="clear"/>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项目实施人员一览表（格式自拟）；</w:t>
            </w:r>
          </w:p>
          <w:p w14:paraId="591D448F">
            <w:pPr>
              <w:numPr>
                <w:ilvl w:val="0"/>
                <w:numId w:val="3"/>
              </w:numPr>
              <w:shd w:val="clear"/>
              <w:tabs>
                <w:tab w:val="left" w:pos="840"/>
              </w:tabs>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对应采购需求的服务需求、商务条款提供的其他文件资料；</w:t>
            </w:r>
          </w:p>
          <w:p w14:paraId="203251B5">
            <w:pPr>
              <w:numPr>
                <w:ilvl w:val="0"/>
                <w:numId w:val="3"/>
              </w:numPr>
              <w:shd w:val="clear"/>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供应商认为需要提供的其他有关资料。</w:t>
            </w:r>
          </w:p>
          <w:p w14:paraId="7B99768D">
            <w:pPr>
              <w:shd w:val="clear"/>
              <w:spacing w:line="360" w:lineRule="auto"/>
              <w:rPr>
                <w:rFonts w:ascii="宋体" w:hAnsi="宋体" w:cs="宋体"/>
                <w:b/>
                <w:color w:val="auto"/>
                <w:szCs w:val="21"/>
                <w:highlight w:val="none"/>
              </w:rPr>
            </w:pPr>
            <w:r>
              <w:rPr>
                <w:rFonts w:hint="eastAsia" w:ascii="宋体" w:hAnsi="宋体" w:cs="宋体"/>
                <w:b/>
                <w:color w:val="auto"/>
                <w:szCs w:val="21"/>
                <w:highlight w:val="none"/>
              </w:rPr>
              <w:t>注：</w:t>
            </w:r>
          </w:p>
          <w:p w14:paraId="45374F14">
            <w:pPr>
              <w:shd w:val="clea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1.以上标明“必须提供”的材料属于复印件的扫描件的，必须加盖供应商电子公章，否则响应文件按无效响应处理。</w:t>
            </w:r>
          </w:p>
          <w:p w14:paraId="4644B4C7">
            <w:pPr>
              <w:shd w:val="clea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必须提供的材料在第五章“响应文件格式”中有要求法定代表人或委托代理人签字的，必须由法定代表人或委托代理人签字（签字方式可使用法定代表人或委托代理人个人CA证书签章，没有办理广西政府采购云平台个人CA证书签章的可在响应文件中涉及到签字的位置手写签字后扫描或者拍照做成 PDF 的格式上传），否则响应文件按无效响应处理。</w:t>
            </w:r>
          </w:p>
        </w:tc>
      </w:tr>
      <w:tr w14:paraId="27DC0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vAlign w:val="center"/>
          </w:tcPr>
          <w:p w14:paraId="18BE1BDA">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12.1.2</w:t>
            </w:r>
          </w:p>
        </w:tc>
        <w:tc>
          <w:tcPr>
            <w:tcW w:w="2378" w:type="dxa"/>
            <w:vAlign w:val="center"/>
          </w:tcPr>
          <w:p w14:paraId="70432504">
            <w:pPr>
              <w:shd w:val="clear"/>
              <w:spacing w:line="360" w:lineRule="auto"/>
              <w:jc w:val="center"/>
              <w:rPr>
                <w:rFonts w:ascii="宋体" w:hAnsi="宋体" w:cs="宋体"/>
                <w:color w:val="auto"/>
                <w:szCs w:val="21"/>
                <w:highlight w:val="none"/>
              </w:rPr>
            </w:pPr>
            <w:r>
              <w:rPr>
                <w:rFonts w:hint="eastAsia" w:ascii="宋体" w:hAnsi="宋体" w:cs="宋体"/>
                <w:b/>
                <w:bCs/>
                <w:color w:val="auto"/>
                <w:szCs w:val="21"/>
                <w:highlight w:val="none"/>
              </w:rPr>
              <w:t>报价文件组成</w:t>
            </w:r>
          </w:p>
        </w:tc>
        <w:tc>
          <w:tcPr>
            <w:tcW w:w="6355" w:type="dxa"/>
            <w:vAlign w:val="center"/>
          </w:tcPr>
          <w:p w14:paraId="7B13218B">
            <w:pPr>
              <w:numPr>
                <w:ilvl w:val="0"/>
                <w:numId w:val="4"/>
              </w:numPr>
              <w:shd w:val="clear"/>
              <w:tabs>
                <w:tab w:val="left" w:pos="459"/>
              </w:tabs>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响应函（格式后附）；（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2005024">
            <w:pPr>
              <w:numPr>
                <w:ilvl w:val="0"/>
                <w:numId w:val="4"/>
              </w:numPr>
              <w:shd w:val="clear"/>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响应报价表（格式后附）；（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DA66E6F">
            <w:pPr>
              <w:numPr>
                <w:ilvl w:val="0"/>
                <w:numId w:val="4"/>
              </w:numPr>
              <w:shd w:val="clear"/>
              <w:spacing w:line="360" w:lineRule="auto"/>
              <w:ind w:firstLine="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中小企业声明函（格式后附）或残疾人福利性单位声明函（格式后附）或供应商属于监狱企业的证明材料；</w:t>
            </w:r>
          </w:p>
          <w:p w14:paraId="7AF96005">
            <w:pPr>
              <w:numPr>
                <w:ilvl w:val="0"/>
                <w:numId w:val="4"/>
              </w:numPr>
              <w:shd w:val="clear"/>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供应商认为需要提供的其他有关资料。</w:t>
            </w:r>
          </w:p>
          <w:p w14:paraId="2270DAE1">
            <w:pPr>
              <w:shd w:val="clear"/>
              <w:spacing w:line="360" w:lineRule="auto"/>
              <w:rPr>
                <w:rFonts w:ascii="宋体" w:hAnsi="宋体" w:cs="宋体"/>
                <w:b/>
                <w:color w:val="auto"/>
                <w:szCs w:val="21"/>
                <w:highlight w:val="none"/>
              </w:rPr>
            </w:pPr>
            <w:r>
              <w:rPr>
                <w:rFonts w:hint="eastAsia" w:ascii="宋体" w:hAnsi="宋体" w:cs="宋体"/>
                <w:b/>
                <w:color w:val="auto"/>
                <w:szCs w:val="21"/>
                <w:highlight w:val="none"/>
              </w:rPr>
              <w:t>注：</w:t>
            </w:r>
          </w:p>
          <w:p w14:paraId="0519443B">
            <w:pPr>
              <w:shd w:val="clea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1.以上标明“必须提供”的材料属于复印件的扫描件的，必须加盖供应商电子公章，否则响应文件按无效响应处理。</w:t>
            </w:r>
          </w:p>
          <w:p w14:paraId="39528A4F">
            <w:pPr>
              <w:shd w:val="clea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2.必须提供的材料在第五章“响应文件格式”中有要求法定代表人或委托代理人签字的，必须由法定代表人或委托代理人签字（签字方式可使用法定代表人或委托代理人个人CA证书签章，没有办理广西政府采购云平台个人CA证书签章的可在响应文件中涉及到签字的位置手写签字后扫描或者拍照做成 PDF 的格式上传），否则响应文件按无效响应处理。</w:t>
            </w:r>
          </w:p>
        </w:tc>
      </w:tr>
      <w:tr w14:paraId="6447B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vAlign w:val="center"/>
          </w:tcPr>
          <w:p w14:paraId="7E33EEAF">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12.2</w:t>
            </w:r>
          </w:p>
        </w:tc>
        <w:tc>
          <w:tcPr>
            <w:tcW w:w="2378" w:type="dxa"/>
            <w:vAlign w:val="center"/>
          </w:tcPr>
          <w:p w14:paraId="64D81C0F">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响应文件电子版要求</w:t>
            </w:r>
          </w:p>
        </w:tc>
        <w:tc>
          <w:tcPr>
            <w:tcW w:w="6355" w:type="dxa"/>
            <w:vAlign w:val="center"/>
          </w:tcPr>
          <w:p w14:paraId="347315B4">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1.响应文件电子版要求：按照本采购文件“第五章 响应文件格式”编写（第五章未附格式的，由供应商自行拟定），不可涂改并在规定加盖公章处加盖电子公章，</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59CE8B65">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2.响应文件电子版密封方式：电子响应文件通过平台有效CA加密后在广西政府采购云平台投送。</w:t>
            </w:r>
          </w:p>
        </w:tc>
      </w:tr>
      <w:tr w14:paraId="6F056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vAlign w:val="center"/>
          </w:tcPr>
          <w:p w14:paraId="2B8BC05C">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15.2</w:t>
            </w:r>
          </w:p>
        </w:tc>
        <w:tc>
          <w:tcPr>
            <w:tcW w:w="2378" w:type="dxa"/>
            <w:vAlign w:val="center"/>
          </w:tcPr>
          <w:p w14:paraId="5F453A2F">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响应报价要求</w:t>
            </w:r>
          </w:p>
        </w:tc>
        <w:tc>
          <w:tcPr>
            <w:tcW w:w="6355" w:type="dxa"/>
            <w:vAlign w:val="center"/>
          </w:tcPr>
          <w:p w14:paraId="28767BDC">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响应报价为完成采购人指定服务全部内容的报价，即履行合同的最终价格，包括了供应商完成本项目所需的一切工作内容而发生的所有直接费用、间接费用、其他费用、税金等全部费用和供应商要求获得的利润以及应由供应商承担的义务、责任和风险所发生的一切费用（若第二章另有约定则从其约定）。</w:t>
            </w:r>
          </w:p>
        </w:tc>
      </w:tr>
      <w:tr w14:paraId="4EA6D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05" w:type="dxa"/>
            <w:vAlign w:val="center"/>
          </w:tcPr>
          <w:p w14:paraId="3DB05C9E">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16.2</w:t>
            </w:r>
          </w:p>
        </w:tc>
        <w:tc>
          <w:tcPr>
            <w:tcW w:w="2378" w:type="dxa"/>
            <w:vAlign w:val="center"/>
          </w:tcPr>
          <w:p w14:paraId="6C4ABC5D">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竞标有效期</w:t>
            </w:r>
          </w:p>
        </w:tc>
        <w:tc>
          <w:tcPr>
            <w:tcW w:w="6355" w:type="dxa"/>
            <w:vAlign w:val="center"/>
          </w:tcPr>
          <w:p w14:paraId="05C095CB">
            <w:pPr>
              <w:shd w:val="clear"/>
              <w:tabs>
                <w:tab w:val="left" w:pos="720"/>
                <w:tab w:val="left" w:pos="840"/>
              </w:tabs>
              <w:spacing w:line="360" w:lineRule="auto"/>
              <w:ind w:left="283" w:hanging="283" w:hangingChars="135"/>
              <w:rPr>
                <w:rFonts w:ascii="宋体" w:hAnsi="宋体" w:cs="宋体"/>
                <w:color w:val="auto"/>
                <w:szCs w:val="21"/>
                <w:highlight w:val="none"/>
              </w:rPr>
            </w:pPr>
            <w:r>
              <w:rPr>
                <w:rFonts w:hint="eastAsia" w:ascii="宋体" w:hAnsi="宋体" w:cs="宋体"/>
                <w:color w:val="auto"/>
                <w:szCs w:val="21"/>
                <w:highlight w:val="none"/>
              </w:rPr>
              <w:t>自响应文件提交截止之日起</w:t>
            </w:r>
            <w:r>
              <w:rPr>
                <w:rFonts w:hint="eastAsia" w:ascii="宋体" w:hAnsi="宋体" w:cs="宋体"/>
                <w:color w:val="auto"/>
                <w:szCs w:val="21"/>
                <w:highlight w:val="none"/>
                <w:u w:val="single"/>
              </w:rPr>
              <w:t xml:space="preserve"> 60 </w:t>
            </w:r>
            <w:r>
              <w:rPr>
                <w:rFonts w:hint="eastAsia" w:ascii="宋体" w:hAnsi="宋体" w:cs="宋体"/>
                <w:color w:val="auto"/>
                <w:szCs w:val="21"/>
                <w:highlight w:val="none"/>
              </w:rPr>
              <w:t>日。</w:t>
            </w:r>
          </w:p>
        </w:tc>
      </w:tr>
      <w:tr w14:paraId="47C9F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vAlign w:val="center"/>
          </w:tcPr>
          <w:p w14:paraId="1AF0405E">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17.1</w:t>
            </w:r>
          </w:p>
        </w:tc>
        <w:tc>
          <w:tcPr>
            <w:tcW w:w="2378" w:type="dxa"/>
            <w:vAlign w:val="center"/>
          </w:tcPr>
          <w:p w14:paraId="7E7CE308">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磋商保证金</w:t>
            </w:r>
          </w:p>
        </w:tc>
        <w:tc>
          <w:tcPr>
            <w:tcW w:w="6355" w:type="dxa"/>
            <w:vAlign w:val="center"/>
          </w:tcPr>
          <w:p w14:paraId="532EA141">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磋商保证金的交纳方式：详见竞争性磋商公告。</w:t>
            </w:r>
          </w:p>
          <w:p w14:paraId="5615068D">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磋商保证金的金额：详见竞争性磋商公告。</w:t>
            </w:r>
          </w:p>
          <w:p w14:paraId="263EBA3F">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相关要求：</w:t>
            </w:r>
          </w:p>
          <w:p w14:paraId="5EBB4657">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1.磋商保证金采用银行转账交纳方式的，应从供应商的基本账户或其银行存款账户转出，在响应文件提交截止时间前交至采购代理机构指定账户并且到账，供应商应将银行转账底单的复印件作为磋商保证金提交凭证，放置于商务技术文件中，</w:t>
            </w:r>
            <w:r>
              <w:rPr>
                <w:rFonts w:hint="eastAsia" w:ascii="宋体" w:hAnsi="宋体" w:cs="宋体"/>
                <w:b/>
                <w:bCs/>
                <w:color w:val="auto"/>
                <w:szCs w:val="21"/>
                <w:highlight w:val="none"/>
              </w:rPr>
              <w:t>否则响应文件按无效响应处理。</w:t>
            </w:r>
          </w:p>
          <w:p w14:paraId="3CB5EC57">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2.磋商保证金采用支票、汇票、本票或者金融、担保机构出具的保函交纳方式的，供应商应将支票、汇票、本票或者金融、担保机构出具的保函的复印件作为磋商保证金提交凭证，放置于商务技术文件中，</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。供应商必须于递交响应文件时将支票、汇票、本票或者金融、担保机构出具的保函原件提交给采购人或者采购代理机构，由采购人或者采购代理机构向供应商出具回执，并妥善保管。</w:t>
            </w:r>
          </w:p>
          <w:p w14:paraId="2110B47E">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3.磋商保证金指定账户：详见竞争性磋商公告。</w:t>
            </w:r>
          </w:p>
          <w:p w14:paraId="777F3980">
            <w:pPr>
              <w:shd w:val="clear"/>
              <w:spacing w:line="360" w:lineRule="auto"/>
              <w:rPr>
                <w:rFonts w:ascii="宋体" w:hAnsi="宋体" w:cs="宋体"/>
                <w:b/>
                <w:color w:val="auto"/>
                <w:szCs w:val="21"/>
                <w:highlight w:val="none"/>
              </w:rPr>
            </w:pPr>
            <w:r>
              <w:rPr>
                <w:rFonts w:hint="eastAsia" w:ascii="宋体" w:hAnsi="宋体" w:cs="宋体"/>
                <w:b/>
                <w:color w:val="auto"/>
                <w:szCs w:val="21"/>
                <w:highlight w:val="none"/>
              </w:rPr>
              <w:t xml:space="preserve">备注： </w:t>
            </w:r>
          </w:p>
          <w:p w14:paraId="23B1184D">
            <w:pPr>
              <w:shd w:val="clear"/>
              <w:spacing w:line="360" w:lineRule="auto"/>
              <w:rPr>
                <w:rFonts w:ascii="宋体" w:hAnsi="宋体" w:cs="宋体"/>
                <w:b/>
                <w:color w:val="auto"/>
                <w:szCs w:val="21"/>
                <w:highlight w:val="none"/>
              </w:rPr>
            </w:pPr>
            <w:r>
              <w:rPr>
                <w:rFonts w:hint="eastAsia" w:ascii="宋体" w:hAnsi="宋体" w:cs="宋体"/>
                <w:b/>
                <w:color w:val="auto"/>
                <w:szCs w:val="21"/>
                <w:highlight w:val="none"/>
              </w:rPr>
              <w:t>1.磋商保证金在响应文件提交截止时间后提交的，或者不按规定交纳方式交纳的，或者未足额交纳的（包含保函额度不足的），视为无效磋商保证金。</w:t>
            </w:r>
          </w:p>
          <w:p w14:paraId="5085BE65">
            <w:pPr>
              <w:shd w:val="clear"/>
              <w:spacing w:line="360" w:lineRule="auto"/>
              <w:rPr>
                <w:rFonts w:ascii="宋体" w:hAnsi="宋体" w:cs="宋体"/>
                <w:b/>
                <w:color w:val="auto"/>
                <w:szCs w:val="21"/>
                <w:highlight w:val="none"/>
              </w:rPr>
            </w:pPr>
            <w:r>
              <w:rPr>
                <w:rFonts w:hint="eastAsia" w:ascii="宋体" w:hAnsi="宋体" w:cs="宋体"/>
                <w:b/>
                <w:color w:val="auto"/>
                <w:szCs w:val="21"/>
                <w:highlight w:val="none"/>
              </w:rPr>
              <w:t>2.供应商采用现钞方式或者从个人账户（自然人竞标除外）转出的磋商保证金，视为无效磋商保证金。</w:t>
            </w:r>
          </w:p>
          <w:p w14:paraId="1C7AD732">
            <w:pPr>
              <w:shd w:val="clear"/>
              <w:spacing w:line="360" w:lineRule="auto"/>
              <w:rPr>
                <w:rFonts w:ascii="宋体" w:hAnsi="宋体" w:cs="宋体"/>
                <w:b/>
                <w:color w:val="auto"/>
                <w:szCs w:val="21"/>
                <w:highlight w:val="none"/>
              </w:rPr>
            </w:pPr>
            <w:r>
              <w:rPr>
                <w:rFonts w:hint="eastAsia" w:ascii="宋体" w:hAnsi="宋体" w:cs="宋体"/>
                <w:b/>
                <w:color w:val="auto"/>
                <w:szCs w:val="21"/>
                <w:highlight w:val="none"/>
              </w:rPr>
              <w:t>3.支票、汇票或者本票出现无效或者背书情形的，视为无效磋商保证金。</w:t>
            </w:r>
          </w:p>
          <w:p w14:paraId="65A8099A">
            <w:pPr>
              <w:shd w:val="clear"/>
              <w:spacing w:line="360" w:lineRule="auto"/>
              <w:rPr>
                <w:rFonts w:ascii="宋体" w:hAnsi="宋体" w:cs="宋体"/>
                <w:b/>
                <w:color w:val="auto"/>
                <w:szCs w:val="21"/>
                <w:highlight w:val="none"/>
              </w:rPr>
            </w:pPr>
            <w:r>
              <w:rPr>
                <w:rFonts w:hint="eastAsia" w:ascii="宋体" w:hAnsi="宋体" w:cs="宋体"/>
                <w:b/>
                <w:color w:val="auto"/>
                <w:szCs w:val="21"/>
                <w:highlight w:val="none"/>
              </w:rPr>
              <w:t>4.保函有效期低于竞标有效期的，视为无效磋商保证金。</w:t>
            </w:r>
          </w:p>
          <w:p w14:paraId="73C19359">
            <w:pPr>
              <w:shd w:val="clear"/>
              <w:autoSpaceDE w:val="0"/>
              <w:autoSpaceDN w:val="0"/>
              <w:spacing w:line="360" w:lineRule="auto"/>
              <w:textAlignment w:val="bottom"/>
              <w:rPr>
                <w:rFonts w:ascii="宋体" w:hAnsi="宋体" w:cs="宋体"/>
                <w:color w:val="auto"/>
                <w:szCs w:val="21"/>
                <w:highlight w:val="none"/>
              </w:rPr>
            </w:pPr>
            <w:r>
              <w:rPr>
                <w:rFonts w:hint="eastAsia" w:ascii="宋体" w:hAnsi="宋体" w:cs="宋体"/>
                <w:b/>
                <w:color w:val="auto"/>
                <w:szCs w:val="21"/>
                <w:highlight w:val="none"/>
              </w:rPr>
              <w:t>5.采用金融、担保机构出具保函的，必须为无条件保函，否则视为无效磋商保证金。</w:t>
            </w:r>
          </w:p>
        </w:tc>
      </w:tr>
      <w:tr w14:paraId="35A81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05" w:type="dxa"/>
            <w:vMerge w:val="restart"/>
            <w:vAlign w:val="center"/>
          </w:tcPr>
          <w:p w14:paraId="5CEC18E7">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20.1</w:t>
            </w:r>
          </w:p>
        </w:tc>
        <w:tc>
          <w:tcPr>
            <w:tcW w:w="2378" w:type="dxa"/>
            <w:vAlign w:val="center"/>
          </w:tcPr>
          <w:p w14:paraId="00671CE0">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响应文件提交起止时间</w:t>
            </w:r>
          </w:p>
        </w:tc>
        <w:tc>
          <w:tcPr>
            <w:tcW w:w="6355" w:type="dxa"/>
            <w:vAlign w:val="center"/>
          </w:tcPr>
          <w:p w14:paraId="34C9A0B5">
            <w:pPr>
              <w:shd w:val="clear"/>
              <w:spacing w:line="360" w:lineRule="auto"/>
              <w:rPr>
                <w:rFonts w:ascii="宋体" w:hAnsi="宋体" w:cs="宋体"/>
                <w:color w:val="auto"/>
                <w:szCs w:val="21"/>
                <w:highlight w:val="none"/>
                <w:u w:val="single"/>
              </w:rPr>
            </w:pPr>
            <w:r>
              <w:rPr>
                <w:rFonts w:hint="eastAsia" w:ascii="宋体" w:hAnsi="宋体" w:cs="宋体"/>
                <w:color w:val="auto"/>
                <w:szCs w:val="21"/>
                <w:highlight w:val="none"/>
              </w:rPr>
              <w:t>详见竞争性磋商公告。</w:t>
            </w:r>
          </w:p>
        </w:tc>
      </w:tr>
      <w:tr w14:paraId="0021B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05" w:type="dxa"/>
            <w:vMerge w:val="continue"/>
            <w:vAlign w:val="center"/>
          </w:tcPr>
          <w:p w14:paraId="6AE8A72F">
            <w:pPr>
              <w:shd w:val="clear"/>
              <w:spacing w:line="360" w:lineRule="auto"/>
              <w:jc w:val="center"/>
              <w:rPr>
                <w:rFonts w:ascii="宋体" w:hAnsi="宋体" w:cs="宋体"/>
                <w:color w:val="auto"/>
                <w:szCs w:val="21"/>
                <w:highlight w:val="none"/>
              </w:rPr>
            </w:pPr>
          </w:p>
        </w:tc>
        <w:tc>
          <w:tcPr>
            <w:tcW w:w="2378" w:type="dxa"/>
            <w:vAlign w:val="center"/>
          </w:tcPr>
          <w:p w14:paraId="54E60720">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响应文件提交地点</w:t>
            </w:r>
          </w:p>
        </w:tc>
        <w:tc>
          <w:tcPr>
            <w:tcW w:w="6355" w:type="dxa"/>
            <w:vAlign w:val="center"/>
          </w:tcPr>
          <w:p w14:paraId="7334BFC9">
            <w:pPr>
              <w:shd w:val="clear"/>
              <w:spacing w:line="360" w:lineRule="auto"/>
              <w:rPr>
                <w:rFonts w:ascii="宋体" w:hAnsi="宋体" w:cs="宋体"/>
                <w:color w:val="auto"/>
                <w:szCs w:val="21"/>
                <w:highlight w:val="none"/>
                <w:u w:val="single"/>
              </w:rPr>
            </w:pPr>
            <w:r>
              <w:rPr>
                <w:rFonts w:hint="eastAsia" w:ascii="宋体" w:hAnsi="宋体" w:cs="宋体"/>
                <w:color w:val="auto"/>
                <w:szCs w:val="21"/>
                <w:highlight w:val="none"/>
              </w:rPr>
              <w:t>详见竞争性磋商公告。</w:t>
            </w:r>
          </w:p>
        </w:tc>
      </w:tr>
      <w:tr w14:paraId="5F3A8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05" w:type="dxa"/>
            <w:vAlign w:val="center"/>
          </w:tcPr>
          <w:p w14:paraId="042019F5">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20.6</w:t>
            </w:r>
          </w:p>
        </w:tc>
        <w:tc>
          <w:tcPr>
            <w:tcW w:w="2378" w:type="dxa"/>
            <w:vAlign w:val="center"/>
          </w:tcPr>
          <w:p w14:paraId="05468CB0">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备份响应文件</w:t>
            </w:r>
          </w:p>
        </w:tc>
        <w:tc>
          <w:tcPr>
            <w:tcW w:w="6355" w:type="dxa"/>
            <w:vAlign w:val="center"/>
          </w:tcPr>
          <w:p w14:paraId="4923CD64">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本项目不接受备份响应文件。</w:t>
            </w:r>
          </w:p>
        </w:tc>
      </w:tr>
      <w:tr w14:paraId="10DAC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05" w:type="dxa"/>
            <w:vAlign w:val="center"/>
          </w:tcPr>
          <w:p w14:paraId="2EE09A8C">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21</w:t>
            </w:r>
          </w:p>
        </w:tc>
        <w:tc>
          <w:tcPr>
            <w:tcW w:w="2378" w:type="dxa"/>
            <w:vAlign w:val="center"/>
          </w:tcPr>
          <w:p w14:paraId="503FA104">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响应文件的退回</w:t>
            </w:r>
          </w:p>
        </w:tc>
        <w:tc>
          <w:tcPr>
            <w:tcW w:w="6355" w:type="dxa"/>
            <w:vAlign w:val="center"/>
          </w:tcPr>
          <w:p w14:paraId="64005069">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详见竞争性磋商公告。</w:t>
            </w:r>
          </w:p>
        </w:tc>
      </w:tr>
      <w:tr w14:paraId="5D8370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vMerge w:val="restart"/>
            <w:vAlign w:val="center"/>
          </w:tcPr>
          <w:p w14:paraId="6C47928A">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26.2</w:t>
            </w:r>
          </w:p>
        </w:tc>
        <w:tc>
          <w:tcPr>
            <w:tcW w:w="2378" w:type="dxa"/>
            <w:vAlign w:val="center"/>
          </w:tcPr>
          <w:p w14:paraId="57BEFFF4">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负偏离要求</w:t>
            </w:r>
          </w:p>
        </w:tc>
        <w:tc>
          <w:tcPr>
            <w:tcW w:w="6355" w:type="dxa"/>
            <w:vAlign w:val="center"/>
          </w:tcPr>
          <w:p w14:paraId="1A34676F">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商务条款评审中允许负偏离的条款数为</w:t>
            </w:r>
            <w:r>
              <w:rPr>
                <w:rFonts w:hint="eastAsia" w:ascii="宋体" w:hAnsi="宋体" w:cs="宋体"/>
                <w:color w:val="auto"/>
                <w:szCs w:val="21"/>
                <w:highlight w:val="none"/>
                <w:u w:val="single"/>
              </w:rPr>
              <w:t>0</w:t>
            </w:r>
            <w:r>
              <w:rPr>
                <w:rFonts w:hint="eastAsia" w:ascii="宋体" w:hAnsi="宋体" w:cs="宋体"/>
                <w:color w:val="auto"/>
                <w:szCs w:val="21"/>
                <w:highlight w:val="none"/>
              </w:rPr>
              <w:t>项。</w:t>
            </w:r>
          </w:p>
          <w:p w14:paraId="73E6572E">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服务需求评审中允许负偏离的条款数为</w:t>
            </w:r>
            <w:r>
              <w:rPr>
                <w:rFonts w:hint="eastAsia" w:ascii="宋体" w:hAnsi="宋体" w:cs="宋体"/>
                <w:color w:val="auto"/>
                <w:szCs w:val="21"/>
                <w:highlight w:val="none"/>
                <w:u w:val="single"/>
                <w:lang w:val="en-US" w:eastAsia="zh-CN"/>
              </w:rPr>
              <w:t>0</w:t>
            </w:r>
            <w:r>
              <w:rPr>
                <w:rFonts w:hint="eastAsia" w:ascii="宋体" w:hAnsi="宋体" w:cs="宋体"/>
                <w:color w:val="auto"/>
                <w:szCs w:val="21"/>
                <w:highlight w:val="none"/>
              </w:rPr>
              <w:t>项。</w:t>
            </w:r>
          </w:p>
        </w:tc>
      </w:tr>
      <w:tr w14:paraId="399E7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vMerge w:val="continue"/>
            <w:vAlign w:val="center"/>
          </w:tcPr>
          <w:p w14:paraId="79F686B0">
            <w:pPr>
              <w:shd w:val="clear"/>
              <w:spacing w:line="360" w:lineRule="auto"/>
              <w:jc w:val="center"/>
              <w:rPr>
                <w:rFonts w:ascii="宋体" w:hAnsi="宋体" w:cs="宋体"/>
                <w:color w:val="auto"/>
                <w:szCs w:val="21"/>
                <w:highlight w:val="none"/>
              </w:rPr>
            </w:pPr>
          </w:p>
        </w:tc>
        <w:tc>
          <w:tcPr>
            <w:tcW w:w="2378" w:type="dxa"/>
            <w:vAlign w:val="center"/>
          </w:tcPr>
          <w:p w14:paraId="5DAB3ED1">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磋商的顺序</w:t>
            </w:r>
          </w:p>
        </w:tc>
        <w:tc>
          <w:tcPr>
            <w:tcW w:w="6355" w:type="dxa"/>
            <w:vAlign w:val="center"/>
          </w:tcPr>
          <w:p w14:paraId="4BBD7730">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□按照提交响应文件的顺序，通知磋商时，若某供应商不在通知现场时，该供应商排序到最后磋商，按照签到的顺序由其下一位供应商先参与磋商。</w:t>
            </w:r>
          </w:p>
          <w:p w14:paraId="218B715B">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☑随机排序。</w:t>
            </w:r>
          </w:p>
          <w:p w14:paraId="5CD84C85">
            <w:pPr>
              <w:shd w:val="clear"/>
              <w:spacing w:line="360" w:lineRule="auto"/>
              <w:rPr>
                <w:rFonts w:ascii="宋体" w:hAnsi="宋体" w:cs="宋体"/>
                <w:b/>
                <w:color w:val="auto"/>
                <w:szCs w:val="21"/>
                <w:highlight w:val="none"/>
              </w:rPr>
            </w:pPr>
            <w:r>
              <w:rPr>
                <w:rFonts w:hint="eastAsia" w:ascii="宋体" w:hAnsi="宋体" w:cs="宋体"/>
                <w:b/>
                <w:color w:val="auto"/>
                <w:szCs w:val="21"/>
                <w:highlight w:val="none"/>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50AE22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vAlign w:val="center"/>
          </w:tcPr>
          <w:p w14:paraId="3022B5D6">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28.1</w:t>
            </w:r>
          </w:p>
        </w:tc>
        <w:tc>
          <w:tcPr>
            <w:tcW w:w="2378" w:type="dxa"/>
            <w:vAlign w:val="center"/>
          </w:tcPr>
          <w:p w14:paraId="1DF45BF7">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履约保证金</w:t>
            </w:r>
          </w:p>
        </w:tc>
        <w:tc>
          <w:tcPr>
            <w:tcW w:w="6355" w:type="dxa"/>
            <w:vAlign w:val="center"/>
          </w:tcPr>
          <w:p w14:paraId="40ED65C2">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履约保证金金额：</w:t>
            </w:r>
            <w:r>
              <w:rPr>
                <w:rFonts w:hint="eastAsia" w:ascii="宋体" w:hAnsi="宋体" w:cs="宋体"/>
                <w:color w:val="auto"/>
                <w:szCs w:val="21"/>
                <w:highlight w:val="none"/>
                <w:u w:val="single"/>
              </w:rPr>
              <w:t>无</w:t>
            </w:r>
            <w:r>
              <w:rPr>
                <w:rFonts w:hint="eastAsia" w:ascii="宋体" w:hAnsi="宋体" w:cs="宋体"/>
                <w:color w:val="auto"/>
                <w:szCs w:val="21"/>
                <w:highlight w:val="none"/>
              </w:rPr>
              <w:t>。（备注：如成交供应商属于小微企业，则免于收取履约保证金）</w:t>
            </w:r>
          </w:p>
          <w:p w14:paraId="7A1B388A">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履约保证金递交方式：</w:t>
            </w:r>
            <w:r>
              <w:rPr>
                <w:rFonts w:hint="eastAsia" w:ascii="宋体" w:hAnsi="宋体" w:cs="宋体"/>
                <w:color w:val="auto"/>
                <w:szCs w:val="21"/>
                <w:highlight w:val="none"/>
                <w:u w:val="single"/>
              </w:rPr>
              <w:t>银行转账、支票、汇票、本票或者金融、担保机构出具的保函等非现金方式（成交供应商须在签订合同前向采购人提交）</w:t>
            </w:r>
            <w:r>
              <w:rPr>
                <w:rFonts w:hint="eastAsia" w:ascii="宋体" w:hAnsi="宋体" w:cs="宋体"/>
                <w:color w:val="auto"/>
                <w:szCs w:val="21"/>
                <w:highlight w:val="none"/>
              </w:rPr>
              <w:t>。</w:t>
            </w:r>
          </w:p>
          <w:p w14:paraId="648A47D6">
            <w:pPr>
              <w:shd w:val="clear"/>
              <w:spacing w:line="360" w:lineRule="auto"/>
              <w:rPr>
                <w:rFonts w:ascii="宋体" w:hAnsi="宋体" w:cs="宋体"/>
                <w:color w:val="auto"/>
                <w:szCs w:val="21"/>
                <w:highlight w:val="none"/>
                <w:u w:val="single"/>
              </w:rPr>
            </w:pPr>
            <w:r>
              <w:rPr>
                <w:rFonts w:hint="eastAsia" w:ascii="宋体" w:hAnsi="宋体" w:cs="宋体"/>
                <w:color w:val="auto"/>
                <w:szCs w:val="21"/>
                <w:highlight w:val="none"/>
              </w:rPr>
              <w:t>履约保证金退付方式、时间及条件：</w:t>
            </w:r>
            <w:r>
              <w:rPr>
                <w:rFonts w:hint="eastAsia" w:ascii="宋体" w:hAnsi="宋体" w:cs="宋体"/>
                <w:color w:val="auto"/>
                <w:szCs w:val="21"/>
                <w:highlight w:val="none"/>
                <w:u w:val="single"/>
              </w:rPr>
              <w:t>在</w:t>
            </w:r>
            <w:r>
              <w:rPr>
                <w:rFonts w:hint="eastAsia" w:ascii="宋体" w:hAnsi="宋体" w:cs="宋体"/>
                <w:color w:val="auto"/>
                <w:szCs w:val="21"/>
                <w:highlight w:val="none"/>
                <w:u w:val="single"/>
                <w:lang w:eastAsia="zh-CN"/>
              </w:rPr>
              <w:t>服务期限</w:t>
            </w:r>
            <w:r>
              <w:rPr>
                <w:rFonts w:hint="eastAsia" w:ascii="宋体" w:hAnsi="宋体" w:cs="宋体"/>
                <w:color w:val="auto"/>
                <w:szCs w:val="21"/>
                <w:highlight w:val="none"/>
                <w:u w:val="single"/>
              </w:rPr>
              <w:t>届满后，由成交供应商向采购人递交退还履约保证金的书面申请；采购人收到申请书后，经核对，成交供应商未出现合同约定的履约保证金相应扣除或抵作违约金等情形的，由采购人在5个工作日内向成交供应商无息返还履约保证金。履约保证金不足以弥补违约金及采购人损失时，采购人有权从合同金额中扣除。如成交供应商不能履行服务期限义务，履约保证金不予退还。</w:t>
            </w:r>
          </w:p>
          <w:p w14:paraId="1A5F712D">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履约保证金指定账户：</w:t>
            </w:r>
            <w:r>
              <w:rPr>
                <w:rFonts w:hint="eastAsia" w:ascii="宋体" w:hAnsi="宋体" w:cs="宋体"/>
                <w:color w:val="auto"/>
                <w:szCs w:val="21"/>
                <w:highlight w:val="none"/>
                <w:u w:val="single"/>
              </w:rPr>
              <w:t>合同签订前，采购人发函告知成交供应商具体信息。</w:t>
            </w:r>
          </w:p>
          <w:p w14:paraId="51F226C2">
            <w:pPr>
              <w:shd w:val="clea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备注：</w:t>
            </w:r>
          </w:p>
          <w:p w14:paraId="286E6CD2">
            <w:pPr>
              <w:shd w:val="clea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w:t>
            </w:r>
            <w:bookmarkStart w:id="39" w:name="_Hlk54170335"/>
            <w:r>
              <w:rPr>
                <w:rFonts w:hint="eastAsia" w:ascii="宋体" w:hAnsi="宋体" w:cs="宋体"/>
                <w:b/>
                <w:bCs/>
                <w:color w:val="auto"/>
                <w:szCs w:val="21"/>
                <w:highlight w:val="none"/>
              </w:rPr>
              <w:t>根据《广西壮族自治区财政厅关于贯彻落实政府采购优化营商环境百日攻坚行动方案的通知》（桂财采〔2020〕49号）规定，鼓励采购人在与中小微企业签订政府采购合同时，减少或免于收取履约保证金，有必要收取履约保证金的，收取的履约保证金不得超过政府采购合同金额的5%。</w:t>
            </w:r>
            <w:bookmarkEnd w:id="39"/>
          </w:p>
          <w:p w14:paraId="2D0C915F">
            <w:pPr>
              <w:shd w:val="clea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2.根据《广西壮族自治区人民政府办公厅关于印发广西保障中小企业款项支付工作方案的通知》（桂政办发〔2020〕89号）规定，采购人在与小微企业签订政府采购合同时，免于收取履约保证金。</w:t>
            </w:r>
          </w:p>
          <w:p w14:paraId="4B442A37">
            <w:pPr>
              <w:shd w:val="clea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根据《广西壮族自治区财政厅关于持续优化政府采购营商环境推动高质量发展的通知》（桂财采〔2024〕55号）规定，履约保证金数额不得超过政府采购合同金额的5%，对中小企业收取的履约保证金数额不得超过政府采购合同金额的2%。</w:t>
            </w:r>
          </w:p>
          <w:p w14:paraId="20FCF1D4">
            <w:pPr>
              <w:shd w:val="clea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4.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785BFB5C">
            <w:pPr>
              <w:shd w:val="clear"/>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t>5.采用金融、担保机构出具的保函的，必须为无条件保函，否则不予签订合同。</w:t>
            </w:r>
          </w:p>
        </w:tc>
      </w:tr>
      <w:tr w14:paraId="12784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vAlign w:val="center"/>
          </w:tcPr>
          <w:p w14:paraId="2390CC0C">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29.5</w:t>
            </w:r>
          </w:p>
        </w:tc>
        <w:tc>
          <w:tcPr>
            <w:tcW w:w="2378" w:type="dxa"/>
            <w:vAlign w:val="center"/>
          </w:tcPr>
          <w:p w14:paraId="6E24C198">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签订合同携带的材料</w:t>
            </w:r>
          </w:p>
        </w:tc>
        <w:tc>
          <w:tcPr>
            <w:tcW w:w="6355" w:type="dxa"/>
            <w:vAlign w:val="center"/>
          </w:tcPr>
          <w:p w14:paraId="42BB6152">
            <w:pPr>
              <w:shd w:val="clear"/>
              <w:autoSpaceDE w:val="0"/>
              <w:autoSpaceDN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委托代理人负责签订合同的，须携带授权委托书及委托代理人身份证原件等其他资格证件。</w:t>
            </w:r>
          </w:p>
          <w:p w14:paraId="53C70D52">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法定代表人负责签订合同的，须携带法定代表人身份证明原件及身份证原件等其他证明材料。</w:t>
            </w:r>
          </w:p>
        </w:tc>
      </w:tr>
      <w:tr w14:paraId="74EAB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05" w:type="dxa"/>
            <w:vMerge w:val="restart"/>
            <w:vAlign w:val="center"/>
          </w:tcPr>
          <w:p w14:paraId="735391A4">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31.2</w:t>
            </w:r>
          </w:p>
        </w:tc>
        <w:tc>
          <w:tcPr>
            <w:tcW w:w="2378" w:type="dxa"/>
            <w:vAlign w:val="center"/>
          </w:tcPr>
          <w:p w14:paraId="3B2A3D65">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接收质疑函方式</w:t>
            </w:r>
          </w:p>
        </w:tc>
        <w:tc>
          <w:tcPr>
            <w:tcW w:w="6355" w:type="dxa"/>
            <w:vAlign w:val="center"/>
          </w:tcPr>
          <w:p w14:paraId="08D80729">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以书面形式</w:t>
            </w:r>
          </w:p>
        </w:tc>
      </w:tr>
      <w:tr w14:paraId="33B0B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vMerge w:val="continue"/>
            <w:vAlign w:val="center"/>
          </w:tcPr>
          <w:p w14:paraId="44D3513F">
            <w:pPr>
              <w:shd w:val="clear"/>
              <w:spacing w:line="360" w:lineRule="auto"/>
              <w:jc w:val="center"/>
              <w:rPr>
                <w:rFonts w:ascii="宋体" w:hAnsi="宋体" w:cs="宋体"/>
                <w:color w:val="auto"/>
                <w:szCs w:val="21"/>
                <w:highlight w:val="none"/>
              </w:rPr>
            </w:pPr>
          </w:p>
        </w:tc>
        <w:tc>
          <w:tcPr>
            <w:tcW w:w="2378" w:type="dxa"/>
            <w:vAlign w:val="center"/>
          </w:tcPr>
          <w:p w14:paraId="4F79730F">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质疑联系部门</w:t>
            </w:r>
          </w:p>
          <w:p w14:paraId="25B45ABA">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及联系方式</w:t>
            </w:r>
          </w:p>
        </w:tc>
        <w:tc>
          <w:tcPr>
            <w:tcW w:w="6355" w:type="dxa"/>
            <w:vAlign w:val="center"/>
          </w:tcPr>
          <w:p w14:paraId="3A4FDB10">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rPr>
              <w:t>广西信永工程咨询有限责任公司</w:t>
            </w:r>
            <w:r>
              <w:rPr>
                <w:rFonts w:hint="eastAsia" w:ascii="宋体" w:hAnsi="宋体" w:cs="宋体"/>
                <w:color w:val="auto"/>
                <w:szCs w:val="21"/>
                <w:highlight w:val="none"/>
              </w:rPr>
              <w:t>；</w:t>
            </w:r>
          </w:p>
          <w:p w14:paraId="234041E7">
            <w:pPr>
              <w:shd w:val="clea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lang w:eastAsia="zh-CN"/>
              </w:rPr>
              <w:t>0771-5782260（分机号：628）</w:t>
            </w:r>
          </w:p>
          <w:p w14:paraId="4B993C05">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通讯地址：</w:t>
            </w:r>
            <w:r>
              <w:rPr>
                <w:rFonts w:hint="eastAsia" w:ascii="宋体" w:hAnsi="宋体" w:cs="宋体"/>
                <w:color w:val="auto"/>
                <w:szCs w:val="21"/>
                <w:highlight w:val="none"/>
                <w:u w:val="single"/>
              </w:rPr>
              <w:t>南宁市青秀区中柬路9号利海亚洲国际4号楼领峰A座610室</w:t>
            </w:r>
          </w:p>
          <w:p w14:paraId="00196F16">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u w:val="single"/>
                <w:lang w:eastAsia="zh-CN"/>
              </w:rPr>
              <w:t>广西壮族自治区水利厅</w:t>
            </w:r>
            <w:r>
              <w:rPr>
                <w:rFonts w:hint="eastAsia" w:ascii="宋体" w:hAnsi="宋体" w:cs="宋体"/>
                <w:color w:val="auto"/>
                <w:szCs w:val="21"/>
                <w:highlight w:val="none"/>
              </w:rPr>
              <w:t>；</w:t>
            </w:r>
          </w:p>
          <w:p w14:paraId="2C558227">
            <w:pPr>
              <w:shd w:val="clear"/>
              <w:spacing w:line="360"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lang w:eastAsia="zh-CN"/>
              </w:rPr>
              <w:t>0771-</w:t>
            </w:r>
            <w:r>
              <w:rPr>
                <w:rFonts w:hint="eastAsia" w:ascii="宋体" w:hAnsi="宋体" w:cs="宋体"/>
                <w:color w:val="auto"/>
                <w:szCs w:val="21"/>
                <w:highlight w:val="none"/>
                <w:u w:val="single"/>
                <w:lang w:val="en-US" w:eastAsia="zh-CN"/>
              </w:rPr>
              <w:t>2185010</w:t>
            </w:r>
          </w:p>
          <w:p w14:paraId="3B0756C6">
            <w:pPr>
              <w:shd w:val="clea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通讯地址：</w:t>
            </w:r>
            <w:r>
              <w:rPr>
                <w:rFonts w:hint="eastAsia" w:ascii="宋体" w:hAnsi="宋体" w:cs="宋体"/>
                <w:color w:val="auto"/>
                <w:szCs w:val="21"/>
                <w:highlight w:val="none"/>
                <w:u w:val="single"/>
                <w:lang w:eastAsia="zh-CN"/>
              </w:rPr>
              <w:t>南宁市青秀区建政路12号</w:t>
            </w:r>
          </w:p>
        </w:tc>
      </w:tr>
      <w:tr w14:paraId="4C7AC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vMerge w:val="continue"/>
            <w:vAlign w:val="center"/>
          </w:tcPr>
          <w:p w14:paraId="2C21117E">
            <w:pPr>
              <w:shd w:val="clear"/>
              <w:spacing w:line="360" w:lineRule="auto"/>
              <w:jc w:val="center"/>
              <w:rPr>
                <w:rFonts w:ascii="宋体" w:hAnsi="宋体" w:cs="宋体"/>
                <w:color w:val="auto"/>
                <w:szCs w:val="21"/>
                <w:highlight w:val="none"/>
              </w:rPr>
            </w:pPr>
          </w:p>
        </w:tc>
        <w:tc>
          <w:tcPr>
            <w:tcW w:w="2378" w:type="dxa"/>
            <w:vAlign w:val="center"/>
          </w:tcPr>
          <w:p w14:paraId="54B1ABDC">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现场提交质疑办理业务时间</w:t>
            </w:r>
          </w:p>
        </w:tc>
        <w:tc>
          <w:tcPr>
            <w:tcW w:w="6355" w:type="dxa"/>
            <w:vAlign w:val="center"/>
          </w:tcPr>
          <w:p w14:paraId="1CC49FF0">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质疑期内每个工作日</w:t>
            </w:r>
            <w:r>
              <w:rPr>
                <w:rFonts w:hint="eastAsia" w:ascii="宋体" w:hAnsi="宋体" w:cs="宋体"/>
                <w:color w:val="auto"/>
                <w:szCs w:val="21"/>
                <w:highlight w:val="none"/>
                <w:u w:val="single"/>
              </w:rPr>
              <w:t>9</w:t>
            </w:r>
            <w:r>
              <w:rPr>
                <w:rFonts w:hint="eastAsia" w:ascii="宋体" w:hAnsi="宋体" w:cs="宋体"/>
                <w:color w:val="auto"/>
                <w:szCs w:val="21"/>
                <w:highlight w:val="none"/>
              </w:rPr>
              <w:t>时</w:t>
            </w:r>
            <w:r>
              <w:rPr>
                <w:rFonts w:hint="eastAsia" w:ascii="宋体" w:hAnsi="宋体" w:cs="宋体"/>
                <w:color w:val="auto"/>
                <w:szCs w:val="21"/>
                <w:highlight w:val="none"/>
                <w:u w:val="single"/>
              </w:rPr>
              <w:t>00</w:t>
            </w:r>
            <w:r>
              <w:rPr>
                <w:rFonts w:hint="eastAsia" w:ascii="宋体" w:hAnsi="宋体" w:cs="宋体"/>
                <w:color w:val="auto"/>
                <w:szCs w:val="21"/>
                <w:highlight w:val="none"/>
              </w:rPr>
              <w:t>分到</w:t>
            </w:r>
            <w:r>
              <w:rPr>
                <w:rFonts w:hint="eastAsia" w:ascii="宋体" w:hAnsi="宋体" w:cs="宋体"/>
                <w:color w:val="auto"/>
                <w:szCs w:val="21"/>
                <w:highlight w:val="none"/>
                <w:u w:val="single"/>
              </w:rPr>
              <w:t>12</w:t>
            </w:r>
            <w:r>
              <w:rPr>
                <w:rFonts w:hint="eastAsia" w:ascii="宋体" w:hAnsi="宋体" w:cs="宋体"/>
                <w:color w:val="auto"/>
                <w:szCs w:val="21"/>
                <w:highlight w:val="none"/>
              </w:rPr>
              <w:t>时</w:t>
            </w:r>
            <w:r>
              <w:rPr>
                <w:rFonts w:hint="eastAsia" w:ascii="宋体" w:hAnsi="宋体" w:cs="宋体"/>
                <w:color w:val="auto"/>
                <w:szCs w:val="21"/>
                <w:highlight w:val="none"/>
                <w:u w:val="single"/>
              </w:rPr>
              <w:t>00</w:t>
            </w:r>
            <w:r>
              <w:rPr>
                <w:rFonts w:hint="eastAsia" w:ascii="宋体" w:hAnsi="宋体" w:cs="宋体"/>
                <w:color w:val="auto"/>
                <w:szCs w:val="21"/>
                <w:highlight w:val="none"/>
              </w:rPr>
              <w:t>分，</w:t>
            </w:r>
            <w:r>
              <w:rPr>
                <w:rFonts w:hint="eastAsia" w:ascii="宋体" w:hAnsi="宋体" w:cs="宋体"/>
                <w:color w:val="auto"/>
                <w:szCs w:val="21"/>
                <w:highlight w:val="none"/>
                <w:u w:val="single"/>
              </w:rPr>
              <w:t>15</w:t>
            </w:r>
            <w:r>
              <w:rPr>
                <w:rFonts w:hint="eastAsia" w:ascii="宋体" w:hAnsi="宋体" w:cs="宋体"/>
                <w:color w:val="auto"/>
                <w:szCs w:val="21"/>
                <w:highlight w:val="none"/>
              </w:rPr>
              <w:t>时</w:t>
            </w:r>
            <w:r>
              <w:rPr>
                <w:rFonts w:hint="eastAsia" w:ascii="宋体" w:hAnsi="宋体" w:cs="宋体"/>
                <w:color w:val="auto"/>
                <w:szCs w:val="21"/>
                <w:highlight w:val="none"/>
                <w:u w:val="single"/>
              </w:rPr>
              <w:t>00</w:t>
            </w:r>
            <w:r>
              <w:rPr>
                <w:rFonts w:hint="eastAsia" w:ascii="宋体" w:hAnsi="宋体" w:cs="宋体"/>
                <w:color w:val="auto"/>
                <w:szCs w:val="21"/>
                <w:highlight w:val="none"/>
              </w:rPr>
              <w:t>分到</w:t>
            </w:r>
            <w:r>
              <w:rPr>
                <w:rFonts w:hint="eastAsia" w:ascii="宋体" w:hAnsi="宋体" w:cs="宋体"/>
                <w:color w:val="auto"/>
                <w:szCs w:val="21"/>
                <w:highlight w:val="none"/>
                <w:u w:val="single"/>
              </w:rPr>
              <w:t>17</w:t>
            </w:r>
            <w:r>
              <w:rPr>
                <w:rFonts w:hint="eastAsia" w:ascii="宋体" w:hAnsi="宋体" w:cs="宋体"/>
                <w:color w:val="auto"/>
                <w:szCs w:val="21"/>
                <w:highlight w:val="none"/>
              </w:rPr>
              <w:t>时</w:t>
            </w:r>
            <w:r>
              <w:rPr>
                <w:rFonts w:hint="eastAsia" w:ascii="宋体" w:hAnsi="宋体" w:cs="宋体"/>
                <w:color w:val="auto"/>
                <w:szCs w:val="21"/>
                <w:highlight w:val="none"/>
                <w:u w:val="single"/>
              </w:rPr>
              <w:t>30</w:t>
            </w:r>
            <w:r>
              <w:rPr>
                <w:rFonts w:hint="eastAsia" w:ascii="宋体" w:hAnsi="宋体" w:cs="宋体"/>
                <w:color w:val="auto"/>
                <w:szCs w:val="21"/>
                <w:highlight w:val="none"/>
              </w:rPr>
              <w:t>分</w:t>
            </w:r>
          </w:p>
        </w:tc>
      </w:tr>
      <w:tr w14:paraId="27D888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vAlign w:val="center"/>
          </w:tcPr>
          <w:p w14:paraId="4292B8D2">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31.6</w:t>
            </w:r>
          </w:p>
        </w:tc>
        <w:tc>
          <w:tcPr>
            <w:tcW w:w="2378" w:type="dxa"/>
            <w:vAlign w:val="center"/>
          </w:tcPr>
          <w:p w14:paraId="67371E45">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受理投诉方式</w:t>
            </w:r>
          </w:p>
        </w:tc>
        <w:tc>
          <w:tcPr>
            <w:tcW w:w="6355" w:type="dxa"/>
            <w:vAlign w:val="center"/>
          </w:tcPr>
          <w:p w14:paraId="76A6B8B7">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1.受理方式：纸质方式受理，投诉书正、副本（经过质疑的事项才可投诉）。</w:t>
            </w:r>
          </w:p>
          <w:p w14:paraId="4529344E">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2.邮寄地址：</w:t>
            </w:r>
          </w:p>
          <w:p w14:paraId="5354B280">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名称：广西壮族自治区财政厅政府采购监督管理处</w:t>
            </w:r>
          </w:p>
          <w:p w14:paraId="71FBADFE">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地址：南宁市青秀区桃源路69号广西财政大厦</w:t>
            </w:r>
          </w:p>
          <w:p w14:paraId="7D1482CB">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联系电话：0771-5331544</w:t>
            </w:r>
          </w:p>
        </w:tc>
      </w:tr>
      <w:tr w14:paraId="79AAF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vAlign w:val="center"/>
          </w:tcPr>
          <w:p w14:paraId="7E34C554">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33</w:t>
            </w:r>
          </w:p>
        </w:tc>
        <w:tc>
          <w:tcPr>
            <w:tcW w:w="2378" w:type="dxa"/>
            <w:vAlign w:val="center"/>
          </w:tcPr>
          <w:p w14:paraId="6B3B9B1A">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采购代理费</w:t>
            </w:r>
          </w:p>
        </w:tc>
        <w:tc>
          <w:tcPr>
            <w:tcW w:w="6355" w:type="dxa"/>
            <w:vAlign w:val="center"/>
          </w:tcPr>
          <w:p w14:paraId="15223282">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1.是否收取采购代理费：</w:t>
            </w:r>
          </w:p>
          <w:p w14:paraId="0CAE7A61">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☑是    □否</w:t>
            </w:r>
          </w:p>
          <w:p w14:paraId="3924EDFC">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2.采购代理费支付方式：</w:t>
            </w:r>
          </w:p>
          <w:p w14:paraId="2DD65D05">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☑本项目代理服务费由</w:t>
            </w:r>
            <w:r>
              <w:rPr>
                <w:rFonts w:hint="eastAsia" w:ascii="宋体" w:hAnsi="宋体" w:cs="宋体"/>
                <w:color w:val="auto"/>
                <w:kern w:val="0"/>
                <w:szCs w:val="21"/>
                <w:highlight w:val="none"/>
                <w:u w:val="single"/>
              </w:rPr>
              <w:t>成交供应商</w:t>
            </w:r>
            <w:r>
              <w:rPr>
                <w:rFonts w:hint="eastAsia" w:ascii="宋体" w:hAnsi="宋体" w:cs="宋体"/>
                <w:color w:val="auto"/>
                <w:kern w:val="0"/>
                <w:szCs w:val="21"/>
                <w:highlight w:val="none"/>
              </w:rPr>
              <w:t>在合同签订之前，一次性向采购代理机构支付。在合同签订之前未支付代理服务费的，视同放弃中标（成交）资格。</w:t>
            </w:r>
          </w:p>
          <w:p w14:paraId="553C9F0E">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□采购人支付。</w:t>
            </w:r>
          </w:p>
          <w:p w14:paraId="7F7A39F0">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3.采购代理费收取标准：</w:t>
            </w:r>
          </w:p>
          <w:p w14:paraId="0F7BCB45">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szCs w:val="21"/>
                <w:highlight w:val="none"/>
              </w:rPr>
              <w:t>以标段（</w:t>
            </w:r>
            <w:r>
              <w:rPr>
                <w:rFonts w:hint="eastAsia" w:ascii="宋体" w:hAnsi="宋体" w:cs="宋体"/>
                <w:color w:val="auto"/>
                <w:kern w:val="0"/>
                <w:szCs w:val="21"/>
                <w:highlight w:val="none"/>
              </w:rPr>
              <w:t>☑</w:t>
            </w:r>
            <w:r>
              <w:rPr>
                <w:rFonts w:hint="eastAsia" w:ascii="宋体" w:hAnsi="宋体" w:cs="宋体"/>
                <w:color w:val="auto"/>
                <w:szCs w:val="21"/>
                <w:highlight w:val="none"/>
              </w:rPr>
              <w:t>中标金额/□采购预算/□暂定中标金额/□其他</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）为计费额，按本须知正文第33.2条规定的收费计算标准（□货物招标/</w:t>
            </w:r>
            <w:r>
              <w:rPr>
                <w:rFonts w:hint="eastAsia" w:ascii="宋体" w:hAnsi="宋体" w:cs="宋体"/>
                <w:color w:val="auto"/>
                <w:kern w:val="0"/>
                <w:szCs w:val="21"/>
                <w:highlight w:val="none"/>
              </w:rPr>
              <w:t>☑</w:t>
            </w:r>
            <w:r>
              <w:rPr>
                <w:rFonts w:hint="eastAsia" w:ascii="宋体" w:hAnsi="宋体" w:cs="宋体"/>
                <w:color w:val="auto"/>
                <w:szCs w:val="21"/>
                <w:highlight w:val="none"/>
              </w:rPr>
              <w:t>服务招标/□工程招标）采用差额定率累进法计算出收费基准价格，采购代理收费以（</w:t>
            </w:r>
            <w:r>
              <w:rPr>
                <w:rFonts w:hint="eastAsia" w:ascii="宋体" w:hAnsi="宋体" w:cs="宋体"/>
                <w:color w:val="auto"/>
                <w:kern w:val="0"/>
                <w:szCs w:val="21"/>
                <w:highlight w:val="none"/>
              </w:rPr>
              <w:t>☑</w:t>
            </w:r>
            <w:r>
              <w:rPr>
                <w:rFonts w:hint="eastAsia" w:ascii="宋体" w:hAnsi="宋体" w:cs="宋体"/>
                <w:color w:val="auto"/>
                <w:szCs w:val="21"/>
                <w:highlight w:val="none"/>
              </w:rPr>
              <w:t>收费基准价格/□收费基准价格下浮</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/□收费基准价格上浮</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）收取。</w:t>
            </w:r>
          </w:p>
          <w:p w14:paraId="74F6F270">
            <w:pPr>
              <w:shd w:val="clear"/>
              <w:spacing w:line="360" w:lineRule="auto"/>
              <w:rPr>
                <w:rFonts w:ascii="宋体" w:hAnsi="宋体" w:cs="宋体"/>
                <w:color w:val="auto"/>
                <w:kern w:val="0"/>
                <w:szCs w:val="21"/>
                <w:highlight w:val="none"/>
                <w:u w:val="single"/>
              </w:rPr>
            </w:pPr>
            <w:r>
              <w:rPr>
                <w:rFonts w:hint="eastAsia" w:ascii="宋体" w:hAnsi="宋体" w:cs="宋体"/>
                <w:color w:val="auto"/>
                <w:kern w:val="0"/>
                <w:szCs w:val="21"/>
                <w:highlight w:val="none"/>
              </w:rPr>
              <w:t>□固定采购代理收费</w:t>
            </w:r>
            <w:r>
              <w:rPr>
                <w:rFonts w:hint="eastAsia" w:ascii="宋体" w:hAnsi="宋体" w:cs="宋体"/>
                <w:color w:val="auto"/>
                <w:kern w:val="0"/>
                <w:szCs w:val="21"/>
                <w:highlight w:val="none"/>
                <w:u w:val="single"/>
              </w:rPr>
              <w:t xml:space="preserve">              。</w:t>
            </w:r>
          </w:p>
          <w:p w14:paraId="5DA7DC0C">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4.采购代理费收取银行账户</w:t>
            </w:r>
          </w:p>
          <w:p w14:paraId="563AF794">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开户名称：广西信永工程咨询有限责任公司</w:t>
            </w:r>
          </w:p>
          <w:p w14:paraId="0B59D964">
            <w:pPr>
              <w:shd w:val="clear"/>
              <w:spacing w:line="360" w:lineRule="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开户银行：</w:t>
            </w:r>
            <w:r>
              <w:rPr>
                <w:rFonts w:hint="eastAsia" w:ascii="宋体" w:hAnsi="宋体" w:cs="宋体"/>
                <w:color w:val="auto"/>
                <w:kern w:val="0"/>
                <w:szCs w:val="21"/>
                <w:highlight w:val="none"/>
                <w:lang w:eastAsia="zh-CN"/>
              </w:rPr>
              <w:t>招商银行股份有限公司南宁东盟商务区支行</w:t>
            </w:r>
          </w:p>
          <w:p w14:paraId="7AAA14F2">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银行账号：7719 0170 0110 101</w:t>
            </w:r>
          </w:p>
        </w:tc>
      </w:tr>
      <w:tr w14:paraId="04978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vAlign w:val="center"/>
          </w:tcPr>
          <w:p w14:paraId="2CC207BA">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34.1</w:t>
            </w:r>
          </w:p>
        </w:tc>
        <w:tc>
          <w:tcPr>
            <w:tcW w:w="2378" w:type="dxa"/>
            <w:vAlign w:val="center"/>
          </w:tcPr>
          <w:p w14:paraId="4CDA53B6">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解释</w:t>
            </w:r>
          </w:p>
        </w:tc>
        <w:tc>
          <w:tcPr>
            <w:tcW w:w="6355" w:type="dxa"/>
            <w:vAlign w:val="center"/>
          </w:tcPr>
          <w:p w14:paraId="4C980AF1">
            <w:pPr>
              <w:shd w:val="clear"/>
              <w:spacing w:line="360" w:lineRule="auto"/>
              <w:rPr>
                <w:rFonts w:ascii="宋体" w:hAnsi="宋体" w:cs="宋体"/>
                <w:b/>
                <w:color w:val="auto"/>
                <w:kern w:val="0"/>
                <w:szCs w:val="21"/>
                <w:highlight w:val="none"/>
              </w:rPr>
            </w:pPr>
            <w:r>
              <w:rPr>
                <w:rFonts w:hint="eastAsia" w:ascii="宋体" w:hAnsi="宋体" w:cs="宋体"/>
                <w:b/>
                <w:color w:val="auto"/>
                <w:kern w:val="0"/>
                <w:szCs w:val="21"/>
                <w:highlight w:val="none"/>
              </w:rPr>
              <w:t>解释权：</w:t>
            </w:r>
            <w:r>
              <w:rPr>
                <w:rFonts w:hint="eastAsia" w:ascii="宋体" w:hAnsi="宋体" w:cs="宋体"/>
                <w:color w:val="auto"/>
                <w:kern w:val="0"/>
                <w:szCs w:val="21"/>
                <w:highlight w:val="none"/>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宋体" w:hAnsi="宋体" w:cs="宋体"/>
                <w:b/>
                <w:color w:val="auto"/>
                <w:kern w:val="0"/>
                <w:szCs w:val="21"/>
                <w:highlight w:val="none"/>
              </w:rPr>
              <w:t>由采购人或者采购代理机构负责解释。</w:t>
            </w:r>
          </w:p>
          <w:p w14:paraId="63A1EABD">
            <w:pPr>
              <w:shd w:val="clear"/>
              <w:spacing w:line="360" w:lineRule="auto"/>
              <w:rPr>
                <w:rFonts w:ascii="宋体" w:hAnsi="宋体" w:cs="宋体"/>
                <w:color w:val="auto"/>
                <w:szCs w:val="21"/>
                <w:highlight w:val="none"/>
              </w:rPr>
            </w:pPr>
            <w:r>
              <w:rPr>
                <w:rFonts w:hint="eastAsia" w:ascii="宋体" w:hAnsi="宋体" w:cs="宋体"/>
                <w:b/>
                <w:color w:val="auto"/>
                <w:kern w:val="0"/>
                <w:szCs w:val="21"/>
                <w:highlight w:val="none"/>
              </w:rPr>
              <w:t>法律责任：</w:t>
            </w:r>
            <w:r>
              <w:rPr>
                <w:rFonts w:hint="eastAsia" w:ascii="宋体" w:hAnsi="宋体" w:cs="宋体"/>
                <w:color w:val="auto"/>
                <w:kern w:val="0"/>
                <w:szCs w:val="21"/>
                <w:highlight w:val="none"/>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tc>
      </w:tr>
      <w:tr w14:paraId="2E140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vAlign w:val="center"/>
          </w:tcPr>
          <w:p w14:paraId="2315ED36">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34.2</w:t>
            </w:r>
          </w:p>
        </w:tc>
        <w:tc>
          <w:tcPr>
            <w:tcW w:w="2378" w:type="dxa"/>
            <w:vAlign w:val="center"/>
          </w:tcPr>
          <w:p w14:paraId="3476EBF7">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其他</w:t>
            </w:r>
          </w:p>
        </w:tc>
        <w:tc>
          <w:tcPr>
            <w:tcW w:w="6355" w:type="dxa"/>
            <w:vAlign w:val="center"/>
          </w:tcPr>
          <w:p w14:paraId="41BBBEDA">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1.本磋商文件中描述供应商的“公章”是指供应商通过指定电子化政府采购平台办理数字证书（CA认证）获得的以法定主体行为名称制作的电子印章。</w:t>
            </w:r>
          </w:p>
          <w:p w14:paraId="6A2A66BC">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64E0EBD">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3.本磋商文件中描述供应商的“签字”是指供应商通过指定电子化政府采购平台办理数字证书（CA认证）获得的以供应商法定代表人或者委托代理人姓名制作的电子印章或手写签字。</w:t>
            </w:r>
          </w:p>
          <w:p w14:paraId="07F2EC1C">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4.自然人竞标的，磋商文件规定盖公章处由自然人摁手指指印。</w:t>
            </w:r>
          </w:p>
          <w:p w14:paraId="332E421B">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5.本磋商文件所称的“以上”“以下”“以内”“届满”，包括本数；所称的“不满”“超过”“以外”，不包括本数。</w:t>
            </w:r>
          </w:p>
        </w:tc>
      </w:tr>
    </w:tbl>
    <w:p w14:paraId="1D2D46E6">
      <w:pPr>
        <w:keepNext/>
        <w:keepLines/>
        <w:shd w:val="clear"/>
        <w:spacing w:before="20" w:after="20" w:line="360" w:lineRule="auto"/>
        <w:jc w:val="center"/>
        <w:outlineLvl w:val="1"/>
        <w:rPr>
          <w:rFonts w:ascii="宋体" w:hAnsi="宋体" w:cs="宋体"/>
          <w:bCs/>
          <w:color w:val="auto"/>
          <w:sz w:val="32"/>
          <w:szCs w:val="32"/>
          <w:highlight w:val="none"/>
          <w:lang w:val="zh-CN"/>
        </w:rPr>
      </w:pPr>
      <w:r>
        <w:rPr>
          <w:rFonts w:hint="eastAsia" w:ascii="宋体" w:hAnsi="宋体" w:cs="宋体"/>
          <w:bCs/>
          <w:color w:val="auto"/>
          <w:sz w:val="32"/>
          <w:szCs w:val="32"/>
          <w:highlight w:val="none"/>
          <w:lang w:val="zh-CN"/>
        </w:rPr>
        <w:br w:type="page"/>
      </w:r>
      <w:bookmarkStart w:id="40" w:name="_Toc106283327"/>
      <w:bookmarkStart w:id="41" w:name="_Toc11911"/>
      <w:r>
        <w:rPr>
          <w:rFonts w:hint="eastAsia" w:ascii="宋体" w:hAnsi="宋体" w:cs="宋体"/>
          <w:bCs/>
          <w:color w:val="auto"/>
          <w:sz w:val="32"/>
          <w:szCs w:val="32"/>
          <w:highlight w:val="none"/>
          <w:lang w:val="zh-CN"/>
        </w:rPr>
        <w:t>第二节 供应商须知正文</w:t>
      </w:r>
      <w:bookmarkEnd w:id="40"/>
      <w:bookmarkEnd w:id="41"/>
    </w:p>
    <w:p w14:paraId="2E24BADC">
      <w:pPr>
        <w:keepNext/>
        <w:keepLines/>
        <w:shd w:val="clear"/>
        <w:spacing w:line="360" w:lineRule="auto"/>
        <w:outlineLvl w:val="2"/>
        <w:rPr>
          <w:rFonts w:ascii="宋体" w:hAnsi="宋体" w:cs="宋体"/>
          <w:b/>
          <w:color w:val="auto"/>
          <w:sz w:val="32"/>
          <w:szCs w:val="32"/>
          <w:highlight w:val="none"/>
          <w:lang w:val="zh-CN"/>
        </w:rPr>
      </w:pPr>
      <w:bookmarkStart w:id="42" w:name="_Toc28128"/>
      <w:r>
        <w:rPr>
          <w:rFonts w:hint="eastAsia" w:ascii="宋体" w:hAnsi="宋体" w:cs="宋体"/>
          <w:b/>
          <w:color w:val="auto"/>
          <w:sz w:val="32"/>
          <w:szCs w:val="32"/>
          <w:highlight w:val="none"/>
          <w:lang w:val="zh-CN"/>
        </w:rPr>
        <w:t>一、总则</w:t>
      </w:r>
      <w:bookmarkEnd w:id="42"/>
    </w:p>
    <w:p w14:paraId="0D0F3C21">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1.适用范围</w:t>
      </w:r>
    </w:p>
    <w:p w14:paraId="1797B136">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55AED1AD">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本竞争性磋商文件（以下简称磋商文件）适用于本项目的所有采购程序和环节（法律法规另有规定的，从其规定）。</w:t>
      </w:r>
    </w:p>
    <w:p w14:paraId="00F4935F">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2.定义</w:t>
      </w:r>
    </w:p>
    <w:p w14:paraId="62A6C3E6">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0D0DBD85">
      <w:pPr>
        <w:shd w:val="clea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14:paraId="16D751E6">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29586B3A">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2.4“服务”是指除货物和工程以外的其他政府采购对象。</w:t>
      </w:r>
    </w:p>
    <w:p w14:paraId="0A5A09EB">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2.5“竞标”是指供应商按照本项目竞争性磋商公告或者邀请函规定的方式获取磋商文件、提交响应文件并希望获得标的的行为。</w:t>
      </w:r>
    </w:p>
    <w:p w14:paraId="50018F30">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2.6“响应文件”</w:t>
      </w:r>
      <w:r>
        <w:rPr>
          <w:rFonts w:hint="eastAsia" w:ascii="宋体" w:hAnsi="宋体" w:cs="宋体"/>
          <w:color w:val="auto"/>
          <w:spacing w:val="-6"/>
          <w:szCs w:val="21"/>
          <w:highlight w:val="none"/>
        </w:rPr>
        <w:t>是指：供应商根据本磋商文件要求，编制包含资格证明、报价商务技术等所有内容的文件。</w:t>
      </w:r>
    </w:p>
    <w:p w14:paraId="1683076E">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2.7“实质性要求”是指磋商文件中已经指明不满足则响应文件按无效响应处理的条款，或者不能负偏离的条款，或者采购需求中带“▲”的条款。</w:t>
      </w:r>
    </w:p>
    <w:p w14:paraId="280360F2">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2.8“正偏离”，是指响应文件对磋商文件“采购需求”中有关条款作出的响应优于条款要求并有利于采购人的情形。</w:t>
      </w:r>
    </w:p>
    <w:p w14:paraId="42384BB7">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2.9“负偏离”，是指响应文件对磋商文件“采购需求”中有关条款作出的响应不满足条款要求，导致采购人要求不能得到满足的情形。</w:t>
      </w:r>
    </w:p>
    <w:p w14:paraId="4652D92E">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2.10“允许负偏离的条款”是指采购需求中的不属于“实质性要求”的条款。</w:t>
      </w:r>
    </w:p>
    <w:p w14:paraId="02746C1A">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2.11“书面形式”是指合同书、信件和数据电文（包括电报、电传、传真、电子数据交换和电子邮件）等可以有形地表现所载内容的形式。</w:t>
      </w:r>
    </w:p>
    <w:p w14:paraId="4717961C">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2.12“首次报价”是指供应商提交的首次响应文件中的报价。</w:t>
      </w:r>
    </w:p>
    <w:p w14:paraId="49A98EA1">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2.13“评审报价”是指供应商提交的最后报价并经修正（如有）和政策功能价格扣除（如有）后的价格。</w:t>
      </w:r>
    </w:p>
    <w:p w14:paraId="660A0CBB">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3.供应商的资格条件</w:t>
      </w:r>
    </w:p>
    <w:p w14:paraId="5857B4B7">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66530225">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4.磋商费用</w:t>
      </w:r>
    </w:p>
    <w:p w14:paraId="482F928F">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25B4F38B">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5.联合体竞标</w:t>
      </w:r>
    </w:p>
    <w:p w14:paraId="18389603">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5DD3E951">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s="宋体"/>
          <w:color w:val="auto"/>
          <w:highlight w:val="none"/>
        </w:rPr>
        <w:t>如接受联合体竞标，</w:t>
      </w:r>
      <w:r>
        <w:rPr>
          <w:rFonts w:hint="eastAsia" w:ascii="宋体" w:hAnsi="宋体" w:cs="宋体"/>
          <w:color w:val="auto"/>
          <w:szCs w:val="21"/>
          <w:highlight w:val="none"/>
        </w:rPr>
        <w:t>联合体竞标要求详见“供应商须知前附表”。</w:t>
      </w:r>
    </w:p>
    <w:p w14:paraId="11B6AA3C">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5.3根据《政府采购促进中小企业发展管理办法》（财库〔2020〕46号）和《关于进一步加大政府采购支持中小企业力度的通知》（财库〔2022〕19号）规定，接受大中型企业与小微企业组成联合体的采购项目，对于联合协议约定小微企业的合同份额占到合同总金额 30%以上的，采购人、采购代理机构应当对联合体的报价给予4%</w:t>
      </w:r>
      <w:r>
        <w:rPr>
          <w:rFonts w:hint="eastAsia" w:ascii="宋体" w:hAnsi="宋体" w:cs="宋体"/>
          <w:color w:val="auto"/>
          <w:szCs w:val="21"/>
          <w:highlight w:val="none"/>
          <w:lang w:eastAsia="zh-CN"/>
        </w:rPr>
        <w:t>～</w:t>
      </w:r>
      <w:r>
        <w:rPr>
          <w:rFonts w:hint="eastAsia" w:ascii="宋体" w:hAnsi="宋体" w:cs="宋体"/>
          <w:color w:val="auto"/>
          <w:szCs w:val="21"/>
          <w:highlight w:val="none"/>
        </w:rPr>
        <w:t>6%的扣除，用扣除后的价格参加评审。组成联合体的小微企业与联合体内其他企业、分包企业之间存在直接控股、管理关系的，不享受价格扣除优惠政策。</w:t>
      </w:r>
    </w:p>
    <w:p w14:paraId="6BFA3CB2">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6.转包与分包</w:t>
      </w:r>
    </w:p>
    <w:p w14:paraId="336597DE">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6.1本项目是否允许分包详见“供应商须知前附表”，本项目不允许违法分包。</w:t>
      </w:r>
    </w:p>
    <w:p w14:paraId="3BD42BB5">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根据《政府采购促进中小企业发展管理办法》（财库〔2020〕46号）和《关于进一步加大政府采购支持中小企业力度的通知》（财库〔2022〕19号）规定，允许大中型企业向一家或者多家小微企业分包的采购项目，对于分包意向协议约定小微企业的合同份额占到合同总金额 30%以上的，采购人、采购代理机构应当对大中型企业的报价给予4%</w:t>
      </w:r>
      <w:r>
        <w:rPr>
          <w:rFonts w:hint="eastAsia" w:ascii="宋体" w:hAnsi="宋体" w:cs="宋体"/>
          <w:color w:val="auto"/>
          <w:szCs w:val="21"/>
          <w:highlight w:val="none"/>
          <w:lang w:eastAsia="zh-CN"/>
        </w:rPr>
        <w:t>～</w:t>
      </w:r>
      <w:r>
        <w:rPr>
          <w:rFonts w:hint="eastAsia" w:ascii="宋体" w:hAnsi="宋体" w:cs="宋体"/>
          <w:color w:val="auto"/>
          <w:szCs w:val="21"/>
          <w:highlight w:val="none"/>
        </w:rPr>
        <w:t>6%的扣除，用扣除后的价格参加评审。接受分包的小微企业与分包企业之间存在直接控股、管理关系的，不享受价格扣除优惠政策。</w:t>
      </w:r>
    </w:p>
    <w:p w14:paraId="66E6DD58">
      <w:pPr>
        <w:shd w:val="clear"/>
        <w:spacing w:line="360" w:lineRule="auto"/>
        <w:ind w:firstLine="482" w:firstLineChars="200"/>
        <w:rPr>
          <w:rFonts w:ascii="宋体" w:hAnsi="宋体" w:cs="宋体"/>
          <w:b/>
          <w:bCs/>
          <w:color w:val="auto"/>
          <w:sz w:val="24"/>
          <w:highlight w:val="none"/>
        </w:rPr>
      </w:pPr>
      <w:bookmarkStart w:id="43" w:name="_Toc254970673"/>
      <w:bookmarkStart w:id="44" w:name="_Toc254970532"/>
      <w:r>
        <w:rPr>
          <w:rFonts w:hint="eastAsia" w:ascii="宋体" w:hAnsi="宋体" w:cs="宋体"/>
          <w:b/>
          <w:bCs/>
          <w:color w:val="auto"/>
          <w:sz w:val="24"/>
          <w:highlight w:val="none"/>
        </w:rPr>
        <w:t>7.特别说明</w:t>
      </w:r>
      <w:bookmarkEnd w:id="43"/>
      <w:bookmarkEnd w:id="44"/>
    </w:p>
    <w:p w14:paraId="086BD19A">
      <w:pPr>
        <w:shd w:val="clear"/>
        <w:spacing w:line="360" w:lineRule="auto"/>
        <w:ind w:firstLine="420" w:firstLineChars="200"/>
        <w:rPr>
          <w:rFonts w:ascii="宋体" w:hAnsi="宋体" w:cs="宋体"/>
          <w:color w:val="auto"/>
          <w:szCs w:val="21"/>
          <w:highlight w:val="none"/>
        </w:rPr>
      </w:pPr>
      <w:bookmarkStart w:id="45" w:name="_8.1提供相同品牌产品且通过资格审查、符合性审查的不同投标人参加同一合"/>
      <w:bookmarkEnd w:id="45"/>
      <w:r>
        <w:rPr>
          <w:rFonts w:hint="eastAsia" w:ascii="宋体" w:hAnsi="宋体" w:cs="宋体"/>
          <w:color w:val="auto"/>
          <w:szCs w:val="21"/>
          <w:highlight w:val="none"/>
        </w:rPr>
        <w:t>7.1</w:t>
      </w:r>
      <w:bookmarkStart w:id="46" w:name="_Hlk65832145"/>
      <w:r>
        <w:rPr>
          <w:rFonts w:hint="eastAsia" w:ascii="宋体" w:hAnsi="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w:t>
      </w:r>
    </w:p>
    <w:bookmarkEnd w:id="46"/>
    <w:p w14:paraId="75816787">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7.2供应商应仔细阅读磋商文件的所有内容，按照磋商文件的要求提交响应文件，并对所提供的全部资料的真实性承担法律责任。</w:t>
      </w:r>
    </w:p>
    <w:p w14:paraId="5D13C0D6">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41AF5784">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7.4在政府采购活动中，采购人员及相关人员与供应商有下列利害关系之一的，应当回避：</w:t>
      </w:r>
    </w:p>
    <w:p w14:paraId="698EC856">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560189E6">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523EE0A5">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7A5459CA">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388C11CD">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68EF08C8">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9140B99">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7.5有下列情形之一的视为供应商相互串通竞标，响应文件将被视为无效：</w:t>
      </w:r>
    </w:p>
    <w:p w14:paraId="22B6ED3C">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（1）不同供应商的响应文件由同一单位或者个人编制；或者不同供应商报名的IP地址一致的；或者编制标书硬件设备CPU编号、硬盘编号、网卡地址一致的情况。</w:t>
      </w:r>
    </w:p>
    <w:p w14:paraId="5A166D89">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75214926">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195D180D">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7DF51D1D">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5A4188E0">
      <w:pPr>
        <w:shd w:val="clear"/>
        <w:tabs>
          <w:tab w:val="left" w:pos="6931"/>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p>
    <w:p w14:paraId="3489C217">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7.6供应商有下列情形之一的，属于恶意串通行为，将报同级监督管理部门：</w:t>
      </w:r>
    </w:p>
    <w:p w14:paraId="057674F4">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37B401CD">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3652325C">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66BF67B3">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4EB1DEE1">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0B135085">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2827E895">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357CC0A9">
      <w:pPr>
        <w:shd w:val="clear"/>
        <w:spacing w:line="360" w:lineRule="auto"/>
        <w:rPr>
          <w:rFonts w:ascii="宋体" w:hAnsi="宋体" w:cs="宋体"/>
          <w:color w:val="auto"/>
          <w:highlight w:val="none"/>
        </w:rPr>
      </w:pPr>
      <w:bookmarkStart w:id="47" w:name="_Toc17207"/>
      <w:bookmarkStart w:id="48" w:name="_Toc254970675"/>
      <w:bookmarkStart w:id="49" w:name="_Toc254970534"/>
    </w:p>
    <w:p w14:paraId="43603F55">
      <w:pPr>
        <w:keepNext/>
        <w:keepLines/>
        <w:shd w:val="clear"/>
        <w:spacing w:line="360" w:lineRule="auto"/>
        <w:outlineLvl w:val="2"/>
        <w:rPr>
          <w:rFonts w:ascii="宋体" w:hAnsi="宋体" w:cs="宋体"/>
          <w:b/>
          <w:color w:val="auto"/>
          <w:sz w:val="32"/>
          <w:szCs w:val="32"/>
          <w:highlight w:val="none"/>
        </w:rPr>
      </w:pPr>
      <w:r>
        <w:rPr>
          <w:rFonts w:hint="eastAsia" w:ascii="宋体" w:hAnsi="宋体" w:cs="宋体"/>
          <w:b/>
          <w:color w:val="auto"/>
          <w:sz w:val="32"/>
          <w:szCs w:val="32"/>
          <w:highlight w:val="none"/>
          <w:lang w:val="zh-CN"/>
        </w:rPr>
        <w:t>二、磋商文件</w:t>
      </w:r>
      <w:bookmarkEnd w:id="47"/>
      <w:bookmarkEnd w:id="48"/>
      <w:bookmarkEnd w:id="49"/>
    </w:p>
    <w:p w14:paraId="77C23151">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8.磋商文件的构成</w:t>
      </w:r>
    </w:p>
    <w:p w14:paraId="7C1C9787">
      <w:pPr>
        <w:shd w:val="clea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第一章 竞争性磋商公告；</w:t>
      </w:r>
    </w:p>
    <w:p w14:paraId="5D11177C">
      <w:pPr>
        <w:shd w:val="clea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第二章 采购需求；</w:t>
      </w:r>
    </w:p>
    <w:p w14:paraId="6B791F60">
      <w:pPr>
        <w:shd w:val="clea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第三章 供应商须知；</w:t>
      </w:r>
    </w:p>
    <w:p w14:paraId="43B8E796">
      <w:pPr>
        <w:shd w:val="clea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第四章 评审程序、评审方法和评审标准；</w:t>
      </w:r>
    </w:p>
    <w:p w14:paraId="6A5BBB92">
      <w:pPr>
        <w:shd w:val="clea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第五章 响应文件格式；</w:t>
      </w:r>
    </w:p>
    <w:p w14:paraId="55964A09">
      <w:pPr>
        <w:shd w:val="clea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第六章 合同文本。</w:t>
      </w:r>
    </w:p>
    <w:p w14:paraId="2CE5B226">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9.供应商的询问</w:t>
      </w:r>
    </w:p>
    <w:p w14:paraId="497AD198">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供应商应认真阅读磋商文件的采购需求，如供应商对磋商文件有疑问的，如要求采购人作出澄清或者修改的，供应商应在提交响应文件截止之日前，以书面形式向采购人、采购代理机构提出。</w:t>
      </w:r>
    </w:p>
    <w:p w14:paraId="2C0BC78A">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10.磋商文件的澄清和修改</w:t>
      </w:r>
    </w:p>
    <w:p w14:paraId="3E068CB5">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107A0761">
      <w:pPr>
        <w:shd w:val="clea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0FB4EA8C">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10.3提交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响应文件截止之日3个工作日前，以书面形式通知所有获取磋商文件的供应商；不足3个工作日的，采购人、采购代理机构应当顺延提交响应文件截止时间。</w:t>
      </w:r>
    </w:p>
    <w:p w14:paraId="33128674">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10.4</w:t>
      </w:r>
      <w:r>
        <w:rPr>
          <w:rFonts w:hint="eastAsia" w:ascii="宋体" w:hAnsi="宋体" w:cs="宋体"/>
          <w:color w:val="auto"/>
          <w:highlight w:val="none"/>
          <w:shd w:val="clear" w:color="auto" w:fill="FFFFFF"/>
        </w:rPr>
        <w:t>采购信息更正公告的内容应当包括采购人和采购代理机构名称、地址、联系方式，原</w:t>
      </w:r>
      <w:r>
        <w:rPr>
          <w:rFonts w:hint="eastAsia" w:ascii="宋体" w:hAnsi="宋体" w:cs="宋体"/>
          <w:color w:val="auto"/>
          <w:szCs w:val="21"/>
          <w:highlight w:val="none"/>
        </w:rPr>
        <w:t>公告的采购项目名称及首次公告日期，更正事项、内容及日期，采购项目联系人和电话。</w:t>
      </w:r>
    </w:p>
    <w:p w14:paraId="39E482E0">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10.5 采购人和采购代理机构可以视采购具体情况，变更提交响应文件截止时间和磋商时间，将变更时间将在“采购文件公告”中“七、其他补充事宜2.网上查询地址”规定的政府采购信息发布媒体上发布更正公告。</w:t>
      </w:r>
    </w:p>
    <w:p w14:paraId="1D38E931">
      <w:pPr>
        <w:shd w:val="clear"/>
        <w:spacing w:line="360" w:lineRule="auto"/>
        <w:ind w:firstLine="420" w:firstLineChars="200"/>
        <w:rPr>
          <w:rFonts w:ascii="宋体" w:hAnsi="宋体" w:cs="宋体"/>
          <w:b/>
          <w:color w:val="auto"/>
          <w:kern w:val="0"/>
          <w:szCs w:val="21"/>
          <w:highlight w:val="none"/>
        </w:rPr>
      </w:pPr>
      <w:r>
        <w:rPr>
          <w:rFonts w:hint="eastAsia" w:ascii="宋体" w:hAnsi="宋体" w:cs="宋体"/>
          <w:color w:val="auto"/>
          <w:szCs w:val="21"/>
          <w:highlight w:val="none"/>
        </w:rPr>
        <w:t>▲</w:t>
      </w:r>
      <w:r>
        <w:rPr>
          <w:rFonts w:hint="eastAsia" w:ascii="宋体" w:hAnsi="宋体" w:cs="宋体"/>
          <w:b/>
          <w:color w:val="auto"/>
          <w:kern w:val="0"/>
          <w:szCs w:val="21"/>
          <w:highlight w:val="none"/>
        </w:rPr>
        <w:t>响应文件未按磋商文件的澄清、修改的内容编制，又不符合实质性要求的，其响应文件作无效处理。</w:t>
      </w:r>
    </w:p>
    <w:p w14:paraId="28297927">
      <w:pPr>
        <w:shd w:val="clear"/>
        <w:spacing w:after="120" w:line="360" w:lineRule="auto"/>
        <w:rPr>
          <w:rFonts w:ascii="宋体" w:hAnsi="宋体" w:cs="宋体"/>
          <w:color w:val="auto"/>
          <w:highlight w:val="none"/>
          <w:lang w:val="zh-CN"/>
        </w:rPr>
      </w:pPr>
    </w:p>
    <w:p w14:paraId="0ABCABCB">
      <w:pPr>
        <w:keepNext/>
        <w:keepLines/>
        <w:shd w:val="clear"/>
        <w:spacing w:line="360" w:lineRule="auto"/>
        <w:outlineLvl w:val="2"/>
        <w:rPr>
          <w:rFonts w:ascii="宋体" w:hAnsi="宋体" w:cs="宋体"/>
          <w:b/>
          <w:color w:val="auto"/>
          <w:sz w:val="32"/>
          <w:szCs w:val="32"/>
          <w:highlight w:val="none"/>
          <w:lang w:val="zh-CN"/>
        </w:rPr>
      </w:pPr>
      <w:bookmarkStart w:id="50" w:name="_Toc19069"/>
      <w:r>
        <w:rPr>
          <w:rFonts w:hint="eastAsia" w:ascii="宋体" w:hAnsi="宋体" w:cs="宋体"/>
          <w:b/>
          <w:color w:val="auto"/>
          <w:sz w:val="32"/>
          <w:szCs w:val="32"/>
          <w:highlight w:val="none"/>
          <w:lang w:val="zh-CN"/>
        </w:rPr>
        <w:t>三、响应文件的编制</w:t>
      </w:r>
      <w:bookmarkEnd w:id="50"/>
    </w:p>
    <w:p w14:paraId="6205F99E">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11.响应文件的编制原则</w:t>
      </w:r>
    </w:p>
    <w:p w14:paraId="6ACFF387">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23FCD076">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12.响应文件的组成</w:t>
      </w:r>
    </w:p>
    <w:p w14:paraId="64DA19DD">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12.1响应文件由资格证明文件、报价文件、商务技术文件三部分组成。</w:t>
      </w:r>
    </w:p>
    <w:p w14:paraId="26D8176D">
      <w:pPr>
        <w:shd w:val="clear"/>
        <w:spacing w:line="360" w:lineRule="auto"/>
        <w:ind w:left="420" w:leftChars="200"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12.1.1资格证明文件：详见“供应商须知前附表”</w:t>
      </w:r>
      <w:r>
        <w:rPr>
          <w:rFonts w:hint="eastAsia" w:ascii="宋体" w:hAnsi="宋体" w:cs="宋体"/>
          <w:color w:val="auto"/>
          <w:szCs w:val="21"/>
          <w:highlight w:val="none"/>
          <w:lang w:eastAsia="zh-CN"/>
        </w:rPr>
        <w:t>。</w:t>
      </w:r>
    </w:p>
    <w:p w14:paraId="7E174F5F">
      <w:pPr>
        <w:shd w:val="clear"/>
        <w:spacing w:line="360" w:lineRule="auto"/>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12.1.2商务技术文件：详见“供应商须知前附表”</w:t>
      </w:r>
      <w:r>
        <w:rPr>
          <w:rFonts w:hint="eastAsia" w:ascii="宋体" w:hAnsi="宋体" w:cs="宋体"/>
          <w:color w:val="auto"/>
          <w:szCs w:val="21"/>
          <w:highlight w:val="none"/>
          <w:lang w:eastAsia="zh-CN"/>
        </w:rPr>
        <w:t>。</w:t>
      </w:r>
    </w:p>
    <w:p w14:paraId="329C86F7">
      <w:pPr>
        <w:shd w:val="clear"/>
        <w:spacing w:line="360" w:lineRule="auto"/>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12.1.3报价文件：详见“供应商须知前附表”</w:t>
      </w:r>
      <w:r>
        <w:rPr>
          <w:rFonts w:hint="eastAsia" w:ascii="宋体" w:hAnsi="宋体" w:cs="宋体"/>
          <w:color w:val="auto"/>
          <w:szCs w:val="21"/>
          <w:highlight w:val="none"/>
          <w:lang w:eastAsia="zh-CN"/>
        </w:rPr>
        <w:t>。</w:t>
      </w:r>
    </w:p>
    <w:p w14:paraId="0D416344">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12.2响应文件电子版：详见“供应商须知前附表”</w:t>
      </w:r>
      <w:r>
        <w:rPr>
          <w:rFonts w:hint="eastAsia" w:ascii="宋体" w:hAnsi="宋体" w:cs="宋体"/>
          <w:color w:val="auto"/>
          <w:szCs w:val="21"/>
          <w:highlight w:val="none"/>
          <w:lang w:eastAsia="zh-CN"/>
        </w:rPr>
        <w:t>。</w:t>
      </w:r>
    </w:p>
    <w:p w14:paraId="2915DB6B">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13.计量单位</w:t>
      </w:r>
    </w:p>
    <w:p w14:paraId="721AD54A">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77AE5021">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14.竞标的风险</w:t>
      </w:r>
    </w:p>
    <w:p w14:paraId="0723F237">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6A98ACBB">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15.响应报价要求和构成</w:t>
      </w:r>
    </w:p>
    <w:p w14:paraId="022C7733">
      <w:pPr>
        <w:shd w:val="clea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15.1响应报价应按“第五章 响应文件格式”中“响应报价表”格式填写。</w:t>
      </w:r>
    </w:p>
    <w:p w14:paraId="5F15BB19">
      <w:pPr>
        <w:shd w:val="clea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15.2响应报价的价格构成见“供应商须知前附表”。</w:t>
      </w:r>
    </w:p>
    <w:p w14:paraId="7A55160E">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15.3响应报价要求</w:t>
      </w:r>
    </w:p>
    <w:p w14:paraId="088DEB1A">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15.3.1供应商的响应报价应符合以下要求，否则响应文件按无效响应处理：</w:t>
      </w:r>
    </w:p>
    <w:p w14:paraId="6CD24124">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（1）供应商必须就“采购需求”中所竞标的每个分标的全部内容分别作完整唯一总价报价，不得存在漏项报价；</w:t>
      </w:r>
    </w:p>
    <w:p w14:paraId="77D7BB16">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（2）供应商必须就所竞标的分标的单项内容作唯一报价。</w:t>
      </w:r>
    </w:p>
    <w:p w14:paraId="362A191B">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15.3.2响应报价（包含首次报价、最后报价）超过所竞标分标规定的采购预算金额或者最高限价的，其响应文件将作无效处理。</w:t>
      </w:r>
    </w:p>
    <w:p w14:paraId="63224418">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15.3.3</w:t>
      </w:r>
      <w:bookmarkStart w:id="51" w:name="_Hlk42592874"/>
      <w:r>
        <w:rPr>
          <w:rFonts w:hint="eastAsia" w:ascii="宋体" w:hAnsi="宋体" w:cs="宋体"/>
          <w:color w:val="auto"/>
          <w:szCs w:val="21"/>
          <w:highlight w:val="none"/>
        </w:rPr>
        <w:t>响应报价（包含首次报价、最后报价）超过分项采购预算金额或者最高限价的，其响应文件将作无效处理。</w:t>
      </w:r>
    </w:p>
    <w:bookmarkEnd w:id="51"/>
    <w:p w14:paraId="599C442A">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16.竞标有效期</w:t>
      </w:r>
    </w:p>
    <w:p w14:paraId="2C42A3D9">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03EF8D01">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16.2竞标有效期应由供应商按“供应商须知前附表”规定的期限作出响应。</w:t>
      </w:r>
    </w:p>
    <w:p w14:paraId="6F447A43">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16B1C20F">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17.磋商保证金</w:t>
      </w:r>
    </w:p>
    <w:p w14:paraId="77C2B191">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17.1供应商须按“供应商须知前附表”的规定提交磋商保证金。</w:t>
      </w:r>
    </w:p>
    <w:p w14:paraId="14EB6DDF">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17.2磋商保证金的退还</w:t>
      </w:r>
    </w:p>
    <w:p w14:paraId="421CC3FF">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17.2.1未</w:t>
      </w:r>
      <w:r>
        <w:rPr>
          <w:rFonts w:hint="eastAsia" w:ascii="宋体" w:hAnsi="宋体" w:cs="宋体"/>
          <w:color w:val="auto"/>
          <w:spacing w:val="-6"/>
          <w:szCs w:val="21"/>
          <w:highlight w:val="none"/>
        </w:rPr>
        <w:t>成交供应商的磋商保证金自成交通知书发出之日起5个工作日内退还，退还方式如下：</w:t>
      </w:r>
    </w:p>
    <w:p w14:paraId="7DD19EC2">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（1）采用银行转账方式的，以转账方式退回到供应商银行账户。</w:t>
      </w:r>
    </w:p>
    <w:p w14:paraId="7D9CEB80">
      <w:pPr>
        <w:shd w:val="clear"/>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（2）</w:t>
      </w:r>
      <w:r>
        <w:rPr>
          <w:rFonts w:hint="eastAsia" w:ascii="宋体" w:hAnsi="宋体"/>
          <w:color w:val="auto"/>
          <w:szCs w:val="21"/>
          <w:highlight w:val="none"/>
        </w:rPr>
        <w:t>采用支票、汇票、本票或者金融、担保机构出具的保函方式的，由供应商代表持相关授权证明材料至采购人或者采购代理机构办理支票、汇票、本票或者金融、担保机构出具的保函原件退还手续。</w:t>
      </w:r>
    </w:p>
    <w:p w14:paraId="2169B04A">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17.2.2成交供应商的磋商保证金自签订合同之日起5个工作日内退还，退还方式同未成交供应商的磋商保证金的退还方式。 </w:t>
      </w:r>
    </w:p>
    <w:p w14:paraId="1974C278">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17.3磋商保证金不计息。</w:t>
      </w:r>
    </w:p>
    <w:p w14:paraId="6B07447F">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17.4供应商有下列情形之一的，磋商保证金将不予退还： </w:t>
      </w:r>
    </w:p>
    <w:p w14:paraId="5464D091">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（1）供应商在提交响应文件截止时间后撤回响应文件的；</w:t>
      </w:r>
    </w:p>
    <w:p w14:paraId="6D6754F3">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（2）供应商在响应文件中提供虚假材料的；</w:t>
      </w:r>
    </w:p>
    <w:p w14:paraId="2F33C592">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（3）除因不可抗力或者磋商文件认可的情形以外，成交供应商不与采购人签订合同的；</w:t>
      </w:r>
    </w:p>
    <w:p w14:paraId="24458065">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（4）供应商与采购人、其他供应商或者采购代理机构恶意串通的；</w:t>
      </w:r>
    </w:p>
    <w:p w14:paraId="2C150E3E">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（5）磋商文件规定的其他情形。</w:t>
      </w:r>
    </w:p>
    <w:p w14:paraId="17BFE775">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18.响应文件编制的要求</w:t>
      </w:r>
    </w:p>
    <w:p w14:paraId="1D885114">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cs="宋体"/>
          <w:color w:val="auto"/>
          <w:highlight w:val="none"/>
        </w:rPr>
        <w:t>由此引发的</w:t>
      </w:r>
      <w:r>
        <w:rPr>
          <w:rFonts w:hint="eastAsia" w:ascii="宋体" w:hAnsi="宋体" w:cs="宋体"/>
          <w:color w:val="auto"/>
          <w:szCs w:val="21"/>
          <w:highlight w:val="none"/>
        </w:rPr>
        <w:t>后果由供应商承担。</w:t>
      </w:r>
    </w:p>
    <w:p w14:paraId="70E9471C">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18.2响应文件应按资格证明文件、商务技术文件、报价文件分别编制，本磋商只接受电子版响应文件，要求见本章“12.2响应文件电子版要求”。</w:t>
      </w:r>
    </w:p>
    <w:p w14:paraId="6C41FFA0">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w:t>
      </w:r>
      <w:bookmarkStart w:id="52" w:name="_Hlk65832699"/>
      <w:r>
        <w:rPr>
          <w:rFonts w:hint="eastAsia" w:ascii="宋体" w:hAnsi="宋体" w:cs="宋体"/>
          <w:color w:val="auto"/>
          <w:szCs w:val="21"/>
          <w:highlight w:val="none"/>
        </w:rPr>
        <w:t>3响应文件须由供应商在</w:t>
      </w:r>
      <w:r>
        <w:rPr>
          <w:rFonts w:hint="eastAsia" w:ascii="宋体" w:hAnsi="宋体" w:cs="宋体"/>
          <w:color w:val="auto"/>
          <w:kern w:val="0"/>
          <w:szCs w:val="21"/>
          <w:highlight w:val="none"/>
          <w:lang w:val="zh-CN"/>
        </w:rPr>
        <w:t>“</w:t>
      </w:r>
      <w:r>
        <w:rPr>
          <w:rFonts w:hint="eastAsia" w:ascii="宋体" w:hAnsi="宋体" w:cs="宋体"/>
          <w:color w:val="auto"/>
          <w:szCs w:val="21"/>
          <w:highlight w:val="none"/>
        </w:rPr>
        <w:t>第五章 响应文件格式</w:t>
      </w:r>
      <w:r>
        <w:rPr>
          <w:rFonts w:hint="eastAsia" w:ascii="宋体" w:hAnsi="宋体" w:cs="宋体"/>
          <w:color w:val="auto"/>
          <w:kern w:val="0"/>
          <w:szCs w:val="21"/>
          <w:highlight w:val="none"/>
          <w:lang w:val="zh-CN"/>
        </w:rPr>
        <w:t>”</w:t>
      </w:r>
      <w:r>
        <w:rPr>
          <w:rFonts w:hint="eastAsia" w:ascii="宋体" w:hAnsi="宋体" w:cs="宋体"/>
          <w:color w:val="auto"/>
          <w:szCs w:val="21"/>
          <w:highlight w:val="none"/>
        </w:rPr>
        <w:t>规定位置进行签署、盖章</w:t>
      </w:r>
      <w:bookmarkEnd w:id="52"/>
      <w:r>
        <w:rPr>
          <w:rFonts w:hint="eastAsia" w:ascii="宋体" w:hAnsi="宋体" w:cs="宋体"/>
          <w:color w:val="auto"/>
          <w:szCs w:val="21"/>
          <w:highlight w:val="none"/>
        </w:rPr>
        <w:t>，否则其响应文件按无效响应处理。骑缝盖公章不视为在规定位置盖章。</w:t>
      </w:r>
    </w:p>
    <w:p w14:paraId="795E0F18">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18.4响应文件中标注的供应商名称应与营业执照（事业单位法人证书、执业许可证、自然人身份证）及电子公章一致，否则其响应文件按无效响应处理。</w:t>
      </w:r>
    </w:p>
    <w:p w14:paraId="237F32B5">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18.5响应文件应避免涂改、行间插字或者删除，否则其响应文件按无效响应处理。</w:t>
      </w:r>
    </w:p>
    <w:p w14:paraId="592315BA">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19.响应文件的密封和标记</w:t>
      </w:r>
    </w:p>
    <w:p w14:paraId="50E48BB2">
      <w:pPr>
        <w:shd w:val="clea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19.1供应商进行电子交易应安装客户端软件—“广西政府采购云平台新版客户端”，并按照磋商文件和电子交易平台的要求编制并加密响应文件。供应商未按规定加密的响应文件，电子交易平台将拒收并提示。</w:t>
      </w:r>
    </w:p>
    <w:p w14:paraId="0D5C9713">
      <w:pPr>
        <w:shd w:val="clea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19.2使用“广西政府采购云平台新版客户端”需要提前申领CA数字证书。</w:t>
      </w:r>
    </w:p>
    <w:p w14:paraId="620DACFE">
      <w:pPr>
        <w:shd w:val="clea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19.3为确保网上操作合法、有效和安全，供应商应当在响应文件提交截止时间前完成在“政府采购云平台”的身份认证，确保在电子交易过程中能够对相关数据电文进行加密和使用电子签名。</w:t>
      </w:r>
    </w:p>
    <w:p w14:paraId="63CEF277">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20.响应文件的提交</w:t>
      </w:r>
    </w:p>
    <w:p w14:paraId="448960F7">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20.1供应商必须在“供应商须知前附表”规定的时间和地点提交响应文件。</w:t>
      </w:r>
    </w:p>
    <w:p w14:paraId="6CE0098F">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20.2 在响应文件提交截止时间以后，不能补充、修改响应文件。</w:t>
      </w:r>
    </w:p>
    <w:p w14:paraId="4AF9BED1">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20.3 在提交“最后报价”后，供应商不能退出磋商。</w:t>
      </w:r>
    </w:p>
    <w:p w14:paraId="36C4E14F">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6000DDD6">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20.5 采购机构不可视情况延长提交响应文件的截止时间。</w:t>
      </w:r>
    </w:p>
    <w:p w14:paraId="63C8C4A0">
      <w:pPr>
        <w:shd w:val="clear"/>
        <w:spacing w:line="360" w:lineRule="auto"/>
        <w:ind w:firstLine="420" w:firstLineChars="200"/>
        <w:rPr>
          <w:rFonts w:ascii="宋体" w:hAnsi="宋体" w:cs="宋体"/>
          <w:color w:val="auto"/>
          <w:sz w:val="24"/>
          <w:highlight w:val="none"/>
        </w:rPr>
      </w:pPr>
      <w:r>
        <w:rPr>
          <w:rFonts w:hint="eastAsia" w:ascii="宋体" w:hAnsi="宋体" w:cs="宋体"/>
          <w:color w:val="auto"/>
          <w:szCs w:val="21"/>
          <w:highlight w:val="none"/>
        </w:rPr>
        <w:t>20.6备份响应文件。详见</w:t>
      </w:r>
      <w:r>
        <w:rPr>
          <w:rFonts w:hint="eastAsia" w:ascii="宋体" w:hAnsi="宋体" w:cs="宋体"/>
          <w:bCs/>
          <w:color w:val="auto"/>
          <w:szCs w:val="21"/>
          <w:highlight w:val="none"/>
        </w:rPr>
        <w:t>“供应商须知前附表”。</w:t>
      </w:r>
    </w:p>
    <w:p w14:paraId="58595968">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21.响应文件的补充、修改与撤回</w:t>
      </w:r>
    </w:p>
    <w:p w14:paraId="3F7A8208">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详见“供应商须知前附表”。</w:t>
      </w:r>
    </w:p>
    <w:p w14:paraId="645EA27F">
      <w:pPr>
        <w:shd w:val="clear"/>
        <w:spacing w:line="360" w:lineRule="auto"/>
        <w:ind w:firstLine="482" w:firstLineChars="200"/>
        <w:rPr>
          <w:rFonts w:ascii="宋体" w:hAnsi="宋体" w:cs="宋体"/>
          <w:b/>
          <w:bCs/>
          <w:color w:val="auto"/>
          <w:sz w:val="24"/>
          <w:highlight w:val="none"/>
        </w:rPr>
      </w:pPr>
      <w:bookmarkStart w:id="53" w:name="_Hlk45702405"/>
      <w:r>
        <w:rPr>
          <w:rFonts w:hint="eastAsia" w:ascii="宋体" w:hAnsi="宋体" w:cs="宋体"/>
          <w:b/>
          <w:bCs/>
          <w:color w:val="auto"/>
          <w:sz w:val="24"/>
          <w:highlight w:val="none"/>
        </w:rPr>
        <w:t>22.响应文件的退回</w:t>
      </w:r>
    </w:p>
    <w:p w14:paraId="405453C1">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在响应文件提交截止时间止提交响应文件的供应商不足3家时，电子响应文件由代理机构在广西政府采购云平台操作退回，除此之外采购人和采购代理机构对已提交的电子响应文件概不退回。</w:t>
      </w:r>
    </w:p>
    <w:p w14:paraId="03B6ADDC">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23.截止时间后的撤回</w:t>
      </w:r>
    </w:p>
    <w:bookmarkEnd w:id="53"/>
    <w:p w14:paraId="008BC587">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供应商在首次响应文件提交截止时间后向采购人、采购代理机构书面申请撤回响应文件的，将根据本须知正文17.4的规定不予退还其磋商保证金。</w:t>
      </w:r>
    </w:p>
    <w:p w14:paraId="52288D05">
      <w:pPr>
        <w:shd w:val="clear"/>
        <w:spacing w:after="120" w:line="360" w:lineRule="auto"/>
        <w:rPr>
          <w:rFonts w:ascii="宋体" w:hAnsi="宋体" w:cs="宋体"/>
          <w:color w:val="auto"/>
          <w:highlight w:val="none"/>
          <w:lang w:val="zh-CN"/>
        </w:rPr>
      </w:pPr>
    </w:p>
    <w:p w14:paraId="284B6A70">
      <w:pPr>
        <w:keepNext/>
        <w:keepLines/>
        <w:shd w:val="clear"/>
        <w:spacing w:line="360" w:lineRule="auto"/>
        <w:outlineLvl w:val="2"/>
        <w:rPr>
          <w:rFonts w:ascii="宋体" w:hAnsi="宋体" w:cs="宋体"/>
          <w:b/>
          <w:color w:val="auto"/>
          <w:sz w:val="32"/>
          <w:szCs w:val="32"/>
          <w:highlight w:val="none"/>
          <w:lang w:val="zh-CN"/>
        </w:rPr>
      </w:pPr>
      <w:bookmarkStart w:id="54" w:name="_Toc6778"/>
      <w:r>
        <w:rPr>
          <w:rFonts w:hint="eastAsia" w:ascii="宋体" w:hAnsi="宋体" w:cs="宋体"/>
          <w:b/>
          <w:color w:val="auto"/>
          <w:sz w:val="32"/>
          <w:szCs w:val="32"/>
          <w:highlight w:val="none"/>
          <w:lang w:val="zh-CN"/>
        </w:rPr>
        <w:t>四、评审及磋商</w:t>
      </w:r>
      <w:bookmarkEnd w:id="54"/>
    </w:p>
    <w:p w14:paraId="491F8FD5">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24.磋商小组成立</w:t>
      </w:r>
    </w:p>
    <w:p w14:paraId="0D9967A5">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29BFC9C3">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3512D8C0">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25.响应文件的开启</w:t>
      </w:r>
    </w:p>
    <w:p w14:paraId="0FD783FA">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25.1响应文件由磋商小组或者采购代理机构在“供应商须知前附表”规定的时间开启。</w:t>
      </w:r>
    </w:p>
    <w:p w14:paraId="3629E60F">
      <w:pPr>
        <w:shd w:val="clear"/>
        <w:spacing w:line="360" w:lineRule="auto"/>
        <w:ind w:firstLine="420" w:firstLineChars="200"/>
        <w:rPr>
          <w:rFonts w:ascii="宋体" w:hAnsi="宋体" w:cs="宋体"/>
          <w:bCs/>
          <w:color w:val="auto"/>
          <w:kern w:val="0"/>
          <w:szCs w:val="21"/>
          <w:highlight w:val="none"/>
          <w:lang w:val="zh-CN"/>
        </w:rPr>
      </w:pPr>
      <w:r>
        <w:rPr>
          <w:rFonts w:hint="eastAsia" w:ascii="宋体" w:hAnsi="宋体" w:cs="宋体"/>
          <w:color w:val="auto"/>
          <w:kern w:val="0"/>
          <w:szCs w:val="21"/>
          <w:highlight w:val="none"/>
          <w:lang w:val="zh-CN"/>
        </w:rPr>
        <w:t xml:space="preserve">25.2 </w:t>
      </w:r>
      <w:r>
        <w:rPr>
          <w:rFonts w:hint="eastAsia" w:ascii="宋体" w:hAnsi="宋体" w:cs="宋体"/>
          <w:bCs/>
          <w:color w:val="auto"/>
          <w:kern w:val="0"/>
          <w:szCs w:val="21"/>
          <w:highlight w:val="none"/>
          <w:lang w:val="zh-CN"/>
        </w:rPr>
        <w:t>响应文件解密</w:t>
      </w:r>
    </w:p>
    <w:p w14:paraId="471890B2">
      <w:pPr>
        <w:shd w:val="clear"/>
        <w:snapToGri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bCs/>
          <w:color w:val="auto"/>
          <w:kern w:val="0"/>
          <w:szCs w:val="21"/>
          <w:highlight w:val="none"/>
          <w:lang w:val="zh-CN"/>
        </w:rPr>
        <w:t>采购代理机构将在“供应商须知前附表”规定的时</w:t>
      </w:r>
      <w:r>
        <w:rPr>
          <w:rFonts w:hint="eastAsia" w:ascii="宋体" w:hAnsi="宋体" w:cs="宋体"/>
          <w:color w:val="auto"/>
          <w:kern w:val="0"/>
          <w:szCs w:val="21"/>
          <w:highlight w:val="none"/>
          <w:lang w:val="zh-CN"/>
        </w:rPr>
        <w:t>间通过电子交易平台组织响应文件开启，采购</w:t>
      </w:r>
      <w:r>
        <w:rPr>
          <w:rFonts w:hint="eastAsia" w:ascii="宋体" w:hAnsi="宋体" w:cs="宋体"/>
          <w:color w:val="auto"/>
          <w:kern w:val="0"/>
          <w:szCs w:val="21"/>
          <w:highlight w:val="none"/>
        </w:rPr>
        <w:t>代理</w:t>
      </w:r>
      <w:r>
        <w:rPr>
          <w:rFonts w:hint="eastAsia" w:ascii="宋体" w:hAnsi="宋体" w:cs="宋体"/>
          <w:color w:val="auto"/>
          <w:kern w:val="0"/>
          <w:szCs w:val="21"/>
          <w:highlight w:val="none"/>
          <w:lang w:val="zh-CN"/>
        </w:rPr>
        <w:t>机构依托电子交易平台发起开始解密指令，供应商的法定代表人或其委托代理人</w:t>
      </w:r>
      <w:r>
        <w:rPr>
          <w:rFonts w:hint="eastAsia" w:ascii="宋体" w:hAnsi="宋体" w:cs="宋体"/>
          <w:b/>
          <w:color w:val="auto"/>
          <w:kern w:val="0"/>
          <w:szCs w:val="21"/>
          <w:highlight w:val="none"/>
          <w:lang w:val="zh-CN"/>
        </w:rPr>
        <w:t>须携带加密时所用的CA锁按平台提示和采购文件的规定登录到广西政府采购云平台电子开标大厅签到并在发起解密指令之时起30分钟内完成对电子响应文件在线解密</w:t>
      </w:r>
      <w:r>
        <w:rPr>
          <w:rFonts w:hint="eastAsia" w:ascii="宋体" w:hAnsi="宋体" w:cs="宋体"/>
          <w:color w:val="auto"/>
          <w:kern w:val="0"/>
          <w:szCs w:val="21"/>
          <w:highlight w:val="none"/>
          <w:lang w:val="zh-CN"/>
        </w:rPr>
        <w:t>。发起解密指令之时起5分钟内供应商还未进行解密的，代理机构要通知供应商，供应商没预留联系方式或预留联系方式无效，导致代理机构无法联系到供应商进行解密的，</w:t>
      </w:r>
      <w:r>
        <w:rPr>
          <w:rFonts w:hint="eastAsia" w:ascii="宋体" w:hAnsi="宋体" w:cs="宋体"/>
          <w:b/>
          <w:color w:val="auto"/>
          <w:kern w:val="0"/>
          <w:szCs w:val="21"/>
          <w:highlight w:val="none"/>
          <w:lang w:val="zh-CN"/>
        </w:rPr>
        <w:t>视为响应文件无效。</w:t>
      </w:r>
      <w:r>
        <w:rPr>
          <w:rFonts w:hint="eastAsia" w:ascii="宋体" w:hAnsi="宋体" w:cs="宋体"/>
          <w:color w:val="auto"/>
          <w:kern w:val="0"/>
          <w:szCs w:val="21"/>
          <w:highlight w:val="none"/>
          <w:lang w:val="zh-CN"/>
        </w:rPr>
        <w:t>（解密</w:t>
      </w:r>
      <w:r>
        <w:rPr>
          <w:rFonts w:hint="eastAsia" w:ascii="宋体" w:hAnsi="宋体" w:cs="宋体"/>
          <w:bCs/>
          <w:color w:val="auto"/>
          <w:kern w:val="0"/>
          <w:szCs w:val="21"/>
          <w:highlight w:val="none"/>
          <w:lang w:val="zh-CN"/>
        </w:rPr>
        <w:t>异常情况处理：详见本章</w:t>
      </w:r>
      <w:r>
        <w:rPr>
          <w:rFonts w:hint="eastAsia" w:ascii="宋体" w:hAnsi="宋体" w:cs="宋体"/>
          <w:color w:val="auto"/>
          <w:kern w:val="0"/>
          <w:szCs w:val="21"/>
          <w:highlight w:val="none"/>
          <w:lang w:val="zh-CN"/>
        </w:rPr>
        <w:t>26.3电子交易活动的中止。）</w:t>
      </w:r>
    </w:p>
    <w:p w14:paraId="37E0CEAA">
      <w:pPr>
        <w:shd w:val="clea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如</w:t>
      </w:r>
      <w:r>
        <w:rPr>
          <w:rFonts w:hint="eastAsia" w:ascii="宋体" w:hAnsi="宋体" w:cs="宋体"/>
          <w:bCs/>
          <w:color w:val="auto"/>
          <w:kern w:val="0"/>
          <w:szCs w:val="21"/>
          <w:highlight w:val="none"/>
          <w:lang w:val="zh-CN"/>
        </w:rPr>
        <w:t>供应商成功解密响应文件，但未在“广西政府采购云平台”电子开标大厅参加磋商的，视同认可磋商过程和结果，</w:t>
      </w:r>
      <w:r>
        <w:rPr>
          <w:rFonts w:hint="eastAsia" w:ascii="宋体" w:hAnsi="宋体" w:cs="宋体"/>
          <w:color w:val="auto"/>
          <w:kern w:val="0"/>
          <w:szCs w:val="21"/>
          <w:highlight w:val="none"/>
          <w:lang w:val="zh-CN"/>
        </w:rPr>
        <w:t>由此产生的后果由供应商自行负责。参与磋商的供应商不足3家的，不得磋商。</w:t>
      </w:r>
    </w:p>
    <w:p w14:paraId="305E7361">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26.评审程序、评审方法和评审标准</w:t>
      </w:r>
    </w:p>
    <w:p w14:paraId="4A6C1B85">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26.1磋商小组按照“第四章 评审程序、评审方法和评审标准”规定的方法、评审因素、标准和程序对响应文件进行评审。</w:t>
      </w:r>
    </w:p>
    <w:p w14:paraId="09642509">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26.2 采购需求负偏离要求及磋商顺序详见“供应商须知前附表”。</w:t>
      </w:r>
    </w:p>
    <w:p w14:paraId="16F4D63E">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26.3电子交易活动的中止。采购过程中出现以下情形，导致电子交易平台无法正常运行，或者无法保证电子交易的公平、公正和安全时，采购代理机构可中止电子交易活动：</w:t>
      </w:r>
    </w:p>
    <w:p w14:paraId="748C326F">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（1）电子交易平台发生故障而无法登录访问的； </w:t>
      </w:r>
    </w:p>
    <w:p w14:paraId="3E7CBE94">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（2）电子交易平台应用或数据库出现错误，不能进行正常操作的；</w:t>
      </w:r>
    </w:p>
    <w:p w14:paraId="0D7B0A4B">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（3）电子交易平台发现严重安全漏洞，有潜在泄密危险的；</w:t>
      </w:r>
    </w:p>
    <w:p w14:paraId="23E7F384">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（4）病毒发作导致不能进行正常操作的； </w:t>
      </w:r>
    </w:p>
    <w:p w14:paraId="4F8DD04F">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（5）其他无法保证电子交易的公平、公正和安全的情况。</w:t>
      </w:r>
    </w:p>
    <w:p w14:paraId="773556B3">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26.4出现以上情形，不影响采购公平、公正性的，采购代理机构可以待上述情形消除后继续组织电子交易活动；影响或可能影响采购公平、公正性的，经采购代理机构确认后，应当重新采购。采购代理机构必须对原有的资料及信息作出妥善保密处理，并报财政部门备案。</w:t>
      </w:r>
    </w:p>
    <w:p w14:paraId="60C5C09E">
      <w:pPr>
        <w:shd w:val="clear"/>
        <w:spacing w:after="120" w:line="360" w:lineRule="auto"/>
        <w:rPr>
          <w:rFonts w:ascii="宋体" w:hAnsi="宋体" w:cs="宋体"/>
          <w:color w:val="auto"/>
          <w:highlight w:val="none"/>
          <w:lang w:val="zh-CN"/>
        </w:rPr>
      </w:pPr>
    </w:p>
    <w:p w14:paraId="471D480B">
      <w:pPr>
        <w:keepNext/>
        <w:keepLines/>
        <w:shd w:val="clear"/>
        <w:spacing w:line="360" w:lineRule="auto"/>
        <w:outlineLvl w:val="2"/>
        <w:rPr>
          <w:rFonts w:ascii="宋体" w:hAnsi="宋体" w:cs="宋体"/>
          <w:b/>
          <w:color w:val="auto"/>
          <w:sz w:val="32"/>
          <w:szCs w:val="32"/>
          <w:highlight w:val="none"/>
          <w:lang w:val="zh-CN"/>
        </w:rPr>
      </w:pPr>
      <w:bookmarkStart w:id="55" w:name="_Toc17927"/>
      <w:r>
        <w:rPr>
          <w:rFonts w:hint="eastAsia" w:ascii="宋体" w:hAnsi="宋体" w:cs="宋体"/>
          <w:b/>
          <w:color w:val="auto"/>
          <w:sz w:val="32"/>
          <w:szCs w:val="32"/>
          <w:highlight w:val="none"/>
          <w:lang w:val="zh-CN"/>
        </w:rPr>
        <w:t>五、成交及合同</w:t>
      </w:r>
      <w:bookmarkEnd w:id="55"/>
    </w:p>
    <w:p w14:paraId="74F64E1C">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27.确定成交供应商及结果公告</w:t>
      </w:r>
    </w:p>
    <w:p w14:paraId="3559C918">
      <w:pPr>
        <w:shd w:val="clea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.1</w:t>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45E8E6BD">
      <w:pPr>
        <w:shd w:val="clea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.2采购代理机构应当在</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采购人也可以重新开展采购活动。以上信息查询记录及相关证据与磋商文件一并保存。</w:t>
      </w:r>
    </w:p>
    <w:p w14:paraId="4E9ECA3E">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7.3</w:t>
      </w:r>
      <w:r>
        <w:rPr>
          <w:rFonts w:hint="eastAsia" w:ascii="宋体" w:hAnsi="宋体" w:cs="宋体"/>
          <w:color w:val="auto"/>
          <w:szCs w:val="21"/>
          <w:highlight w:val="none"/>
        </w:rPr>
        <w:t xml:space="preserve"> 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45CCD05E">
      <w:pPr>
        <w:shd w:val="clear"/>
        <w:spacing w:line="360" w:lineRule="auto"/>
        <w:ind w:firstLine="420" w:firstLineChars="200"/>
        <w:rPr>
          <w:rFonts w:ascii="宋体" w:hAnsi="宋体" w:cs="宋体"/>
          <w:color w:val="auto"/>
          <w:szCs w:val="21"/>
          <w:highlight w:val="none"/>
        </w:rPr>
      </w:pPr>
      <w:r>
        <w:rPr>
          <w:rFonts w:ascii="宋体" w:hAnsi="宋体"/>
          <w:bCs/>
          <w:color w:val="auto"/>
          <w:szCs w:val="21"/>
          <w:highlight w:val="none"/>
        </w:rPr>
        <w:t>27.4</w:t>
      </w:r>
      <w:r>
        <w:rPr>
          <w:rFonts w:hint="eastAsia" w:ascii="宋体" w:hAnsi="宋体"/>
          <w:bCs/>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采购人也可以重新开展采购活动。</w:t>
      </w:r>
    </w:p>
    <w:p w14:paraId="14FC44EA">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28.履约保证金</w:t>
      </w:r>
    </w:p>
    <w:p w14:paraId="470B255F">
      <w:pPr>
        <w:shd w:val="clear"/>
        <w:spacing w:line="360" w:lineRule="auto"/>
        <w:ind w:firstLine="424" w:firstLineChars="202"/>
        <w:rPr>
          <w:rFonts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.1</w:t>
      </w:r>
      <w:r>
        <w:rPr>
          <w:rFonts w:ascii="宋体" w:hAnsi="宋体" w:cs="宋体"/>
          <w:color w:val="auto"/>
          <w:szCs w:val="21"/>
          <w:highlight w:val="none"/>
        </w:rPr>
        <w:t xml:space="preserve"> </w:t>
      </w:r>
      <w:r>
        <w:rPr>
          <w:rFonts w:hint="eastAsia" w:ascii="宋体" w:hAnsi="宋体" w:cs="宋体"/>
          <w:color w:val="auto"/>
          <w:szCs w:val="21"/>
          <w:highlight w:val="none"/>
        </w:rPr>
        <w:t>履约保证金的金额、提交方式、退付的时间和条件详见 “供应商须知前附表”。成交供应商未按规定提交履约保证金的，视为拒绝</w:t>
      </w:r>
      <w:r>
        <w:rPr>
          <w:rFonts w:ascii="宋体" w:hAnsi="宋体"/>
          <w:color w:val="auto"/>
          <w:highlight w:val="none"/>
        </w:rPr>
        <w:t>与采购人</w:t>
      </w:r>
      <w:r>
        <w:rPr>
          <w:rFonts w:hint="eastAsia" w:ascii="宋体" w:hAnsi="宋体" w:cs="宋体"/>
          <w:color w:val="auto"/>
          <w:szCs w:val="21"/>
          <w:highlight w:val="none"/>
        </w:rPr>
        <w:t>签订合同，采购人可以按照评审报告推荐的成交候选人名单排序，确定下一候选人为成交供应商，也可以重新开展政府采购活动。</w:t>
      </w:r>
    </w:p>
    <w:p w14:paraId="6461C4CF">
      <w:pPr>
        <w:shd w:val="clear"/>
        <w:spacing w:line="360" w:lineRule="auto"/>
        <w:ind w:firstLine="424" w:firstLineChars="202"/>
        <w:rPr>
          <w:rFonts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.2签订合同后，如成交供应商不按双方签订的合同规定履约，则没收其全部履约保证金，履约保证金不足以赔偿损失的，按实际损失赔偿。</w:t>
      </w:r>
    </w:p>
    <w:p w14:paraId="602F26B9">
      <w:pPr>
        <w:shd w:val="clear"/>
        <w:spacing w:line="360" w:lineRule="auto"/>
        <w:ind w:firstLine="424" w:firstLineChars="202"/>
        <w:rPr>
          <w:rFonts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在履约保证金退还日期前，若成交供应商的开户名称、开户银行、账号有变动的，请以书面形式通知履约保证金收取单位，否则由此产生的后果由成交供应商自行承担。</w:t>
      </w:r>
    </w:p>
    <w:p w14:paraId="5DCFE6EE">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29.签订合同</w:t>
      </w:r>
    </w:p>
    <w:p w14:paraId="00C00805">
      <w:pPr>
        <w:shd w:val="clear"/>
        <w:adjustRightInd w:val="0"/>
        <w:snapToGri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29.1采购人与成交供应商应当在成交通知书规定的时间内，按照磋商文件确定的合同文本以及采购标的、服务技术、采购金额、采购数量、技术和服务要求等事项签订政府采购合同。如成交供应商为联合体的，由联合体成员各方法定代表人或其授权代表与采购人代表签订合同。</w:t>
      </w:r>
    </w:p>
    <w:p w14:paraId="56FBD391">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609E7460">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3836480E">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29.4如签订合同并生效后，供应商无故拒绝或延期，除按照合同条款处理外，列入不良行为记录，并给予通报。</w:t>
      </w:r>
    </w:p>
    <w:p w14:paraId="5880DDDC">
      <w:pPr>
        <w:shd w:val="clear"/>
        <w:adjustRightInd w:val="0"/>
        <w:spacing w:line="360" w:lineRule="auto"/>
        <w:ind w:firstLine="420" w:firstLineChars="200"/>
        <w:rPr>
          <w:rFonts w:ascii="宋体" w:hAnsi="宋体" w:cs="宋体"/>
          <w:color w:val="auto"/>
          <w:kern w:val="0"/>
          <w:sz w:val="24"/>
          <w:szCs w:val="21"/>
          <w:highlight w:val="none"/>
          <w:lang w:val="zh-CN"/>
        </w:rPr>
      </w:pPr>
      <w:r>
        <w:rPr>
          <w:rFonts w:hint="eastAsia" w:ascii="宋体" w:hAnsi="宋体" w:cs="宋体"/>
          <w:color w:val="auto"/>
          <w:kern w:val="0"/>
          <w:szCs w:val="21"/>
          <w:highlight w:val="none"/>
          <w:lang w:val="zh-CN"/>
        </w:rPr>
        <w:t>29.5采购合同由采购人与成交供应商根据磋商文件、响应文件等内容签订，签订携带资料详见“供应商须知前附表”。</w:t>
      </w:r>
    </w:p>
    <w:p w14:paraId="554355FF">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30.政府采购合同公告</w:t>
      </w:r>
    </w:p>
    <w:p w14:paraId="7E83C6A3">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采购人或者受托采购代理机构应当自政府采购合同签订之日起2个工作日内，将政府采购合同</w:t>
      </w:r>
      <w:r>
        <w:rPr>
          <w:rFonts w:hint="eastAsia" w:ascii="宋体" w:hAnsi="宋体" w:cs="宋体"/>
          <w:bCs/>
          <w:color w:val="auto"/>
          <w:highlight w:val="none"/>
        </w:rPr>
        <w:t>在</w:t>
      </w:r>
      <w:r>
        <w:rPr>
          <w:rFonts w:hint="eastAsia" w:ascii="宋体" w:hAnsi="宋体" w:cs="宋体"/>
          <w:color w:val="auto"/>
          <w:kern w:val="0"/>
          <w:szCs w:val="21"/>
          <w:highlight w:val="none"/>
        </w:rPr>
        <w:t>“广西政府采购网”（http://zfcg.gxzf.gov.cn）</w:t>
      </w:r>
      <w:r>
        <w:rPr>
          <w:rFonts w:hint="eastAsia" w:ascii="宋体" w:hAnsi="宋体" w:cs="宋体"/>
          <w:bCs/>
          <w:color w:val="auto"/>
          <w:highlight w:val="none"/>
        </w:rPr>
        <w:t>上发布</w:t>
      </w:r>
      <w:r>
        <w:rPr>
          <w:rFonts w:hint="eastAsia" w:ascii="宋体" w:hAnsi="宋体" w:cs="宋体"/>
          <w:color w:val="auto"/>
          <w:highlight w:val="none"/>
        </w:rPr>
        <w:t>公告，但政府采购合同中涉及国家秘密、商业秘密的内容除外。</w:t>
      </w:r>
    </w:p>
    <w:p w14:paraId="5A33D658">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31.询问、质疑和投诉</w:t>
      </w:r>
    </w:p>
    <w:p w14:paraId="783DCB20">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5B091564">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宋体"/>
          <w:color w:val="auto"/>
          <w:highlight w:val="none"/>
          <w:shd w:val="clear" w:color="auto" w:fill="FFFFFF"/>
        </w:rPr>
        <w:t>接收质疑函的方式、联系部门、联系电话和通讯地址等信息详见</w:t>
      </w:r>
      <w:r>
        <w:rPr>
          <w:rFonts w:hint="eastAsia" w:ascii="宋体" w:hAnsi="宋体" w:cs="宋体"/>
          <w:color w:val="auto"/>
          <w:szCs w:val="21"/>
          <w:highlight w:val="none"/>
        </w:rPr>
        <w:t>“供应商须知前附表”</w:t>
      </w:r>
      <w:r>
        <w:rPr>
          <w:rFonts w:hint="eastAsia" w:ascii="宋体" w:hAnsi="宋体" w:cs="宋体"/>
          <w:color w:val="auto"/>
          <w:highlight w:val="none"/>
        </w:rPr>
        <w:t>。具体质疑起算时间如下：</w:t>
      </w:r>
    </w:p>
    <w:p w14:paraId="601CD5FD">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（1）对可以质疑的磋商文件提出质疑的，为收到磋商文件之日或者竞争性磋商公告期限届满之日；</w:t>
      </w:r>
    </w:p>
    <w:p w14:paraId="03650F2D">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（2）对采购过程提出质疑的，为各采购程序环节结束之日；</w:t>
      </w:r>
    </w:p>
    <w:p w14:paraId="01135B39">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（3）对成交结果提出质疑的，为成交结果公告期限届满之日。</w:t>
      </w:r>
    </w:p>
    <w:p w14:paraId="2000C128">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11DDCD16">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31.4 供应商提出质疑应当提交质疑函和必要的证明材料，针对同一采购程序环节的质疑必须在法定质疑期内一次性提出。质疑函应当包括下列内容：</w:t>
      </w:r>
    </w:p>
    <w:p w14:paraId="5849EDBC">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3971D9ED">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（2）质疑项目的名称、编号；</w:t>
      </w:r>
    </w:p>
    <w:p w14:paraId="1B42FB5C">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（3）具体、明确的质疑事项和与质疑事项相关的请求；</w:t>
      </w:r>
    </w:p>
    <w:p w14:paraId="3509A792">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（4）事实依据；</w:t>
      </w:r>
    </w:p>
    <w:p w14:paraId="4B76C8F4">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（5）必要的法律依据；</w:t>
      </w:r>
    </w:p>
    <w:p w14:paraId="644E5F16">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（6）提出质疑的日期。</w:t>
      </w:r>
    </w:p>
    <w:p w14:paraId="00B0725F">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668BF936">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2487DCB2">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（1）对采购文件提出的质疑，依法通过澄清或者修改可以继续开展采购活动的，澄清或者修改采购文件后继续开展采购活动；否则应当修改采购文件后重新开展采购活动。</w:t>
      </w:r>
    </w:p>
    <w:p w14:paraId="564963C2">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（2）对采购过程或者成交结果提出的质疑，合格供应商符合法定数量时，可以从合格的成交候选人中另行确定成交供应商的，应当依法另行确定成交供应商；否则应当重新开展采购活动。</w:t>
      </w:r>
    </w:p>
    <w:p w14:paraId="3F462691">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0A7D303D">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受理投诉方式见“供应商须知前附表”。</w:t>
      </w:r>
      <w:bookmarkStart w:id="56" w:name="_Toc80205930"/>
    </w:p>
    <w:p w14:paraId="61BEDA1B">
      <w:pPr>
        <w:shd w:val="clear"/>
        <w:spacing w:after="120" w:line="360" w:lineRule="auto"/>
        <w:rPr>
          <w:rFonts w:ascii="宋体" w:hAnsi="宋体" w:cs="宋体"/>
          <w:color w:val="auto"/>
          <w:highlight w:val="none"/>
          <w:lang w:val="zh-CN"/>
        </w:rPr>
      </w:pPr>
    </w:p>
    <w:p w14:paraId="65720EF7">
      <w:pPr>
        <w:keepNext/>
        <w:keepLines/>
        <w:shd w:val="clear"/>
        <w:spacing w:line="360" w:lineRule="auto"/>
        <w:outlineLvl w:val="2"/>
        <w:rPr>
          <w:rFonts w:ascii="宋体" w:hAnsi="宋体" w:cs="宋体"/>
          <w:b/>
          <w:color w:val="auto"/>
          <w:sz w:val="32"/>
          <w:szCs w:val="32"/>
          <w:highlight w:val="none"/>
          <w:lang w:val="zh-CN"/>
        </w:rPr>
      </w:pPr>
      <w:bookmarkStart w:id="57" w:name="_Toc18946"/>
      <w:r>
        <w:rPr>
          <w:rFonts w:hint="eastAsia" w:ascii="宋体" w:hAnsi="宋体" w:cs="宋体"/>
          <w:b/>
          <w:color w:val="auto"/>
          <w:sz w:val="32"/>
          <w:szCs w:val="32"/>
          <w:highlight w:val="none"/>
          <w:lang w:val="zh-CN"/>
        </w:rPr>
        <w:t>六、验收</w:t>
      </w:r>
      <w:bookmarkEnd w:id="56"/>
      <w:bookmarkEnd w:id="57"/>
    </w:p>
    <w:p w14:paraId="232B286E">
      <w:pPr>
        <w:shd w:val="clear"/>
        <w:tabs>
          <w:tab w:val="left" w:pos="0"/>
        </w:tabs>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32.验收</w:t>
      </w:r>
    </w:p>
    <w:p w14:paraId="69E9D37E">
      <w:pPr>
        <w:shd w:val="clear"/>
        <w:tabs>
          <w:tab w:val="left" w:pos="0"/>
        </w:tabs>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32.1采购人会同实际使用人组织对供应商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34F3ED3">
      <w:pPr>
        <w:shd w:val="clear"/>
        <w:tabs>
          <w:tab w:val="left" w:pos="0"/>
        </w:tabs>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32.2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14A7E5A">
      <w:pPr>
        <w:shd w:val="clear"/>
        <w:spacing w:after="120" w:line="360" w:lineRule="auto"/>
        <w:rPr>
          <w:rFonts w:ascii="宋体" w:hAnsi="宋体" w:cs="宋体"/>
          <w:color w:val="auto"/>
          <w:highlight w:val="none"/>
          <w:lang w:val="zh-CN"/>
        </w:rPr>
      </w:pPr>
    </w:p>
    <w:p w14:paraId="53A783E6">
      <w:pPr>
        <w:keepNext/>
        <w:keepLines/>
        <w:shd w:val="clear"/>
        <w:spacing w:line="360" w:lineRule="auto"/>
        <w:outlineLvl w:val="2"/>
        <w:rPr>
          <w:rFonts w:ascii="宋体" w:hAnsi="宋体" w:cs="宋体"/>
          <w:b/>
          <w:color w:val="auto"/>
          <w:sz w:val="32"/>
          <w:szCs w:val="32"/>
          <w:highlight w:val="none"/>
          <w:lang w:val="zh-CN"/>
        </w:rPr>
      </w:pPr>
      <w:bookmarkStart w:id="58" w:name="_Toc24218"/>
      <w:r>
        <w:rPr>
          <w:rFonts w:hint="eastAsia" w:ascii="宋体" w:hAnsi="宋体" w:cs="宋体"/>
          <w:b/>
          <w:color w:val="auto"/>
          <w:sz w:val="32"/>
          <w:szCs w:val="32"/>
          <w:highlight w:val="none"/>
          <w:lang w:val="zh-CN"/>
        </w:rPr>
        <w:t>七、其他事项</w:t>
      </w:r>
      <w:bookmarkEnd w:id="58"/>
    </w:p>
    <w:p w14:paraId="403D10CB">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33.代理服务费</w:t>
      </w:r>
    </w:p>
    <w:p w14:paraId="573A8436">
      <w:pPr>
        <w:shd w:val="clear"/>
        <w:tabs>
          <w:tab w:val="left" w:pos="0"/>
        </w:tabs>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33.1代理服务收费标准及缴费账户详见“供应商须知前附表”，供应商为联合体的，可以由联合体中的一方或者多方共同</w:t>
      </w:r>
      <w:r>
        <w:rPr>
          <w:rFonts w:hint="eastAsia" w:ascii="宋体" w:hAnsi="宋体" w:cs="宋体"/>
          <w:color w:val="auto"/>
          <w:kern w:val="0"/>
          <w:szCs w:val="21"/>
          <w:highlight w:val="none"/>
          <w:lang w:eastAsia="zh-CN"/>
        </w:rPr>
        <w:t>缴纳</w:t>
      </w:r>
      <w:r>
        <w:rPr>
          <w:rFonts w:hint="eastAsia" w:ascii="宋体" w:hAnsi="宋体" w:cs="宋体"/>
          <w:color w:val="auto"/>
          <w:kern w:val="0"/>
          <w:szCs w:val="21"/>
          <w:highlight w:val="none"/>
        </w:rPr>
        <w:t>代理服务费。</w:t>
      </w:r>
    </w:p>
    <w:p w14:paraId="31F1D766">
      <w:pPr>
        <w:shd w:val="clear"/>
        <w:tabs>
          <w:tab w:val="left" w:pos="0"/>
        </w:tabs>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33.2代理服务收费标准：</w:t>
      </w:r>
    </w:p>
    <w:tbl>
      <w:tblPr>
        <w:tblStyle w:val="51"/>
        <w:tblW w:w="8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5460C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l2br w:val="single" w:color="auto" w:sz="4" w:space="0"/>
            </w:tcBorders>
            <w:vAlign w:val="center"/>
          </w:tcPr>
          <w:p w14:paraId="576E8645">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费率</w:t>
            </w:r>
          </w:p>
          <w:p w14:paraId="7E44BE02">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中标金额</w:t>
            </w:r>
          </w:p>
        </w:tc>
        <w:tc>
          <w:tcPr>
            <w:tcW w:w="1659" w:type="dxa"/>
            <w:vAlign w:val="center"/>
          </w:tcPr>
          <w:p w14:paraId="4CB320E7">
            <w:pPr>
              <w:shd w:val="clear"/>
              <w:spacing w:line="360" w:lineRule="auto"/>
              <w:ind w:firstLine="105" w:firstLineChars="50"/>
              <w:jc w:val="center"/>
              <w:rPr>
                <w:rFonts w:ascii="宋体" w:hAnsi="宋体" w:cs="宋体"/>
                <w:color w:val="auto"/>
                <w:szCs w:val="21"/>
                <w:highlight w:val="none"/>
              </w:rPr>
            </w:pPr>
            <w:r>
              <w:rPr>
                <w:rFonts w:hint="eastAsia" w:ascii="宋体" w:hAnsi="宋体" w:cs="宋体"/>
                <w:color w:val="auto"/>
                <w:szCs w:val="21"/>
                <w:highlight w:val="none"/>
              </w:rPr>
              <w:t>货物招标</w:t>
            </w:r>
          </w:p>
        </w:tc>
        <w:tc>
          <w:tcPr>
            <w:tcW w:w="1687" w:type="dxa"/>
            <w:vAlign w:val="center"/>
          </w:tcPr>
          <w:p w14:paraId="626425D7">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服务招标</w:t>
            </w:r>
          </w:p>
        </w:tc>
        <w:tc>
          <w:tcPr>
            <w:tcW w:w="1659" w:type="dxa"/>
            <w:vAlign w:val="center"/>
          </w:tcPr>
          <w:p w14:paraId="2C8CEDD2">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工程招标</w:t>
            </w:r>
          </w:p>
        </w:tc>
      </w:tr>
      <w:tr w14:paraId="7817E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vAlign w:val="center"/>
          </w:tcPr>
          <w:p w14:paraId="1AE82703">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100万元以下</w:t>
            </w:r>
          </w:p>
        </w:tc>
        <w:tc>
          <w:tcPr>
            <w:tcW w:w="1659" w:type="dxa"/>
            <w:vAlign w:val="center"/>
          </w:tcPr>
          <w:p w14:paraId="6965C154">
            <w:pPr>
              <w:shd w:val="clear"/>
              <w:spacing w:line="360" w:lineRule="auto"/>
              <w:rPr>
                <w:rFonts w:ascii="宋体" w:hAnsi="宋体" w:cs="宋体"/>
                <w:color w:val="auto"/>
                <w:szCs w:val="21"/>
                <w:highlight w:val="none"/>
              </w:rPr>
            </w:pPr>
            <w:r>
              <w:rPr>
                <w:rFonts w:hint="eastAsia" w:ascii="宋体" w:hAnsi="宋体" w:cs="宋体"/>
                <w:color w:val="auto"/>
                <w:kern w:val="0"/>
                <w:szCs w:val="21"/>
                <w:highlight w:val="none"/>
              </w:rPr>
              <w:t xml:space="preserve">1.5%                </w:t>
            </w:r>
          </w:p>
        </w:tc>
        <w:tc>
          <w:tcPr>
            <w:tcW w:w="1687" w:type="dxa"/>
            <w:vAlign w:val="center"/>
          </w:tcPr>
          <w:p w14:paraId="404A886A">
            <w:pPr>
              <w:shd w:val="clear"/>
              <w:spacing w:line="360" w:lineRule="auto"/>
              <w:rPr>
                <w:rFonts w:ascii="宋体" w:hAnsi="宋体" w:cs="宋体"/>
                <w:color w:val="auto"/>
                <w:szCs w:val="21"/>
                <w:highlight w:val="none"/>
              </w:rPr>
            </w:pPr>
            <w:r>
              <w:rPr>
                <w:rFonts w:hint="eastAsia" w:ascii="宋体" w:hAnsi="宋体" w:cs="宋体"/>
                <w:color w:val="auto"/>
                <w:kern w:val="0"/>
                <w:szCs w:val="21"/>
                <w:highlight w:val="none"/>
              </w:rPr>
              <w:t>1.5%</w:t>
            </w:r>
          </w:p>
        </w:tc>
        <w:tc>
          <w:tcPr>
            <w:tcW w:w="1659" w:type="dxa"/>
            <w:vAlign w:val="center"/>
          </w:tcPr>
          <w:p w14:paraId="41A583FE">
            <w:pPr>
              <w:shd w:val="clear"/>
              <w:spacing w:line="360" w:lineRule="auto"/>
              <w:rPr>
                <w:rFonts w:ascii="宋体" w:hAnsi="宋体" w:cs="宋体"/>
                <w:color w:val="auto"/>
                <w:szCs w:val="21"/>
                <w:highlight w:val="none"/>
              </w:rPr>
            </w:pPr>
            <w:r>
              <w:rPr>
                <w:rFonts w:hint="eastAsia" w:ascii="宋体" w:hAnsi="宋体" w:cs="宋体"/>
                <w:color w:val="auto"/>
                <w:kern w:val="0"/>
                <w:szCs w:val="21"/>
                <w:highlight w:val="none"/>
              </w:rPr>
              <w:t>1.0%</w:t>
            </w:r>
          </w:p>
        </w:tc>
      </w:tr>
      <w:tr w14:paraId="6D8B4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vAlign w:val="center"/>
          </w:tcPr>
          <w:p w14:paraId="417B0952">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100～500万元</w:t>
            </w:r>
          </w:p>
        </w:tc>
        <w:tc>
          <w:tcPr>
            <w:tcW w:w="1659" w:type="dxa"/>
            <w:vAlign w:val="center"/>
          </w:tcPr>
          <w:p w14:paraId="3BDEFE70">
            <w:pPr>
              <w:shd w:val="clear"/>
              <w:spacing w:line="360" w:lineRule="auto"/>
              <w:rPr>
                <w:rFonts w:ascii="宋体" w:hAnsi="宋体" w:cs="宋体"/>
                <w:color w:val="auto"/>
                <w:szCs w:val="21"/>
                <w:highlight w:val="none"/>
              </w:rPr>
            </w:pPr>
            <w:r>
              <w:rPr>
                <w:rFonts w:hint="eastAsia" w:ascii="宋体" w:hAnsi="宋体" w:cs="宋体"/>
                <w:color w:val="auto"/>
                <w:kern w:val="0"/>
                <w:szCs w:val="21"/>
                <w:highlight w:val="none"/>
              </w:rPr>
              <w:t xml:space="preserve">1.1%                 </w:t>
            </w:r>
          </w:p>
        </w:tc>
        <w:tc>
          <w:tcPr>
            <w:tcW w:w="1687" w:type="dxa"/>
            <w:vAlign w:val="center"/>
          </w:tcPr>
          <w:p w14:paraId="6DC56529">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0.8%</w:t>
            </w:r>
          </w:p>
        </w:tc>
        <w:tc>
          <w:tcPr>
            <w:tcW w:w="1659" w:type="dxa"/>
            <w:vAlign w:val="center"/>
          </w:tcPr>
          <w:p w14:paraId="424E6921">
            <w:pPr>
              <w:shd w:val="clear"/>
              <w:spacing w:line="360" w:lineRule="auto"/>
              <w:rPr>
                <w:rFonts w:ascii="宋体" w:hAnsi="宋体" w:cs="宋体"/>
                <w:color w:val="auto"/>
                <w:szCs w:val="21"/>
                <w:highlight w:val="none"/>
              </w:rPr>
            </w:pPr>
            <w:r>
              <w:rPr>
                <w:rFonts w:hint="eastAsia" w:ascii="宋体" w:hAnsi="宋体" w:cs="宋体"/>
                <w:color w:val="auto"/>
                <w:kern w:val="0"/>
                <w:szCs w:val="21"/>
                <w:highlight w:val="none"/>
              </w:rPr>
              <w:t>0.7%</w:t>
            </w:r>
          </w:p>
        </w:tc>
      </w:tr>
      <w:tr w14:paraId="5C90B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vAlign w:val="center"/>
          </w:tcPr>
          <w:p w14:paraId="5E33AC85">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500～1000万元</w:t>
            </w:r>
          </w:p>
        </w:tc>
        <w:tc>
          <w:tcPr>
            <w:tcW w:w="1659" w:type="dxa"/>
            <w:vAlign w:val="center"/>
          </w:tcPr>
          <w:p w14:paraId="2DFBFF49">
            <w:pPr>
              <w:shd w:val="clear"/>
              <w:spacing w:line="360" w:lineRule="auto"/>
              <w:rPr>
                <w:rFonts w:ascii="宋体" w:hAnsi="宋体" w:cs="宋体"/>
                <w:color w:val="auto"/>
                <w:szCs w:val="21"/>
                <w:highlight w:val="none"/>
              </w:rPr>
            </w:pPr>
            <w:r>
              <w:rPr>
                <w:rFonts w:hint="eastAsia" w:ascii="宋体" w:hAnsi="宋体" w:cs="宋体"/>
                <w:color w:val="auto"/>
                <w:kern w:val="0"/>
                <w:szCs w:val="21"/>
                <w:highlight w:val="none"/>
              </w:rPr>
              <w:t xml:space="preserve">0.8%                </w:t>
            </w:r>
          </w:p>
        </w:tc>
        <w:tc>
          <w:tcPr>
            <w:tcW w:w="1687" w:type="dxa"/>
            <w:vAlign w:val="center"/>
          </w:tcPr>
          <w:p w14:paraId="0FBB30D7">
            <w:pPr>
              <w:shd w:val="clear"/>
              <w:spacing w:line="360" w:lineRule="auto"/>
              <w:rPr>
                <w:rFonts w:ascii="宋体" w:hAnsi="宋体" w:cs="宋体"/>
                <w:color w:val="auto"/>
                <w:szCs w:val="21"/>
                <w:highlight w:val="none"/>
              </w:rPr>
            </w:pPr>
            <w:r>
              <w:rPr>
                <w:rFonts w:hint="eastAsia" w:ascii="宋体" w:hAnsi="宋体" w:cs="宋体"/>
                <w:color w:val="auto"/>
                <w:kern w:val="0"/>
                <w:szCs w:val="21"/>
                <w:highlight w:val="none"/>
              </w:rPr>
              <w:t>0.45%</w:t>
            </w:r>
          </w:p>
        </w:tc>
        <w:tc>
          <w:tcPr>
            <w:tcW w:w="1659" w:type="dxa"/>
            <w:vAlign w:val="center"/>
          </w:tcPr>
          <w:p w14:paraId="4FA15EF6">
            <w:pPr>
              <w:shd w:val="clear"/>
              <w:spacing w:line="360" w:lineRule="auto"/>
              <w:rPr>
                <w:rFonts w:ascii="宋体" w:hAnsi="宋体" w:cs="宋体"/>
                <w:color w:val="auto"/>
                <w:szCs w:val="21"/>
                <w:highlight w:val="none"/>
              </w:rPr>
            </w:pPr>
            <w:r>
              <w:rPr>
                <w:rFonts w:hint="eastAsia" w:ascii="宋体" w:hAnsi="宋体" w:cs="宋体"/>
                <w:color w:val="auto"/>
                <w:kern w:val="0"/>
                <w:szCs w:val="21"/>
                <w:highlight w:val="none"/>
              </w:rPr>
              <w:t>0.55%</w:t>
            </w:r>
          </w:p>
        </w:tc>
      </w:tr>
      <w:tr w14:paraId="75AC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vAlign w:val="center"/>
          </w:tcPr>
          <w:p w14:paraId="129E4250">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1000～5000万元</w:t>
            </w:r>
          </w:p>
        </w:tc>
        <w:tc>
          <w:tcPr>
            <w:tcW w:w="1659" w:type="dxa"/>
            <w:vAlign w:val="center"/>
          </w:tcPr>
          <w:p w14:paraId="6ACF7461">
            <w:pPr>
              <w:shd w:val="clear"/>
              <w:spacing w:line="360" w:lineRule="auto"/>
              <w:rPr>
                <w:rFonts w:ascii="宋体" w:hAnsi="宋体" w:cs="宋体"/>
                <w:color w:val="auto"/>
                <w:szCs w:val="21"/>
                <w:highlight w:val="none"/>
              </w:rPr>
            </w:pPr>
            <w:r>
              <w:rPr>
                <w:rFonts w:hint="eastAsia" w:ascii="宋体" w:hAnsi="宋体" w:cs="宋体"/>
                <w:color w:val="auto"/>
                <w:kern w:val="0"/>
                <w:szCs w:val="21"/>
                <w:highlight w:val="none"/>
              </w:rPr>
              <w:t xml:space="preserve">0.5%                </w:t>
            </w:r>
          </w:p>
        </w:tc>
        <w:tc>
          <w:tcPr>
            <w:tcW w:w="1687" w:type="dxa"/>
            <w:vAlign w:val="center"/>
          </w:tcPr>
          <w:p w14:paraId="53E97B50">
            <w:pPr>
              <w:shd w:val="clear"/>
              <w:spacing w:line="360" w:lineRule="auto"/>
              <w:rPr>
                <w:rFonts w:ascii="宋体" w:hAnsi="宋体" w:cs="宋体"/>
                <w:color w:val="auto"/>
                <w:szCs w:val="21"/>
                <w:highlight w:val="none"/>
              </w:rPr>
            </w:pPr>
            <w:r>
              <w:rPr>
                <w:rFonts w:hint="eastAsia" w:ascii="宋体" w:hAnsi="宋体" w:cs="宋体"/>
                <w:color w:val="auto"/>
                <w:kern w:val="0"/>
                <w:szCs w:val="21"/>
                <w:highlight w:val="none"/>
              </w:rPr>
              <w:t>0.25%</w:t>
            </w:r>
          </w:p>
        </w:tc>
        <w:tc>
          <w:tcPr>
            <w:tcW w:w="1659" w:type="dxa"/>
            <w:vAlign w:val="center"/>
          </w:tcPr>
          <w:p w14:paraId="63F5ECB6">
            <w:pPr>
              <w:shd w:val="clear"/>
              <w:spacing w:line="360" w:lineRule="auto"/>
              <w:rPr>
                <w:rFonts w:ascii="宋体" w:hAnsi="宋体" w:cs="宋体"/>
                <w:color w:val="auto"/>
                <w:szCs w:val="21"/>
                <w:highlight w:val="none"/>
              </w:rPr>
            </w:pPr>
            <w:r>
              <w:rPr>
                <w:rFonts w:hint="eastAsia" w:ascii="宋体" w:hAnsi="宋体" w:cs="宋体"/>
                <w:color w:val="auto"/>
                <w:kern w:val="0"/>
                <w:szCs w:val="21"/>
                <w:highlight w:val="none"/>
              </w:rPr>
              <w:t>0.35%</w:t>
            </w:r>
          </w:p>
        </w:tc>
      </w:tr>
      <w:tr w14:paraId="316E5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vAlign w:val="center"/>
          </w:tcPr>
          <w:p w14:paraId="13D41405">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5000万元～1亿元</w:t>
            </w:r>
          </w:p>
        </w:tc>
        <w:tc>
          <w:tcPr>
            <w:tcW w:w="1659" w:type="dxa"/>
            <w:vAlign w:val="center"/>
          </w:tcPr>
          <w:p w14:paraId="623C62FE">
            <w:pPr>
              <w:shd w:val="clear"/>
              <w:spacing w:line="360" w:lineRule="auto"/>
              <w:rPr>
                <w:rFonts w:ascii="宋体" w:hAnsi="宋体" w:cs="宋体"/>
                <w:color w:val="auto"/>
                <w:szCs w:val="21"/>
                <w:highlight w:val="none"/>
              </w:rPr>
            </w:pPr>
            <w:r>
              <w:rPr>
                <w:rFonts w:hint="eastAsia" w:ascii="宋体" w:hAnsi="宋体" w:cs="宋体"/>
                <w:color w:val="auto"/>
                <w:kern w:val="0"/>
                <w:szCs w:val="21"/>
                <w:highlight w:val="none"/>
              </w:rPr>
              <w:t xml:space="preserve">0.25%                 </w:t>
            </w:r>
          </w:p>
        </w:tc>
        <w:tc>
          <w:tcPr>
            <w:tcW w:w="1687" w:type="dxa"/>
            <w:vAlign w:val="center"/>
          </w:tcPr>
          <w:p w14:paraId="5AC01CA3">
            <w:pPr>
              <w:shd w:val="clear"/>
              <w:spacing w:line="360" w:lineRule="auto"/>
              <w:rPr>
                <w:rFonts w:ascii="宋体" w:hAnsi="宋体" w:cs="宋体"/>
                <w:color w:val="auto"/>
                <w:szCs w:val="21"/>
                <w:highlight w:val="none"/>
              </w:rPr>
            </w:pPr>
            <w:r>
              <w:rPr>
                <w:rFonts w:hint="eastAsia" w:ascii="宋体" w:hAnsi="宋体" w:cs="宋体"/>
                <w:color w:val="auto"/>
                <w:kern w:val="0"/>
                <w:szCs w:val="21"/>
                <w:highlight w:val="none"/>
              </w:rPr>
              <w:t>0.1%</w:t>
            </w:r>
          </w:p>
        </w:tc>
        <w:tc>
          <w:tcPr>
            <w:tcW w:w="1659" w:type="dxa"/>
            <w:vAlign w:val="center"/>
          </w:tcPr>
          <w:p w14:paraId="3C22D195">
            <w:pPr>
              <w:shd w:val="clear"/>
              <w:spacing w:line="360" w:lineRule="auto"/>
              <w:rPr>
                <w:rFonts w:ascii="宋体" w:hAnsi="宋体" w:cs="宋体"/>
                <w:color w:val="auto"/>
                <w:szCs w:val="21"/>
                <w:highlight w:val="none"/>
              </w:rPr>
            </w:pPr>
            <w:r>
              <w:rPr>
                <w:rFonts w:hint="eastAsia" w:ascii="宋体" w:hAnsi="宋体" w:cs="宋体"/>
                <w:color w:val="auto"/>
                <w:kern w:val="0"/>
                <w:szCs w:val="21"/>
                <w:highlight w:val="none"/>
              </w:rPr>
              <w:t>0.2%</w:t>
            </w:r>
          </w:p>
        </w:tc>
      </w:tr>
      <w:tr w14:paraId="0DABB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vAlign w:val="center"/>
          </w:tcPr>
          <w:p w14:paraId="0C9F7DB3">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1～5亿元</w:t>
            </w:r>
          </w:p>
        </w:tc>
        <w:tc>
          <w:tcPr>
            <w:tcW w:w="1659" w:type="dxa"/>
            <w:vAlign w:val="center"/>
          </w:tcPr>
          <w:p w14:paraId="1E9C1D8F">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0.05%</w:t>
            </w:r>
          </w:p>
        </w:tc>
        <w:tc>
          <w:tcPr>
            <w:tcW w:w="1687" w:type="dxa"/>
            <w:vAlign w:val="center"/>
          </w:tcPr>
          <w:p w14:paraId="7E6DEEE5">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0.05%</w:t>
            </w:r>
          </w:p>
        </w:tc>
        <w:tc>
          <w:tcPr>
            <w:tcW w:w="1659" w:type="dxa"/>
            <w:vAlign w:val="center"/>
          </w:tcPr>
          <w:p w14:paraId="17352925">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0.05%</w:t>
            </w:r>
          </w:p>
        </w:tc>
      </w:tr>
      <w:tr w14:paraId="4A89A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vAlign w:val="center"/>
          </w:tcPr>
          <w:p w14:paraId="136F99D1">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5～10亿元</w:t>
            </w:r>
          </w:p>
        </w:tc>
        <w:tc>
          <w:tcPr>
            <w:tcW w:w="1659" w:type="dxa"/>
            <w:vAlign w:val="center"/>
          </w:tcPr>
          <w:p w14:paraId="02F17615">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0.035%</w:t>
            </w:r>
          </w:p>
        </w:tc>
        <w:tc>
          <w:tcPr>
            <w:tcW w:w="1687" w:type="dxa"/>
            <w:vAlign w:val="center"/>
          </w:tcPr>
          <w:p w14:paraId="76AD282D">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0.035%</w:t>
            </w:r>
          </w:p>
        </w:tc>
        <w:tc>
          <w:tcPr>
            <w:tcW w:w="1659" w:type="dxa"/>
            <w:vAlign w:val="center"/>
          </w:tcPr>
          <w:p w14:paraId="1C59E077">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0.035%</w:t>
            </w:r>
          </w:p>
        </w:tc>
      </w:tr>
      <w:tr w14:paraId="621F9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vAlign w:val="center"/>
          </w:tcPr>
          <w:p w14:paraId="4D5E9946">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10～50亿元</w:t>
            </w:r>
          </w:p>
        </w:tc>
        <w:tc>
          <w:tcPr>
            <w:tcW w:w="1659" w:type="dxa"/>
            <w:vAlign w:val="center"/>
          </w:tcPr>
          <w:p w14:paraId="1B3F2F10">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0.008%</w:t>
            </w:r>
          </w:p>
        </w:tc>
        <w:tc>
          <w:tcPr>
            <w:tcW w:w="1687" w:type="dxa"/>
            <w:vAlign w:val="center"/>
          </w:tcPr>
          <w:p w14:paraId="3FC27952">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0.008%</w:t>
            </w:r>
          </w:p>
        </w:tc>
        <w:tc>
          <w:tcPr>
            <w:tcW w:w="1659" w:type="dxa"/>
            <w:vAlign w:val="center"/>
          </w:tcPr>
          <w:p w14:paraId="19C71BC4">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0.008%</w:t>
            </w:r>
          </w:p>
        </w:tc>
      </w:tr>
      <w:tr w14:paraId="7FF75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vAlign w:val="center"/>
          </w:tcPr>
          <w:p w14:paraId="484527B3">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50～100亿元</w:t>
            </w:r>
          </w:p>
        </w:tc>
        <w:tc>
          <w:tcPr>
            <w:tcW w:w="1659" w:type="dxa"/>
            <w:vAlign w:val="center"/>
          </w:tcPr>
          <w:p w14:paraId="10F05CF2">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0.006%</w:t>
            </w:r>
          </w:p>
        </w:tc>
        <w:tc>
          <w:tcPr>
            <w:tcW w:w="1687" w:type="dxa"/>
            <w:vAlign w:val="center"/>
          </w:tcPr>
          <w:p w14:paraId="150B420F">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0.006%</w:t>
            </w:r>
          </w:p>
        </w:tc>
        <w:tc>
          <w:tcPr>
            <w:tcW w:w="1659" w:type="dxa"/>
            <w:vAlign w:val="center"/>
          </w:tcPr>
          <w:p w14:paraId="121B1B82">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0.006%</w:t>
            </w:r>
          </w:p>
        </w:tc>
      </w:tr>
      <w:tr w14:paraId="5EA36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vAlign w:val="center"/>
          </w:tcPr>
          <w:p w14:paraId="5E4C0ACA">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100</w:t>
            </w:r>
            <w:r>
              <w:rPr>
                <w:rFonts w:hint="eastAsia" w:ascii="宋体" w:hAnsi="宋体" w:cs="宋体"/>
                <w:color w:val="auto"/>
                <w:szCs w:val="21"/>
                <w:highlight w:val="none"/>
                <w:lang w:eastAsia="zh-CN"/>
              </w:rPr>
              <w:t>亿元</w:t>
            </w:r>
            <w:r>
              <w:rPr>
                <w:rFonts w:hint="eastAsia" w:ascii="宋体" w:hAnsi="宋体" w:cs="宋体"/>
                <w:color w:val="auto"/>
                <w:szCs w:val="21"/>
                <w:highlight w:val="none"/>
              </w:rPr>
              <w:t>以上</w:t>
            </w:r>
          </w:p>
        </w:tc>
        <w:tc>
          <w:tcPr>
            <w:tcW w:w="1659" w:type="dxa"/>
            <w:vAlign w:val="center"/>
          </w:tcPr>
          <w:p w14:paraId="4C245A83">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0.004%</w:t>
            </w:r>
          </w:p>
        </w:tc>
        <w:tc>
          <w:tcPr>
            <w:tcW w:w="1687" w:type="dxa"/>
            <w:vAlign w:val="center"/>
          </w:tcPr>
          <w:p w14:paraId="4457D13A">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0.004%</w:t>
            </w:r>
          </w:p>
        </w:tc>
        <w:tc>
          <w:tcPr>
            <w:tcW w:w="1659" w:type="dxa"/>
            <w:vAlign w:val="center"/>
          </w:tcPr>
          <w:p w14:paraId="690DE676">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0.004%</w:t>
            </w:r>
          </w:p>
        </w:tc>
      </w:tr>
    </w:tbl>
    <w:p w14:paraId="1B49237E">
      <w:pPr>
        <w:shd w:val="clea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注：</w:t>
      </w:r>
      <w:r>
        <w:rPr>
          <w:rFonts w:ascii="宋体" w:hAnsi="宋体" w:cs="宋体"/>
          <w:color w:val="auto"/>
          <w:szCs w:val="21"/>
          <w:highlight w:val="none"/>
        </w:rPr>
        <w:t xml:space="preserve"> </w:t>
      </w:r>
    </w:p>
    <w:p w14:paraId="1E2D9B9D">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按本表费率计算的收费为</w:t>
      </w:r>
      <w:r>
        <w:rPr>
          <w:rFonts w:hint="eastAsia" w:ascii="宋体" w:hAnsi="宋体" w:cs="宋体"/>
          <w:color w:val="auto"/>
          <w:szCs w:val="21"/>
          <w:highlight w:val="none"/>
        </w:rPr>
        <w:t>采购</w:t>
      </w:r>
      <w:r>
        <w:rPr>
          <w:rFonts w:ascii="宋体" w:hAnsi="宋体" w:cs="宋体"/>
          <w:color w:val="auto"/>
          <w:szCs w:val="21"/>
          <w:highlight w:val="none"/>
        </w:rPr>
        <w:t>代理的收费基准价格</w:t>
      </w:r>
      <w:r>
        <w:rPr>
          <w:rFonts w:hint="eastAsia" w:ascii="宋体" w:hAnsi="宋体" w:cs="宋体"/>
          <w:color w:val="auto"/>
          <w:szCs w:val="21"/>
          <w:highlight w:val="none"/>
        </w:rPr>
        <w:t>；</w:t>
      </w:r>
    </w:p>
    <w:p w14:paraId="57A014B0">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（2）采购</w:t>
      </w:r>
      <w:r>
        <w:rPr>
          <w:rFonts w:ascii="宋体" w:hAnsi="宋体" w:cs="宋体"/>
          <w:color w:val="auto"/>
          <w:szCs w:val="21"/>
          <w:highlight w:val="none"/>
        </w:rPr>
        <w:t>代理收费按差额定率累进法计算。</w:t>
      </w:r>
    </w:p>
    <w:p w14:paraId="22255AB8">
      <w:pPr>
        <w:shd w:val="clea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例如：某</w:t>
      </w:r>
      <w:r>
        <w:rPr>
          <w:rFonts w:hint="eastAsia" w:ascii="宋体" w:hAnsi="宋体" w:cs="宋体"/>
          <w:color w:val="auto"/>
          <w:szCs w:val="21"/>
          <w:highlight w:val="none"/>
        </w:rPr>
        <w:t>货物采购</w:t>
      </w:r>
      <w:r>
        <w:rPr>
          <w:rFonts w:ascii="宋体" w:hAnsi="宋体" w:cs="宋体"/>
          <w:color w:val="auto"/>
          <w:szCs w:val="21"/>
          <w:highlight w:val="none"/>
        </w:rPr>
        <w:t>代理业务</w:t>
      </w:r>
      <w:r>
        <w:rPr>
          <w:rFonts w:hint="eastAsia" w:ascii="宋体" w:hAnsi="宋体" w:cs="宋体"/>
          <w:color w:val="auto"/>
          <w:szCs w:val="21"/>
          <w:highlight w:val="none"/>
        </w:rPr>
        <w:t>中标</w:t>
      </w:r>
      <w:r>
        <w:rPr>
          <w:rFonts w:ascii="宋体" w:hAnsi="宋体" w:cs="宋体"/>
          <w:color w:val="auto"/>
          <w:szCs w:val="21"/>
          <w:highlight w:val="none"/>
        </w:rPr>
        <w:t>金额</w:t>
      </w:r>
      <w:r>
        <w:rPr>
          <w:rFonts w:hint="eastAsia" w:ascii="宋体" w:hAnsi="宋体" w:cs="宋体"/>
          <w:color w:val="auto"/>
          <w:szCs w:val="21"/>
          <w:highlight w:val="none"/>
        </w:rPr>
        <w:t>或者暂定价</w:t>
      </w:r>
      <w:r>
        <w:rPr>
          <w:rFonts w:ascii="宋体" w:hAnsi="宋体" w:cs="宋体"/>
          <w:color w:val="auto"/>
          <w:szCs w:val="21"/>
          <w:highlight w:val="none"/>
        </w:rPr>
        <w:t>为200万元，计算</w:t>
      </w:r>
      <w:r>
        <w:rPr>
          <w:rFonts w:hint="eastAsia" w:ascii="宋体" w:hAnsi="宋体" w:cs="宋体"/>
          <w:color w:val="auto"/>
          <w:szCs w:val="21"/>
          <w:highlight w:val="none"/>
        </w:rPr>
        <w:t>采购</w:t>
      </w:r>
      <w:r>
        <w:rPr>
          <w:rFonts w:ascii="宋体" w:hAnsi="宋体" w:cs="宋体"/>
          <w:color w:val="auto"/>
          <w:szCs w:val="21"/>
          <w:highlight w:val="none"/>
        </w:rPr>
        <w:t>代理收费额如下：</w:t>
      </w:r>
    </w:p>
    <w:p w14:paraId="08CBECB0">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100万元×l.5％＝1.5万元</w:t>
      </w:r>
    </w:p>
    <w:p w14:paraId="57CD36D4">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（200－100）万元×1.1％＝1.1万元</w:t>
      </w:r>
    </w:p>
    <w:p w14:paraId="5FCE3CB9">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合计收费＝1.5+1.1＝2.6（万元）</w:t>
      </w:r>
    </w:p>
    <w:p w14:paraId="0F40B558">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34.需要补充的其他内容</w:t>
      </w:r>
    </w:p>
    <w:p w14:paraId="7279B68F">
      <w:pPr>
        <w:shd w:val="clear"/>
        <w:spacing w:line="360" w:lineRule="auto"/>
        <w:ind w:firstLine="420" w:firstLineChars="200"/>
        <w:textAlignment w:val="center"/>
        <w:rPr>
          <w:rFonts w:ascii="宋体" w:hAnsi="宋体" w:cs="宋体"/>
          <w:color w:val="auto"/>
          <w:szCs w:val="21"/>
          <w:highlight w:val="none"/>
          <w:lang w:val="zh-CN"/>
        </w:rPr>
      </w:pPr>
      <w:r>
        <w:rPr>
          <w:rFonts w:hint="eastAsia" w:ascii="宋体" w:hAnsi="宋体" w:cs="宋体"/>
          <w:color w:val="auto"/>
          <w:szCs w:val="21"/>
          <w:highlight w:val="none"/>
          <w:lang w:val="zh-CN"/>
        </w:rPr>
        <w:t>34.1本磋商文件解释规则详见“供应商须知前附表”。</w:t>
      </w:r>
    </w:p>
    <w:p w14:paraId="643A2151">
      <w:pPr>
        <w:shd w:val="clear"/>
        <w:spacing w:line="360" w:lineRule="auto"/>
        <w:ind w:firstLine="420" w:firstLineChars="200"/>
        <w:textAlignment w:val="center"/>
        <w:rPr>
          <w:rFonts w:ascii="宋体" w:hAnsi="宋体" w:cs="宋体"/>
          <w:color w:val="auto"/>
          <w:szCs w:val="21"/>
          <w:highlight w:val="none"/>
          <w:lang w:val="zh-CN"/>
        </w:rPr>
      </w:pPr>
      <w:r>
        <w:rPr>
          <w:rFonts w:hint="eastAsia" w:ascii="宋体" w:hAnsi="宋体" w:cs="宋体"/>
          <w:color w:val="auto"/>
          <w:szCs w:val="21"/>
          <w:highlight w:val="none"/>
          <w:lang w:val="zh-CN"/>
        </w:rPr>
        <w:t>34.2 其他事项详见“供应商须知前附表”。</w:t>
      </w:r>
    </w:p>
    <w:p w14:paraId="18CC044D">
      <w:pPr>
        <w:shd w:val="clear"/>
        <w:spacing w:line="360" w:lineRule="auto"/>
        <w:ind w:firstLine="420" w:firstLineChars="200"/>
        <w:textAlignment w:val="center"/>
        <w:rPr>
          <w:rFonts w:ascii="宋体" w:hAnsi="宋体" w:cs="宋体"/>
          <w:color w:val="auto"/>
          <w:szCs w:val="21"/>
          <w:highlight w:val="none"/>
          <w:lang w:val="zh-CN"/>
        </w:rPr>
      </w:pPr>
      <w:r>
        <w:rPr>
          <w:rFonts w:hint="eastAsia" w:ascii="宋体" w:hAnsi="宋体" w:cs="宋体"/>
          <w:color w:val="auto"/>
          <w:szCs w:val="21"/>
          <w:highlight w:val="none"/>
          <w:lang w:val="zh-CN"/>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cs="宋体"/>
          <w:color w:val="auto"/>
          <w:kern w:val="0"/>
          <w:szCs w:val="21"/>
          <w:highlight w:val="none"/>
          <w:lang w:val="zh-CN"/>
        </w:rPr>
        <w:t>服务由中小企业承接，即提供服务的人员为中小企业依照《中华人民共和国劳动合同法》订立劳动合同的从业人员，不对其中涉及的货物的制造商和工程承建商作出要求的</w:t>
      </w:r>
      <w:r>
        <w:rPr>
          <w:rFonts w:hint="eastAsia" w:ascii="宋体" w:hAnsi="宋体" w:cs="宋体"/>
          <w:color w:val="auto"/>
          <w:szCs w:val="21"/>
          <w:highlight w:val="none"/>
          <w:lang w:val="zh-CN"/>
        </w:rPr>
        <w:t>，享受本文件规定的中小企业扶持政策。</w:t>
      </w:r>
    </w:p>
    <w:p w14:paraId="026FE5C9">
      <w:pPr>
        <w:shd w:val="clear"/>
        <w:spacing w:line="360" w:lineRule="auto"/>
        <w:ind w:firstLine="420" w:firstLineChars="200"/>
        <w:textAlignment w:val="center"/>
        <w:rPr>
          <w:rFonts w:ascii="宋体" w:hAnsi="宋体" w:cs="宋体"/>
          <w:color w:val="auto"/>
          <w:szCs w:val="21"/>
          <w:highlight w:val="none"/>
          <w:lang w:val="zh-CN"/>
        </w:rPr>
      </w:pPr>
      <w:r>
        <w:rPr>
          <w:rFonts w:hint="eastAsia" w:ascii="宋体" w:hAnsi="宋体" w:cs="宋体"/>
          <w:color w:val="auto"/>
          <w:szCs w:val="21"/>
          <w:highlight w:val="none"/>
          <w:lang w:val="zh-CN"/>
        </w:rPr>
        <w:t>以联合体形式参加政府采购活动，联合体各方均为中小企业的，联合体视同中小企业。其中，联合体各方均为小微企业的，联合体视同小微企业。</w:t>
      </w:r>
    </w:p>
    <w:p w14:paraId="6292B38D">
      <w:pPr>
        <w:shd w:val="clear"/>
        <w:spacing w:line="360" w:lineRule="auto"/>
        <w:ind w:firstLine="420" w:firstLineChars="200"/>
        <w:textAlignment w:val="center"/>
        <w:rPr>
          <w:rFonts w:ascii="宋体" w:hAnsi="宋体" w:cs="宋体"/>
          <w:b/>
          <w:bCs/>
          <w:color w:val="auto"/>
          <w:kern w:val="44"/>
          <w:sz w:val="44"/>
          <w:szCs w:val="44"/>
          <w:highlight w:val="none"/>
          <w:lang w:val="zh-CN"/>
        </w:rPr>
      </w:pPr>
      <w:r>
        <w:rPr>
          <w:rFonts w:hint="eastAsia" w:ascii="宋体" w:hAnsi="宋体" w:cs="宋体"/>
          <w:color w:val="auto"/>
          <w:szCs w:val="21"/>
          <w:highlight w:val="none"/>
          <w:lang w:val="zh-CN"/>
        </w:rPr>
        <w:t>依据本文件规定享受扶持政策获得政府采购合同的，小微企业不得将合同分包给大中型企业，中型企业不得将合同分包给大型企业。</w:t>
      </w:r>
      <w:bookmarkStart w:id="59" w:name="_Toc25062"/>
      <w:r>
        <w:rPr>
          <w:rFonts w:ascii="宋体" w:hAnsi="宋体" w:cs="宋体"/>
          <w:b/>
          <w:bCs/>
          <w:color w:val="auto"/>
          <w:kern w:val="44"/>
          <w:sz w:val="44"/>
          <w:szCs w:val="44"/>
          <w:highlight w:val="none"/>
          <w:lang w:val="zh-CN"/>
        </w:rPr>
        <w:br w:type="page"/>
      </w:r>
      <w:bookmarkStart w:id="60" w:name="_Toc106283328"/>
    </w:p>
    <w:p w14:paraId="1B57A5C3">
      <w:pPr>
        <w:keepNext/>
        <w:keepLines/>
        <w:shd w:val="clear"/>
        <w:spacing w:before="340" w:after="330" w:line="360" w:lineRule="auto"/>
        <w:jc w:val="center"/>
        <w:outlineLvl w:val="0"/>
        <w:rPr>
          <w:rFonts w:ascii="宋体" w:hAnsi="宋体" w:cs="宋体"/>
          <w:b/>
          <w:bCs/>
          <w:color w:val="auto"/>
          <w:kern w:val="44"/>
          <w:sz w:val="44"/>
          <w:szCs w:val="44"/>
          <w:highlight w:val="none"/>
          <w:lang w:val="zh-CN"/>
        </w:rPr>
      </w:pPr>
      <w:r>
        <w:rPr>
          <w:rFonts w:hint="eastAsia" w:ascii="宋体" w:hAnsi="宋体" w:cs="宋体"/>
          <w:b/>
          <w:bCs/>
          <w:color w:val="auto"/>
          <w:kern w:val="44"/>
          <w:sz w:val="44"/>
          <w:szCs w:val="44"/>
          <w:highlight w:val="none"/>
          <w:lang w:val="zh-CN"/>
        </w:rPr>
        <w:t>第四章 评审程序、评审方法和评审标准</w:t>
      </w:r>
      <w:bookmarkEnd w:id="59"/>
      <w:bookmarkEnd w:id="60"/>
    </w:p>
    <w:p w14:paraId="67626B8F">
      <w:pPr>
        <w:keepNext/>
        <w:keepLines/>
        <w:shd w:val="clear"/>
        <w:spacing w:before="20" w:after="20" w:line="360" w:lineRule="auto"/>
        <w:jc w:val="center"/>
        <w:outlineLvl w:val="1"/>
        <w:rPr>
          <w:rFonts w:ascii="宋体" w:hAnsi="宋体" w:cs="宋体"/>
          <w:bCs/>
          <w:color w:val="auto"/>
          <w:sz w:val="32"/>
          <w:szCs w:val="32"/>
          <w:highlight w:val="none"/>
          <w:lang w:val="zh-CN"/>
        </w:rPr>
      </w:pPr>
      <w:bookmarkStart w:id="61" w:name="_Toc27827"/>
      <w:bookmarkStart w:id="62" w:name="_Toc106283329"/>
      <w:r>
        <w:rPr>
          <w:rFonts w:hint="eastAsia" w:ascii="宋体" w:hAnsi="宋体" w:cs="宋体"/>
          <w:bCs/>
          <w:color w:val="auto"/>
          <w:sz w:val="32"/>
          <w:szCs w:val="32"/>
          <w:highlight w:val="none"/>
          <w:lang w:val="zh-CN"/>
        </w:rPr>
        <w:t>第一节 评审程序和评审方法</w:t>
      </w:r>
      <w:bookmarkEnd w:id="61"/>
      <w:bookmarkEnd w:id="62"/>
    </w:p>
    <w:p w14:paraId="09A9F99A">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1.确认磋商文件</w:t>
      </w:r>
    </w:p>
    <w:p w14:paraId="10EDDCB9">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由磋商小组确认磋商文件。</w:t>
      </w:r>
    </w:p>
    <w:p w14:paraId="6E885BC9">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2.资格审查</w:t>
      </w:r>
    </w:p>
    <w:p w14:paraId="434789DB">
      <w:pPr>
        <w:shd w:val="clea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2.1响应文件开启后，磋商小组依法对供应商的资格证明文件进行审查。</w:t>
      </w:r>
    </w:p>
    <w:p w14:paraId="3F2CBB90">
      <w:pPr>
        <w:shd w:val="clea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注：采购人代表或者采购代理机构在资格审查结束前，对供应商进行信用查询。</w:t>
      </w:r>
    </w:p>
    <w:p w14:paraId="43C68FB2">
      <w:pPr>
        <w:shd w:val="clea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（1）查询渠道：广西政府采购云平台“信用中国”网站（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宋体" w:hAnsi="宋体" w:cs="宋体"/>
          <w:color w:val="auto"/>
          <w:highlight w:val="none"/>
          <w:u w:val="single"/>
        </w:rPr>
        <w:t>www.creditchina.gov.cn</w:t>
      </w:r>
      <w:r>
        <w:rPr>
          <w:rFonts w:hint="eastAsia" w:ascii="宋体" w:hAnsi="宋体" w:cs="宋体"/>
          <w:color w:val="auto"/>
          <w:highlight w:val="none"/>
          <w:u w:val="single"/>
        </w:rPr>
        <w:fldChar w:fldCharType="end"/>
      </w:r>
      <w:r>
        <w:rPr>
          <w:rFonts w:hint="eastAsia" w:ascii="宋体" w:hAnsi="宋体" w:cs="宋体"/>
          <w:color w:val="auto"/>
          <w:szCs w:val="21"/>
          <w:highlight w:val="none"/>
        </w:rPr>
        <w:t>）、中国政府采购网（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hint="eastAsia" w:ascii="宋体" w:hAnsi="宋体" w:cs="宋体"/>
          <w:color w:val="auto"/>
          <w:highlight w:val="none"/>
          <w:u w:val="single"/>
        </w:rPr>
        <w:t>www.ccgp.gov.cn</w:t>
      </w:r>
      <w:r>
        <w:rPr>
          <w:rFonts w:hint="eastAsia" w:ascii="宋体" w:hAnsi="宋体" w:cs="宋体"/>
          <w:color w:val="auto"/>
          <w:highlight w:val="none"/>
          <w:u w:val="single"/>
        </w:rPr>
        <w:fldChar w:fldCharType="end"/>
      </w:r>
      <w:r>
        <w:rPr>
          <w:rFonts w:hint="eastAsia" w:ascii="宋体" w:hAnsi="宋体" w:cs="宋体"/>
          <w:color w:val="auto"/>
          <w:szCs w:val="21"/>
          <w:highlight w:val="none"/>
        </w:rPr>
        <w:t>）链接入口。</w:t>
      </w:r>
    </w:p>
    <w:p w14:paraId="42D187F6">
      <w:pPr>
        <w:shd w:val="clea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5AB8E40A">
      <w:pPr>
        <w:shd w:val="clea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查询记录和证据留存方式：在查询网站中直接打印查询记录，截图另存为电子文档作为评审资料保存。</w:t>
      </w:r>
    </w:p>
    <w:p w14:paraId="1981ED37">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5C504AF0">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670E54B7">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2.3供应商有下列情形之一的，资格审查不通过，其响应文件按无效响应处理：</w:t>
      </w:r>
    </w:p>
    <w:p w14:paraId="70CB4479">
      <w:pPr>
        <w:shd w:val="clea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（1）不具备磋商文件中规定的资格要求的；</w:t>
      </w:r>
    </w:p>
    <w:p w14:paraId="0B110516">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（2）响应文件未提供任一项“供应商须知前附表”资格证明文件规定的“必须提供”的文件资料的；</w:t>
      </w:r>
    </w:p>
    <w:p w14:paraId="74DB051C">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（3）响应文件提供的资格证明文件出现任一项不符合“供应商须知前附表”资格证明文件规定的“必须提供”的文件资料要求或者无效的。</w:t>
      </w:r>
    </w:p>
    <w:p w14:paraId="11547C5A">
      <w:pPr>
        <w:shd w:val="clear"/>
        <w:spacing w:line="360" w:lineRule="auto"/>
        <w:ind w:firstLine="420" w:firstLineChars="200"/>
        <w:rPr>
          <w:rFonts w:ascii="宋体" w:hAnsi="宋体" w:cs="宋体"/>
          <w:color w:val="auto"/>
          <w:szCs w:val="21"/>
          <w:highlight w:val="none"/>
        </w:rPr>
      </w:pPr>
      <w:bookmarkStart w:id="63" w:name="_Hlk68601553"/>
      <w:r>
        <w:rPr>
          <w:rFonts w:hint="eastAsia" w:ascii="宋体" w:hAnsi="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63"/>
    </w:p>
    <w:p w14:paraId="008C68A3">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2.4通过资格审查的合格供应商不足3家的，不得进入符合性审查环节，采购人或者采购代理机构应当重新开展采购活动。</w:t>
      </w:r>
    </w:p>
    <w:p w14:paraId="6B38A43E">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3.符合性审查</w:t>
      </w:r>
    </w:p>
    <w:p w14:paraId="2E92DF1C">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1626ED74">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A3870A0">
      <w:pPr>
        <w:shd w:val="clear"/>
        <w:spacing w:line="360" w:lineRule="auto"/>
        <w:ind w:firstLine="420" w:firstLineChars="200"/>
        <w:rPr>
          <w:rFonts w:ascii="宋体" w:hAnsi="宋体" w:cs="宋体"/>
          <w:color w:val="auto"/>
          <w:spacing w:val="-6"/>
          <w:szCs w:val="21"/>
          <w:highlight w:val="none"/>
        </w:rPr>
      </w:pPr>
      <w:r>
        <w:rPr>
          <w:rFonts w:hint="eastAsia" w:ascii="宋体" w:hAnsi="宋体" w:cs="宋体"/>
          <w:color w:val="auto"/>
          <w:szCs w:val="21"/>
          <w:highlight w:val="none"/>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cs="宋体"/>
          <w:color w:val="auto"/>
          <w:spacing w:val="-6"/>
          <w:szCs w:val="21"/>
          <w:highlight w:val="none"/>
        </w:rPr>
        <w:t>。供应商为自然人的，必须由本人签字并附身份证明。</w:t>
      </w:r>
    </w:p>
    <w:p w14:paraId="54765937">
      <w:pPr>
        <w:shd w:val="clear"/>
        <w:spacing w:line="360" w:lineRule="auto"/>
        <w:ind w:firstLine="396" w:firstLineChars="200"/>
        <w:rPr>
          <w:rFonts w:ascii="宋体" w:hAnsi="宋体" w:cs="宋体"/>
          <w:color w:val="auto"/>
          <w:szCs w:val="21"/>
          <w:highlight w:val="none"/>
        </w:rPr>
      </w:pPr>
      <w:r>
        <w:rPr>
          <w:rFonts w:hint="eastAsia" w:ascii="宋体" w:hAnsi="宋体" w:cs="宋体"/>
          <w:color w:val="auto"/>
          <w:spacing w:val="-6"/>
          <w:szCs w:val="21"/>
          <w:highlight w:val="none"/>
        </w:rPr>
        <w:t>3.4</w:t>
      </w:r>
      <w:r>
        <w:rPr>
          <w:rFonts w:hint="eastAsia" w:ascii="宋体" w:hAnsi="宋体" w:cs="宋体"/>
          <w:color w:val="auto"/>
          <w:szCs w:val="21"/>
          <w:highlight w:val="none"/>
        </w:rPr>
        <w:t xml:space="preserve">响应文件报价出现前后不一致的，按照下列规定修正： </w:t>
      </w:r>
    </w:p>
    <w:p w14:paraId="38D8C209">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0CA72498">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0DB74650">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34173124">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20D1314E">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7A7102DE">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3.5商务技术、报价评审</w:t>
      </w:r>
    </w:p>
    <w:p w14:paraId="34DBC35D">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32D675F0">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（1）商务技术评审</w:t>
      </w:r>
    </w:p>
    <w:p w14:paraId="0B3AEACB">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1）响应文件未按磋商文件要求签署、盖章；</w:t>
      </w:r>
    </w:p>
    <w:p w14:paraId="0A924B85">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2）委托代理人未能出具有效身份证明或者出具的身份证明与授权委托书中的信息不符； </w:t>
      </w:r>
    </w:p>
    <w:p w14:paraId="734179F2">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3）响应文件未提供任一项“供应商须知前附表”商务技术文件中“必须提供”或者“委托时必须提供”的文件资料；响应文件提供的商务技术文件出现任一项不符合“供应商须知前附表”商务技术文件中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3BDD3ED4">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4）商务条款中标“</w:t>
      </w:r>
      <w:r>
        <w:rPr>
          <w:rFonts w:hint="eastAsia" w:ascii="宋体" w:hAnsi="宋体"/>
          <w:color w:val="auto"/>
          <w:highlight w:val="none"/>
        </w:rPr>
        <w:t>▲</w:t>
      </w:r>
      <w:r>
        <w:rPr>
          <w:rFonts w:hint="eastAsia" w:ascii="宋体" w:hAnsi="宋体" w:cs="宋体"/>
          <w:color w:val="auto"/>
          <w:szCs w:val="21"/>
          <w:highlight w:val="none"/>
        </w:rPr>
        <w:t>”的条款发生负偏离的或者允许负偏离的条款数超过“供应商须知前附表”规定项数的或者标明实质性的要求发生负偏离；</w:t>
      </w:r>
    </w:p>
    <w:p w14:paraId="74E475F0">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5）未对竞标有效期作出响应或者响应文件承诺的竞标有效期不满足磋商文件要求；</w:t>
      </w:r>
    </w:p>
    <w:p w14:paraId="589B874D">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6）响应文件的实质性内容未使用中文表述、使用计量单位不符合磋商文件要求；</w:t>
      </w:r>
    </w:p>
    <w:p w14:paraId="5B3D5DD8">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7）响应文件中的文件资料因填写不齐全或者内容虚假或者出现其他情形而导致被磋商小组认定无效；</w:t>
      </w:r>
    </w:p>
    <w:p w14:paraId="20260484">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8）响应文件含有采购人不能接受的附加条件；</w:t>
      </w:r>
    </w:p>
    <w:p w14:paraId="354F487D">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9）属于“供应商须知正文”第7.5条情形；</w:t>
      </w:r>
    </w:p>
    <w:p w14:paraId="1376C6E7">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10）服务需求允许负偏离的条款数超过“供应商须知前附表”规定项数；</w:t>
      </w:r>
    </w:p>
    <w:p w14:paraId="1BFBF1E9">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11）虚假竞标，或者出现其他情形而导致被磋商小组认定无效；</w:t>
      </w:r>
    </w:p>
    <w:p w14:paraId="03EBE910">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12）竞标技术方案不明确，磋商文件未允许但响应文件中存在一个或者一个以上备选（替代）竞标方案；</w:t>
      </w:r>
    </w:p>
    <w:p w14:paraId="3F9F5B65">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13）响应文件标注的项目名称或者项目编号与竞争性磋商文件标注的项目名称或者项目编号不一致的；</w:t>
      </w:r>
    </w:p>
    <w:p w14:paraId="33C52F57">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14）未响应磋商文件实质性要求；</w:t>
      </w:r>
    </w:p>
    <w:p w14:paraId="5E875EEA">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15）法律法规和磋商文件规定的其他无效情形。</w:t>
      </w:r>
    </w:p>
    <w:p w14:paraId="704921B9">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（2）报价评审</w:t>
      </w:r>
    </w:p>
    <w:p w14:paraId="4DD8055E">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 响应文件未提供“供应商须知前附表”报价文件中规定的“响应报价表”；</w:t>
      </w:r>
    </w:p>
    <w:p w14:paraId="1046DD93">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w:t>
      </w:r>
    </w:p>
    <w:p w14:paraId="61BA94D7">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2477938E">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0AEFEC62">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38AF8254">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6）响应文件响应的标的数量及单位与竞争性磋商文件要求实质性不一致的。</w:t>
      </w:r>
    </w:p>
    <w:p w14:paraId="4F97979E">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72874181">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17756F17">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4.磋商程序</w:t>
      </w:r>
    </w:p>
    <w:p w14:paraId="6CF98385">
      <w:pPr>
        <w:shd w:val="clea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4.1磋商小组按照“供应商须知前附表”确定的</w:t>
      </w:r>
      <w:r>
        <w:rPr>
          <w:rFonts w:hint="eastAsia" w:ascii="宋体" w:hAnsi="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183C6D7B">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2AA868F2">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4.3对磋商文件作出的实质性变动是磋商文件的有效组成部分，由磋商小组及时以电子澄清函形式同时通知所有参加磋商的供应商。</w:t>
      </w:r>
    </w:p>
    <w:p w14:paraId="07128769">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3A7EBBEE">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4.5磋商中，</w:t>
      </w:r>
      <w:r>
        <w:rPr>
          <w:rFonts w:hint="eastAsia" w:ascii="宋体" w:hAnsi="宋体" w:cs="宋体"/>
          <w:color w:val="auto"/>
          <w:spacing w:val="-6"/>
          <w:szCs w:val="21"/>
          <w:highlight w:val="none"/>
        </w:rPr>
        <w:t>磋商的任何一方不得透露与磋商有关的其他供应商的技术资料、价格和其他信息。</w:t>
      </w:r>
    </w:p>
    <w:p w14:paraId="28654841">
      <w:pPr>
        <w:widowControl/>
        <w:shd w:val="clear"/>
        <w:tabs>
          <w:tab w:val="left" w:pos="540"/>
        </w:tabs>
        <w:spacing w:line="360" w:lineRule="auto"/>
        <w:ind w:firstLine="420" w:firstLineChars="200"/>
        <w:jc w:val="left"/>
        <w:rPr>
          <w:rFonts w:ascii="宋体" w:hAnsi="宋体" w:cs="宋体"/>
          <w:b/>
          <w:color w:val="auto"/>
          <w:highlight w:val="none"/>
        </w:rPr>
      </w:pPr>
      <w:r>
        <w:rPr>
          <w:rFonts w:hint="eastAsia" w:ascii="宋体" w:hAnsi="宋体" w:cs="宋体"/>
          <w:color w:val="auto"/>
          <w:szCs w:val="21"/>
          <w:highlight w:val="none"/>
        </w:rPr>
        <w:t>4.6磋商小组应对磋商过程和重要磋商内容进行记录，作为评标报告一部分，磋商小组在记录上签字确认。</w:t>
      </w:r>
      <w:r>
        <w:rPr>
          <w:rFonts w:hint="eastAsia" w:ascii="宋体" w:hAnsi="宋体" w:cs="宋体"/>
          <w:b/>
          <w:color w:val="auto"/>
          <w:highlight w:val="none"/>
        </w:rPr>
        <w:t>主要内容包括：</w:t>
      </w:r>
    </w:p>
    <w:p w14:paraId="13460905">
      <w:pPr>
        <w:shd w:val="clear"/>
        <w:adjustRightInd w:val="0"/>
        <w:spacing w:line="360" w:lineRule="auto"/>
        <w:ind w:firstLine="396" w:firstLineChars="200"/>
        <w:rPr>
          <w:rFonts w:ascii="宋体" w:hAnsi="宋体" w:cs="宋体"/>
          <w:color w:val="auto"/>
          <w:spacing w:val="-6"/>
          <w:szCs w:val="21"/>
          <w:highlight w:val="none"/>
          <w:lang w:val="zh-CN"/>
        </w:rPr>
      </w:pPr>
      <w:r>
        <w:rPr>
          <w:rFonts w:hint="eastAsia" w:ascii="宋体" w:hAnsi="宋体" w:cs="宋体"/>
          <w:color w:val="auto"/>
          <w:spacing w:val="-6"/>
          <w:szCs w:val="21"/>
          <w:highlight w:val="none"/>
          <w:lang w:val="zh-CN"/>
        </w:rPr>
        <w:t>（1）按照相关规定进行公示的，公示情况说明；</w:t>
      </w:r>
    </w:p>
    <w:p w14:paraId="49356541">
      <w:pPr>
        <w:shd w:val="clear"/>
        <w:adjustRightInd w:val="0"/>
        <w:spacing w:line="360" w:lineRule="auto"/>
        <w:ind w:firstLine="396" w:firstLineChars="200"/>
        <w:rPr>
          <w:rFonts w:ascii="宋体" w:hAnsi="宋体" w:cs="宋体"/>
          <w:color w:val="auto"/>
          <w:spacing w:val="-6"/>
          <w:szCs w:val="21"/>
          <w:highlight w:val="none"/>
          <w:lang w:val="zh-CN"/>
        </w:rPr>
      </w:pPr>
      <w:r>
        <w:rPr>
          <w:rFonts w:hint="eastAsia" w:ascii="宋体" w:hAnsi="宋体" w:cs="宋体"/>
          <w:color w:val="auto"/>
          <w:spacing w:val="-6"/>
          <w:szCs w:val="21"/>
          <w:highlight w:val="none"/>
          <w:lang w:val="zh-CN"/>
        </w:rPr>
        <w:t>（2）磋商日期和地点，磋商人员名单；</w:t>
      </w:r>
    </w:p>
    <w:p w14:paraId="06B389B0">
      <w:pPr>
        <w:shd w:val="clear"/>
        <w:adjustRightInd w:val="0"/>
        <w:spacing w:line="360" w:lineRule="auto"/>
        <w:ind w:firstLine="396" w:firstLineChars="200"/>
        <w:rPr>
          <w:rFonts w:ascii="宋体" w:hAnsi="宋体" w:cs="宋体"/>
          <w:color w:val="auto"/>
          <w:spacing w:val="-6"/>
          <w:szCs w:val="21"/>
          <w:highlight w:val="none"/>
          <w:lang w:val="zh-CN"/>
        </w:rPr>
      </w:pPr>
      <w:r>
        <w:rPr>
          <w:rFonts w:hint="eastAsia" w:ascii="宋体" w:hAnsi="宋体" w:cs="宋体"/>
          <w:color w:val="auto"/>
          <w:spacing w:val="-6"/>
          <w:szCs w:val="21"/>
          <w:highlight w:val="none"/>
          <w:lang w:val="zh-CN"/>
        </w:rPr>
        <w:t>（3）合同主要条款及价格商定情况。</w:t>
      </w:r>
    </w:p>
    <w:p w14:paraId="67C57ED2">
      <w:pPr>
        <w:widowControl/>
        <w:shd w:val="clear"/>
        <w:tabs>
          <w:tab w:val="left" w:pos="540"/>
        </w:tabs>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4.7磋商过程中重新提交的响应文件，供应商可以在开启前补充、修改。</w:t>
      </w:r>
    </w:p>
    <w:p w14:paraId="2AFD3E92">
      <w:pPr>
        <w:shd w:val="clear"/>
        <w:tabs>
          <w:tab w:val="left" w:pos="283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664FDE63">
      <w:pPr>
        <w:shd w:val="clear"/>
        <w:spacing w:line="360" w:lineRule="auto"/>
        <w:ind w:firstLine="482" w:firstLineChars="200"/>
        <w:rPr>
          <w:rFonts w:ascii="宋体" w:hAnsi="宋体" w:cs="宋体"/>
          <w:color w:val="auto"/>
          <w:szCs w:val="21"/>
          <w:highlight w:val="none"/>
        </w:rPr>
      </w:pPr>
      <w:r>
        <w:rPr>
          <w:rFonts w:hint="eastAsia" w:ascii="宋体" w:hAnsi="宋体" w:cs="宋体"/>
          <w:b/>
          <w:bCs/>
          <w:color w:val="auto"/>
          <w:sz w:val="24"/>
          <w:highlight w:val="none"/>
        </w:rPr>
        <w:t>5. 最后报价</w:t>
      </w:r>
    </w:p>
    <w:p w14:paraId="0CC56645">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3C8B5AB4">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63723ECD">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37E23A29">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5.4已经提交响应文件的供应商，在提交最后报价之前，可以根据磋商情况退出磋商，退出磋商的供应商的响应文件按无效响应处理。</w:t>
      </w:r>
    </w:p>
    <w:p w14:paraId="782F4AF6">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5.5供应商未在规定时间内提交最后报价的，视同退出磋商。</w:t>
      </w:r>
    </w:p>
    <w:p w14:paraId="2B944580">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5.6磋商小组收齐某一分标最后报价后统一开启，磋商小组对最后报价进行有效性、完整性和响应程度的审查。</w:t>
      </w:r>
    </w:p>
    <w:p w14:paraId="083E7E36">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5.7最终响应文件的报价出现前后不一致的，按照本章第3.4条的规定修正。 </w:t>
      </w:r>
    </w:p>
    <w:p w14:paraId="2D61FDF4">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5.8修正后的最终报价出现下列情形的，按无效响应处理：</w:t>
      </w:r>
    </w:p>
    <w:p w14:paraId="7AEB9E5E">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65C97C62">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（2）经供应商确认修正后的响应报价（包含首次报价、最后报价）超过所竞标分标规定的采购预算金额或者最高限价的（如本项目公布了最高限价）；</w:t>
      </w:r>
    </w:p>
    <w:p w14:paraId="2F63185C">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（3）经供应商确认修正后的响应报价（包含首次报价、最后报价）超过分项采购预算金额或者最高限价的（如本项目公布了最高限价）。</w:t>
      </w:r>
    </w:p>
    <w:p w14:paraId="6BD83990">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5.9经供应商确认修正后的最后报价作为评审及签订合同的依据。</w:t>
      </w:r>
    </w:p>
    <w:p w14:paraId="233468A4">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5.10供应商出现最后报价按无效响应处理或者响应文件按无效处理时</w:t>
      </w:r>
      <w:r>
        <w:rPr>
          <w:rFonts w:hint="eastAsia" w:ascii="宋体" w:hAnsi="宋体" w:cs="宋体"/>
          <w:color w:val="auto"/>
          <w:sz w:val="22"/>
          <w:szCs w:val="22"/>
          <w:highlight w:val="none"/>
        </w:rPr>
        <w:t>，磋商小组应当告知有关供应商</w:t>
      </w:r>
      <w:r>
        <w:rPr>
          <w:rFonts w:hint="eastAsia" w:ascii="宋体" w:hAnsi="宋体" w:cs="宋体"/>
          <w:color w:val="auto"/>
          <w:szCs w:val="21"/>
          <w:highlight w:val="none"/>
        </w:rPr>
        <w:t>。</w:t>
      </w:r>
    </w:p>
    <w:p w14:paraId="4F763B4D">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5.11最后报价结束后，磋商小组不得再与供应商进行任何形式的商谈。</w:t>
      </w:r>
    </w:p>
    <w:p w14:paraId="4ADFE129">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6.比较与评价</w:t>
      </w:r>
    </w:p>
    <w:p w14:paraId="65644131">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6.1评审方法：综合评分法。</w:t>
      </w:r>
    </w:p>
    <w:p w14:paraId="03CB6132">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0F76580E">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6.3评审时，磋商小组各成员应当独立对每个有效响应的文件进行评价、打分，然后汇总每个供应商每项评分因素的得分。</w:t>
      </w:r>
    </w:p>
    <w:p w14:paraId="7143C1AF">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（1）磋商小组按照磋商文件中规定的评审标准计算各供应商的报价得分。项目评审过程中，不得去掉最后报价中的最高报价和最低报价。</w:t>
      </w:r>
    </w:p>
    <w:p w14:paraId="7DAA20D1">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（2）各供应商的得分为磋商小组所有成员的有效评分的算术平均数。</w:t>
      </w:r>
    </w:p>
    <w:p w14:paraId="783F68C2">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7C8DB80E">
      <w:pPr>
        <w:shd w:val="clea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6.5异常低价响应审查</w:t>
      </w:r>
    </w:p>
    <w:p w14:paraId="0A8C6B1F">
      <w:pPr>
        <w:shd w:val="clea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（1）磋商小组在评审中发现下列情形之一的，应当启动异常低价响应审查程序：</w:t>
      </w:r>
    </w:p>
    <w:p w14:paraId="46AE2777">
      <w:pPr>
        <w:shd w:val="clea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①响应报价低于全部通过符合性审查供应商响应报价平均值50%的，即响应报价＜全部通过符合性审查供应商响应报价平均值×50%；</w:t>
      </w:r>
    </w:p>
    <w:p w14:paraId="788DC136">
      <w:pPr>
        <w:shd w:val="clea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②响应报价低于通过符合性审查的次低报价供应商响应报价50%的，即响应报价＜通过符合性审查的次低报价供应商响应报价×50%；</w:t>
      </w:r>
    </w:p>
    <w:p w14:paraId="14C31056">
      <w:pPr>
        <w:shd w:val="clea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③响应报价低于采购项目最高限价45%的，即响应报价＜采购项目最高限价×45%；</w:t>
      </w:r>
    </w:p>
    <w:p w14:paraId="7E150D80">
      <w:pPr>
        <w:shd w:val="clea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④磋商小组基于专业判断，认为供应商报价过低，有可能影响产品质量或者不能诚信履约的其他情形。</w:t>
      </w:r>
    </w:p>
    <w:p w14:paraId="0E0D5740">
      <w:pPr>
        <w:shd w:val="clea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磋商小组启动异常低价响应审查后，属于前述第①项至第④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05093B59">
      <w:pPr>
        <w:shd w:val="clea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磋商小组依据专业经验，参考同类项目中标（成交）价格、类似产品市场价格水平、行业人工费用标准、国家有关部门指导行业协会发布的行业平均成本等情况，对报价合理性进行判断。相关供应商不能提供书面说明、证明材料，或者提供的书面说明、证明材料不能证明其报价合理性的，磋商小组应当将其作为无效响应处理。</w:t>
      </w:r>
    </w:p>
    <w:p w14:paraId="4832E676">
      <w:pPr>
        <w:shd w:val="clea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561A2047">
      <w:pPr>
        <w:shd w:val="clea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异常低价响应审查的启动原因、审查意见和审查结果应当在评审报告中记录，并随供应商提供的相关书面说明及证明材料，以及磋商小组有关互联网浏览、查询历史一并归档。</w:t>
      </w:r>
    </w:p>
    <w:p w14:paraId="2FC4FB95">
      <w:pPr>
        <w:shd w:val="clear"/>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6.</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由磋商小组根据综合评分情况，按照评审得分由高到低顺序推荐3名以上成交候选供应商，并编写评</w:t>
      </w:r>
      <w:r>
        <w:rPr>
          <w:rFonts w:hint="eastAsia" w:ascii="宋体" w:hAnsi="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5FE97D8C">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6.</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310AAE9">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7.评审标准</w:t>
      </w:r>
    </w:p>
    <w:p w14:paraId="6FF566F3">
      <w:pPr>
        <w:shd w:val="clear"/>
        <w:spacing w:line="360" w:lineRule="auto"/>
        <w:ind w:firstLine="420" w:firstLineChars="200"/>
        <w:rPr>
          <w:rFonts w:ascii="宋体" w:hAnsi="宋体" w:cs="宋体"/>
          <w:bCs/>
          <w:color w:val="auto"/>
          <w:szCs w:val="21"/>
          <w:highlight w:val="none"/>
        </w:rPr>
      </w:pPr>
      <w:r>
        <w:rPr>
          <w:rFonts w:hint="eastAsia" w:ascii="宋体" w:hAnsi="宋体" w:cs="宋体"/>
          <w:bCs/>
          <w:color w:val="auto"/>
          <w:highlight w:val="none"/>
        </w:rPr>
        <w:t>7.</w:t>
      </w:r>
      <w:r>
        <w:rPr>
          <w:rFonts w:hint="eastAsia" w:ascii="宋体" w:hAnsi="宋体" w:cs="宋体"/>
          <w:bCs/>
          <w:color w:val="auto"/>
          <w:szCs w:val="21"/>
          <w:highlight w:val="none"/>
        </w:rPr>
        <w:t>1评审依据：磋商小组将以磋商响应文件为评审依据，对供应商的报价、技术、商务等方面内容按百分制打分。（计分方法按四舍五入取至百分位）</w:t>
      </w:r>
    </w:p>
    <w:tbl>
      <w:tblPr>
        <w:tblStyle w:val="51"/>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5"/>
        <w:gridCol w:w="1439"/>
        <w:gridCol w:w="1425"/>
        <w:gridCol w:w="6241"/>
      </w:tblGrid>
      <w:tr w14:paraId="7246C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784" w:type="dxa"/>
            <w:gridSpan w:val="2"/>
            <w:noWrap w:val="0"/>
            <w:vAlign w:val="center"/>
          </w:tcPr>
          <w:p w14:paraId="63ACACCE">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sz w:val="21"/>
                <w:szCs w:val="21"/>
                <w:highlight w:val="none"/>
              </w:rPr>
            </w:pPr>
            <w:bookmarkStart w:id="64" w:name="_Toc80205935"/>
            <w:r>
              <w:rPr>
                <w:rFonts w:hint="eastAsia" w:ascii="宋体" w:hAnsi="宋体" w:eastAsia="宋体" w:cs="宋体"/>
                <w:b/>
                <w:color w:val="auto"/>
                <w:sz w:val="21"/>
                <w:szCs w:val="21"/>
                <w:highlight w:val="none"/>
              </w:rPr>
              <w:t>序号</w:t>
            </w:r>
          </w:p>
        </w:tc>
        <w:tc>
          <w:tcPr>
            <w:tcW w:w="1425" w:type="dxa"/>
            <w:noWrap w:val="0"/>
            <w:vAlign w:val="center"/>
          </w:tcPr>
          <w:p w14:paraId="116C08E2">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评审因素</w:t>
            </w:r>
          </w:p>
        </w:tc>
        <w:tc>
          <w:tcPr>
            <w:tcW w:w="6241" w:type="dxa"/>
            <w:noWrap w:val="0"/>
            <w:vAlign w:val="center"/>
          </w:tcPr>
          <w:p w14:paraId="2C707184">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评标标准</w:t>
            </w:r>
          </w:p>
        </w:tc>
      </w:tr>
      <w:tr w14:paraId="39ED2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5" w:type="dxa"/>
            <w:noWrap w:val="0"/>
            <w:vAlign w:val="center"/>
          </w:tcPr>
          <w:p w14:paraId="4CA833A3">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p>
        </w:tc>
        <w:tc>
          <w:tcPr>
            <w:tcW w:w="1439" w:type="dxa"/>
            <w:noWrap w:val="0"/>
            <w:vAlign w:val="center"/>
          </w:tcPr>
          <w:p w14:paraId="54F0EBA1">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价格分</w:t>
            </w:r>
          </w:p>
          <w:p w14:paraId="3ADC888B">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（满分</w:t>
            </w:r>
            <w:r>
              <w:rPr>
                <w:rFonts w:hint="eastAsia" w:ascii="宋体" w:hAnsi="宋体" w:eastAsia="宋体" w:cs="宋体"/>
                <w:color w:val="auto"/>
                <w:sz w:val="21"/>
                <w:szCs w:val="21"/>
                <w:highlight w:val="none"/>
                <w:u w:val="single"/>
                <w:lang w:val="en-US" w:eastAsia="zh-CN"/>
              </w:rPr>
              <w:t>10</w:t>
            </w:r>
            <w:r>
              <w:rPr>
                <w:rFonts w:hint="eastAsia" w:ascii="宋体" w:hAnsi="宋体" w:eastAsia="宋体" w:cs="宋体"/>
                <w:color w:val="auto"/>
                <w:sz w:val="21"/>
                <w:szCs w:val="21"/>
                <w:highlight w:val="none"/>
              </w:rPr>
              <w:t>分）</w:t>
            </w:r>
          </w:p>
        </w:tc>
        <w:tc>
          <w:tcPr>
            <w:tcW w:w="1425" w:type="dxa"/>
            <w:noWrap w:val="0"/>
            <w:vAlign w:val="center"/>
          </w:tcPr>
          <w:p w14:paraId="28870D9C">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磋商报价</w:t>
            </w:r>
          </w:p>
          <w:p w14:paraId="7D04682E">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（满分</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rPr>
              <w:t>分）</w:t>
            </w:r>
          </w:p>
        </w:tc>
        <w:tc>
          <w:tcPr>
            <w:tcW w:w="6241" w:type="dxa"/>
            <w:noWrap w:val="0"/>
            <w:vAlign w:val="center"/>
          </w:tcPr>
          <w:p w14:paraId="04A3BE92">
            <w:pPr>
              <w:keepNext w:val="0"/>
              <w:keepLines w:val="0"/>
              <w:pageBreakBefore w:val="0"/>
              <w:widowControl w:val="0"/>
              <w:shd w:val="clear"/>
              <w:kinsoku/>
              <w:wordWrap/>
              <w:overflowPunct/>
              <w:topLinePunct w:val="0"/>
              <w:autoSpaceDE/>
              <w:autoSpaceDN/>
              <w:bidi w:val="0"/>
              <w:adjustRightInd/>
              <w:snapToGrid/>
              <w:spacing w:line="360" w:lineRule="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color w:val="auto"/>
                <w:sz w:val="21"/>
                <w:szCs w:val="21"/>
                <w:highlight w:val="none"/>
              </w:rPr>
              <w:t>评审报价为供应商的最后报价进行政策性扣除后的价格，评审报价只是作为评审时使用。最终成交供应商的成交金额等于最后报价（如有修正，以确认修正后的最后报价为准）。</w:t>
            </w:r>
          </w:p>
          <w:p w14:paraId="361D0911">
            <w:pPr>
              <w:keepNext w:val="0"/>
              <w:keepLines w:val="0"/>
              <w:pageBreakBefore w:val="0"/>
              <w:widowControl w:val="0"/>
              <w:shd w:val="clear"/>
              <w:kinsoku/>
              <w:wordWrap/>
              <w:overflowPunct/>
              <w:topLinePunct w:val="0"/>
              <w:autoSpaceDE/>
              <w:autoSpaceDN/>
              <w:bidi w:val="0"/>
              <w:adjustRightInd/>
              <w:snapToGrid/>
              <w:spacing w:line="360" w:lineRule="auto"/>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rPr>
              <w:t>2.政府采购政策性扣除计算方法</w:t>
            </w:r>
          </w:p>
          <w:p w14:paraId="68955C59">
            <w:pPr>
              <w:keepNext w:val="0"/>
              <w:keepLines w:val="0"/>
              <w:pageBreakBefore w:val="0"/>
              <w:widowControl w:val="0"/>
              <w:shd w:val="clear"/>
              <w:kinsoku/>
              <w:wordWrap/>
              <w:overflowPunct/>
              <w:topLinePunct w:val="0"/>
              <w:autoSpaceDE/>
              <w:autoSpaceDN/>
              <w:bidi w:val="0"/>
              <w:adjustRightInd/>
              <w:snapToGri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Cs/>
                <w:color w:val="auto"/>
                <w:sz w:val="21"/>
                <w:szCs w:val="21"/>
                <w:highlight w:val="none"/>
              </w:rPr>
              <w:t>按照《政府采购促进中小企业发展管理办法》（财库〔2020〕46号）和《关于进一步加大政府采购支持中小企业力度的通知》（财库〔2022〕19号）的规定，供应商在其响应文件中提供《中小企业声明函》，且其服务为小型和微型企业承接的（即提供服务的人员为中小企业依照《中华人民共和国劳动合同法》订立劳动合同的从业人员），对其最后报价给予</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0%的扣除。</w:t>
            </w:r>
          </w:p>
          <w:p w14:paraId="71B06CDC">
            <w:pPr>
              <w:keepNext w:val="0"/>
              <w:keepLines w:val="0"/>
              <w:pageBreakBefore w:val="0"/>
              <w:widowControl w:val="0"/>
              <w:shd w:val="clear"/>
              <w:kinsoku/>
              <w:wordWrap/>
              <w:overflowPunct/>
              <w:topLinePunct w:val="0"/>
              <w:autoSpaceDE/>
              <w:autoSpaceDN/>
              <w:bidi w:val="0"/>
              <w:adjustRightInd/>
              <w:snapToGri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7BC292CE">
            <w:pPr>
              <w:keepNext w:val="0"/>
              <w:keepLines w:val="0"/>
              <w:pageBreakBefore w:val="0"/>
              <w:widowControl w:val="0"/>
              <w:shd w:val="clear"/>
              <w:kinsoku/>
              <w:wordWrap/>
              <w:overflowPunct/>
              <w:topLinePunct w:val="0"/>
              <w:autoSpaceDE/>
              <w:autoSpaceDN/>
              <w:bidi w:val="0"/>
              <w:adjustRightInd/>
              <w:snapToGri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6261CA1B">
            <w:pPr>
              <w:keepNext w:val="0"/>
              <w:keepLines w:val="0"/>
              <w:pageBreakBefore w:val="0"/>
              <w:widowControl w:val="0"/>
              <w:shd w:val="clear"/>
              <w:kinsoku/>
              <w:wordWrap/>
              <w:overflowPunct/>
              <w:topLinePunct w:val="0"/>
              <w:autoSpaceDE/>
              <w:autoSpaceDN/>
              <w:bidi w:val="0"/>
              <w:adjustRightInd/>
              <w:snapToGri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（4）政策性扣除计算方法。</w:t>
            </w:r>
          </w:p>
          <w:p w14:paraId="3099AF07">
            <w:pPr>
              <w:keepNext w:val="0"/>
              <w:keepLines w:val="0"/>
              <w:pageBreakBefore w:val="0"/>
              <w:widowControl w:val="0"/>
              <w:shd w:val="clear"/>
              <w:kinsoku/>
              <w:wordWrap/>
              <w:overflowPunct/>
              <w:topLinePunct w:val="0"/>
              <w:autoSpaceDE/>
              <w:autoSpaceDN/>
              <w:bidi w:val="0"/>
              <w:adjustRightInd/>
              <w:snapToGrid/>
              <w:spacing w:line="360" w:lineRule="auto"/>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供应商被评定为监狱企业或残疾人福利性单位或小型和微型企业的，该供应商的最后报价给予</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0%的扣除，扣除后的价格为评审报价，即评审报价=最后报价×（1-</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0%）；大中型企业和其他自然人、法人或者其他组织与小型、微型企业组成联合体竞标，且联合体协议中约定小型、微型企业的协议合同金额占到联合体协议合同总金额30%以上的，联合体的最后报价给予4%的扣除，即评审报价=最后报价×（1-4%）；</w:t>
            </w:r>
            <w:r>
              <w:rPr>
                <w:rFonts w:hint="eastAsia" w:ascii="宋体" w:hAnsi="宋体" w:eastAsia="宋体" w:cs="宋体"/>
                <w:color w:val="auto"/>
                <w:sz w:val="21"/>
                <w:szCs w:val="21"/>
                <w:highlight w:val="none"/>
              </w:rPr>
              <w:t>除上述情况外，评审报价＝最后报价。</w:t>
            </w:r>
          </w:p>
          <w:p w14:paraId="7E20445B">
            <w:pPr>
              <w:keepNext w:val="0"/>
              <w:keepLines w:val="0"/>
              <w:pageBreakBefore w:val="0"/>
              <w:widowControl w:val="0"/>
              <w:shd w:val="clear"/>
              <w:kinsoku/>
              <w:wordWrap/>
              <w:overflowPunct/>
              <w:topLinePunct w:val="0"/>
              <w:autoSpaceDE/>
              <w:autoSpaceDN/>
              <w:bidi w:val="0"/>
              <w:adjustRightInd/>
              <w:snapToGrid/>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（5）以进入比较与评价环节的最低的评审报价为评审基准价，评审基准价得分为</w:t>
            </w:r>
            <w:r>
              <w:rPr>
                <w:rFonts w:hint="eastAsia" w:ascii="宋体" w:hAnsi="宋体" w:eastAsia="宋体" w:cs="宋体"/>
                <w:bCs/>
                <w:color w:val="auto"/>
                <w:sz w:val="21"/>
                <w:szCs w:val="21"/>
                <w:highlight w:val="none"/>
                <w:u w:val="single"/>
                <w:lang w:val="en-US" w:eastAsia="zh-CN"/>
              </w:rPr>
              <w:t>10</w:t>
            </w:r>
            <w:r>
              <w:rPr>
                <w:rFonts w:hint="eastAsia" w:ascii="宋体" w:hAnsi="宋体" w:eastAsia="宋体" w:cs="宋体"/>
                <w:bCs/>
                <w:color w:val="auto"/>
                <w:sz w:val="21"/>
                <w:szCs w:val="21"/>
                <w:highlight w:val="none"/>
                <w:u w:val="single"/>
              </w:rPr>
              <w:t>分</w:t>
            </w:r>
            <w:r>
              <w:rPr>
                <w:rFonts w:hint="eastAsia" w:ascii="宋体" w:hAnsi="宋体" w:eastAsia="宋体" w:cs="宋体"/>
                <w:bCs/>
                <w:color w:val="auto"/>
                <w:sz w:val="21"/>
                <w:szCs w:val="21"/>
                <w:highlight w:val="none"/>
              </w:rPr>
              <w:t>。</w:t>
            </w:r>
          </w:p>
          <w:p w14:paraId="0D36F500">
            <w:pPr>
              <w:keepNext w:val="0"/>
              <w:keepLines w:val="0"/>
              <w:pageBreakBefore w:val="0"/>
              <w:widowControl w:val="0"/>
              <w:shd w:val="clear"/>
              <w:kinsoku/>
              <w:wordWrap/>
              <w:overflowPunct/>
              <w:topLinePunct w:val="0"/>
              <w:autoSpaceDE/>
              <w:autoSpaceDN/>
              <w:bidi w:val="0"/>
              <w:adjustRightInd/>
              <w:snapToGrid/>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（6）价格分计算公式：</w:t>
            </w:r>
          </w:p>
          <w:p w14:paraId="1A727439">
            <w:pPr>
              <w:keepNext w:val="0"/>
              <w:keepLines w:val="0"/>
              <w:pageBreakBefore w:val="0"/>
              <w:widowControl w:val="0"/>
              <w:shd w:val="clear"/>
              <w:kinsoku/>
              <w:wordWrap/>
              <w:overflowPunct/>
              <w:topLinePunct w:val="0"/>
              <w:autoSpaceDE/>
              <w:autoSpaceDN/>
              <w:bidi w:val="0"/>
              <w:adjustRightInd/>
              <w:snapToGrid/>
              <w:spacing w:line="360" w:lineRule="auto"/>
              <w:jc w:val="both"/>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某磋商供应商价格分=（评审基准价/某磋商供应商评审报价）×</w:t>
            </w:r>
            <w:r>
              <w:rPr>
                <w:rFonts w:hint="eastAsia" w:ascii="宋体" w:hAnsi="宋体" w:eastAsia="宋体" w:cs="宋体"/>
                <w:bCs/>
                <w:color w:val="auto"/>
                <w:kern w:val="0"/>
                <w:sz w:val="21"/>
                <w:szCs w:val="21"/>
                <w:highlight w:val="none"/>
                <w:u w:val="single"/>
                <w:lang w:val="en-US" w:eastAsia="zh-CN" w:bidi="ar-SA"/>
              </w:rPr>
              <w:t>10分</w:t>
            </w:r>
          </w:p>
        </w:tc>
      </w:tr>
      <w:tr w14:paraId="70748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5" w:type="dxa"/>
            <w:vMerge w:val="restart"/>
            <w:noWrap w:val="0"/>
            <w:vAlign w:val="center"/>
          </w:tcPr>
          <w:p w14:paraId="523F503C">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p>
        </w:tc>
        <w:tc>
          <w:tcPr>
            <w:tcW w:w="1439" w:type="dxa"/>
            <w:vMerge w:val="restart"/>
            <w:noWrap w:val="0"/>
            <w:vAlign w:val="center"/>
          </w:tcPr>
          <w:p w14:paraId="20A6DDB8">
            <w:pPr>
              <w:keepNext w:val="0"/>
              <w:keepLines w:val="0"/>
              <w:pageBreakBefore w:val="0"/>
              <w:widowControl w:val="0"/>
              <w:shd w:val="clear"/>
              <w:kinsoku/>
              <w:wordWrap/>
              <w:overflowPunct/>
              <w:topLinePunct w:val="0"/>
              <w:autoSpaceDE/>
              <w:autoSpaceDN/>
              <w:bidi w:val="0"/>
              <w:adjustRightInd/>
              <w:snapToGrid/>
              <w:spacing w:line="360" w:lineRule="auto"/>
              <w:ind w:left="-105" w:leftChars="-50" w:right="-105" w:rightChars="-50"/>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技术分</w:t>
            </w:r>
          </w:p>
          <w:p w14:paraId="79C6DF95">
            <w:pPr>
              <w:keepNext w:val="0"/>
              <w:keepLines w:val="0"/>
              <w:pageBreakBefore w:val="0"/>
              <w:widowControl w:val="0"/>
              <w:shd w:val="clear"/>
              <w:kinsoku/>
              <w:wordWrap/>
              <w:overflowPunct/>
              <w:topLinePunct w:val="0"/>
              <w:autoSpaceDE/>
              <w:autoSpaceDN/>
              <w:bidi w:val="0"/>
              <w:adjustRightInd/>
              <w:snapToGrid/>
              <w:spacing w:line="360" w:lineRule="auto"/>
              <w:ind w:left="-105" w:leftChars="-50" w:right="-105" w:rightChars="-50"/>
              <w:jc w:val="center"/>
              <w:textAlignment w:val="baseline"/>
              <w:rPr>
                <w:rFonts w:hint="eastAsia" w:ascii="宋体" w:hAnsi="宋体" w:eastAsia="宋体" w:cs="宋体"/>
                <w:color w:val="auto"/>
                <w:spacing w:val="-18"/>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满分</w:t>
            </w:r>
            <w:r>
              <w:rPr>
                <w:rFonts w:hint="eastAsia" w:ascii="宋体" w:hAnsi="宋体" w:eastAsia="宋体" w:cs="宋体"/>
                <w:color w:val="auto"/>
                <w:sz w:val="21"/>
                <w:szCs w:val="21"/>
                <w:highlight w:val="none"/>
                <w:u w:val="single"/>
                <w:lang w:val="en-US" w:eastAsia="zh-CN"/>
              </w:rPr>
              <w:t>54</w:t>
            </w:r>
            <w:r>
              <w:rPr>
                <w:rFonts w:hint="eastAsia" w:ascii="宋体" w:hAnsi="宋体" w:eastAsia="宋体" w:cs="宋体"/>
                <w:bCs/>
                <w:color w:val="auto"/>
                <w:sz w:val="21"/>
                <w:szCs w:val="21"/>
                <w:highlight w:val="none"/>
              </w:rPr>
              <w:t>分）</w:t>
            </w:r>
          </w:p>
        </w:tc>
        <w:tc>
          <w:tcPr>
            <w:tcW w:w="1425" w:type="dxa"/>
            <w:noWrap w:val="0"/>
            <w:vAlign w:val="center"/>
          </w:tcPr>
          <w:p w14:paraId="26D4929A">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项目需求理解</w:t>
            </w:r>
            <w:r>
              <w:rPr>
                <w:rFonts w:hint="eastAsia" w:ascii="宋体" w:hAnsi="宋体" w:eastAsia="宋体" w:cs="宋体"/>
                <w:color w:val="auto"/>
                <w:sz w:val="21"/>
                <w:szCs w:val="21"/>
                <w:highlight w:val="none"/>
              </w:rPr>
              <w:t>（满分</w:t>
            </w:r>
            <w:r>
              <w:rPr>
                <w:rFonts w:hint="eastAsia" w:ascii="宋体" w:hAnsi="宋体" w:eastAsia="宋体" w:cs="宋体"/>
                <w:color w:val="auto"/>
                <w:sz w:val="21"/>
                <w:szCs w:val="21"/>
                <w:highlight w:val="none"/>
                <w:u w:val="single"/>
                <w:lang w:val="en-US" w:eastAsia="zh-CN"/>
              </w:rPr>
              <w:t>18</w:t>
            </w:r>
            <w:r>
              <w:rPr>
                <w:rFonts w:hint="eastAsia" w:ascii="宋体" w:hAnsi="宋体" w:eastAsia="宋体" w:cs="宋体"/>
                <w:color w:val="auto"/>
                <w:sz w:val="21"/>
                <w:szCs w:val="21"/>
                <w:highlight w:val="none"/>
              </w:rPr>
              <w:t>分）</w:t>
            </w:r>
          </w:p>
        </w:tc>
        <w:tc>
          <w:tcPr>
            <w:tcW w:w="6241" w:type="dxa"/>
            <w:noWrap w:val="0"/>
            <w:vAlign w:val="center"/>
          </w:tcPr>
          <w:p w14:paraId="50829F32">
            <w:pPr>
              <w:keepNext w:val="0"/>
              <w:keepLines w:val="0"/>
              <w:pageBreakBefore w:val="0"/>
              <w:widowControl w:val="0"/>
              <w:shd w:val="clear"/>
              <w:tabs>
                <w:tab w:val="left" w:pos="1160"/>
              </w:tabs>
              <w:kinsoku/>
              <w:wordWrap/>
              <w:overflowPunct/>
              <w:topLinePunct w:val="0"/>
              <w:autoSpaceDE/>
              <w:autoSpaceDN/>
              <w:bidi w:val="0"/>
              <w:adjustRightInd/>
              <w:snapToGri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分）：对项目基本理解</w:t>
            </w:r>
            <w:r>
              <w:rPr>
                <w:rFonts w:hint="eastAsia" w:ascii="宋体" w:hAnsi="宋体" w:eastAsia="宋体" w:cs="宋体"/>
                <w:color w:val="auto"/>
                <w:sz w:val="21"/>
                <w:szCs w:val="21"/>
                <w:highlight w:val="none"/>
                <w:lang w:eastAsia="zh-CN"/>
              </w:rPr>
              <w:t>，对</w:t>
            </w:r>
            <w:r>
              <w:rPr>
                <w:rFonts w:hint="eastAsia" w:ascii="宋体" w:hAnsi="宋体" w:eastAsia="宋体" w:cs="宋体"/>
                <w:color w:val="auto"/>
                <w:sz w:val="21"/>
                <w:szCs w:val="21"/>
                <w:highlight w:val="none"/>
                <w:lang w:val="en-US" w:eastAsia="zh-CN"/>
              </w:rPr>
              <w:t>广西</w:t>
            </w:r>
            <w:r>
              <w:rPr>
                <w:rFonts w:hint="eastAsia" w:ascii="宋体" w:hAnsi="宋体" w:eastAsia="宋体" w:cs="宋体"/>
                <w:color w:val="auto"/>
                <w:sz w:val="21"/>
                <w:szCs w:val="21"/>
                <w:highlight w:val="none"/>
              </w:rPr>
              <w:t>《工业行业主要产品用水定额》</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《城镇生活用水定额》了解不</w:t>
            </w:r>
            <w:r>
              <w:rPr>
                <w:rFonts w:hint="eastAsia" w:ascii="宋体" w:hAnsi="宋体" w:eastAsia="宋体" w:cs="宋体"/>
                <w:color w:val="auto"/>
                <w:sz w:val="21"/>
                <w:szCs w:val="21"/>
                <w:highlight w:val="none"/>
                <w:lang w:eastAsia="zh-CN"/>
              </w:rPr>
              <w:t>具体</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编制</w:t>
            </w:r>
            <w:r>
              <w:rPr>
                <w:rFonts w:hint="eastAsia" w:ascii="宋体" w:hAnsi="宋体" w:eastAsia="宋体" w:cs="宋体"/>
                <w:color w:val="auto"/>
                <w:sz w:val="21"/>
                <w:szCs w:val="21"/>
                <w:highlight w:val="none"/>
              </w:rPr>
              <w:t>目标任务分析确定缺乏前瞻性，对项目的难点、关键点的分析不完整；</w:t>
            </w:r>
          </w:p>
          <w:p w14:paraId="1D48942C">
            <w:pPr>
              <w:keepNext w:val="0"/>
              <w:keepLines w:val="0"/>
              <w:pageBreakBefore w:val="0"/>
              <w:widowControl w:val="0"/>
              <w:shd w:val="clear"/>
              <w:tabs>
                <w:tab w:val="left" w:pos="1160"/>
              </w:tabs>
              <w:kinsoku/>
              <w:wordWrap/>
              <w:overflowPunct/>
              <w:topLinePunct w:val="0"/>
              <w:autoSpaceDE/>
              <w:autoSpaceDN/>
              <w:bidi w:val="0"/>
              <w:adjustRightInd/>
              <w:snapToGri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分）：对项目理解完整，对</w:t>
            </w:r>
            <w:r>
              <w:rPr>
                <w:rFonts w:hint="eastAsia" w:ascii="宋体" w:hAnsi="宋体" w:eastAsia="宋体" w:cs="宋体"/>
                <w:color w:val="auto"/>
                <w:sz w:val="21"/>
                <w:szCs w:val="21"/>
                <w:highlight w:val="none"/>
                <w:lang w:val="en-US" w:eastAsia="zh-CN"/>
              </w:rPr>
              <w:t>广西</w:t>
            </w:r>
            <w:r>
              <w:rPr>
                <w:rFonts w:hint="eastAsia" w:ascii="宋体" w:hAnsi="宋体" w:eastAsia="宋体" w:cs="宋体"/>
                <w:color w:val="auto"/>
                <w:sz w:val="21"/>
                <w:szCs w:val="21"/>
                <w:highlight w:val="none"/>
              </w:rPr>
              <w:t>《工业行业主要产品用水定额》</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《城镇生活用水定额》有一定了解，</w:t>
            </w:r>
            <w:r>
              <w:rPr>
                <w:rFonts w:hint="eastAsia" w:ascii="宋体" w:hAnsi="宋体" w:eastAsia="宋体" w:cs="宋体"/>
                <w:color w:val="auto"/>
                <w:sz w:val="21"/>
                <w:szCs w:val="21"/>
                <w:highlight w:val="none"/>
                <w:lang w:val="en-US" w:eastAsia="zh-CN"/>
              </w:rPr>
              <w:t>编制</w:t>
            </w:r>
            <w:r>
              <w:rPr>
                <w:rFonts w:hint="eastAsia" w:ascii="宋体" w:hAnsi="宋体" w:eastAsia="宋体" w:cs="宋体"/>
                <w:color w:val="auto"/>
                <w:sz w:val="21"/>
                <w:szCs w:val="21"/>
                <w:highlight w:val="none"/>
              </w:rPr>
              <w:t>目标任务分析确定有一定前瞻性，对项目的难点、关键点进行一定的分析，解决难点的方案基本可行；</w:t>
            </w:r>
          </w:p>
          <w:p w14:paraId="08CDFCC0">
            <w:pPr>
              <w:keepNext w:val="0"/>
              <w:keepLines w:val="0"/>
              <w:pageBreakBefore w:val="0"/>
              <w:widowControl w:val="0"/>
              <w:shd w:val="clear"/>
              <w:tabs>
                <w:tab w:val="left" w:pos="1160"/>
              </w:tabs>
              <w:kinsoku/>
              <w:wordWrap/>
              <w:overflowPunct/>
              <w:topLinePunct w:val="0"/>
              <w:autoSpaceDE/>
              <w:autoSpaceDN/>
              <w:bidi w:val="0"/>
              <w:adjustRightInd/>
              <w:snapToGri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三档（</w:t>
            </w:r>
            <w:r>
              <w:rPr>
                <w:rFonts w:hint="eastAsia" w:ascii="宋体" w:hAnsi="宋体" w:eastAsia="宋体" w:cs="宋体"/>
                <w:color w:val="auto"/>
                <w:sz w:val="21"/>
                <w:szCs w:val="21"/>
                <w:highlight w:val="none"/>
                <w:lang w:val="en-US" w:eastAsia="zh-CN"/>
              </w:rPr>
              <w:t>18</w:t>
            </w:r>
            <w:r>
              <w:rPr>
                <w:rFonts w:hint="eastAsia" w:ascii="宋体" w:hAnsi="宋体" w:eastAsia="宋体" w:cs="宋体"/>
                <w:color w:val="auto"/>
                <w:sz w:val="21"/>
                <w:szCs w:val="21"/>
                <w:highlight w:val="none"/>
              </w:rPr>
              <w:t>分）：对项目理解完整准确，</w:t>
            </w:r>
            <w:r>
              <w:rPr>
                <w:rFonts w:hint="eastAsia" w:ascii="宋体" w:hAnsi="宋体" w:eastAsia="宋体" w:cs="宋体"/>
                <w:color w:val="auto"/>
                <w:sz w:val="21"/>
                <w:szCs w:val="21"/>
                <w:highlight w:val="none"/>
                <w:lang w:eastAsia="zh-CN"/>
              </w:rPr>
              <w:t>掌握</w:t>
            </w:r>
            <w:r>
              <w:rPr>
                <w:rFonts w:hint="eastAsia" w:ascii="宋体" w:hAnsi="宋体" w:eastAsia="宋体" w:cs="宋体"/>
                <w:color w:val="auto"/>
                <w:sz w:val="21"/>
                <w:szCs w:val="21"/>
                <w:highlight w:val="none"/>
                <w:lang w:val="en-US" w:eastAsia="zh-CN"/>
              </w:rPr>
              <w:t>水利部</w:t>
            </w:r>
            <w:r>
              <w:rPr>
                <w:rFonts w:hint="eastAsia" w:ascii="宋体" w:hAnsi="宋体" w:eastAsia="宋体" w:cs="宋体"/>
                <w:color w:val="auto"/>
                <w:sz w:val="21"/>
                <w:szCs w:val="21"/>
                <w:highlight w:val="none"/>
                <w:lang w:eastAsia="zh-CN"/>
              </w:rPr>
              <w:t>、自治区关于加强重点行业用水定额管理</w:t>
            </w:r>
            <w:r>
              <w:rPr>
                <w:rFonts w:hint="eastAsia" w:ascii="宋体" w:hAnsi="宋体" w:eastAsia="宋体" w:cs="宋体"/>
                <w:color w:val="auto"/>
                <w:sz w:val="21"/>
                <w:szCs w:val="21"/>
                <w:highlight w:val="none"/>
                <w:lang w:val="en-US" w:eastAsia="zh-CN"/>
              </w:rPr>
              <w:t>等</w:t>
            </w:r>
            <w:r>
              <w:rPr>
                <w:rFonts w:hint="eastAsia" w:ascii="宋体" w:hAnsi="宋体" w:eastAsia="宋体" w:cs="宋体"/>
                <w:color w:val="auto"/>
                <w:sz w:val="21"/>
                <w:szCs w:val="21"/>
                <w:highlight w:val="none"/>
                <w:lang w:eastAsia="zh-CN"/>
              </w:rPr>
              <w:t>的工作部署，对</w:t>
            </w:r>
            <w:r>
              <w:rPr>
                <w:rFonts w:hint="eastAsia" w:ascii="宋体" w:hAnsi="宋体" w:eastAsia="宋体" w:cs="宋体"/>
                <w:color w:val="auto"/>
                <w:sz w:val="21"/>
                <w:szCs w:val="21"/>
                <w:highlight w:val="none"/>
              </w:rPr>
              <w:t>广西《工业行业主要产品用水定额》《城镇生活用水定额》两项地方标准</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lang w:val="en-US" w:eastAsia="zh-CN"/>
              </w:rPr>
              <w:t>现状实施及管理情况等</w:t>
            </w:r>
            <w:r>
              <w:rPr>
                <w:rFonts w:hint="eastAsia" w:ascii="宋体" w:hAnsi="宋体" w:eastAsia="宋体" w:cs="宋体"/>
                <w:color w:val="auto"/>
                <w:sz w:val="21"/>
                <w:szCs w:val="21"/>
                <w:highlight w:val="none"/>
                <w:lang w:eastAsia="zh-CN"/>
              </w:rPr>
              <w:t>有全面认识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编制</w:t>
            </w:r>
            <w:r>
              <w:rPr>
                <w:rFonts w:hint="eastAsia" w:ascii="宋体" w:hAnsi="宋体" w:eastAsia="宋体" w:cs="宋体"/>
                <w:color w:val="auto"/>
                <w:sz w:val="21"/>
                <w:szCs w:val="21"/>
                <w:highlight w:val="none"/>
              </w:rPr>
              <w:t>目标任务分析确定具备前瞻性和可行性，对项目的难点、关键点分析完整准确，解决难点的方案完整、可行、有针对性。</w:t>
            </w:r>
          </w:p>
          <w:p w14:paraId="425A1C0D">
            <w:pPr>
              <w:keepNext w:val="0"/>
              <w:keepLines w:val="0"/>
              <w:pageBreakBefore w:val="0"/>
              <w:widowControl w:val="0"/>
              <w:shd w:val="clear"/>
              <w:tabs>
                <w:tab w:val="left" w:pos="1160"/>
              </w:tabs>
              <w:kinsoku/>
              <w:wordWrap/>
              <w:overflowPunct/>
              <w:topLinePunct w:val="0"/>
              <w:autoSpaceDE/>
              <w:autoSpaceDN/>
              <w:bidi w:val="0"/>
              <w:adjustRightInd/>
              <w:snapToGrid/>
              <w:spacing w:line="360" w:lineRule="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rPr>
              <w:t>注：未提供</w:t>
            </w:r>
            <w:r>
              <w:rPr>
                <w:rFonts w:hint="eastAsia" w:ascii="宋体" w:hAnsi="宋体" w:eastAsia="宋体" w:cs="宋体"/>
                <w:b/>
                <w:color w:val="auto"/>
                <w:sz w:val="21"/>
                <w:szCs w:val="21"/>
                <w:highlight w:val="none"/>
                <w:lang w:eastAsia="zh-CN"/>
              </w:rPr>
              <w:t>项目需求理解</w:t>
            </w:r>
            <w:r>
              <w:rPr>
                <w:rFonts w:hint="eastAsia" w:ascii="宋体" w:hAnsi="宋体" w:eastAsia="宋体" w:cs="宋体"/>
                <w:b/>
                <w:color w:val="auto"/>
                <w:sz w:val="21"/>
                <w:szCs w:val="21"/>
                <w:highlight w:val="none"/>
              </w:rPr>
              <w:t>或</w:t>
            </w:r>
            <w:r>
              <w:rPr>
                <w:rFonts w:hint="eastAsia" w:ascii="宋体" w:hAnsi="宋体" w:eastAsia="宋体" w:cs="宋体"/>
                <w:b/>
                <w:color w:val="auto"/>
                <w:sz w:val="21"/>
                <w:szCs w:val="21"/>
                <w:highlight w:val="none"/>
                <w:lang w:eastAsia="zh-CN"/>
              </w:rPr>
              <w:t>项目需求理解</w:t>
            </w:r>
            <w:r>
              <w:rPr>
                <w:rFonts w:hint="eastAsia" w:ascii="宋体" w:hAnsi="宋体" w:eastAsia="宋体" w:cs="宋体"/>
                <w:b/>
                <w:color w:val="auto"/>
                <w:sz w:val="21"/>
                <w:szCs w:val="21"/>
                <w:highlight w:val="none"/>
              </w:rPr>
              <w:t>未达到一档标准要求的，得0分。</w:t>
            </w:r>
          </w:p>
        </w:tc>
      </w:tr>
      <w:tr w14:paraId="7B4F3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5" w:type="dxa"/>
            <w:vMerge w:val="continue"/>
            <w:noWrap w:val="0"/>
            <w:vAlign w:val="center"/>
          </w:tcPr>
          <w:p w14:paraId="698DB33A">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baseline"/>
              <w:rPr>
                <w:rFonts w:hint="eastAsia" w:ascii="宋体" w:hAnsi="宋体" w:eastAsia="宋体" w:cs="宋体"/>
                <w:b/>
                <w:color w:val="auto"/>
                <w:sz w:val="21"/>
                <w:szCs w:val="21"/>
                <w:highlight w:val="none"/>
              </w:rPr>
            </w:pPr>
          </w:p>
        </w:tc>
        <w:tc>
          <w:tcPr>
            <w:tcW w:w="1439" w:type="dxa"/>
            <w:vMerge w:val="continue"/>
            <w:noWrap w:val="0"/>
            <w:vAlign w:val="center"/>
          </w:tcPr>
          <w:p w14:paraId="2C3DE3F4">
            <w:pPr>
              <w:keepNext w:val="0"/>
              <w:keepLines w:val="0"/>
              <w:pageBreakBefore w:val="0"/>
              <w:widowControl w:val="0"/>
              <w:shd w:val="clear"/>
              <w:kinsoku/>
              <w:wordWrap/>
              <w:overflowPunct/>
              <w:topLinePunct w:val="0"/>
              <w:autoSpaceDE/>
              <w:autoSpaceDN/>
              <w:bidi w:val="0"/>
              <w:adjustRightInd/>
              <w:snapToGrid/>
              <w:spacing w:line="360" w:lineRule="auto"/>
              <w:ind w:left="-105" w:leftChars="-50" w:right="-105" w:rightChars="-50"/>
              <w:jc w:val="center"/>
              <w:textAlignment w:val="baseline"/>
              <w:rPr>
                <w:rFonts w:hint="eastAsia" w:ascii="宋体" w:hAnsi="宋体" w:eastAsia="宋体" w:cs="宋体"/>
                <w:bCs/>
                <w:color w:val="auto"/>
                <w:sz w:val="21"/>
                <w:szCs w:val="21"/>
                <w:highlight w:val="none"/>
              </w:rPr>
            </w:pPr>
          </w:p>
        </w:tc>
        <w:tc>
          <w:tcPr>
            <w:tcW w:w="1425" w:type="dxa"/>
            <w:noWrap w:val="0"/>
            <w:vAlign w:val="center"/>
          </w:tcPr>
          <w:p w14:paraId="49F80ED6">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项目实施方案（满分</w:t>
            </w:r>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color w:val="auto"/>
                <w:sz w:val="21"/>
                <w:szCs w:val="21"/>
                <w:highlight w:val="none"/>
              </w:rPr>
              <w:t>分）</w:t>
            </w:r>
          </w:p>
        </w:tc>
        <w:tc>
          <w:tcPr>
            <w:tcW w:w="6241" w:type="dxa"/>
            <w:noWrap w:val="0"/>
            <w:vAlign w:val="center"/>
          </w:tcPr>
          <w:p w14:paraId="0B17B2EC">
            <w:pPr>
              <w:keepNext w:val="0"/>
              <w:keepLines w:val="0"/>
              <w:pageBreakBefore w:val="0"/>
              <w:widowControl w:val="0"/>
              <w:shd w:val="clear"/>
              <w:tabs>
                <w:tab w:val="left" w:pos="1160"/>
              </w:tabs>
              <w:kinsoku/>
              <w:wordWrap/>
              <w:overflowPunct/>
              <w:topLinePunct w:val="0"/>
              <w:autoSpaceDE/>
              <w:autoSpaceDN/>
              <w:bidi w:val="0"/>
              <w:adjustRightInd/>
              <w:snapToGri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val="en-US" w:eastAsia="zh-CN"/>
              </w:rPr>
              <w:t>项目实施方案基本满足本项目采购需求</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但</w:t>
            </w:r>
            <w:r>
              <w:rPr>
                <w:rFonts w:hint="eastAsia" w:ascii="宋体" w:hAnsi="宋体" w:eastAsia="宋体" w:cs="宋体"/>
                <w:color w:val="auto"/>
                <w:sz w:val="21"/>
                <w:szCs w:val="21"/>
                <w:highlight w:val="none"/>
              </w:rPr>
              <w:t>对两项地方标准用水定额现状实施及管理现状</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lang w:val="en-US" w:eastAsia="zh-CN"/>
              </w:rPr>
              <w:t>评估分析等</w:t>
            </w:r>
            <w:r>
              <w:rPr>
                <w:rFonts w:hint="eastAsia" w:ascii="宋体" w:hAnsi="宋体" w:eastAsia="宋体" w:cs="宋体"/>
                <w:color w:val="auto"/>
                <w:sz w:val="21"/>
                <w:szCs w:val="21"/>
                <w:highlight w:val="none"/>
              </w:rPr>
              <w:t>缺乏先进性和可操作性，无法充分满足项目要求；进度计划基本合理，进度保证措施、质量控制方案和措施简单。</w:t>
            </w:r>
          </w:p>
          <w:p w14:paraId="3F7ED40A">
            <w:pPr>
              <w:keepNext w:val="0"/>
              <w:keepLines w:val="0"/>
              <w:pageBreakBefore w:val="0"/>
              <w:widowControl w:val="0"/>
              <w:shd w:val="clear"/>
              <w:tabs>
                <w:tab w:val="left" w:pos="1160"/>
              </w:tabs>
              <w:kinsoku/>
              <w:wordWrap/>
              <w:overflowPunct/>
              <w:topLinePunct w:val="0"/>
              <w:autoSpaceDE/>
              <w:autoSpaceDN/>
              <w:bidi w:val="0"/>
              <w:adjustRightInd/>
              <w:snapToGri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val="en-US" w:eastAsia="zh-CN"/>
              </w:rPr>
              <w:t>项目实施方案满足本项目采购需求</w:t>
            </w:r>
            <w:r>
              <w:rPr>
                <w:rFonts w:hint="eastAsia" w:ascii="宋体" w:hAnsi="宋体" w:eastAsia="宋体" w:cs="宋体"/>
                <w:color w:val="auto"/>
                <w:sz w:val="21"/>
                <w:szCs w:val="21"/>
                <w:highlight w:val="none"/>
              </w:rPr>
              <w:t>，对两项地方标准用水定额现状实施及管理现状</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lang w:val="en-US" w:eastAsia="zh-CN"/>
              </w:rPr>
              <w:t>评估分析等</w:t>
            </w:r>
            <w:r>
              <w:rPr>
                <w:rFonts w:hint="eastAsia" w:ascii="宋体" w:hAnsi="宋体" w:eastAsia="宋体" w:cs="宋体"/>
                <w:color w:val="auto"/>
                <w:sz w:val="21"/>
                <w:szCs w:val="21"/>
                <w:highlight w:val="none"/>
              </w:rPr>
              <w:t>具有一定的先进性和可操作性，基本满足项目要求，基本能够保证项目质量，方案有较详细描述；进度计划合理，进度保证措施、质量控制方案和措施、项目小组成员职责分工内容较完整，但针对性不强。</w:t>
            </w:r>
          </w:p>
          <w:p w14:paraId="276F9546">
            <w:pPr>
              <w:keepNext w:val="0"/>
              <w:keepLines w:val="0"/>
              <w:pageBreakBefore w:val="0"/>
              <w:widowControl w:val="0"/>
              <w:shd w:val="clear"/>
              <w:tabs>
                <w:tab w:val="left" w:pos="116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三档（</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val="en-US" w:eastAsia="zh-CN"/>
              </w:rPr>
              <w:t>项目实施方案完全满足本项目采购需求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对两项地方标准用水定额现状实施及管理现状</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lang w:val="en-US" w:eastAsia="zh-CN"/>
              </w:rPr>
              <w:t>评估分析等</w:t>
            </w:r>
            <w:r>
              <w:rPr>
                <w:rFonts w:hint="eastAsia" w:ascii="宋体" w:hAnsi="宋体" w:eastAsia="宋体" w:cs="宋体"/>
                <w:color w:val="auto"/>
                <w:sz w:val="21"/>
                <w:szCs w:val="21"/>
                <w:highlight w:val="none"/>
              </w:rPr>
              <w:t>具有较强的先进性和可操作性，详细描述了实现方式，完全满足项目要求，措施切实可行，质量保证措施合理，能切实地确保项目质量。技术方案有详细的描述，对本方案所采用的技术优势有充分分析</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进度计划合理可行，进度保证措施、质量控制方案和措施、项目小组成员职责分工内容完整详细、科学可行、针对性强、可操作性强。</w:t>
            </w:r>
          </w:p>
          <w:p w14:paraId="0C8B71BA">
            <w:pPr>
              <w:keepNext w:val="0"/>
              <w:keepLines w:val="0"/>
              <w:pageBreakBefore w:val="0"/>
              <w:widowControl w:val="0"/>
              <w:shd w:val="clear"/>
              <w:tabs>
                <w:tab w:val="left" w:pos="1160"/>
              </w:tabs>
              <w:kinsoku/>
              <w:wordWrap/>
              <w:overflowPunct/>
              <w:topLinePunct w:val="0"/>
              <w:autoSpaceDE/>
              <w:autoSpaceDN/>
              <w:bidi w:val="0"/>
              <w:adjustRightInd/>
              <w:snapToGrid/>
              <w:spacing w:line="360" w:lineRule="auto"/>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rPr>
              <w:t>注：未提供项目实施方案或项目实施方案未达到一档标准要求的，得0分。</w:t>
            </w:r>
          </w:p>
        </w:tc>
      </w:tr>
      <w:tr w14:paraId="71148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5" w:type="dxa"/>
            <w:vMerge w:val="continue"/>
            <w:noWrap w:val="0"/>
            <w:vAlign w:val="center"/>
          </w:tcPr>
          <w:p w14:paraId="622542E9">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baseline"/>
              <w:rPr>
                <w:rFonts w:hint="eastAsia" w:ascii="宋体" w:hAnsi="宋体" w:eastAsia="宋体" w:cs="宋体"/>
                <w:b/>
                <w:color w:val="auto"/>
                <w:sz w:val="21"/>
                <w:szCs w:val="21"/>
                <w:highlight w:val="none"/>
              </w:rPr>
            </w:pPr>
          </w:p>
        </w:tc>
        <w:tc>
          <w:tcPr>
            <w:tcW w:w="1439" w:type="dxa"/>
            <w:vMerge w:val="continue"/>
            <w:noWrap w:val="0"/>
            <w:vAlign w:val="center"/>
          </w:tcPr>
          <w:p w14:paraId="2FA2EF98">
            <w:pPr>
              <w:keepNext w:val="0"/>
              <w:keepLines w:val="0"/>
              <w:pageBreakBefore w:val="0"/>
              <w:widowControl w:val="0"/>
              <w:shd w:val="clear"/>
              <w:kinsoku/>
              <w:wordWrap/>
              <w:overflowPunct/>
              <w:topLinePunct w:val="0"/>
              <w:autoSpaceDE/>
              <w:autoSpaceDN/>
              <w:bidi w:val="0"/>
              <w:adjustRightInd/>
              <w:snapToGrid/>
              <w:spacing w:line="360" w:lineRule="auto"/>
              <w:ind w:left="-105" w:leftChars="-50" w:right="-105" w:rightChars="-50"/>
              <w:jc w:val="center"/>
              <w:textAlignment w:val="baseline"/>
              <w:rPr>
                <w:rFonts w:hint="eastAsia" w:ascii="宋体" w:hAnsi="宋体" w:eastAsia="宋体" w:cs="宋体"/>
                <w:b/>
                <w:bCs/>
                <w:color w:val="auto"/>
                <w:sz w:val="21"/>
                <w:szCs w:val="21"/>
                <w:highlight w:val="none"/>
              </w:rPr>
            </w:pPr>
          </w:p>
        </w:tc>
        <w:tc>
          <w:tcPr>
            <w:tcW w:w="1425" w:type="dxa"/>
            <w:noWrap w:val="0"/>
            <w:vAlign w:val="center"/>
          </w:tcPr>
          <w:p w14:paraId="43D1781B">
            <w:pPr>
              <w:keepNext w:val="0"/>
              <w:keepLines w:val="0"/>
              <w:pageBreakBefore w:val="0"/>
              <w:widowControl w:val="0"/>
              <w:shd w:val="clear"/>
              <w:kinsoku/>
              <w:wordWrap/>
              <w:overflowPunct/>
              <w:topLinePunct w:val="0"/>
              <w:autoSpaceDE/>
              <w:autoSpaceDN/>
              <w:bidi w:val="0"/>
              <w:adjustRightInd/>
              <w:snapToGrid/>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服务承诺</w:t>
            </w:r>
            <w:r>
              <w:rPr>
                <w:rFonts w:hint="eastAsia" w:ascii="宋体" w:hAnsi="宋体" w:eastAsia="宋体" w:cs="宋体"/>
                <w:bCs/>
                <w:color w:val="auto"/>
                <w:sz w:val="21"/>
                <w:szCs w:val="21"/>
                <w:highlight w:val="none"/>
              </w:rPr>
              <w:t>（满分</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分）</w:t>
            </w:r>
          </w:p>
        </w:tc>
        <w:tc>
          <w:tcPr>
            <w:tcW w:w="6241" w:type="dxa"/>
            <w:noWrap w:val="0"/>
            <w:vAlign w:val="center"/>
          </w:tcPr>
          <w:p w14:paraId="4116C548">
            <w:pPr>
              <w:keepNext w:val="0"/>
              <w:keepLines w:val="0"/>
              <w:pageBreakBefore w:val="0"/>
              <w:widowControl w:val="0"/>
              <w:shd w:val="clear"/>
              <w:tabs>
                <w:tab w:val="left" w:pos="1160"/>
              </w:tabs>
              <w:kinsoku/>
              <w:wordWrap/>
              <w:overflowPunct/>
              <w:topLinePunct w:val="0"/>
              <w:autoSpaceDE/>
              <w:autoSpaceDN/>
              <w:bidi w:val="0"/>
              <w:adjustRightInd/>
              <w:snapToGri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分）：服务承诺基本满足采购人需求，供应商在项目所在地没有常驻服务和技术支持机构，或常驻服务和技术支持机构配备的技术人员不足；</w:t>
            </w:r>
          </w:p>
          <w:p w14:paraId="2C1AD038">
            <w:pPr>
              <w:keepNext w:val="0"/>
              <w:keepLines w:val="0"/>
              <w:pageBreakBefore w:val="0"/>
              <w:widowControl w:val="0"/>
              <w:shd w:val="clear"/>
              <w:tabs>
                <w:tab w:val="left" w:pos="1160"/>
              </w:tabs>
              <w:kinsoku/>
              <w:wordWrap/>
              <w:overflowPunct/>
              <w:topLinePunct w:val="0"/>
              <w:autoSpaceDE/>
              <w:autoSpaceDN/>
              <w:bidi w:val="0"/>
              <w:adjustRightInd/>
              <w:snapToGri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分）：服务承诺满足采购人需求，供应商在项目所在地设有常驻服务机构且配备的技术人员基本满足项目需求，并承诺接到通知后3小时内到达采购人办公地点解决问题，服务承诺满足项目要求；</w:t>
            </w:r>
          </w:p>
          <w:p w14:paraId="0B60DE8E">
            <w:pPr>
              <w:keepNext w:val="0"/>
              <w:keepLines w:val="0"/>
              <w:pageBreakBefore w:val="0"/>
              <w:widowControl w:val="0"/>
              <w:shd w:val="clear"/>
              <w:tabs>
                <w:tab w:val="left" w:pos="1160"/>
              </w:tabs>
              <w:kinsoku/>
              <w:wordWrap/>
              <w:overflowPunct/>
              <w:topLinePunct w:val="0"/>
              <w:autoSpaceDE/>
              <w:autoSpaceDN/>
              <w:bidi w:val="0"/>
              <w:adjustRightInd/>
              <w:snapToGri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三档（</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分）：服务承诺明显有利于项目的实施，针对性强；供应商在项目所在地设有常驻服务机构且配备的技术专业人员齐全，并承诺接到通知后1小时内到达采购人办公地点解决问题，服务承诺完全满足采购要求。</w:t>
            </w:r>
          </w:p>
          <w:p w14:paraId="213575DB">
            <w:pPr>
              <w:keepNext w:val="0"/>
              <w:keepLines w:val="0"/>
              <w:pageBreakBefore w:val="0"/>
              <w:widowControl w:val="0"/>
              <w:shd w:val="clear"/>
              <w:tabs>
                <w:tab w:val="left" w:pos="1160"/>
              </w:tabs>
              <w:kinsoku/>
              <w:wordWrap/>
              <w:overflowPunct/>
              <w:topLinePunct w:val="0"/>
              <w:autoSpaceDE/>
              <w:autoSpaceDN/>
              <w:bidi w:val="0"/>
              <w:adjustRightInd/>
              <w:snapToGrid/>
              <w:spacing w:line="360" w:lineRule="auto"/>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注：未提供服务承诺或服务承诺未达到一档标准要求的，得0分；供应商可根据</w:t>
            </w:r>
            <w:r>
              <w:rPr>
                <w:rFonts w:hint="eastAsia" w:ascii="宋体" w:hAnsi="宋体" w:cs="宋体"/>
                <w:b/>
                <w:color w:val="auto"/>
                <w:sz w:val="21"/>
                <w:szCs w:val="21"/>
                <w:highlight w:val="none"/>
                <w:lang w:eastAsia="zh-CN"/>
              </w:rPr>
              <w:t>自身情况提供常驻服务机构和人员的相关证明材料。</w:t>
            </w:r>
          </w:p>
        </w:tc>
      </w:tr>
      <w:tr w14:paraId="556DA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5" w:type="dxa"/>
            <w:vMerge w:val="restart"/>
            <w:noWrap w:val="0"/>
            <w:vAlign w:val="center"/>
          </w:tcPr>
          <w:p w14:paraId="00EBD7E0">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p>
        </w:tc>
        <w:tc>
          <w:tcPr>
            <w:tcW w:w="1439" w:type="dxa"/>
            <w:vMerge w:val="restart"/>
            <w:noWrap w:val="0"/>
            <w:vAlign w:val="center"/>
          </w:tcPr>
          <w:p w14:paraId="61336428">
            <w:pPr>
              <w:keepNext w:val="0"/>
              <w:keepLines w:val="0"/>
              <w:pageBreakBefore w:val="0"/>
              <w:widowControl w:val="0"/>
              <w:shd w:val="clear"/>
              <w:kinsoku/>
              <w:wordWrap/>
              <w:overflowPunct/>
              <w:topLinePunct w:val="0"/>
              <w:autoSpaceDE/>
              <w:autoSpaceDN/>
              <w:bidi w:val="0"/>
              <w:adjustRightInd/>
              <w:snapToGrid/>
              <w:spacing w:line="360" w:lineRule="auto"/>
              <w:ind w:left="-105" w:leftChars="-50" w:right="-105" w:rightChars="-50"/>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商务分</w:t>
            </w:r>
          </w:p>
          <w:p w14:paraId="0F351AE7">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满分</w:t>
            </w:r>
            <w:r>
              <w:rPr>
                <w:rFonts w:hint="eastAsia" w:ascii="宋体" w:hAnsi="宋体" w:eastAsia="宋体" w:cs="宋体"/>
                <w:color w:val="auto"/>
                <w:sz w:val="21"/>
                <w:szCs w:val="21"/>
                <w:highlight w:val="none"/>
                <w:u w:val="single"/>
                <w:lang w:val="en-US" w:eastAsia="zh-CN"/>
              </w:rPr>
              <w:t>36</w:t>
            </w:r>
            <w:r>
              <w:rPr>
                <w:rFonts w:hint="eastAsia" w:ascii="宋体" w:hAnsi="宋体" w:eastAsia="宋体" w:cs="宋体"/>
                <w:bCs/>
                <w:color w:val="auto"/>
                <w:sz w:val="21"/>
                <w:szCs w:val="21"/>
                <w:highlight w:val="none"/>
              </w:rPr>
              <w:t>分）</w:t>
            </w:r>
          </w:p>
        </w:tc>
        <w:tc>
          <w:tcPr>
            <w:tcW w:w="1425" w:type="dxa"/>
            <w:noWrap w:val="0"/>
            <w:tcMar>
              <w:left w:w="57" w:type="dxa"/>
              <w:right w:w="57" w:type="dxa"/>
            </w:tcMar>
            <w:vAlign w:val="center"/>
          </w:tcPr>
          <w:p w14:paraId="4A33675D">
            <w:pPr>
              <w:keepNext w:val="0"/>
              <w:keepLines w:val="0"/>
              <w:pageBreakBefore w:val="0"/>
              <w:widowControl w:val="0"/>
              <w:shd w:val="clear"/>
              <w:kinsoku/>
              <w:wordWrap/>
              <w:overflowPunct/>
              <w:topLinePunct w:val="0"/>
              <w:autoSpaceDE/>
              <w:autoSpaceDN/>
              <w:bidi w:val="0"/>
              <w:adjustRightInd/>
              <w:snapToGrid/>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人员配置分（满分</w:t>
            </w:r>
            <w:r>
              <w:rPr>
                <w:rFonts w:hint="eastAsia" w:ascii="宋体" w:hAnsi="宋体" w:eastAsia="宋体" w:cs="宋体"/>
                <w:bCs/>
                <w:color w:val="auto"/>
                <w:sz w:val="21"/>
                <w:szCs w:val="21"/>
                <w:highlight w:val="none"/>
                <w:u w:val="single"/>
                <w:lang w:val="en-US" w:eastAsia="zh-CN"/>
              </w:rPr>
              <w:t>20</w:t>
            </w:r>
            <w:r>
              <w:rPr>
                <w:rFonts w:hint="eastAsia" w:ascii="宋体" w:hAnsi="宋体" w:eastAsia="宋体" w:cs="宋体"/>
                <w:bCs/>
                <w:color w:val="auto"/>
                <w:sz w:val="21"/>
                <w:szCs w:val="21"/>
                <w:highlight w:val="none"/>
              </w:rPr>
              <w:t>分）</w:t>
            </w:r>
          </w:p>
        </w:tc>
        <w:tc>
          <w:tcPr>
            <w:tcW w:w="6241" w:type="dxa"/>
            <w:noWrap w:val="0"/>
            <w:vAlign w:val="center"/>
          </w:tcPr>
          <w:p w14:paraId="7F29A8F1">
            <w:pPr>
              <w:pStyle w:val="28"/>
              <w:keepNext w:val="0"/>
              <w:keepLines w:val="0"/>
              <w:pageBreakBefore w:val="0"/>
              <w:widowControl w:val="0"/>
              <w:shd w:val="clear"/>
              <w:kinsoku/>
              <w:wordWrap/>
              <w:overflowPunct/>
              <w:topLinePunct w:val="0"/>
              <w:autoSpaceDE/>
              <w:autoSpaceDN/>
              <w:bidi w:val="0"/>
              <w:adjustRightInd/>
              <w:snapToGri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（1）项目负责人（满分</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06F06479">
            <w:pPr>
              <w:keepNext w:val="0"/>
              <w:keepLines w:val="0"/>
              <w:pageBreakBefore w:val="0"/>
              <w:widowControl w:val="0"/>
              <w:shd w:val="clear"/>
              <w:tabs>
                <w:tab w:val="left" w:pos="1160"/>
              </w:tabs>
              <w:kinsoku/>
              <w:wordWrap/>
              <w:overflowPunct/>
              <w:topLinePunct w:val="0"/>
              <w:autoSpaceDE/>
              <w:autoSpaceDN/>
              <w:bidi w:val="0"/>
              <w:adjustRightInd/>
              <w:snapToGrid/>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①具有水利类正高级</w:t>
            </w:r>
            <w:r>
              <w:rPr>
                <w:rFonts w:hint="eastAsia" w:ascii="宋体" w:hAnsi="宋体" w:eastAsia="宋体" w:cs="宋体"/>
                <w:color w:val="auto"/>
                <w:sz w:val="21"/>
                <w:szCs w:val="21"/>
                <w:highlight w:val="none"/>
                <w:lang w:val="en-US" w:eastAsia="zh-CN"/>
              </w:rPr>
              <w:t>（或教授级）</w:t>
            </w:r>
            <w:r>
              <w:rPr>
                <w:rFonts w:hint="eastAsia" w:ascii="宋体" w:hAnsi="宋体" w:eastAsia="宋体" w:cs="宋体"/>
                <w:color w:val="auto"/>
                <w:sz w:val="21"/>
                <w:szCs w:val="21"/>
                <w:highlight w:val="none"/>
                <w:lang w:eastAsia="zh-CN"/>
              </w:rPr>
              <w:t>职称的得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分，具有水利类</w:t>
            </w:r>
            <w:r>
              <w:rPr>
                <w:rFonts w:hint="eastAsia" w:ascii="宋体" w:hAnsi="宋体" w:eastAsia="宋体" w:cs="宋体"/>
                <w:color w:val="auto"/>
                <w:sz w:val="21"/>
                <w:szCs w:val="21"/>
                <w:highlight w:val="none"/>
                <w:lang w:val="en-US" w:eastAsia="zh-CN"/>
              </w:rPr>
              <w:t>副</w:t>
            </w:r>
            <w:r>
              <w:rPr>
                <w:rFonts w:hint="eastAsia" w:ascii="宋体" w:hAnsi="宋体" w:eastAsia="宋体" w:cs="宋体"/>
                <w:color w:val="auto"/>
                <w:sz w:val="21"/>
                <w:szCs w:val="21"/>
                <w:highlight w:val="none"/>
                <w:lang w:eastAsia="zh-CN"/>
              </w:rPr>
              <w:t>高级职称的得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分，满分</w:t>
            </w:r>
            <w:r>
              <w:rPr>
                <w:rFonts w:hint="eastAsia" w:ascii="宋体" w:hAnsi="宋体" w:eastAsia="宋体" w:cs="宋体"/>
                <w:color w:val="auto"/>
                <w:sz w:val="21"/>
                <w:szCs w:val="21"/>
                <w:highlight w:val="none"/>
                <w:lang w:val="en-US" w:eastAsia="zh-CN"/>
              </w:rPr>
              <w:t>3分</w:t>
            </w:r>
            <w:r>
              <w:rPr>
                <w:rFonts w:hint="eastAsia" w:ascii="宋体" w:hAnsi="宋体" w:eastAsia="宋体" w:cs="宋体"/>
                <w:color w:val="auto"/>
                <w:sz w:val="21"/>
                <w:szCs w:val="21"/>
                <w:highlight w:val="none"/>
                <w:lang w:eastAsia="zh-CN"/>
              </w:rPr>
              <w:t>。（一人多证不重复计分，以最高分计。</w:t>
            </w:r>
            <w:r>
              <w:rPr>
                <w:rFonts w:hint="eastAsia" w:ascii="宋体" w:hAnsi="宋体" w:eastAsia="宋体" w:cs="宋体"/>
                <w:color w:val="auto"/>
                <w:sz w:val="21"/>
                <w:szCs w:val="21"/>
                <w:highlight w:val="none"/>
                <w:lang w:val="en-US" w:eastAsia="zh-CN"/>
              </w:rPr>
              <w:t>专业以技术职称证书所填写专业为准，如技术职称证书不填写专业的，则以毕业证书或执业资格证所填专业为准。）</w:t>
            </w:r>
          </w:p>
          <w:p w14:paraId="1FA960E0">
            <w:pPr>
              <w:pStyle w:val="28"/>
              <w:keepNext w:val="0"/>
              <w:keepLines w:val="0"/>
              <w:pageBreakBefore w:val="0"/>
              <w:widowControl w:val="0"/>
              <w:shd w:val="clear"/>
              <w:kinsoku/>
              <w:wordWrap/>
              <w:overflowPunct/>
              <w:topLinePunct w:val="0"/>
              <w:autoSpaceDE/>
              <w:autoSpaceDN/>
              <w:bidi w:val="0"/>
              <w:adjustRightInd/>
              <w:snapToGrid/>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②具有注册咨询工程师（投资）执业登记证书（</w:t>
            </w:r>
            <w:r>
              <w:rPr>
                <w:rFonts w:hint="eastAsia" w:ascii="宋体" w:hAnsi="宋体" w:eastAsia="宋体" w:cs="宋体"/>
                <w:color w:val="auto"/>
                <w:sz w:val="21"/>
                <w:szCs w:val="21"/>
                <w:highlight w:val="none"/>
                <w:lang w:val="en-US" w:eastAsia="zh-CN"/>
              </w:rPr>
              <w:t>专业：水利水电</w:t>
            </w:r>
            <w:r>
              <w:rPr>
                <w:rFonts w:hint="eastAsia" w:ascii="宋体" w:hAnsi="宋体" w:eastAsia="宋体" w:cs="宋体"/>
                <w:color w:val="auto"/>
                <w:sz w:val="21"/>
                <w:szCs w:val="21"/>
                <w:highlight w:val="none"/>
                <w:lang w:eastAsia="zh-CN"/>
              </w:rPr>
              <w:t>）的得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分，满分</w:t>
            </w:r>
            <w:r>
              <w:rPr>
                <w:rFonts w:hint="eastAsia" w:ascii="宋体" w:hAnsi="宋体" w:eastAsia="宋体" w:cs="宋体"/>
                <w:color w:val="auto"/>
                <w:sz w:val="21"/>
                <w:szCs w:val="21"/>
                <w:highlight w:val="none"/>
                <w:lang w:val="en-US" w:eastAsia="zh-CN"/>
              </w:rPr>
              <w:t>1分</w:t>
            </w:r>
            <w:r>
              <w:rPr>
                <w:rFonts w:hint="eastAsia" w:ascii="宋体" w:hAnsi="宋体" w:eastAsia="宋体" w:cs="宋体"/>
                <w:color w:val="auto"/>
                <w:sz w:val="21"/>
                <w:szCs w:val="21"/>
                <w:highlight w:val="none"/>
                <w:lang w:eastAsia="zh-CN"/>
              </w:rPr>
              <w:t>。</w:t>
            </w:r>
          </w:p>
          <w:p w14:paraId="1061702D">
            <w:pPr>
              <w:pStyle w:val="28"/>
              <w:keepNext w:val="0"/>
              <w:keepLines w:val="0"/>
              <w:pageBreakBefore w:val="0"/>
              <w:widowControl w:val="0"/>
              <w:shd w:val="clear"/>
              <w:kinsoku/>
              <w:wordWrap/>
              <w:overflowPunct/>
              <w:topLinePunct w:val="0"/>
              <w:autoSpaceDE/>
              <w:autoSpaceDN/>
              <w:bidi w:val="0"/>
              <w:adjustRightInd/>
              <w:snapToGri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（2）项目组人员配置（除项目负责人外）（满分1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14:paraId="3145627D">
            <w:pPr>
              <w:keepNext w:val="0"/>
              <w:keepLines w:val="0"/>
              <w:pageBreakBefore w:val="0"/>
              <w:widowControl w:val="0"/>
              <w:shd w:val="clear"/>
              <w:tabs>
                <w:tab w:val="left" w:pos="1160"/>
              </w:tabs>
              <w:kinsoku/>
              <w:wordWrap/>
              <w:overflowPunct/>
              <w:topLinePunct w:val="0"/>
              <w:autoSpaceDE/>
              <w:autoSpaceDN/>
              <w:bidi w:val="0"/>
              <w:adjustRightInd/>
              <w:snapToGrid/>
              <w:spacing w:line="36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①职称（满分6分）：每有1名具有水利水电类专业正高级（或教授级）职称的得1分；每有1名具有水利水电类专业副高级职称的</w:t>
            </w:r>
            <w:r>
              <w:rPr>
                <w:rFonts w:hint="eastAsia" w:ascii="宋体" w:hAnsi="宋体" w:eastAsia="宋体" w:cs="宋体"/>
                <w:b w:val="0"/>
                <w:bCs w:val="0"/>
                <w:color w:val="auto"/>
                <w:sz w:val="21"/>
                <w:szCs w:val="21"/>
                <w:highlight w:val="none"/>
                <w:lang w:val="en-US" w:eastAsia="zh-CN"/>
              </w:rPr>
              <w:t>得0.5分；每有1名具有水利水电类专业中级职称的得0.25分。（</w:t>
            </w:r>
            <w:r>
              <w:rPr>
                <w:rFonts w:hint="eastAsia" w:ascii="宋体" w:hAnsi="宋体" w:eastAsia="宋体" w:cs="宋体"/>
                <w:b w:val="0"/>
                <w:bCs w:val="0"/>
                <w:color w:val="auto"/>
                <w:sz w:val="21"/>
                <w:szCs w:val="21"/>
                <w:highlight w:val="none"/>
                <w:lang w:eastAsia="zh-CN"/>
              </w:rPr>
              <w:t>一人多证不重复计分，以最高分计。</w:t>
            </w:r>
            <w:r>
              <w:rPr>
                <w:rFonts w:hint="eastAsia" w:ascii="宋体" w:hAnsi="宋体" w:eastAsia="宋体" w:cs="宋体"/>
                <w:b w:val="0"/>
                <w:bCs w:val="0"/>
                <w:color w:val="auto"/>
                <w:sz w:val="21"/>
                <w:szCs w:val="21"/>
                <w:highlight w:val="none"/>
                <w:lang w:val="en-US" w:eastAsia="zh-CN"/>
              </w:rPr>
              <w:t>专业以技术职称证书所填写专业为准，如技术职称证书不填写专业的，则以毕业证书或执业资格证所填专业为准。）</w:t>
            </w:r>
          </w:p>
          <w:p w14:paraId="0DC50D1F">
            <w:pPr>
              <w:keepNext w:val="0"/>
              <w:keepLines w:val="0"/>
              <w:pageBreakBefore w:val="0"/>
              <w:widowControl w:val="0"/>
              <w:shd w:val="clear"/>
              <w:tabs>
                <w:tab w:val="left" w:pos="1160"/>
              </w:tabs>
              <w:kinsoku/>
              <w:wordWrap/>
              <w:overflowPunct/>
              <w:topLinePunct w:val="0"/>
              <w:autoSpaceDE/>
              <w:autoSpaceDN/>
              <w:bidi w:val="0"/>
              <w:adjustRightInd/>
              <w:snapToGrid/>
              <w:spacing w:line="36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②执（职）业资格（满分10分）：每有1名具有注册土木工程师（水利水电工程）资格证书或者</w:t>
            </w:r>
            <w:r>
              <w:rPr>
                <w:rFonts w:hint="eastAsia" w:ascii="宋体" w:hAnsi="宋体" w:eastAsia="宋体" w:cs="宋体"/>
                <w:b w:val="0"/>
                <w:bCs w:val="0"/>
                <w:color w:val="auto"/>
                <w:sz w:val="21"/>
                <w:szCs w:val="21"/>
                <w:highlight w:val="none"/>
                <w:lang w:eastAsia="zh-CN"/>
              </w:rPr>
              <w:t>注册咨询工程师（投资）执业登记证书（</w:t>
            </w:r>
            <w:r>
              <w:rPr>
                <w:rFonts w:hint="eastAsia" w:ascii="宋体" w:hAnsi="宋体" w:eastAsia="宋体" w:cs="宋体"/>
                <w:b w:val="0"/>
                <w:bCs w:val="0"/>
                <w:color w:val="auto"/>
                <w:sz w:val="21"/>
                <w:szCs w:val="21"/>
                <w:highlight w:val="none"/>
                <w:lang w:val="en-US" w:eastAsia="zh-CN"/>
              </w:rPr>
              <w:t>专业：水利水电</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的得1分。</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eastAsia="zh-CN"/>
              </w:rPr>
              <w:t>一人多证不重复计分，以最高分计。</w:t>
            </w:r>
            <w:r>
              <w:rPr>
                <w:rFonts w:hint="eastAsia" w:ascii="宋体" w:hAnsi="宋体" w:cs="宋体"/>
                <w:b w:val="0"/>
                <w:bCs w:val="0"/>
                <w:color w:val="auto"/>
                <w:sz w:val="21"/>
                <w:szCs w:val="21"/>
                <w:highlight w:val="none"/>
                <w:lang w:val="en-US" w:eastAsia="zh-CN"/>
              </w:rPr>
              <w:t>）</w:t>
            </w:r>
          </w:p>
          <w:p w14:paraId="55B5D897">
            <w:pPr>
              <w:keepNext w:val="0"/>
              <w:keepLines w:val="0"/>
              <w:pageBreakBefore w:val="0"/>
              <w:widowControl w:val="0"/>
              <w:shd w:val="clear"/>
              <w:tabs>
                <w:tab w:val="left" w:pos="1160"/>
              </w:tabs>
              <w:kinsoku/>
              <w:wordWrap/>
              <w:overflowPunct/>
              <w:topLinePunct w:val="0"/>
              <w:autoSpaceDE/>
              <w:autoSpaceDN/>
              <w:bidi w:val="0"/>
              <w:adjustRightInd/>
              <w:snapToGrid/>
              <w:spacing w:line="360" w:lineRule="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注：供应商需在响应文件中提供项目实施人员一览表、拟投入人员为供应商在职员工的有效证明材料复印件</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lang w:eastAsia="zh-CN"/>
              </w:rPr>
              <w:t>如</w:t>
            </w:r>
            <w:r>
              <w:rPr>
                <w:rFonts w:hint="eastAsia" w:ascii="宋体" w:hAnsi="宋体" w:eastAsia="宋体" w:cs="宋体"/>
                <w:b/>
                <w:bCs/>
                <w:color w:val="auto"/>
                <w:sz w:val="21"/>
                <w:szCs w:val="21"/>
                <w:highlight w:val="none"/>
                <w:lang w:val="en-US" w:eastAsia="zh-CN"/>
              </w:rPr>
              <w:t>有效劳动合同或事业单位机构编制证书或在响应截止时间前半年内任意3个月供应商为其缴纳社保的证明文件</w:t>
            </w:r>
            <w:r>
              <w:rPr>
                <w:rFonts w:hint="eastAsia" w:ascii="宋体" w:hAnsi="宋体" w:eastAsia="宋体" w:cs="宋体"/>
                <w:b/>
                <w:bCs/>
                <w:color w:val="auto"/>
                <w:sz w:val="21"/>
                <w:szCs w:val="21"/>
                <w:highlight w:val="none"/>
              </w:rPr>
              <w:t>等证明材料</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、拟投入人员有效的</w:t>
            </w:r>
            <w:r>
              <w:rPr>
                <w:rFonts w:hint="eastAsia" w:ascii="宋体" w:hAnsi="宋体" w:eastAsia="宋体" w:cs="宋体"/>
                <w:b/>
                <w:bCs/>
                <w:color w:val="auto"/>
                <w:sz w:val="21"/>
                <w:szCs w:val="21"/>
                <w:highlight w:val="none"/>
                <w:lang w:eastAsia="zh-CN"/>
              </w:rPr>
              <w:t>证书</w:t>
            </w:r>
            <w:r>
              <w:rPr>
                <w:rFonts w:hint="eastAsia" w:ascii="宋体" w:hAnsi="宋体" w:eastAsia="宋体" w:cs="宋体"/>
                <w:b/>
                <w:bCs/>
                <w:color w:val="auto"/>
                <w:sz w:val="21"/>
                <w:szCs w:val="21"/>
                <w:highlight w:val="none"/>
              </w:rPr>
              <w:t>等复印件，所有复印件均须加盖</w:t>
            </w:r>
            <w:r>
              <w:rPr>
                <w:rFonts w:hint="eastAsia" w:ascii="宋体" w:hAnsi="宋体" w:eastAsia="宋体" w:cs="宋体"/>
                <w:b/>
                <w:bCs/>
                <w:color w:val="auto"/>
                <w:sz w:val="21"/>
                <w:szCs w:val="21"/>
                <w:highlight w:val="none"/>
                <w:lang w:val="en-US" w:eastAsia="zh-CN"/>
              </w:rPr>
              <w:t>供应商电子</w:t>
            </w:r>
            <w:r>
              <w:rPr>
                <w:rFonts w:hint="eastAsia" w:ascii="宋体" w:hAnsi="宋体" w:eastAsia="宋体" w:cs="宋体"/>
                <w:b/>
                <w:bCs/>
                <w:color w:val="auto"/>
                <w:sz w:val="21"/>
                <w:szCs w:val="21"/>
                <w:highlight w:val="none"/>
              </w:rPr>
              <w:t>公章。未按要求提供的不得分。</w:t>
            </w:r>
          </w:p>
        </w:tc>
      </w:tr>
      <w:tr w14:paraId="3013D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5" w:type="dxa"/>
            <w:vMerge w:val="continue"/>
            <w:noWrap w:val="0"/>
            <w:vAlign w:val="center"/>
          </w:tcPr>
          <w:p w14:paraId="6C3AE251">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baseline"/>
              <w:rPr>
                <w:rFonts w:hint="eastAsia" w:ascii="宋体" w:hAnsi="宋体" w:eastAsia="宋体" w:cs="宋体"/>
                <w:b/>
                <w:color w:val="auto"/>
                <w:sz w:val="21"/>
                <w:szCs w:val="21"/>
                <w:highlight w:val="none"/>
              </w:rPr>
            </w:pPr>
          </w:p>
        </w:tc>
        <w:tc>
          <w:tcPr>
            <w:tcW w:w="1439" w:type="dxa"/>
            <w:vMerge w:val="continue"/>
            <w:noWrap w:val="0"/>
            <w:vAlign w:val="center"/>
          </w:tcPr>
          <w:p w14:paraId="0AF6BE44">
            <w:pPr>
              <w:keepNext w:val="0"/>
              <w:keepLines w:val="0"/>
              <w:pageBreakBefore w:val="0"/>
              <w:widowControl w:val="0"/>
              <w:shd w:val="clear"/>
              <w:kinsoku/>
              <w:wordWrap/>
              <w:overflowPunct/>
              <w:topLinePunct w:val="0"/>
              <w:autoSpaceDE/>
              <w:autoSpaceDN/>
              <w:bidi w:val="0"/>
              <w:adjustRightInd/>
              <w:snapToGrid/>
              <w:spacing w:line="360" w:lineRule="auto"/>
              <w:ind w:left="-105" w:leftChars="-50" w:right="-105" w:rightChars="-50"/>
              <w:jc w:val="center"/>
              <w:textAlignment w:val="baseline"/>
              <w:rPr>
                <w:rFonts w:hint="eastAsia" w:ascii="宋体" w:hAnsi="宋体" w:eastAsia="宋体" w:cs="宋体"/>
                <w:b/>
                <w:bCs/>
                <w:color w:val="auto"/>
                <w:sz w:val="21"/>
                <w:szCs w:val="21"/>
                <w:highlight w:val="none"/>
              </w:rPr>
            </w:pPr>
          </w:p>
        </w:tc>
        <w:tc>
          <w:tcPr>
            <w:tcW w:w="1425" w:type="dxa"/>
            <w:noWrap w:val="0"/>
            <w:tcMar>
              <w:left w:w="57" w:type="dxa"/>
              <w:right w:w="57" w:type="dxa"/>
            </w:tcMar>
            <w:vAlign w:val="center"/>
          </w:tcPr>
          <w:p w14:paraId="2C1DB062">
            <w:pPr>
              <w:keepNext w:val="0"/>
              <w:keepLines w:val="0"/>
              <w:pageBreakBefore w:val="0"/>
              <w:widowControl w:val="0"/>
              <w:shd w:val="clear"/>
              <w:kinsoku/>
              <w:wordWrap/>
              <w:overflowPunct/>
              <w:topLinePunct w:val="0"/>
              <w:autoSpaceDE/>
              <w:autoSpaceDN/>
              <w:bidi w:val="0"/>
              <w:adjustRightInd/>
              <w:snapToGrid/>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信誉分</w:t>
            </w:r>
          </w:p>
          <w:p w14:paraId="2CF553AB">
            <w:pPr>
              <w:keepNext w:val="0"/>
              <w:keepLines w:val="0"/>
              <w:pageBreakBefore w:val="0"/>
              <w:widowControl w:val="0"/>
              <w:shd w:val="clear"/>
              <w:kinsoku/>
              <w:wordWrap/>
              <w:overflowPunct/>
              <w:topLinePunct w:val="0"/>
              <w:autoSpaceDE/>
              <w:autoSpaceDN/>
              <w:bidi w:val="0"/>
              <w:adjustRightInd/>
              <w:snapToGrid/>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（满分</w:t>
            </w:r>
            <w:r>
              <w:rPr>
                <w:rFonts w:hint="eastAsia" w:ascii="宋体" w:hAnsi="宋体" w:eastAsia="宋体" w:cs="宋体"/>
                <w:bCs/>
                <w:color w:val="auto"/>
                <w:sz w:val="21"/>
                <w:szCs w:val="21"/>
                <w:highlight w:val="none"/>
                <w:u w:val="single"/>
                <w:lang w:val="en-US" w:eastAsia="zh-CN"/>
              </w:rPr>
              <w:t>6</w:t>
            </w:r>
            <w:r>
              <w:rPr>
                <w:rFonts w:hint="eastAsia" w:ascii="宋体" w:hAnsi="宋体" w:eastAsia="宋体" w:cs="宋体"/>
                <w:bCs/>
                <w:color w:val="auto"/>
                <w:sz w:val="21"/>
                <w:szCs w:val="21"/>
                <w:highlight w:val="none"/>
              </w:rPr>
              <w:t>分）</w:t>
            </w:r>
          </w:p>
        </w:tc>
        <w:tc>
          <w:tcPr>
            <w:tcW w:w="6241" w:type="dxa"/>
            <w:noWrap w:val="0"/>
            <w:vAlign w:val="center"/>
          </w:tcPr>
          <w:p w14:paraId="68A8451C">
            <w:pPr>
              <w:keepNext w:val="0"/>
              <w:keepLines w:val="0"/>
              <w:pageBreakBefore w:val="0"/>
              <w:widowControl w:val="0"/>
              <w:shd w:val="clear"/>
              <w:tabs>
                <w:tab w:val="left" w:pos="1160"/>
              </w:tabs>
              <w:kinsoku/>
              <w:wordWrap/>
              <w:overflowPunct/>
              <w:topLinePunct w:val="0"/>
              <w:autoSpaceDE/>
              <w:autoSpaceDN/>
              <w:bidi w:val="0"/>
              <w:adjustRightInd/>
              <w:snapToGrid/>
              <w:spacing w:line="360" w:lineRule="auto"/>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202</w:t>
            </w:r>
            <w:r>
              <w:rPr>
                <w:rFonts w:hint="eastAsia" w:ascii="宋体" w:hAnsi="宋体" w:eastAsia="宋体" w:cs="宋体"/>
                <w:color w:val="auto"/>
                <w:spacing w:val="-5"/>
                <w:sz w:val="21"/>
                <w:szCs w:val="21"/>
                <w:highlight w:val="none"/>
                <w:lang w:val="en-US" w:eastAsia="zh-CN"/>
              </w:rPr>
              <w:t>1</w:t>
            </w:r>
            <w:r>
              <w:rPr>
                <w:rFonts w:hint="eastAsia" w:ascii="宋体" w:hAnsi="宋体" w:eastAsia="宋体" w:cs="宋体"/>
                <w:color w:val="auto"/>
                <w:spacing w:val="-5"/>
                <w:sz w:val="21"/>
                <w:szCs w:val="21"/>
                <w:highlight w:val="none"/>
              </w:rPr>
              <w:t>年1月1日至今（以获奖文件或证书</w:t>
            </w:r>
            <w:r>
              <w:rPr>
                <w:rFonts w:hint="eastAsia" w:ascii="宋体" w:hAnsi="宋体" w:eastAsia="宋体" w:cs="宋体"/>
                <w:color w:val="auto"/>
                <w:spacing w:val="-5"/>
                <w:sz w:val="21"/>
                <w:szCs w:val="21"/>
                <w:highlight w:val="none"/>
                <w:lang w:eastAsia="zh-CN"/>
              </w:rPr>
              <w:t>载明</w:t>
            </w:r>
            <w:r>
              <w:rPr>
                <w:rFonts w:hint="eastAsia" w:ascii="宋体" w:hAnsi="宋体" w:eastAsia="宋体" w:cs="宋体"/>
                <w:color w:val="auto"/>
                <w:spacing w:val="-5"/>
                <w:sz w:val="21"/>
                <w:szCs w:val="21"/>
                <w:highlight w:val="none"/>
              </w:rPr>
              <w:t>的日期为准），</w:t>
            </w:r>
            <w:r>
              <w:rPr>
                <w:rFonts w:hint="eastAsia" w:ascii="宋体" w:hAnsi="宋体" w:eastAsia="宋体" w:cs="宋体"/>
                <w:color w:val="auto"/>
                <w:spacing w:val="-5"/>
                <w:sz w:val="21"/>
                <w:szCs w:val="21"/>
                <w:highlight w:val="none"/>
                <w:lang w:val="en-US" w:eastAsia="zh-CN"/>
              </w:rPr>
              <w:t>供应商</w:t>
            </w:r>
            <w:r>
              <w:rPr>
                <w:rFonts w:hint="eastAsia" w:ascii="宋体" w:hAnsi="宋体" w:eastAsia="宋体" w:cs="宋体"/>
                <w:color w:val="auto"/>
                <w:spacing w:val="-5"/>
                <w:sz w:val="21"/>
                <w:szCs w:val="21"/>
                <w:highlight w:val="none"/>
              </w:rPr>
              <w:t>承担的水利类服务项目获得行政主管部门颁发的相关奖项的，每项得</w:t>
            </w:r>
            <w:r>
              <w:rPr>
                <w:rFonts w:hint="eastAsia" w:ascii="宋体" w:hAnsi="宋体" w:eastAsia="宋体" w:cs="宋体"/>
                <w:color w:val="auto"/>
                <w:spacing w:val="-5"/>
                <w:sz w:val="21"/>
                <w:szCs w:val="21"/>
                <w:highlight w:val="none"/>
                <w:lang w:val="en-US" w:eastAsia="zh-CN"/>
              </w:rPr>
              <w:t>1</w:t>
            </w:r>
            <w:r>
              <w:rPr>
                <w:rFonts w:hint="eastAsia" w:ascii="宋体" w:hAnsi="宋体" w:eastAsia="宋体" w:cs="宋体"/>
                <w:color w:val="auto"/>
                <w:spacing w:val="-5"/>
                <w:sz w:val="21"/>
                <w:szCs w:val="21"/>
                <w:highlight w:val="none"/>
              </w:rPr>
              <w:t>分，本项满分</w:t>
            </w:r>
            <w:r>
              <w:rPr>
                <w:rFonts w:hint="eastAsia" w:ascii="宋体" w:hAnsi="宋体" w:eastAsia="宋体" w:cs="宋体"/>
                <w:color w:val="auto"/>
                <w:spacing w:val="-5"/>
                <w:sz w:val="21"/>
                <w:szCs w:val="21"/>
                <w:highlight w:val="none"/>
                <w:lang w:val="en-US" w:eastAsia="zh-CN"/>
              </w:rPr>
              <w:t>6</w:t>
            </w:r>
            <w:r>
              <w:rPr>
                <w:rFonts w:hint="eastAsia" w:ascii="宋体" w:hAnsi="宋体" w:eastAsia="宋体" w:cs="宋体"/>
                <w:color w:val="auto"/>
                <w:spacing w:val="-5"/>
                <w:sz w:val="21"/>
                <w:szCs w:val="21"/>
                <w:highlight w:val="none"/>
              </w:rPr>
              <w:t>分。</w:t>
            </w:r>
          </w:p>
          <w:p w14:paraId="3A117D6F">
            <w:pPr>
              <w:keepNext w:val="0"/>
              <w:keepLines w:val="0"/>
              <w:pageBreakBefore w:val="0"/>
              <w:widowControl w:val="0"/>
              <w:shd w:val="clear"/>
              <w:tabs>
                <w:tab w:val="left" w:pos="1160"/>
              </w:tabs>
              <w:kinsoku/>
              <w:wordWrap/>
              <w:overflowPunct/>
              <w:topLinePunct w:val="0"/>
              <w:autoSpaceDE/>
              <w:autoSpaceDN/>
              <w:bidi w:val="0"/>
              <w:adjustRightInd/>
              <w:snapToGrid/>
              <w:spacing w:line="360" w:lineRule="auto"/>
              <w:rPr>
                <w:rFonts w:hint="eastAsia" w:ascii="宋体" w:hAnsi="宋体" w:eastAsia="宋体" w:cs="宋体"/>
                <w:b/>
                <w:color w:val="auto"/>
                <w:sz w:val="21"/>
                <w:szCs w:val="21"/>
                <w:highlight w:val="none"/>
              </w:rPr>
            </w:pPr>
            <w:r>
              <w:rPr>
                <w:rFonts w:hint="eastAsia" w:ascii="宋体" w:hAnsi="宋体" w:eastAsia="宋体" w:cs="宋体"/>
                <w:b/>
                <w:bCs/>
                <w:color w:val="auto"/>
                <w:spacing w:val="-5"/>
                <w:sz w:val="21"/>
                <w:szCs w:val="21"/>
                <w:highlight w:val="none"/>
              </w:rPr>
              <w:t>注：以上奖项的获奖项目必须为水利项目服务类，同一项</w:t>
            </w:r>
            <w:r>
              <w:rPr>
                <w:rFonts w:hint="eastAsia" w:ascii="宋体" w:hAnsi="宋体" w:eastAsia="宋体" w:cs="宋体"/>
                <w:b/>
                <w:bCs/>
                <w:color w:val="auto"/>
                <w:spacing w:val="-6"/>
                <w:sz w:val="21"/>
                <w:szCs w:val="21"/>
                <w:highlight w:val="none"/>
              </w:rPr>
              <w:t>目同类奖项不重复计分。</w:t>
            </w:r>
            <w:r>
              <w:rPr>
                <w:rFonts w:hint="eastAsia" w:ascii="宋体" w:hAnsi="宋体" w:eastAsia="宋体" w:cs="宋体"/>
                <w:b/>
                <w:bCs/>
                <w:color w:val="auto"/>
                <w:spacing w:val="-6"/>
                <w:sz w:val="21"/>
                <w:szCs w:val="21"/>
                <w:highlight w:val="none"/>
                <w:lang w:eastAsia="zh-CN"/>
              </w:rPr>
              <w:t>响应文件</w:t>
            </w:r>
            <w:r>
              <w:rPr>
                <w:rFonts w:hint="eastAsia" w:ascii="宋体" w:hAnsi="宋体" w:eastAsia="宋体" w:cs="宋体"/>
                <w:b/>
                <w:bCs/>
                <w:color w:val="auto"/>
                <w:spacing w:val="-6"/>
                <w:sz w:val="21"/>
                <w:szCs w:val="21"/>
                <w:highlight w:val="none"/>
              </w:rPr>
              <w:t>提供</w:t>
            </w:r>
            <w:r>
              <w:rPr>
                <w:rFonts w:hint="eastAsia" w:ascii="宋体" w:hAnsi="宋体" w:eastAsia="宋体" w:cs="宋体"/>
                <w:b/>
                <w:bCs/>
                <w:color w:val="auto"/>
                <w:spacing w:val="-7"/>
                <w:sz w:val="21"/>
                <w:szCs w:val="21"/>
                <w:highlight w:val="none"/>
              </w:rPr>
              <w:t>获奖证书复印件</w:t>
            </w:r>
            <w:r>
              <w:rPr>
                <w:rFonts w:hint="eastAsia" w:ascii="宋体" w:hAnsi="宋体" w:eastAsia="宋体" w:cs="宋体"/>
                <w:b/>
                <w:bCs/>
                <w:color w:val="auto"/>
                <w:spacing w:val="-11"/>
                <w:sz w:val="21"/>
                <w:szCs w:val="21"/>
                <w:highlight w:val="none"/>
              </w:rPr>
              <w:t>或证明材料复印件并加盖</w:t>
            </w:r>
            <w:r>
              <w:rPr>
                <w:rFonts w:hint="eastAsia" w:ascii="宋体" w:hAnsi="宋体" w:eastAsia="宋体" w:cs="宋体"/>
                <w:b/>
                <w:bCs/>
                <w:color w:val="auto"/>
                <w:spacing w:val="-11"/>
                <w:sz w:val="21"/>
                <w:szCs w:val="21"/>
                <w:highlight w:val="none"/>
                <w:lang w:val="en-US" w:eastAsia="zh-CN"/>
              </w:rPr>
              <w:t>供应商电子</w:t>
            </w:r>
            <w:r>
              <w:rPr>
                <w:rFonts w:hint="eastAsia" w:ascii="宋体" w:hAnsi="宋体" w:eastAsia="宋体" w:cs="宋体"/>
                <w:b/>
                <w:bCs/>
                <w:color w:val="auto"/>
                <w:spacing w:val="-11"/>
                <w:sz w:val="21"/>
                <w:szCs w:val="21"/>
                <w:highlight w:val="none"/>
              </w:rPr>
              <w:t>公章，未按要求提供的不得分。</w:t>
            </w:r>
          </w:p>
        </w:tc>
      </w:tr>
      <w:tr w14:paraId="4B543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45" w:type="dxa"/>
            <w:vMerge w:val="continue"/>
            <w:noWrap w:val="0"/>
            <w:vAlign w:val="center"/>
          </w:tcPr>
          <w:p w14:paraId="33B3565D">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baseline"/>
              <w:rPr>
                <w:rFonts w:hint="eastAsia" w:ascii="宋体" w:hAnsi="宋体" w:eastAsia="宋体" w:cs="宋体"/>
                <w:b/>
                <w:color w:val="auto"/>
                <w:sz w:val="21"/>
                <w:szCs w:val="21"/>
                <w:highlight w:val="none"/>
              </w:rPr>
            </w:pPr>
          </w:p>
        </w:tc>
        <w:tc>
          <w:tcPr>
            <w:tcW w:w="1439" w:type="dxa"/>
            <w:vMerge w:val="continue"/>
            <w:noWrap w:val="0"/>
            <w:vAlign w:val="center"/>
          </w:tcPr>
          <w:p w14:paraId="739E92FF">
            <w:pPr>
              <w:keepNext w:val="0"/>
              <w:keepLines w:val="0"/>
              <w:pageBreakBefore w:val="0"/>
              <w:widowControl w:val="0"/>
              <w:shd w:val="clear"/>
              <w:kinsoku/>
              <w:wordWrap/>
              <w:overflowPunct/>
              <w:topLinePunct w:val="0"/>
              <w:autoSpaceDE/>
              <w:autoSpaceDN/>
              <w:bidi w:val="0"/>
              <w:adjustRightInd/>
              <w:snapToGrid/>
              <w:spacing w:line="360" w:lineRule="auto"/>
              <w:ind w:left="-105" w:leftChars="-50" w:right="-105" w:rightChars="-50"/>
              <w:jc w:val="center"/>
              <w:textAlignment w:val="baseline"/>
              <w:rPr>
                <w:rFonts w:hint="eastAsia" w:ascii="宋体" w:hAnsi="宋体" w:eastAsia="宋体" w:cs="宋体"/>
                <w:b/>
                <w:bCs/>
                <w:color w:val="auto"/>
                <w:sz w:val="21"/>
                <w:szCs w:val="21"/>
                <w:highlight w:val="none"/>
              </w:rPr>
            </w:pPr>
          </w:p>
        </w:tc>
        <w:tc>
          <w:tcPr>
            <w:tcW w:w="1425" w:type="dxa"/>
            <w:noWrap w:val="0"/>
            <w:tcMar>
              <w:left w:w="57" w:type="dxa"/>
              <w:right w:w="57" w:type="dxa"/>
            </w:tcMar>
            <w:vAlign w:val="center"/>
          </w:tcPr>
          <w:p w14:paraId="6CB53206">
            <w:pPr>
              <w:keepNext w:val="0"/>
              <w:keepLines w:val="0"/>
              <w:pageBreakBefore w:val="0"/>
              <w:widowControl w:val="0"/>
              <w:shd w:val="clear"/>
              <w:kinsoku/>
              <w:wordWrap/>
              <w:overflowPunct/>
              <w:topLinePunct w:val="0"/>
              <w:autoSpaceDE/>
              <w:autoSpaceDN/>
              <w:bidi w:val="0"/>
              <w:adjustRightInd/>
              <w:snapToGrid/>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业绩分</w:t>
            </w:r>
          </w:p>
          <w:p w14:paraId="6FA1662A">
            <w:pPr>
              <w:keepNext w:val="0"/>
              <w:keepLines w:val="0"/>
              <w:pageBreakBefore w:val="0"/>
              <w:widowControl w:val="0"/>
              <w:shd w:val="clear"/>
              <w:kinsoku/>
              <w:wordWrap/>
              <w:overflowPunct/>
              <w:topLinePunct w:val="0"/>
              <w:autoSpaceDE/>
              <w:autoSpaceDN/>
              <w:bidi w:val="0"/>
              <w:adjustRightInd/>
              <w:snapToGrid/>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（满分</w:t>
            </w:r>
            <w:r>
              <w:rPr>
                <w:rFonts w:hint="eastAsia" w:ascii="宋体" w:hAnsi="宋体" w:eastAsia="宋体" w:cs="宋体"/>
                <w:bCs/>
                <w:color w:val="auto"/>
                <w:sz w:val="21"/>
                <w:szCs w:val="21"/>
                <w:highlight w:val="none"/>
                <w:u w:val="single"/>
                <w:lang w:val="en-US" w:eastAsia="zh-CN"/>
              </w:rPr>
              <w:t>10</w:t>
            </w:r>
            <w:r>
              <w:rPr>
                <w:rFonts w:hint="eastAsia" w:ascii="宋体" w:hAnsi="宋体" w:eastAsia="宋体" w:cs="宋体"/>
                <w:bCs/>
                <w:color w:val="auto"/>
                <w:sz w:val="21"/>
                <w:szCs w:val="21"/>
                <w:highlight w:val="none"/>
              </w:rPr>
              <w:t>分）</w:t>
            </w:r>
          </w:p>
        </w:tc>
        <w:tc>
          <w:tcPr>
            <w:tcW w:w="6241" w:type="dxa"/>
            <w:noWrap w:val="0"/>
            <w:vAlign w:val="center"/>
          </w:tcPr>
          <w:p w14:paraId="34964911">
            <w:pPr>
              <w:keepNext w:val="0"/>
              <w:keepLines w:val="0"/>
              <w:pageBreakBefore w:val="0"/>
              <w:widowControl w:val="0"/>
              <w:shd w:val="clear"/>
              <w:tabs>
                <w:tab w:val="left" w:pos="1160"/>
              </w:tabs>
              <w:kinsoku/>
              <w:wordWrap/>
              <w:overflowPunct/>
              <w:topLinePunct w:val="0"/>
              <w:autoSpaceDE/>
              <w:autoSpaceDN/>
              <w:bidi w:val="0"/>
              <w:adjustRightInd/>
              <w:snapToGrid/>
              <w:spacing w:line="360" w:lineRule="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20</w:t>
            </w:r>
            <w:r>
              <w:rPr>
                <w:rFonts w:hint="eastAsia" w:ascii="宋体" w:hAnsi="宋体" w:eastAsia="宋体" w:cs="宋体"/>
                <w:bCs/>
                <w:color w:val="auto"/>
                <w:sz w:val="21"/>
                <w:szCs w:val="21"/>
                <w:highlight w:val="none"/>
                <w:lang w:val="en-US" w:eastAsia="zh-CN"/>
              </w:rPr>
              <w:t>21年1月1日至今（以合同签订时间为准）</w:t>
            </w:r>
            <w:r>
              <w:rPr>
                <w:rFonts w:hint="eastAsia" w:ascii="宋体" w:hAnsi="宋体" w:eastAsia="宋体" w:cs="宋体"/>
                <w:bCs/>
                <w:color w:val="auto"/>
                <w:sz w:val="21"/>
                <w:szCs w:val="21"/>
                <w:highlight w:val="none"/>
                <w:lang w:eastAsia="zh-CN"/>
              </w:rPr>
              <w:t>，供应商承担过类似项目（类似项目是指</w:t>
            </w:r>
            <w:r>
              <w:rPr>
                <w:rFonts w:hint="eastAsia" w:ascii="宋体" w:hAnsi="宋体" w:eastAsia="宋体" w:cs="宋体"/>
                <w:bCs/>
                <w:color w:val="auto"/>
                <w:sz w:val="21"/>
                <w:szCs w:val="21"/>
                <w:highlight w:val="none"/>
                <w:lang w:val="en-US" w:eastAsia="zh-CN"/>
              </w:rPr>
              <w:t>用水统计或节水类项目的调查、评估、分析或规划服务）业绩</w:t>
            </w:r>
            <w:r>
              <w:rPr>
                <w:rFonts w:hint="eastAsia" w:ascii="宋体" w:hAnsi="宋体" w:eastAsia="宋体" w:cs="宋体"/>
                <w:bCs/>
                <w:color w:val="auto"/>
                <w:sz w:val="21"/>
                <w:szCs w:val="21"/>
                <w:highlight w:val="none"/>
              </w:rPr>
              <w:t>的</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每个得2分，</w:t>
            </w:r>
            <w:r>
              <w:rPr>
                <w:rFonts w:hint="eastAsia" w:ascii="宋体" w:hAnsi="宋体" w:eastAsia="宋体" w:cs="宋体"/>
                <w:bCs/>
                <w:color w:val="auto"/>
                <w:sz w:val="21"/>
                <w:szCs w:val="21"/>
                <w:highlight w:val="none"/>
                <w:lang w:val="en-US" w:eastAsia="zh-CN"/>
              </w:rPr>
              <w:t>本项满分10</w:t>
            </w:r>
            <w:r>
              <w:rPr>
                <w:rFonts w:hint="eastAsia" w:ascii="宋体" w:hAnsi="宋体" w:eastAsia="宋体" w:cs="宋体"/>
                <w:bCs/>
                <w:color w:val="auto"/>
                <w:sz w:val="21"/>
                <w:szCs w:val="21"/>
                <w:highlight w:val="none"/>
              </w:rPr>
              <w:t>分。</w:t>
            </w:r>
          </w:p>
          <w:p w14:paraId="0A4238C5">
            <w:pPr>
              <w:keepNext w:val="0"/>
              <w:keepLines w:val="0"/>
              <w:pageBreakBefore w:val="0"/>
              <w:widowControl w:val="0"/>
              <w:shd w:val="clear"/>
              <w:tabs>
                <w:tab w:val="left" w:pos="1160"/>
              </w:tabs>
              <w:kinsoku/>
              <w:wordWrap/>
              <w:overflowPunct/>
              <w:topLinePunct w:val="0"/>
              <w:autoSpaceDE/>
              <w:autoSpaceDN/>
              <w:bidi w:val="0"/>
              <w:adjustRightInd/>
              <w:snapToGrid/>
              <w:spacing w:line="360" w:lineRule="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注：响应文件提供合同复印件并加盖供应商</w:t>
            </w:r>
            <w:r>
              <w:rPr>
                <w:rFonts w:hint="eastAsia" w:ascii="宋体" w:hAnsi="宋体" w:eastAsia="宋体" w:cs="宋体"/>
                <w:b/>
                <w:bCs/>
                <w:color w:val="auto"/>
                <w:sz w:val="21"/>
                <w:szCs w:val="21"/>
                <w:highlight w:val="none"/>
                <w:lang w:val="en-US" w:eastAsia="zh-CN"/>
              </w:rPr>
              <w:t>电子</w:t>
            </w:r>
            <w:r>
              <w:rPr>
                <w:rFonts w:hint="eastAsia" w:ascii="宋体" w:hAnsi="宋体" w:eastAsia="宋体" w:cs="宋体"/>
                <w:b/>
                <w:bCs/>
                <w:color w:val="auto"/>
                <w:sz w:val="21"/>
                <w:szCs w:val="21"/>
                <w:highlight w:val="none"/>
              </w:rPr>
              <w:t>公章，材料要清晰反映</w:t>
            </w:r>
            <w:r>
              <w:rPr>
                <w:rFonts w:hint="eastAsia" w:ascii="宋体" w:hAnsi="宋体" w:eastAsia="宋体" w:cs="宋体"/>
                <w:b/>
                <w:bCs/>
                <w:color w:val="auto"/>
                <w:sz w:val="21"/>
                <w:szCs w:val="21"/>
                <w:highlight w:val="none"/>
                <w:lang w:eastAsia="zh-CN"/>
              </w:rPr>
              <w:t>项目内容、签订时间、双方盖章页，</w:t>
            </w:r>
            <w:r>
              <w:rPr>
                <w:rFonts w:hint="eastAsia" w:ascii="宋体" w:hAnsi="宋体" w:eastAsia="宋体" w:cs="宋体"/>
                <w:b/>
                <w:bCs/>
                <w:color w:val="auto"/>
                <w:sz w:val="21"/>
                <w:szCs w:val="21"/>
                <w:highlight w:val="none"/>
              </w:rPr>
              <w:t>未按要求提供的不得分。</w:t>
            </w:r>
          </w:p>
        </w:tc>
      </w:tr>
      <w:tr w14:paraId="64A8C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0" w:type="dxa"/>
            <w:gridSpan w:val="4"/>
            <w:noWrap w:val="0"/>
            <w:vAlign w:val="center"/>
          </w:tcPr>
          <w:p w14:paraId="57FE8532">
            <w:pPr>
              <w:keepNext w:val="0"/>
              <w:keepLines w:val="0"/>
              <w:pageBreakBefore w:val="0"/>
              <w:widowControl w:val="0"/>
              <w:shd w:val="clear"/>
              <w:kinsoku/>
              <w:wordWrap/>
              <w:overflowPunct/>
              <w:topLinePunct w:val="0"/>
              <w:autoSpaceDE/>
              <w:autoSpaceDN/>
              <w:bidi w:val="0"/>
              <w:adjustRightInd/>
              <w:snapToGrid/>
              <w:spacing w:line="360" w:lineRule="auto"/>
              <w:jc w:val="both"/>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总得分=1+2+3。</w:t>
            </w:r>
          </w:p>
        </w:tc>
      </w:tr>
    </w:tbl>
    <w:p w14:paraId="2AB4CFFD">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7.2.终止竞争性磋商采购活动</w:t>
      </w:r>
    </w:p>
    <w:p w14:paraId="10A90911">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723B9E67">
      <w:pPr>
        <w:keepNext/>
        <w:keepLines/>
        <w:shd w:val="clear"/>
        <w:spacing w:line="360" w:lineRule="auto"/>
        <w:ind w:firstLine="640" w:firstLineChars="200"/>
        <w:jc w:val="center"/>
        <w:outlineLvl w:val="1"/>
        <w:rPr>
          <w:rFonts w:ascii="宋体" w:hAnsi="宋体" w:cs="宋体"/>
          <w:bCs/>
          <w:color w:val="auto"/>
          <w:sz w:val="32"/>
          <w:szCs w:val="32"/>
          <w:highlight w:val="none"/>
          <w:lang w:val="zh-CN"/>
        </w:rPr>
        <w:sectPr>
          <w:pgSz w:w="11910" w:h="16840"/>
          <w:pgMar w:top="1418" w:right="1418" w:bottom="1418" w:left="1418" w:header="720" w:footer="720" w:gutter="0"/>
          <w:cols w:space="720" w:num="1"/>
        </w:sectPr>
      </w:pPr>
      <w:bookmarkStart w:id="65" w:name="_Toc18029"/>
    </w:p>
    <w:p w14:paraId="54D0847C">
      <w:pPr>
        <w:keepNext/>
        <w:keepLines/>
        <w:shd w:val="clear"/>
        <w:spacing w:before="20" w:after="20" w:line="360" w:lineRule="auto"/>
        <w:jc w:val="center"/>
        <w:outlineLvl w:val="1"/>
        <w:rPr>
          <w:rFonts w:ascii="宋体" w:hAnsi="宋体" w:cs="宋体"/>
          <w:bCs/>
          <w:color w:val="auto"/>
          <w:sz w:val="32"/>
          <w:szCs w:val="32"/>
          <w:highlight w:val="none"/>
          <w:lang w:val="zh-CN"/>
        </w:rPr>
      </w:pPr>
      <w:bookmarkStart w:id="66" w:name="_Toc106283330"/>
      <w:r>
        <w:rPr>
          <w:rFonts w:hint="eastAsia" w:ascii="宋体" w:hAnsi="宋体" w:cs="宋体"/>
          <w:bCs/>
          <w:color w:val="auto"/>
          <w:sz w:val="32"/>
          <w:szCs w:val="32"/>
          <w:highlight w:val="none"/>
          <w:lang w:val="zh-CN"/>
        </w:rPr>
        <w:t>第二节 评标报告</w:t>
      </w:r>
      <w:bookmarkEnd w:id="64"/>
      <w:bookmarkEnd w:id="65"/>
      <w:bookmarkEnd w:id="66"/>
    </w:p>
    <w:p w14:paraId="31B71A8B">
      <w:pPr>
        <w:shd w:val="clea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1.成交标准</w:t>
      </w:r>
    </w:p>
    <w:p w14:paraId="2A237B89">
      <w:pPr>
        <w:shd w:val="clear"/>
        <w:spacing w:line="360" w:lineRule="auto"/>
        <w:ind w:firstLine="420" w:firstLineChars="200"/>
        <w:rPr>
          <w:rFonts w:ascii="宋体" w:hAnsi="宋体" w:cs="宋体"/>
          <w:color w:val="auto"/>
          <w:sz w:val="24"/>
          <w:highlight w:val="none"/>
        </w:rPr>
      </w:pPr>
      <w:r>
        <w:rPr>
          <w:rFonts w:hint="eastAsia" w:ascii="宋体" w:hAnsi="宋体" w:cs="宋体"/>
          <w:bCs/>
          <w:color w:val="auto"/>
          <w:szCs w:val="21"/>
          <w:highlight w:val="none"/>
        </w:rPr>
        <w:t>由磋商小组根据综合评分情况，按照评审得分由高到低顺序推荐3名以上成交候选供应商，</w:t>
      </w:r>
      <w:r>
        <w:rPr>
          <w:rFonts w:hint="eastAsia" w:ascii="宋体" w:hAnsi="宋体" w:cs="宋体"/>
          <w:color w:val="auto"/>
          <w:highlight w:val="none"/>
        </w:rPr>
        <w:t>并在线编写电子评审报告</w:t>
      </w:r>
      <w:r>
        <w:rPr>
          <w:rFonts w:hint="eastAsia" w:ascii="宋体" w:hAnsi="宋体" w:cs="宋体"/>
          <w:bCs/>
          <w:color w:val="auto"/>
          <w:szCs w:val="21"/>
          <w:highlight w:val="none"/>
        </w:rPr>
        <w:t>。符合本章第一节第5.3条情形的，可以推荐2家成交候选供应商。评审得分相同的，按照最后报价由低到高的顺序推荐。评审得分且最后报价相同的，按照技术指标优劣顺序推荐（按技术得分由高到低排序，技术得分相同的按照商务得分由高到低排序）。评审得分、最后报价、技术得分、商务得分均相同的，由磋商小组随机抽取推荐。</w:t>
      </w:r>
    </w:p>
    <w:p w14:paraId="4DB1B206">
      <w:pPr>
        <w:shd w:val="clea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2.评标争议事项处理</w:t>
      </w:r>
    </w:p>
    <w:p w14:paraId="4F86CD0E">
      <w:pPr>
        <w:shd w:val="clear"/>
        <w:adjustRightInd w:val="0"/>
        <w:spacing w:line="360" w:lineRule="auto"/>
        <w:ind w:firstLine="420" w:firstLineChars="200"/>
        <w:rPr>
          <w:rFonts w:ascii="宋体" w:hAnsi="宋体" w:cs="宋体"/>
          <w:color w:val="auto"/>
          <w:highlight w:val="none"/>
          <w:lang w:val="zh-CN"/>
        </w:rPr>
      </w:pPr>
      <w:r>
        <w:rPr>
          <w:rFonts w:hint="eastAsia" w:ascii="宋体" w:hAnsi="宋体" w:cs="宋体"/>
          <w:color w:val="auto"/>
          <w:highlight w:val="none"/>
          <w:lang w:val="zh-CN"/>
        </w:rPr>
        <w:t>磋商小组成员对需要共同认定的事项存在争议的，应当按照少数服从多数的原则作出结论。持不同意见的磋商小组成员应当在评标报告上签署不同意见及理由，否则视为同意评标报告。</w:t>
      </w:r>
    </w:p>
    <w:p w14:paraId="674B880C">
      <w:pPr>
        <w:keepNext/>
        <w:keepLines/>
        <w:shd w:val="clear"/>
        <w:spacing w:before="20" w:after="20" w:line="360" w:lineRule="auto"/>
        <w:jc w:val="center"/>
        <w:outlineLvl w:val="1"/>
        <w:rPr>
          <w:rFonts w:ascii="宋体" w:hAnsi="宋体" w:cs="宋体"/>
          <w:bCs/>
          <w:color w:val="auto"/>
          <w:sz w:val="32"/>
          <w:szCs w:val="32"/>
          <w:highlight w:val="none"/>
          <w:lang w:val="zh-CN"/>
        </w:rPr>
      </w:pPr>
      <w:bookmarkStart w:id="67" w:name="_Toc80205936"/>
      <w:bookmarkStart w:id="68" w:name="_Toc106283331"/>
      <w:bookmarkStart w:id="69" w:name="_Toc25170"/>
      <w:r>
        <w:rPr>
          <w:rFonts w:hint="eastAsia" w:ascii="宋体" w:hAnsi="宋体" w:cs="宋体"/>
          <w:bCs/>
          <w:color w:val="auto"/>
          <w:sz w:val="32"/>
          <w:szCs w:val="32"/>
          <w:highlight w:val="none"/>
          <w:lang w:val="zh-CN"/>
        </w:rPr>
        <w:t>第三节 评审过程的保密与录像</w:t>
      </w:r>
      <w:bookmarkEnd w:id="67"/>
      <w:bookmarkEnd w:id="68"/>
      <w:bookmarkEnd w:id="69"/>
    </w:p>
    <w:p w14:paraId="7008D8FF">
      <w:pPr>
        <w:shd w:val="clea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1.保密。</w:t>
      </w:r>
    </w:p>
    <w:p w14:paraId="1AB8643F">
      <w:pPr>
        <w:widowControl/>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评审活动在严格保密的情况下进行。评审过程中凡是与采购响应文件评审和比较、成交供应商推荐等评审有关的情况，以及涉及国家秘密和商业秘密等信息，评审委员会成员、采购人和采购机构工作人员、相关监督人员等与评审有关的人员应当予以保密。</w:t>
      </w:r>
    </w:p>
    <w:p w14:paraId="2D15820F">
      <w:pPr>
        <w:widowControl/>
        <w:shd w:val="clea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2.录音录像。</w:t>
      </w:r>
    </w:p>
    <w:p w14:paraId="3E02CF39">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采购代理机构对评审工作现场及操作屏幕进行全过程录音录像，录音录像资料作为采购项目文件随其他文件一并存档。</w:t>
      </w:r>
    </w:p>
    <w:p w14:paraId="2C7C1FAB">
      <w:pPr>
        <w:shd w:val="clear"/>
        <w:spacing w:line="360" w:lineRule="auto"/>
        <w:ind w:firstLine="420" w:firstLineChars="200"/>
        <w:rPr>
          <w:rFonts w:ascii="宋体" w:hAnsi="宋体" w:cs="宋体"/>
          <w:color w:val="auto"/>
          <w:highlight w:val="none"/>
        </w:rPr>
      </w:pPr>
    </w:p>
    <w:p w14:paraId="3959F2E7">
      <w:pPr>
        <w:shd w:val="clear"/>
        <w:spacing w:line="360" w:lineRule="auto"/>
        <w:ind w:firstLine="420" w:firstLineChars="200"/>
        <w:rPr>
          <w:rFonts w:ascii="宋体" w:hAnsi="宋体" w:cs="宋体"/>
          <w:color w:val="auto"/>
          <w:highlight w:val="none"/>
        </w:rPr>
      </w:pPr>
    </w:p>
    <w:p w14:paraId="1E23ED58">
      <w:pPr>
        <w:shd w:val="clear"/>
        <w:spacing w:line="360" w:lineRule="auto"/>
        <w:rPr>
          <w:rFonts w:ascii="宋体" w:hAnsi="宋体" w:cs="宋体"/>
          <w:color w:val="auto"/>
          <w:highlight w:val="none"/>
        </w:rPr>
      </w:pPr>
    </w:p>
    <w:p w14:paraId="5E8FDCB6">
      <w:pPr>
        <w:keepNext/>
        <w:keepLines/>
        <w:shd w:val="clear"/>
        <w:spacing w:before="340" w:after="330" w:line="360" w:lineRule="auto"/>
        <w:jc w:val="center"/>
        <w:outlineLvl w:val="0"/>
        <w:rPr>
          <w:rFonts w:ascii="宋体" w:hAnsi="宋体" w:cs="宋体"/>
          <w:b/>
          <w:bCs/>
          <w:color w:val="auto"/>
          <w:kern w:val="44"/>
          <w:sz w:val="44"/>
          <w:szCs w:val="44"/>
          <w:highlight w:val="none"/>
          <w:lang w:val="zh-CN"/>
        </w:rPr>
      </w:pPr>
      <w:bookmarkStart w:id="70" w:name="_Toc3355"/>
      <w:r>
        <w:rPr>
          <w:rFonts w:ascii="宋体" w:hAnsi="宋体" w:cs="宋体"/>
          <w:b/>
          <w:bCs/>
          <w:color w:val="auto"/>
          <w:kern w:val="44"/>
          <w:sz w:val="44"/>
          <w:szCs w:val="44"/>
          <w:highlight w:val="none"/>
          <w:lang w:val="zh-CN"/>
        </w:rPr>
        <w:br w:type="page"/>
      </w:r>
      <w:bookmarkStart w:id="71" w:name="_Toc106283332"/>
      <w:r>
        <w:rPr>
          <w:rFonts w:hint="eastAsia" w:ascii="宋体" w:hAnsi="宋体" w:cs="宋体"/>
          <w:b/>
          <w:bCs/>
          <w:color w:val="auto"/>
          <w:kern w:val="44"/>
          <w:sz w:val="44"/>
          <w:szCs w:val="44"/>
          <w:highlight w:val="none"/>
          <w:lang w:val="zh-CN"/>
        </w:rPr>
        <w:t>第五章 响应文件格式</w:t>
      </w:r>
      <w:bookmarkEnd w:id="70"/>
      <w:bookmarkEnd w:id="71"/>
    </w:p>
    <w:p w14:paraId="61A23E3F">
      <w:pPr>
        <w:shd w:val="clear"/>
        <w:rPr>
          <w:color w:val="auto"/>
          <w:highlight w:val="none"/>
        </w:rPr>
      </w:pPr>
    </w:p>
    <w:p w14:paraId="4D82B680">
      <w:pPr>
        <w:keepNext/>
        <w:keepLines/>
        <w:shd w:val="clear"/>
        <w:spacing w:before="20" w:after="20" w:line="360" w:lineRule="auto"/>
        <w:jc w:val="center"/>
        <w:outlineLvl w:val="1"/>
        <w:rPr>
          <w:rFonts w:ascii="宋体" w:hAnsi="宋体" w:cs="宋体"/>
          <w:b/>
          <w:color w:val="auto"/>
          <w:sz w:val="32"/>
          <w:szCs w:val="32"/>
          <w:highlight w:val="none"/>
          <w:lang w:val="zh-CN"/>
        </w:rPr>
      </w:pPr>
      <w:bookmarkStart w:id="72" w:name="_Toc80205939"/>
      <w:bookmarkStart w:id="73" w:name="_Toc8026"/>
      <w:bookmarkStart w:id="74" w:name="_Toc106283334"/>
      <w:r>
        <w:rPr>
          <w:rFonts w:hint="eastAsia" w:ascii="宋体" w:hAnsi="宋体" w:cs="宋体"/>
          <w:b/>
          <w:color w:val="auto"/>
          <w:sz w:val="32"/>
          <w:szCs w:val="32"/>
          <w:highlight w:val="none"/>
          <w:lang w:val="zh-CN"/>
        </w:rPr>
        <w:t>第</w:t>
      </w:r>
      <w:r>
        <w:rPr>
          <w:rFonts w:hint="eastAsia" w:ascii="宋体" w:hAnsi="宋体" w:cs="宋体"/>
          <w:b/>
          <w:color w:val="auto"/>
          <w:sz w:val="32"/>
          <w:szCs w:val="32"/>
          <w:highlight w:val="none"/>
        </w:rPr>
        <w:t>一</w:t>
      </w:r>
      <w:r>
        <w:rPr>
          <w:rFonts w:hint="eastAsia" w:ascii="宋体" w:hAnsi="宋体" w:cs="宋体"/>
          <w:b/>
          <w:color w:val="auto"/>
          <w:sz w:val="32"/>
          <w:szCs w:val="32"/>
          <w:highlight w:val="none"/>
          <w:lang w:val="zh-CN"/>
        </w:rPr>
        <w:t>节 资格证明文件格式</w:t>
      </w:r>
      <w:bookmarkEnd w:id="72"/>
      <w:bookmarkEnd w:id="73"/>
      <w:bookmarkEnd w:id="74"/>
    </w:p>
    <w:p w14:paraId="7E82DEB0">
      <w:pPr>
        <w:shd w:val="clear"/>
        <w:snapToGrid w:val="0"/>
        <w:spacing w:before="120" w:beforeLines="50" w:after="50" w:line="360" w:lineRule="auto"/>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全流程电子文件</w:t>
      </w:r>
    </w:p>
    <w:p w14:paraId="0472B6BC">
      <w:pPr>
        <w:shd w:val="clear"/>
        <w:snapToGrid w:val="0"/>
        <w:spacing w:before="120" w:beforeLines="50" w:after="50" w:line="360" w:lineRule="auto"/>
        <w:rPr>
          <w:rFonts w:ascii="宋体" w:hAnsi="宋体" w:cs="宋体"/>
          <w:color w:val="auto"/>
          <w:sz w:val="24"/>
          <w:szCs w:val="20"/>
          <w:highlight w:val="none"/>
        </w:rPr>
      </w:pPr>
    </w:p>
    <w:p w14:paraId="63986785">
      <w:pPr>
        <w:shd w:val="clear"/>
        <w:snapToGrid w:val="0"/>
        <w:spacing w:before="120" w:beforeLines="50" w:after="50" w:line="360" w:lineRule="auto"/>
        <w:rPr>
          <w:rFonts w:ascii="宋体" w:hAnsi="宋体" w:cs="宋体"/>
          <w:color w:val="auto"/>
          <w:sz w:val="24"/>
          <w:szCs w:val="20"/>
          <w:highlight w:val="none"/>
        </w:rPr>
      </w:pPr>
    </w:p>
    <w:p w14:paraId="3D1B3220">
      <w:pPr>
        <w:shd w:val="clear"/>
        <w:snapToGrid w:val="0"/>
        <w:spacing w:before="120" w:beforeLines="50" w:after="50" w:line="360" w:lineRule="auto"/>
        <w:jc w:val="center"/>
        <w:rPr>
          <w:rFonts w:ascii="宋体" w:hAnsi="宋体" w:cs="宋体"/>
          <w:bCs/>
          <w:color w:val="auto"/>
          <w:sz w:val="44"/>
          <w:szCs w:val="44"/>
          <w:highlight w:val="none"/>
        </w:rPr>
      </w:pPr>
      <w:r>
        <w:rPr>
          <w:rFonts w:hint="eastAsia" w:ascii="宋体" w:hAnsi="宋体" w:cs="宋体"/>
          <w:bCs/>
          <w:color w:val="auto"/>
          <w:sz w:val="44"/>
          <w:szCs w:val="44"/>
          <w:highlight w:val="none"/>
        </w:rPr>
        <w:t>资格证明文件（封面）</w:t>
      </w:r>
    </w:p>
    <w:p w14:paraId="68BDFA3F">
      <w:pPr>
        <w:shd w:val="clear"/>
        <w:snapToGrid w:val="0"/>
        <w:spacing w:before="120" w:beforeLines="50" w:after="50" w:line="360" w:lineRule="auto"/>
        <w:rPr>
          <w:rFonts w:ascii="宋体" w:hAnsi="宋体" w:cs="宋体"/>
          <w:bCs/>
          <w:color w:val="auto"/>
          <w:sz w:val="24"/>
          <w:szCs w:val="20"/>
          <w:highlight w:val="none"/>
        </w:rPr>
      </w:pPr>
    </w:p>
    <w:p w14:paraId="4A8E6A41">
      <w:pPr>
        <w:shd w:val="clear"/>
        <w:snapToGrid w:val="0"/>
        <w:spacing w:before="120" w:beforeLines="50" w:after="50" w:line="360" w:lineRule="auto"/>
        <w:rPr>
          <w:rFonts w:ascii="宋体" w:hAnsi="宋体" w:cs="宋体"/>
          <w:bCs/>
          <w:color w:val="auto"/>
          <w:sz w:val="24"/>
          <w:szCs w:val="20"/>
          <w:highlight w:val="none"/>
        </w:rPr>
      </w:pPr>
    </w:p>
    <w:p w14:paraId="7C77D7AC">
      <w:pPr>
        <w:shd w:val="clear"/>
        <w:snapToGrid w:val="0"/>
        <w:spacing w:before="120" w:beforeLines="50" w:after="50" w:line="360" w:lineRule="auto"/>
        <w:rPr>
          <w:rFonts w:ascii="宋体" w:hAnsi="宋体" w:cs="宋体"/>
          <w:bCs/>
          <w:color w:val="auto"/>
          <w:sz w:val="24"/>
          <w:szCs w:val="20"/>
          <w:highlight w:val="none"/>
        </w:rPr>
      </w:pPr>
    </w:p>
    <w:p w14:paraId="5E83FE3D">
      <w:pPr>
        <w:shd w:val="clear"/>
        <w:snapToGrid w:val="0"/>
        <w:spacing w:line="600" w:lineRule="auto"/>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126A5328">
      <w:pPr>
        <w:shd w:val="clear"/>
        <w:snapToGrid w:val="0"/>
        <w:spacing w:line="600" w:lineRule="auto"/>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276B8F1B">
      <w:pPr>
        <w:shd w:val="clear"/>
        <w:snapToGrid w:val="0"/>
        <w:spacing w:line="600" w:lineRule="auto"/>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1B1213E9">
      <w:pPr>
        <w:shd w:val="clear"/>
        <w:snapToGrid w:val="0"/>
        <w:spacing w:line="600" w:lineRule="auto"/>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6A3A319E">
      <w:pPr>
        <w:shd w:val="clear"/>
        <w:snapToGrid w:val="0"/>
        <w:spacing w:before="50" w:after="50" w:line="360" w:lineRule="auto"/>
        <w:ind w:firstLine="720" w:firstLineChars="225"/>
        <w:rPr>
          <w:rFonts w:ascii="宋体" w:hAnsi="宋体" w:cs="宋体"/>
          <w:bCs/>
          <w:color w:val="auto"/>
          <w:sz w:val="32"/>
          <w:szCs w:val="32"/>
          <w:highlight w:val="none"/>
        </w:rPr>
      </w:pPr>
    </w:p>
    <w:p w14:paraId="27E9BAC4">
      <w:pPr>
        <w:shd w:val="clear"/>
        <w:snapToGrid w:val="0"/>
        <w:spacing w:before="50" w:after="50" w:line="360" w:lineRule="auto"/>
        <w:ind w:firstLine="1280" w:firstLineChars="400"/>
        <w:rPr>
          <w:rFonts w:ascii="宋体" w:hAnsi="宋体" w:cs="宋体"/>
          <w:bCs/>
          <w:color w:val="auto"/>
          <w:sz w:val="32"/>
          <w:szCs w:val="32"/>
          <w:highlight w:val="none"/>
        </w:rPr>
      </w:pPr>
    </w:p>
    <w:p w14:paraId="1E28B536">
      <w:pPr>
        <w:shd w:val="clear"/>
        <w:snapToGrid w:val="0"/>
        <w:spacing w:before="120" w:beforeLines="50" w:after="50" w:line="360" w:lineRule="auto"/>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40783C83">
      <w:pPr>
        <w:shd w:val="clear"/>
        <w:snapToGrid w:val="0"/>
        <w:spacing w:before="120" w:beforeLines="50" w:after="50" w:line="360" w:lineRule="auto"/>
        <w:jc w:val="center"/>
        <w:rPr>
          <w:rFonts w:ascii="宋体" w:hAnsi="宋体" w:cs="宋体"/>
          <w:b/>
          <w:color w:val="auto"/>
          <w:kern w:val="0"/>
          <w:sz w:val="36"/>
          <w:szCs w:val="36"/>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 xml:space="preserve"> </w:t>
      </w:r>
      <w:r>
        <w:rPr>
          <w:rFonts w:hint="eastAsia" w:ascii="宋体" w:hAnsi="宋体" w:cs="宋体"/>
          <w:b/>
          <w:color w:val="auto"/>
          <w:kern w:val="0"/>
          <w:sz w:val="36"/>
          <w:szCs w:val="36"/>
          <w:highlight w:val="none"/>
        </w:rPr>
        <w:t>资格证明文件目录</w:t>
      </w:r>
    </w:p>
    <w:p w14:paraId="028D488D">
      <w:pPr>
        <w:shd w:val="clear"/>
        <w:snapToGrid w:val="0"/>
        <w:spacing w:line="360" w:lineRule="auto"/>
        <w:rPr>
          <w:rFonts w:ascii="宋体" w:hAnsi="宋体" w:cs="宋体"/>
          <w:color w:val="auto"/>
          <w:kern w:val="0"/>
          <w:sz w:val="24"/>
          <w:highlight w:val="none"/>
        </w:rPr>
      </w:pPr>
    </w:p>
    <w:p w14:paraId="149CD374">
      <w:pPr>
        <w:shd w:val="clear"/>
        <w:snapToGrid w:val="0"/>
        <w:spacing w:before="120" w:beforeLines="50" w:after="50" w:line="360" w:lineRule="auto"/>
        <w:ind w:firstLine="645"/>
        <w:rPr>
          <w:rFonts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3DE69FC8">
      <w:pPr>
        <w:shd w:val="clear"/>
        <w:snapToGrid w:val="0"/>
        <w:spacing w:before="120" w:beforeLines="50" w:after="50" w:line="360" w:lineRule="auto"/>
        <w:ind w:left="142" w:firstLine="420" w:firstLineChars="200"/>
        <w:jc w:val="left"/>
        <w:rPr>
          <w:rFonts w:ascii="宋体" w:hAnsi="宋体" w:cs="宋体"/>
          <w:color w:val="auto"/>
          <w:szCs w:val="21"/>
          <w:highlight w:val="none"/>
        </w:rPr>
      </w:pPr>
    </w:p>
    <w:p w14:paraId="7FAB1AA1">
      <w:pPr>
        <w:shd w:val="clear"/>
        <w:spacing w:line="360" w:lineRule="auto"/>
        <w:rPr>
          <w:rFonts w:ascii="宋体" w:hAnsi="宋体" w:cs="宋体"/>
          <w:color w:val="auto"/>
          <w:szCs w:val="21"/>
          <w:highlight w:val="none"/>
        </w:rPr>
      </w:pPr>
    </w:p>
    <w:p w14:paraId="06BD1727">
      <w:pPr>
        <w:shd w:val="clear"/>
        <w:spacing w:line="360" w:lineRule="auto"/>
        <w:rPr>
          <w:rFonts w:ascii="宋体" w:hAnsi="宋体" w:cs="宋体"/>
          <w:color w:val="auto"/>
          <w:szCs w:val="21"/>
          <w:highlight w:val="none"/>
        </w:rPr>
      </w:pPr>
    </w:p>
    <w:p w14:paraId="03F36A6C">
      <w:pPr>
        <w:shd w:val="clear"/>
        <w:spacing w:line="360" w:lineRule="auto"/>
        <w:rPr>
          <w:rFonts w:ascii="宋体" w:hAnsi="宋体" w:cs="宋体"/>
          <w:color w:val="auto"/>
          <w:szCs w:val="21"/>
          <w:highlight w:val="none"/>
        </w:rPr>
      </w:pPr>
    </w:p>
    <w:p w14:paraId="69B1DC7F">
      <w:pPr>
        <w:shd w:val="clear"/>
        <w:spacing w:line="360" w:lineRule="auto"/>
        <w:rPr>
          <w:rFonts w:ascii="宋体" w:hAnsi="宋体" w:cs="宋体"/>
          <w:color w:val="auto"/>
          <w:szCs w:val="21"/>
          <w:highlight w:val="none"/>
        </w:rPr>
      </w:pPr>
    </w:p>
    <w:p w14:paraId="7647EBC0">
      <w:pPr>
        <w:shd w:val="clear"/>
        <w:spacing w:line="360" w:lineRule="auto"/>
        <w:rPr>
          <w:rFonts w:ascii="宋体" w:hAnsi="宋体" w:cs="宋体"/>
          <w:color w:val="auto"/>
          <w:szCs w:val="21"/>
          <w:highlight w:val="none"/>
        </w:rPr>
      </w:pPr>
    </w:p>
    <w:p w14:paraId="45946DA4">
      <w:pPr>
        <w:shd w:val="clear"/>
        <w:spacing w:line="360" w:lineRule="auto"/>
        <w:rPr>
          <w:rFonts w:ascii="宋体" w:hAnsi="宋体" w:cs="宋体"/>
          <w:color w:val="auto"/>
          <w:szCs w:val="21"/>
          <w:highlight w:val="none"/>
        </w:rPr>
      </w:pPr>
    </w:p>
    <w:p w14:paraId="44BA5A3E">
      <w:pPr>
        <w:shd w:val="clear"/>
        <w:spacing w:line="360" w:lineRule="auto"/>
        <w:rPr>
          <w:rFonts w:ascii="宋体" w:hAnsi="宋体" w:cs="宋体"/>
          <w:color w:val="auto"/>
          <w:szCs w:val="21"/>
          <w:highlight w:val="none"/>
        </w:rPr>
      </w:pPr>
    </w:p>
    <w:p w14:paraId="38B14A34">
      <w:pPr>
        <w:shd w:val="clear"/>
        <w:spacing w:line="360" w:lineRule="auto"/>
        <w:rPr>
          <w:rFonts w:ascii="宋体" w:hAnsi="宋体" w:cs="宋体"/>
          <w:color w:val="auto"/>
          <w:szCs w:val="21"/>
          <w:highlight w:val="none"/>
        </w:rPr>
      </w:pPr>
    </w:p>
    <w:p w14:paraId="5664BD19">
      <w:pPr>
        <w:shd w:val="clear"/>
        <w:spacing w:line="360" w:lineRule="auto"/>
        <w:rPr>
          <w:rFonts w:ascii="宋体" w:hAnsi="宋体" w:cs="宋体"/>
          <w:color w:val="auto"/>
          <w:szCs w:val="21"/>
          <w:highlight w:val="none"/>
        </w:rPr>
      </w:pPr>
    </w:p>
    <w:p w14:paraId="69BFDB47">
      <w:pPr>
        <w:shd w:val="clear"/>
        <w:spacing w:line="360" w:lineRule="auto"/>
        <w:rPr>
          <w:rFonts w:ascii="宋体" w:hAnsi="宋体"/>
          <w:b/>
          <w:color w:val="auto"/>
          <w:kern w:val="0"/>
          <w:sz w:val="32"/>
          <w:szCs w:val="32"/>
          <w:highlight w:val="none"/>
          <w:lang w:val="zh-CN"/>
        </w:rPr>
      </w:pPr>
      <w:r>
        <w:rPr>
          <w:rFonts w:hint="eastAsia" w:ascii="宋体" w:hAnsi="宋体" w:cs="宋体"/>
          <w:color w:val="auto"/>
          <w:kern w:val="0"/>
          <w:sz w:val="20"/>
          <w:szCs w:val="21"/>
          <w:highlight w:val="none"/>
          <w:lang w:val="zh-CN"/>
        </w:rPr>
        <w:br w:type="page"/>
      </w:r>
      <w:r>
        <w:rPr>
          <w:rFonts w:hint="eastAsia" w:ascii="宋体" w:hAnsi="宋体"/>
          <w:b/>
          <w:color w:val="auto"/>
          <w:kern w:val="0"/>
          <w:sz w:val="32"/>
          <w:szCs w:val="32"/>
          <w:highlight w:val="none"/>
          <w:lang w:val="zh-CN"/>
        </w:rPr>
        <w:t>一、供应商直接控股、管理关系信息表</w:t>
      </w:r>
    </w:p>
    <w:p w14:paraId="666BF453">
      <w:pPr>
        <w:shd w:val="clear"/>
        <w:rPr>
          <w:color w:val="auto"/>
          <w:highlight w:val="none"/>
        </w:rPr>
      </w:pPr>
    </w:p>
    <w:p w14:paraId="7643C204">
      <w:pPr>
        <w:shd w:val="clear"/>
        <w:spacing w:line="360" w:lineRule="auto"/>
        <w:jc w:val="center"/>
        <w:rPr>
          <w:rFonts w:ascii="宋体" w:hAnsi="宋体" w:cs="宋体"/>
          <w:b/>
          <w:color w:val="auto"/>
          <w:kern w:val="0"/>
          <w:sz w:val="30"/>
          <w:szCs w:val="30"/>
          <w:highlight w:val="none"/>
          <w:lang w:val="zh-CN"/>
        </w:rPr>
      </w:pPr>
      <w:r>
        <w:rPr>
          <w:rFonts w:hint="eastAsia" w:ascii="宋体" w:hAnsi="宋体" w:cs="宋体"/>
          <w:b/>
          <w:color w:val="auto"/>
          <w:kern w:val="0"/>
          <w:sz w:val="30"/>
          <w:szCs w:val="30"/>
          <w:highlight w:val="none"/>
          <w:lang w:val="zh-CN"/>
        </w:rPr>
        <w:t>（一）供应商直接控股股东信息表</w:t>
      </w:r>
    </w:p>
    <w:p w14:paraId="5C167C55">
      <w:pPr>
        <w:shd w:val="clear"/>
        <w:spacing w:line="360" w:lineRule="auto"/>
        <w:contextualSpacing/>
        <w:jc w:val="center"/>
        <w:rPr>
          <w:rFonts w:ascii="宋体" w:hAnsi="宋体" w:cs="宋体"/>
          <w:b/>
          <w:color w:val="auto"/>
          <w:sz w:val="24"/>
          <w:highlight w:val="none"/>
        </w:rPr>
      </w:pPr>
    </w:p>
    <w:tbl>
      <w:tblPr>
        <w:tblStyle w:val="51"/>
        <w:tblW w:w="10147" w:type="dxa"/>
        <w:jc w:val="center"/>
        <w:tblLayout w:type="fixed"/>
        <w:tblCellMar>
          <w:top w:w="0" w:type="dxa"/>
          <w:left w:w="0" w:type="dxa"/>
          <w:bottom w:w="0" w:type="dxa"/>
          <w:right w:w="0" w:type="dxa"/>
        </w:tblCellMar>
      </w:tblPr>
      <w:tblGrid>
        <w:gridCol w:w="880"/>
        <w:gridCol w:w="2655"/>
        <w:gridCol w:w="1455"/>
        <w:gridCol w:w="4287"/>
        <w:gridCol w:w="870"/>
      </w:tblGrid>
      <w:tr w14:paraId="3998C92D">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7B427D3">
            <w:pPr>
              <w:widowControl/>
              <w:shd w:val="clear"/>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A2A0BA3">
            <w:pPr>
              <w:widowControl/>
              <w:shd w:val="clear"/>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13E5C83">
            <w:pPr>
              <w:widowControl/>
              <w:shd w:val="clear"/>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754663E">
            <w:pPr>
              <w:widowControl/>
              <w:shd w:val="clear"/>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B7A7E2A">
            <w:pPr>
              <w:widowControl/>
              <w:shd w:val="clear"/>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7B8ECCD5">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5AE9C64">
            <w:pPr>
              <w:widowControl/>
              <w:shd w:val="clear"/>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4353A8B">
            <w:pPr>
              <w:widowControl/>
              <w:shd w:val="clear"/>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FAE88D4">
            <w:pPr>
              <w:widowControl/>
              <w:shd w:val="clear"/>
              <w:spacing w:line="360" w:lineRule="auto"/>
              <w:contextualSpacing/>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ED432DD">
            <w:pPr>
              <w:widowControl/>
              <w:shd w:val="clear"/>
              <w:spacing w:line="360" w:lineRule="auto"/>
              <w:contextualSpacing/>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8FAF48E">
            <w:pPr>
              <w:widowControl/>
              <w:shd w:val="clear"/>
              <w:spacing w:line="360" w:lineRule="auto"/>
              <w:contextualSpacing/>
              <w:jc w:val="center"/>
              <w:rPr>
                <w:rFonts w:ascii="宋体" w:hAnsi="宋体" w:cs="宋体"/>
                <w:color w:val="auto"/>
                <w:kern w:val="0"/>
                <w:sz w:val="24"/>
                <w:highlight w:val="none"/>
              </w:rPr>
            </w:pPr>
          </w:p>
        </w:tc>
      </w:tr>
      <w:tr w14:paraId="6FDBB06F">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F51BF9A">
            <w:pPr>
              <w:widowControl/>
              <w:shd w:val="clear"/>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EA56342">
            <w:pPr>
              <w:widowControl/>
              <w:shd w:val="clear"/>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1006CAD">
            <w:pPr>
              <w:widowControl/>
              <w:shd w:val="clear"/>
              <w:spacing w:line="360" w:lineRule="auto"/>
              <w:contextualSpacing/>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BB754F8">
            <w:pPr>
              <w:widowControl/>
              <w:shd w:val="clear"/>
              <w:spacing w:line="360" w:lineRule="auto"/>
              <w:contextualSpacing/>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7A186B8">
            <w:pPr>
              <w:widowControl/>
              <w:shd w:val="clear"/>
              <w:spacing w:line="360" w:lineRule="auto"/>
              <w:contextualSpacing/>
              <w:jc w:val="center"/>
              <w:rPr>
                <w:rFonts w:ascii="宋体" w:hAnsi="宋体" w:cs="宋体"/>
                <w:color w:val="auto"/>
                <w:kern w:val="0"/>
                <w:sz w:val="24"/>
                <w:highlight w:val="none"/>
              </w:rPr>
            </w:pPr>
          </w:p>
        </w:tc>
      </w:tr>
      <w:tr w14:paraId="20431162">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75AB827">
            <w:pPr>
              <w:widowControl/>
              <w:shd w:val="clear"/>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6F69C8F">
            <w:pPr>
              <w:widowControl/>
              <w:shd w:val="clear"/>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0174897">
            <w:pPr>
              <w:widowControl/>
              <w:shd w:val="clear"/>
              <w:spacing w:line="360" w:lineRule="auto"/>
              <w:contextualSpacing/>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88F0572">
            <w:pPr>
              <w:widowControl/>
              <w:shd w:val="clear"/>
              <w:spacing w:line="360" w:lineRule="auto"/>
              <w:contextualSpacing/>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80F370C">
            <w:pPr>
              <w:widowControl/>
              <w:shd w:val="clear"/>
              <w:spacing w:line="360" w:lineRule="auto"/>
              <w:contextualSpacing/>
              <w:jc w:val="center"/>
              <w:rPr>
                <w:rFonts w:ascii="宋体" w:hAnsi="宋体" w:cs="宋体"/>
                <w:color w:val="auto"/>
                <w:kern w:val="0"/>
                <w:sz w:val="24"/>
                <w:highlight w:val="none"/>
              </w:rPr>
            </w:pPr>
          </w:p>
        </w:tc>
      </w:tr>
      <w:tr w14:paraId="180B918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9378103">
            <w:pPr>
              <w:widowControl/>
              <w:shd w:val="clear"/>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2B5762D">
            <w:pPr>
              <w:widowControl/>
              <w:shd w:val="clear"/>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F3015D7">
            <w:pPr>
              <w:widowControl/>
              <w:shd w:val="clear"/>
              <w:spacing w:line="360" w:lineRule="auto"/>
              <w:contextualSpacing/>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986DB3F">
            <w:pPr>
              <w:widowControl/>
              <w:shd w:val="clear"/>
              <w:spacing w:line="360" w:lineRule="auto"/>
              <w:contextualSpacing/>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32FD975">
            <w:pPr>
              <w:widowControl/>
              <w:shd w:val="clear"/>
              <w:spacing w:line="360" w:lineRule="auto"/>
              <w:contextualSpacing/>
              <w:jc w:val="center"/>
              <w:rPr>
                <w:rFonts w:ascii="宋体" w:hAnsi="宋体" w:cs="宋体"/>
                <w:color w:val="auto"/>
                <w:kern w:val="0"/>
                <w:sz w:val="24"/>
                <w:highlight w:val="none"/>
              </w:rPr>
            </w:pPr>
          </w:p>
        </w:tc>
      </w:tr>
    </w:tbl>
    <w:p w14:paraId="393570D7">
      <w:pPr>
        <w:shd w:val="clear"/>
        <w:spacing w:line="360" w:lineRule="auto"/>
        <w:contextualSpacing/>
        <w:jc w:val="left"/>
        <w:rPr>
          <w:rFonts w:ascii="宋体" w:hAnsi="宋体" w:cs="宋体"/>
          <w:color w:val="auto"/>
          <w:kern w:val="0"/>
          <w:sz w:val="24"/>
          <w:highlight w:val="none"/>
        </w:rPr>
      </w:pPr>
      <w:r>
        <w:rPr>
          <w:rFonts w:hint="eastAsia" w:ascii="宋体" w:hAnsi="宋体" w:cs="宋体"/>
          <w:color w:val="auto"/>
          <w:kern w:val="0"/>
          <w:sz w:val="24"/>
          <w:highlight w:val="none"/>
        </w:rPr>
        <w:t>注：</w:t>
      </w:r>
    </w:p>
    <w:p w14:paraId="1ADB9B84">
      <w:pPr>
        <w:shd w:val="clear"/>
        <w:spacing w:line="360" w:lineRule="auto"/>
        <w:ind w:firstLine="480" w:firstLineChars="200"/>
        <w:contextualSpacing/>
        <w:jc w:val="left"/>
        <w:rPr>
          <w:rFonts w:ascii="宋体" w:hAnsi="宋体" w:cs="宋体"/>
          <w:color w:val="auto"/>
          <w:kern w:val="0"/>
          <w:sz w:val="24"/>
          <w:highlight w:val="none"/>
        </w:rPr>
      </w:pPr>
      <w:r>
        <w:rPr>
          <w:rFonts w:hint="eastAsia" w:ascii="宋体" w:hAnsi="宋体" w:cs="宋体"/>
          <w:color w:val="auto"/>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8BA5839">
      <w:pPr>
        <w:shd w:val="clear"/>
        <w:spacing w:line="360" w:lineRule="auto"/>
        <w:ind w:firstLine="480" w:firstLineChars="200"/>
        <w:contextualSpacing/>
        <w:jc w:val="left"/>
        <w:rPr>
          <w:rFonts w:ascii="宋体" w:hAnsi="宋体" w:cs="宋体"/>
          <w:color w:val="auto"/>
          <w:kern w:val="0"/>
          <w:sz w:val="24"/>
          <w:highlight w:val="none"/>
        </w:rPr>
      </w:pPr>
      <w:r>
        <w:rPr>
          <w:rFonts w:hint="eastAsia" w:ascii="宋体" w:hAnsi="宋体" w:cs="宋体"/>
          <w:color w:val="auto"/>
          <w:kern w:val="0"/>
          <w:sz w:val="24"/>
          <w:highlight w:val="none"/>
        </w:rPr>
        <w:t>2.本表所指的控股关系仅限于直接控股关系，不包括间接的控股关系。公司实际控制人与公司之间的关系不属于本表所指的直接控股关系。</w:t>
      </w:r>
    </w:p>
    <w:p w14:paraId="576E0BD9">
      <w:pPr>
        <w:shd w:val="clear"/>
        <w:spacing w:line="360" w:lineRule="auto"/>
        <w:ind w:firstLine="480" w:firstLineChars="200"/>
        <w:contextualSpacing/>
        <w:jc w:val="left"/>
        <w:rPr>
          <w:rFonts w:ascii="宋体" w:hAnsi="宋体" w:cs="宋体"/>
          <w:color w:val="auto"/>
          <w:kern w:val="0"/>
          <w:sz w:val="24"/>
          <w:highlight w:val="none"/>
        </w:rPr>
      </w:pPr>
      <w:r>
        <w:rPr>
          <w:rFonts w:hint="eastAsia" w:ascii="宋体" w:hAnsi="宋体" w:cs="宋体"/>
          <w:color w:val="auto"/>
          <w:kern w:val="0"/>
          <w:sz w:val="24"/>
          <w:highlight w:val="none"/>
        </w:rPr>
        <w:t>3.供应商不存在直接控股股东的，则填“无”。</w:t>
      </w:r>
    </w:p>
    <w:p w14:paraId="58BB0041">
      <w:pPr>
        <w:shd w:val="clear"/>
        <w:snapToGrid w:val="0"/>
        <w:spacing w:line="360" w:lineRule="auto"/>
        <w:jc w:val="left"/>
        <w:rPr>
          <w:rFonts w:ascii="宋体" w:hAnsi="宋体" w:cs="宋体"/>
          <w:color w:val="auto"/>
          <w:sz w:val="24"/>
          <w:highlight w:val="none"/>
        </w:rPr>
      </w:pPr>
    </w:p>
    <w:p w14:paraId="4B79F6FA">
      <w:pPr>
        <w:shd w:val="clear"/>
        <w:snapToGrid w:val="0"/>
        <w:spacing w:line="360" w:lineRule="auto"/>
        <w:jc w:val="left"/>
        <w:rPr>
          <w:rFonts w:ascii="宋体" w:hAnsi="宋体" w:cs="宋体"/>
          <w:color w:val="auto"/>
          <w:sz w:val="24"/>
          <w:highlight w:val="none"/>
        </w:rPr>
      </w:pPr>
    </w:p>
    <w:p w14:paraId="1E3C5C4C">
      <w:pPr>
        <w:shd w:val="clear"/>
        <w:snapToGrid w:val="0"/>
        <w:spacing w:line="360" w:lineRule="auto"/>
        <w:jc w:val="left"/>
        <w:rPr>
          <w:rFonts w:ascii="宋体" w:hAnsi="宋体" w:cs="宋体"/>
          <w:color w:val="auto"/>
          <w:sz w:val="24"/>
          <w:highlight w:val="none"/>
        </w:rPr>
      </w:pPr>
    </w:p>
    <w:p w14:paraId="65328547">
      <w:pPr>
        <w:shd w:val="clea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596E7BD8">
      <w:pPr>
        <w:shd w:val="clea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65EBB987">
      <w:pPr>
        <w:shd w:val="clear"/>
        <w:snapToGrid w:val="0"/>
        <w:spacing w:line="360" w:lineRule="auto"/>
        <w:rPr>
          <w:rFonts w:ascii="宋体" w:hAnsi="宋体" w:cs="宋体"/>
          <w:b/>
          <w:color w:val="auto"/>
          <w:kern w:val="0"/>
          <w:sz w:val="30"/>
          <w:szCs w:val="30"/>
          <w:highlight w:val="none"/>
        </w:rPr>
      </w:pPr>
    </w:p>
    <w:p w14:paraId="461C15D9">
      <w:pPr>
        <w:shd w:val="clear"/>
        <w:snapToGrid w:val="0"/>
        <w:spacing w:line="360" w:lineRule="auto"/>
        <w:ind w:firstLine="596" w:firstLineChars="198"/>
        <w:rPr>
          <w:rFonts w:ascii="宋体" w:hAnsi="宋体" w:cs="宋体"/>
          <w:b/>
          <w:color w:val="auto"/>
          <w:kern w:val="0"/>
          <w:sz w:val="30"/>
          <w:szCs w:val="30"/>
          <w:highlight w:val="none"/>
        </w:rPr>
        <w:sectPr>
          <w:pgSz w:w="11910" w:h="16840"/>
          <w:pgMar w:top="1418" w:right="1418" w:bottom="1418" w:left="1418" w:header="720" w:footer="720" w:gutter="0"/>
          <w:cols w:space="720" w:num="1"/>
        </w:sectPr>
      </w:pPr>
    </w:p>
    <w:p w14:paraId="7EF49B7E">
      <w:pPr>
        <w:shd w:val="clear"/>
        <w:snapToGrid w:val="0"/>
        <w:spacing w:line="360" w:lineRule="auto"/>
        <w:jc w:val="center"/>
        <w:rPr>
          <w:rFonts w:ascii="宋体" w:hAnsi="宋体" w:cs="宋体"/>
          <w:b/>
          <w:color w:val="auto"/>
          <w:kern w:val="0"/>
          <w:sz w:val="30"/>
          <w:szCs w:val="30"/>
          <w:highlight w:val="none"/>
        </w:rPr>
      </w:pPr>
      <w:r>
        <w:rPr>
          <w:rFonts w:hint="eastAsia" w:ascii="宋体" w:hAnsi="宋体" w:cs="宋体"/>
          <w:b/>
          <w:color w:val="auto"/>
          <w:kern w:val="0"/>
          <w:sz w:val="30"/>
          <w:szCs w:val="30"/>
          <w:highlight w:val="none"/>
        </w:rPr>
        <w:t>（二）供应商直接管理关系信息表</w:t>
      </w:r>
    </w:p>
    <w:p w14:paraId="52B43577">
      <w:pPr>
        <w:shd w:val="clear"/>
        <w:snapToGrid w:val="0"/>
        <w:spacing w:line="360" w:lineRule="auto"/>
        <w:jc w:val="center"/>
        <w:rPr>
          <w:rFonts w:ascii="宋体" w:hAnsi="宋体" w:cs="宋体"/>
          <w:b/>
          <w:color w:val="auto"/>
          <w:sz w:val="24"/>
          <w:highlight w:val="none"/>
        </w:rPr>
      </w:pPr>
    </w:p>
    <w:tbl>
      <w:tblPr>
        <w:tblStyle w:val="51"/>
        <w:tblW w:w="9652" w:type="dxa"/>
        <w:jc w:val="center"/>
        <w:tblLayout w:type="fixed"/>
        <w:tblCellMar>
          <w:top w:w="0" w:type="dxa"/>
          <w:left w:w="0" w:type="dxa"/>
          <w:bottom w:w="0" w:type="dxa"/>
          <w:right w:w="0" w:type="dxa"/>
        </w:tblCellMar>
      </w:tblPr>
      <w:tblGrid>
        <w:gridCol w:w="808"/>
        <w:gridCol w:w="3600"/>
        <w:gridCol w:w="3555"/>
        <w:gridCol w:w="1689"/>
      </w:tblGrid>
      <w:tr w14:paraId="6EEBDBAE">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76EE3D1">
            <w:pPr>
              <w:widowControl/>
              <w:shd w:val="clear"/>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83F0B98">
            <w:pPr>
              <w:widowControl/>
              <w:shd w:val="clear"/>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FF44A4D">
            <w:pPr>
              <w:widowControl/>
              <w:shd w:val="clear"/>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7E340DF">
            <w:pPr>
              <w:widowControl/>
              <w:shd w:val="clear"/>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77F076C0">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BBA0161">
            <w:pPr>
              <w:widowControl/>
              <w:shd w:val="clear"/>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AE17C79">
            <w:pPr>
              <w:widowControl/>
              <w:shd w:val="clear"/>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E539684">
            <w:pPr>
              <w:widowControl/>
              <w:shd w:val="clear"/>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472A24F">
            <w:pPr>
              <w:widowControl/>
              <w:shd w:val="clear"/>
              <w:spacing w:line="360" w:lineRule="auto"/>
              <w:contextualSpacing/>
              <w:jc w:val="center"/>
              <w:rPr>
                <w:rFonts w:ascii="宋体" w:hAnsi="宋体" w:cs="宋体"/>
                <w:color w:val="auto"/>
                <w:kern w:val="0"/>
                <w:sz w:val="24"/>
                <w:highlight w:val="none"/>
              </w:rPr>
            </w:pPr>
          </w:p>
        </w:tc>
      </w:tr>
      <w:tr w14:paraId="1115A50B">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5567BAE">
            <w:pPr>
              <w:widowControl/>
              <w:shd w:val="clear"/>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0E274BA">
            <w:pPr>
              <w:widowControl/>
              <w:shd w:val="clear"/>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3180C4F">
            <w:pPr>
              <w:widowControl/>
              <w:shd w:val="clear"/>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DDAAB43">
            <w:pPr>
              <w:widowControl/>
              <w:shd w:val="clear"/>
              <w:spacing w:line="360" w:lineRule="auto"/>
              <w:contextualSpacing/>
              <w:jc w:val="center"/>
              <w:rPr>
                <w:rFonts w:ascii="宋体" w:hAnsi="宋体" w:cs="宋体"/>
                <w:color w:val="auto"/>
                <w:kern w:val="0"/>
                <w:sz w:val="24"/>
                <w:highlight w:val="none"/>
              </w:rPr>
            </w:pPr>
          </w:p>
        </w:tc>
      </w:tr>
      <w:tr w14:paraId="416A313E">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4767FC7">
            <w:pPr>
              <w:widowControl/>
              <w:shd w:val="clear"/>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17AE86A">
            <w:pPr>
              <w:widowControl/>
              <w:shd w:val="clear"/>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11CE99B">
            <w:pPr>
              <w:widowControl/>
              <w:shd w:val="clear"/>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CFD1593">
            <w:pPr>
              <w:widowControl/>
              <w:shd w:val="clear"/>
              <w:spacing w:line="360" w:lineRule="auto"/>
              <w:contextualSpacing/>
              <w:jc w:val="center"/>
              <w:rPr>
                <w:rFonts w:ascii="宋体" w:hAnsi="宋体" w:cs="宋体"/>
                <w:color w:val="auto"/>
                <w:kern w:val="0"/>
                <w:sz w:val="24"/>
                <w:highlight w:val="none"/>
              </w:rPr>
            </w:pPr>
          </w:p>
        </w:tc>
      </w:tr>
      <w:tr w14:paraId="3C0B826D">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0D36C9C">
            <w:pPr>
              <w:widowControl/>
              <w:shd w:val="clear"/>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7478080">
            <w:pPr>
              <w:widowControl/>
              <w:shd w:val="clear"/>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583E8BB">
            <w:pPr>
              <w:widowControl/>
              <w:shd w:val="clear"/>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CAEE035">
            <w:pPr>
              <w:widowControl/>
              <w:shd w:val="clear"/>
              <w:spacing w:line="360" w:lineRule="auto"/>
              <w:contextualSpacing/>
              <w:jc w:val="center"/>
              <w:rPr>
                <w:rFonts w:ascii="宋体" w:hAnsi="宋体" w:cs="宋体"/>
                <w:color w:val="auto"/>
                <w:kern w:val="0"/>
                <w:sz w:val="24"/>
                <w:highlight w:val="none"/>
              </w:rPr>
            </w:pPr>
          </w:p>
        </w:tc>
      </w:tr>
    </w:tbl>
    <w:p w14:paraId="61D794EA">
      <w:pPr>
        <w:shd w:val="clear"/>
        <w:spacing w:line="360" w:lineRule="auto"/>
        <w:ind w:firstLine="480" w:firstLineChars="200"/>
        <w:contextualSpacing/>
        <w:jc w:val="left"/>
        <w:rPr>
          <w:rFonts w:ascii="宋体" w:hAnsi="宋体" w:cs="宋体"/>
          <w:color w:val="auto"/>
          <w:kern w:val="0"/>
          <w:sz w:val="24"/>
          <w:highlight w:val="none"/>
        </w:rPr>
      </w:pPr>
      <w:r>
        <w:rPr>
          <w:rFonts w:hint="eastAsia" w:ascii="宋体" w:hAnsi="宋体" w:cs="宋体"/>
          <w:color w:val="auto"/>
          <w:kern w:val="0"/>
          <w:sz w:val="24"/>
          <w:highlight w:val="none"/>
        </w:rPr>
        <w:t>注：</w:t>
      </w:r>
    </w:p>
    <w:p w14:paraId="2ECEF0B6">
      <w:pPr>
        <w:shd w:val="clear"/>
        <w:spacing w:line="360" w:lineRule="auto"/>
        <w:ind w:firstLine="480" w:firstLineChars="200"/>
        <w:contextualSpacing/>
        <w:jc w:val="left"/>
        <w:rPr>
          <w:rFonts w:ascii="宋体" w:hAnsi="宋体" w:cs="宋体"/>
          <w:color w:val="auto"/>
          <w:kern w:val="0"/>
          <w:sz w:val="24"/>
          <w:highlight w:val="none"/>
        </w:rPr>
      </w:pPr>
      <w:r>
        <w:rPr>
          <w:rFonts w:hint="eastAsia" w:ascii="宋体" w:hAnsi="宋体" w:cs="宋体"/>
          <w:color w:val="auto"/>
          <w:kern w:val="0"/>
          <w:sz w:val="24"/>
          <w:highlight w:val="none"/>
        </w:rPr>
        <w:t>1.管理关系：是指不具有出资持股关系的其他单位之间存在的管理与被管理关系，如一些上下级关系的事业单位和团体组织。</w:t>
      </w:r>
    </w:p>
    <w:p w14:paraId="01939ED3">
      <w:pPr>
        <w:shd w:val="clear"/>
        <w:spacing w:line="360" w:lineRule="auto"/>
        <w:ind w:firstLine="480" w:firstLineChars="200"/>
        <w:contextualSpacing/>
        <w:jc w:val="left"/>
        <w:rPr>
          <w:rFonts w:ascii="宋体" w:hAnsi="宋体" w:cs="宋体"/>
          <w:color w:val="auto"/>
          <w:kern w:val="0"/>
          <w:sz w:val="24"/>
          <w:highlight w:val="none"/>
        </w:rPr>
      </w:pPr>
      <w:r>
        <w:rPr>
          <w:rFonts w:hint="eastAsia" w:ascii="宋体" w:hAnsi="宋体" w:cs="宋体"/>
          <w:color w:val="auto"/>
          <w:kern w:val="0"/>
          <w:sz w:val="24"/>
          <w:highlight w:val="none"/>
        </w:rPr>
        <w:t>2.本表所指的管理关系仅限于直接管理关系，不包括间接的管理关系。</w:t>
      </w:r>
    </w:p>
    <w:p w14:paraId="6B9D4FFC">
      <w:pPr>
        <w:shd w:val="clear"/>
        <w:spacing w:line="360" w:lineRule="auto"/>
        <w:ind w:firstLine="480" w:firstLineChars="200"/>
        <w:contextualSpacing/>
        <w:jc w:val="left"/>
        <w:rPr>
          <w:rFonts w:ascii="宋体" w:hAnsi="宋体" w:cs="宋体"/>
          <w:color w:val="auto"/>
          <w:kern w:val="0"/>
          <w:sz w:val="24"/>
          <w:highlight w:val="none"/>
        </w:rPr>
      </w:pPr>
      <w:r>
        <w:rPr>
          <w:rFonts w:hint="eastAsia" w:ascii="宋体" w:hAnsi="宋体" w:cs="宋体"/>
          <w:color w:val="auto"/>
          <w:kern w:val="0"/>
          <w:sz w:val="24"/>
          <w:highlight w:val="none"/>
        </w:rPr>
        <w:t>3.供应商不存在直接管理关系的，则填“无”。</w:t>
      </w:r>
    </w:p>
    <w:p w14:paraId="2ED0BA0A">
      <w:pPr>
        <w:shd w:val="clear"/>
        <w:spacing w:line="360" w:lineRule="auto"/>
        <w:contextualSpacing/>
        <w:jc w:val="left"/>
        <w:rPr>
          <w:rFonts w:ascii="宋体" w:hAnsi="宋体" w:cs="宋体"/>
          <w:color w:val="auto"/>
          <w:sz w:val="24"/>
          <w:highlight w:val="none"/>
        </w:rPr>
      </w:pPr>
    </w:p>
    <w:p w14:paraId="5F6C7BA9">
      <w:pPr>
        <w:shd w:val="clea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669C84BE">
      <w:pPr>
        <w:shd w:val="clea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2746CD8A">
      <w:pPr>
        <w:shd w:val="clear"/>
        <w:spacing w:line="360" w:lineRule="auto"/>
        <w:ind w:right="480" w:firstLine="240" w:firstLineChars="100"/>
        <w:contextualSpacing/>
        <w:jc w:val="center"/>
        <w:rPr>
          <w:rFonts w:ascii="宋体" w:hAnsi="宋体" w:cs="宋体"/>
          <w:color w:val="auto"/>
          <w:sz w:val="28"/>
          <w:szCs w:val="28"/>
          <w:highlight w:val="none"/>
        </w:rPr>
      </w:pPr>
      <w:r>
        <w:rPr>
          <w:rFonts w:hint="eastAsia" w:ascii="宋体" w:hAnsi="宋体" w:cs="宋体"/>
          <w:color w:val="auto"/>
          <w:sz w:val="24"/>
          <w:highlight w:val="none"/>
        </w:rPr>
        <w:t xml:space="preserve">                                  </w:t>
      </w:r>
    </w:p>
    <w:p w14:paraId="3103185B">
      <w:pPr>
        <w:shd w:val="clear"/>
        <w:spacing w:line="360" w:lineRule="auto"/>
        <w:jc w:val="left"/>
        <w:rPr>
          <w:rFonts w:ascii="宋体" w:hAnsi="宋体" w:cs="宋体"/>
          <w:b/>
          <w:color w:val="auto"/>
          <w:sz w:val="32"/>
          <w:szCs w:val="32"/>
          <w:highlight w:val="none"/>
        </w:rPr>
      </w:pPr>
      <w:r>
        <w:rPr>
          <w:rFonts w:hint="eastAsia" w:ascii="宋体" w:hAnsi="宋体" w:cs="宋体"/>
          <w:color w:val="auto"/>
          <w:sz w:val="28"/>
          <w:szCs w:val="28"/>
          <w:highlight w:val="none"/>
        </w:rPr>
        <w:br w:type="page"/>
      </w:r>
      <w:r>
        <w:rPr>
          <w:rFonts w:hint="eastAsia" w:ascii="宋体" w:hAnsi="宋体" w:cs="宋体"/>
          <w:b/>
          <w:color w:val="auto"/>
          <w:kern w:val="0"/>
          <w:sz w:val="30"/>
          <w:szCs w:val="30"/>
          <w:highlight w:val="none"/>
        </w:rPr>
        <w:t>二、资格声明函</w:t>
      </w:r>
    </w:p>
    <w:p w14:paraId="14ABD1F9">
      <w:pPr>
        <w:shd w:val="clea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资格声明函</w:t>
      </w:r>
    </w:p>
    <w:p w14:paraId="28E38EB4">
      <w:pPr>
        <w:shd w:val="clear"/>
        <w:spacing w:line="360" w:lineRule="auto"/>
        <w:jc w:val="center"/>
        <w:rPr>
          <w:rFonts w:ascii="宋体" w:hAnsi="宋体" w:cs="宋体"/>
          <w:color w:val="auto"/>
          <w:sz w:val="24"/>
          <w:szCs w:val="20"/>
          <w:highlight w:val="none"/>
        </w:rPr>
      </w:pPr>
    </w:p>
    <w:p w14:paraId="615FCD4A">
      <w:pPr>
        <w:shd w:val="clear"/>
        <w:spacing w:line="360" w:lineRule="auto"/>
        <w:contextualSpacing/>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（采购代理机构名称）</w:t>
      </w:r>
      <w:r>
        <w:rPr>
          <w:rFonts w:hint="eastAsia" w:ascii="宋体" w:hAnsi="宋体" w:cs="宋体"/>
          <w:color w:val="auto"/>
          <w:sz w:val="24"/>
          <w:highlight w:val="none"/>
        </w:rPr>
        <w:t>：</w:t>
      </w:r>
    </w:p>
    <w:p w14:paraId="1770C5F9">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A600402">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6053DA66">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7F181388">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2.我方不是为本次采购项目提供整体设计、规范编制或者项目管理、监理、检测等服务的供应商；在获知本项目采购信息后，与采购人聘请的为此项目提供咨询服务的公司及其附属机构没有任何联系。</w:t>
      </w:r>
    </w:p>
    <w:p w14:paraId="310AA85B">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3.在此，我方宣布同意如下：</w:t>
      </w:r>
    </w:p>
    <w:p w14:paraId="041A06F3">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0BC5921B">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752EBB3C">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14:paraId="2A7C2E80">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（4）响应磋商文件规定的竞标有效期。</w:t>
      </w:r>
    </w:p>
    <w:p w14:paraId="51AD770A">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1D68FE6C">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064B7926">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7599B983">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5004AB18">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470C24B2">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5EC7959D">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（6）法律、行政法规规定的其他条件。</w:t>
      </w:r>
    </w:p>
    <w:p w14:paraId="6BC16741">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1FB1AC3">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70AF1BD1">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198A6898">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477E36C9">
      <w:pPr>
        <w:shd w:val="clear"/>
        <w:spacing w:line="360" w:lineRule="auto"/>
        <w:ind w:firstLine="480" w:firstLineChars="200"/>
        <w:contextualSpacing/>
        <w:rPr>
          <w:rFonts w:ascii="宋体" w:hAnsi="宋体" w:cs="宋体"/>
          <w:color w:val="auto"/>
          <w:kern w:val="0"/>
          <w:sz w:val="24"/>
          <w:highlight w:val="none"/>
          <w:u w:val="single"/>
          <w:lang w:val="zh-CN"/>
        </w:rPr>
      </w:pPr>
      <w:r>
        <w:rPr>
          <w:rFonts w:hint="eastAsia" w:ascii="宋体" w:hAnsi="宋体" w:cs="宋体"/>
          <w:color w:val="auto"/>
          <w:kern w:val="0"/>
          <w:sz w:val="24"/>
          <w:highlight w:val="none"/>
          <w:lang w:val="zh-CN"/>
        </w:rPr>
        <w:t>7.与本磋商有关的一切正式往来信函请寄：</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邮政编号：</w:t>
      </w:r>
      <w:r>
        <w:rPr>
          <w:rFonts w:hint="eastAsia" w:ascii="宋体" w:hAnsi="宋体" w:cs="宋体"/>
          <w:color w:val="auto"/>
          <w:kern w:val="0"/>
          <w:sz w:val="24"/>
          <w:highlight w:val="none"/>
          <w:u w:val="single"/>
          <w:lang w:val="zh-CN"/>
        </w:rPr>
        <w:t xml:space="preserve">        </w:t>
      </w:r>
    </w:p>
    <w:p w14:paraId="207222EE">
      <w:pPr>
        <w:shd w:val="clear"/>
        <w:spacing w:line="360" w:lineRule="auto"/>
        <w:ind w:firstLine="480" w:firstLineChars="200"/>
        <w:contextualSpacing/>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电话/传真：</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 xml:space="preserve"> 电子函件：</w:t>
      </w:r>
      <w:r>
        <w:rPr>
          <w:rFonts w:hint="eastAsia" w:ascii="宋体" w:hAnsi="宋体" w:cs="宋体"/>
          <w:color w:val="auto"/>
          <w:kern w:val="0"/>
          <w:sz w:val="24"/>
          <w:highlight w:val="none"/>
          <w:u w:val="single"/>
          <w:lang w:val="zh-CN"/>
        </w:rPr>
        <w:t xml:space="preserve">                         </w:t>
      </w:r>
    </w:p>
    <w:p w14:paraId="33652E35">
      <w:pPr>
        <w:shd w:val="clear"/>
        <w:tabs>
          <w:tab w:val="left" w:pos="939"/>
        </w:tabs>
        <w:spacing w:line="360" w:lineRule="auto"/>
        <w:ind w:left="141" w:leftChars="67" w:firstLine="360" w:firstLineChars="150"/>
        <w:contextualSpacing/>
        <w:rPr>
          <w:rFonts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账号：</w:t>
      </w:r>
      <w:r>
        <w:rPr>
          <w:rFonts w:hint="eastAsia" w:ascii="宋体" w:hAnsi="宋体" w:cs="宋体"/>
          <w:color w:val="auto"/>
          <w:sz w:val="24"/>
          <w:highlight w:val="none"/>
          <w:u w:val="single"/>
        </w:rPr>
        <w:t xml:space="preserve">                             </w:t>
      </w:r>
    </w:p>
    <w:p w14:paraId="6A796C0D">
      <w:pPr>
        <w:shd w:val="clear"/>
        <w:tabs>
          <w:tab w:val="left" w:pos="939"/>
        </w:tabs>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70D354F7">
      <w:pPr>
        <w:shd w:val="clear"/>
        <w:tabs>
          <w:tab w:val="left" w:pos="939"/>
        </w:tabs>
        <w:spacing w:line="360" w:lineRule="auto"/>
        <w:ind w:left="141" w:leftChars="67" w:firstLine="360" w:firstLineChars="150"/>
        <w:contextualSpacing/>
        <w:rPr>
          <w:rFonts w:ascii="宋体" w:hAnsi="宋体" w:cs="宋体"/>
          <w:color w:val="auto"/>
          <w:sz w:val="24"/>
          <w:highlight w:val="none"/>
        </w:rPr>
      </w:pPr>
      <w:r>
        <w:rPr>
          <w:rFonts w:hint="eastAsia" w:ascii="宋体" w:hAnsi="宋体" w:cs="宋体"/>
          <w:color w:val="auto"/>
          <w:sz w:val="24"/>
          <w:highlight w:val="none"/>
        </w:rPr>
        <w:t>特此承诺。</w:t>
      </w:r>
    </w:p>
    <w:p w14:paraId="52921847">
      <w:pPr>
        <w:shd w:val="clear"/>
        <w:tabs>
          <w:tab w:val="left" w:pos="939"/>
        </w:tabs>
        <w:spacing w:line="360" w:lineRule="auto"/>
        <w:ind w:firstLine="482" w:firstLineChars="200"/>
        <w:contextualSpacing/>
        <w:rPr>
          <w:rFonts w:ascii="宋体" w:hAnsi="宋体" w:cs="宋体"/>
          <w:b/>
          <w:color w:val="auto"/>
          <w:sz w:val="24"/>
          <w:highlight w:val="none"/>
        </w:rPr>
      </w:pPr>
    </w:p>
    <w:p w14:paraId="5052CE25">
      <w:pPr>
        <w:shd w:val="clear"/>
        <w:tabs>
          <w:tab w:val="left" w:pos="939"/>
        </w:tabs>
        <w:spacing w:line="360" w:lineRule="auto"/>
        <w:ind w:firstLine="482" w:firstLineChars="200"/>
        <w:contextualSpacing/>
        <w:rPr>
          <w:rFonts w:ascii="宋体" w:hAnsi="宋体" w:cs="宋体"/>
          <w:b/>
          <w:color w:val="auto"/>
          <w:sz w:val="24"/>
          <w:highlight w:val="none"/>
        </w:rPr>
      </w:pPr>
      <w:r>
        <w:rPr>
          <w:rFonts w:hint="eastAsia" w:ascii="宋体" w:hAnsi="宋体" w:cs="宋体"/>
          <w:b/>
          <w:color w:val="auto"/>
          <w:sz w:val="24"/>
          <w:highlight w:val="none"/>
        </w:rPr>
        <w:t>注：如为联合体竞标，盖章处须加盖联合体各方公章，否则其响应文件按无效响应处理。</w:t>
      </w:r>
    </w:p>
    <w:p w14:paraId="69488B9A">
      <w:pPr>
        <w:shd w:val="clear"/>
        <w:tabs>
          <w:tab w:val="left" w:pos="939"/>
        </w:tabs>
        <w:spacing w:line="360" w:lineRule="auto"/>
        <w:ind w:firstLine="480" w:firstLineChars="200"/>
        <w:contextualSpacing/>
        <w:rPr>
          <w:rFonts w:ascii="宋体" w:hAnsi="宋体" w:cs="宋体"/>
          <w:color w:val="auto"/>
          <w:sz w:val="24"/>
          <w:highlight w:val="none"/>
        </w:rPr>
      </w:pPr>
    </w:p>
    <w:p w14:paraId="0F689B56">
      <w:pPr>
        <w:shd w:val="clea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47E79205">
      <w:pPr>
        <w:shd w:val="clear"/>
        <w:autoSpaceDE w:val="0"/>
        <w:autoSpaceDN w:val="0"/>
        <w:spacing w:line="360" w:lineRule="auto"/>
        <w:ind w:firstLine="6120" w:firstLineChars="25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4200EC95">
      <w:pPr>
        <w:widowControl/>
        <w:shd w:val="clear"/>
        <w:jc w:val="left"/>
        <w:rPr>
          <w:rFonts w:ascii="Cambria" w:hAnsi="Cambria"/>
          <w:b/>
          <w:bCs/>
          <w:color w:val="auto"/>
          <w:sz w:val="32"/>
          <w:szCs w:val="32"/>
          <w:highlight w:val="none"/>
          <w:lang w:val="zh-CN"/>
        </w:rPr>
      </w:pPr>
      <w:r>
        <w:rPr>
          <w:color w:val="auto"/>
          <w:highlight w:val="none"/>
          <w:lang w:val="zh-CN"/>
        </w:rPr>
        <w:br w:type="page"/>
      </w:r>
    </w:p>
    <w:p w14:paraId="227E8793">
      <w:pPr>
        <w:shd w:val="clear"/>
        <w:spacing w:line="360" w:lineRule="auto"/>
        <w:jc w:val="left"/>
        <w:rPr>
          <w:rFonts w:ascii="宋体" w:hAnsi="宋体" w:cs="宋体"/>
          <w:b/>
          <w:color w:val="auto"/>
          <w:kern w:val="0"/>
          <w:sz w:val="30"/>
          <w:szCs w:val="30"/>
          <w:highlight w:val="none"/>
        </w:rPr>
      </w:pPr>
      <w:r>
        <w:rPr>
          <w:rFonts w:hint="eastAsia" w:ascii="宋体" w:hAnsi="宋体" w:cs="宋体"/>
          <w:b/>
          <w:color w:val="auto"/>
          <w:kern w:val="0"/>
          <w:sz w:val="30"/>
          <w:szCs w:val="30"/>
          <w:highlight w:val="none"/>
        </w:rPr>
        <w:t>三、联合体协议书（如有）</w:t>
      </w:r>
    </w:p>
    <w:p w14:paraId="34FB2DFB">
      <w:pPr>
        <w:shd w:val="clea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联合体协议书</w:t>
      </w:r>
    </w:p>
    <w:p w14:paraId="22D0FFE5">
      <w:pPr>
        <w:shd w:val="clear"/>
        <w:autoSpaceDE w:val="0"/>
        <w:autoSpaceDN w:val="0"/>
        <w:adjustRightInd w:val="0"/>
        <w:spacing w:line="360" w:lineRule="auto"/>
        <w:ind w:firstLine="420" w:firstLineChars="200"/>
        <w:jc w:val="left"/>
        <w:rPr>
          <w:rFonts w:ascii="宋体" w:cs="宋体"/>
          <w:color w:val="auto"/>
          <w:kern w:val="0"/>
          <w:szCs w:val="21"/>
          <w:highlight w:val="none"/>
        </w:rPr>
      </w:pP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（所有成员单位名称）自愿组成联合体，共同参加</w:t>
      </w:r>
      <w:r>
        <w:rPr>
          <w:rFonts w:hint="eastAsia" w:ascii="宋体" w:cs="宋体"/>
          <w:color w:val="auto"/>
          <w:kern w:val="0"/>
          <w:szCs w:val="21"/>
          <w:highlight w:val="none"/>
          <w:u w:val="single"/>
        </w:rPr>
        <w:t xml:space="preserve">         （采购代理机构名称）      </w:t>
      </w:r>
      <w:r>
        <w:rPr>
          <w:rFonts w:hint="eastAsia" w:ascii="宋体" w:cs="宋体"/>
          <w:color w:val="auto"/>
          <w:kern w:val="0"/>
          <w:szCs w:val="21"/>
          <w:highlight w:val="none"/>
        </w:rPr>
        <w:t>组织的</w:t>
      </w:r>
      <w:r>
        <w:rPr>
          <w:rFonts w:hint="eastAsia" w:ascii="宋体" w:cs="宋体"/>
          <w:color w:val="auto"/>
          <w:kern w:val="0"/>
          <w:szCs w:val="21"/>
          <w:highlight w:val="none"/>
          <w:u w:val="single"/>
        </w:rPr>
        <w:t xml:space="preserve">           （项目名称）           </w:t>
      </w:r>
      <w:r>
        <w:rPr>
          <w:rFonts w:hint="eastAsia" w:ascii="宋体" w:cs="宋体"/>
          <w:color w:val="auto"/>
          <w:kern w:val="0"/>
          <w:szCs w:val="21"/>
          <w:highlight w:val="none"/>
        </w:rPr>
        <w:t>（项目编号：</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）竞争性磋商采购。现就联合体竞标事宜订立如下协议：</w:t>
      </w:r>
    </w:p>
    <w:p w14:paraId="5DC9607E">
      <w:pPr>
        <w:shd w:val="clear"/>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TimesNewRomanPSMT"/>
          <w:color w:val="auto"/>
          <w:kern w:val="0"/>
          <w:szCs w:val="21"/>
          <w:highlight w:val="none"/>
          <w:lang w:eastAsia="zh-CN"/>
        </w:rPr>
        <w:t>1.</w:t>
      </w:r>
      <w:r>
        <w:rPr>
          <w:color w:val="auto"/>
          <w:highlight w:val="none"/>
        </w:rPr>
        <w:t>________________________</w:t>
      </w:r>
      <w:r>
        <w:rPr>
          <w:rFonts w:hint="eastAsia" w:ascii="宋体" w:hAnsi="宋体" w:cs="宋体"/>
          <w:color w:val="auto"/>
          <w:kern w:val="0"/>
          <w:szCs w:val="21"/>
          <w:highlight w:val="none"/>
        </w:rPr>
        <w:t>（某成员单位名称）为联合体名称牵头人。</w:t>
      </w:r>
    </w:p>
    <w:p w14:paraId="1BB2F49B">
      <w:pPr>
        <w:shd w:val="clear"/>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TimesNewRomanPSMT"/>
          <w:color w:val="auto"/>
          <w:kern w:val="0"/>
          <w:szCs w:val="21"/>
          <w:highlight w:val="none"/>
          <w:lang w:eastAsia="zh-CN"/>
        </w:rPr>
        <w:t>2.</w:t>
      </w:r>
      <w:r>
        <w:rPr>
          <w:rFonts w:hint="eastAsia" w:ascii="宋体" w:hAnsi="宋体" w:cs="宋体"/>
          <w:color w:val="auto"/>
          <w:kern w:val="0"/>
          <w:szCs w:val="21"/>
          <w:highlight w:val="none"/>
        </w:rPr>
        <w:t>联合体牵头人合法代表联合体各成员负责本磋商项目响应文件编制和合同谈判活动，并代表联合体提交和接收相关的资料、信息及指示，并处理与之有关的一切事务，负责合同实施阶段的主办、组织和协调工作。</w:t>
      </w:r>
    </w:p>
    <w:p w14:paraId="57417FFB">
      <w:pPr>
        <w:shd w:val="clear"/>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lang w:eastAsia="zh-CN"/>
        </w:rPr>
        <w:t>3.</w:t>
      </w:r>
      <w:r>
        <w:rPr>
          <w:rFonts w:hint="eastAsia" w:ascii="宋体" w:hAnsi="宋体" w:cs="宋体"/>
          <w:color w:val="auto"/>
          <w:kern w:val="0"/>
          <w:szCs w:val="21"/>
          <w:highlight w:val="none"/>
        </w:rPr>
        <w:t>联合体牵头人在本项目中签署和盖章的一切文件和处理的一切事宜，联合体各成员均予以承认。</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联合体各成员将严格按照磋商文件、响应文件和合同的要求全面履行义务，并向采购人承担连带责任。</w:t>
      </w:r>
    </w:p>
    <w:p w14:paraId="5A770BBD">
      <w:pPr>
        <w:shd w:val="clear"/>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TimesNewRomanPSMT"/>
          <w:color w:val="auto"/>
          <w:kern w:val="0"/>
          <w:szCs w:val="21"/>
          <w:highlight w:val="none"/>
          <w:lang w:eastAsia="zh-CN"/>
        </w:rPr>
        <w:t>4.</w:t>
      </w:r>
      <w:r>
        <w:rPr>
          <w:rFonts w:hint="eastAsia" w:ascii="宋体" w:hAnsi="宋体" w:cs="宋体"/>
          <w:color w:val="auto"/>
          <w:kern w:val="0"/>
          <w:szCs w:val="21"/>
          <w:highlight w:val="none"/>
        </w:rPr>
        <w:t>联合体各成员单位内部的职责分工如下：</w:t>
      </w:r>
    </w:p>
    <w:p w14:paraId="5CE7DAC7">
      <w:pPr>
        <w:shd w:val="clear"/>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cs="宋体"/>
          <w:color w:val="auto"/>
          <w:kern w:val="0"/>
          <w:szCs w:val="21"/>
          <w:highlight w:val="none"/>
          <w:u w:val="single"/>
        </w:rPr>
        <w:t xml:space="preserve">                                                  </w:t>
      </w:r>
      <w:r>
        <w:rPr>
          <w:rFonts w:hint="eastAsia" w:ascii="宋体" w:hAnsi="宋体" w:cs="宋体"/>
          <w:color w:val="auto"/>
          <w:kern w:val="0"/>
          <w:szCs w:val="21"/>
          <w:highlight w:val="none"/>
        </w:rPr>
        <w:t>。</w:t>
      </w:r>
    </w:p>
    <w:p w14:paraId="1A4F9D74">
      <w:pPr>
        <w:shd w:val="clear"/>
        <w:spacing w:line="360" w:lineRule="auto"/>
        <w:ind w:firstLine="420" w:firstLineChars="200"/>
        <w:rPr>
          <w:color w:val="auto"/>
          <w:szCs w:val="21"/>
          <w:highlight w:val="none"/>
        </w:rPr>
      </w:pPr>
      <w:r>
        <w:rPr>
          <w:rFonts w:hint="eastAsia" w:ascii="宋体" w:hAnsi="宋体" w:cs="宋体"/>
          <w:color w:val="auto"/>
          <w:kern w:val="0"/>
          <w:szCs w:val="20"/>
          <w:highlight w:val="none"/>
          <w:lang w:eastAsia="zh-CN"/>
        </w:rPr>
        <w:t>5.</w:t>
      </w:r>
      <w:r>
        <w:rPr>
          <w:rFonts w:hint="eastAsia" w:ascii="宋体" w:hAnsi="宋体" w:cs="宋体"/>
          <w:color w:val="auto"/>
          <w:kern w:val="0"/>
          <w:szCs w:val="20"/>
          <w:highlight w:val="none"/>
        </w:rPr>
        <w:t>本联合体中，</w:t>
      </w:r>
      <w:r>
        <w:rPr>
          <w:rFonts w:hint="eastAsia" w:ascii="宋体" w:hAnsi="Courier New"/>
          <w:color w:val="auto"/>
          <w:szCs w:val="20"/>
          <w:highlight w:val="none"/>
          <w:u w:val="single"/>
        </w:rPr>
        <w:t xml:space="preserve">                   </w:t>
      </w:r>
      <w:r>
        <w:rPr>
          <w:rFonts w:hint="eastAsia" w:ascii="宋体" w:hAnsi="宋体" w:cs="宋体"/>
          <w:color w:val="auto"/>
          <w:kern w:val="0"/>
          <w:szCs w:val="20"/>
          <w:highlight w:val="none"/>
          <w:u w:val="single"/>
        </w:rPr>
        <w:t>（某成员单位名称）</w:t>
      </w:r>
      <w:r>
        <w:rPr>
          <w:rFonts w:hint="eastAsia" w:ascii="宋体" w:hAnsi="宋体" w:cs="宋体"/>
          <w:color w:val="auto"/>
          <w:kern w:val="0"/>
          <w:szCs w:val="20"/>
          <w:highlight w:val="none"/>
        </w:rPr>
        <w:t>为</w:t>
      </w:r>
      <w:r>
        <w:rPr>
          <w:rFonts w:hint="eastAsia" w:ascii="宋体" w:hAnsi="Courier New"/>
          <w:color w:val="auto"/>
          <w:szCs w:val="20"/>
          <w:highlight w:val="none"/>
          <w:u w:val="single"/>
        </w:rPr>
        <w:t xml:space="preserve">       </w:t>
      </w:r>
      <w:r>
        <w:rPr>
          <w:rFonts w:hint="eastAsia" w:ascii="宋体" w:hAnsi="Courier New"/>
          <w:color w:val="auto"/>
          <w:szCs w:val="20"/>
          <w:highlight w:val="none"/>
        </w:rPr>
        <w:t>（请填写：中型、小型、微型）企业，其协议合同金额占联合体协议合同总金额的</w:t>
      </w:r>
      <w:r>
        <w:rPr>
          <w:rFonts w:hint="eastAsia" w:ascii="宋体" w:hAnsi="Courier New"/>
          <w:color w:val="auto"/>
          <w:szCs w:val="20"/>
          <w:highlight w:val="none"/>
          <w:u w:val="single"/>
        </w:rPr>
        <w:t xml:space="preserve">      </w:t>
      </w:r>
      <w:r>
        <w:rPr>
          <w:rFonts w:hint="eastAsia" w:ascii="宋体" w:hAnsi="Courier New"/>
          <w:color w:val="auto"/>
          <w:szCs w:val="20"/>
          <w:highlight w:val="none"/>
        </w:rPr>
        <w:t>%。【如联合体成员中有小型、微型企业的，请填写此条，否则无需填写；如联合体成员中有多个小型、微型企业的，请逐一列出。】</w:t>
      </w:r>
    </w:p>
    <w:p w14:paraId="17D1682B">
      <w:pPr>
        <w:shd w:val="clear"/>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TimesNewRomanPSMT"/>
          <w:color w:val="auto"/>
          <w:kern w:val="0"/>
          <w:szCs w:val="21"/>
          <w:highlight w:val="none"/>
          <w:lang w:eastAsia="zh-CN"/>
        </w:rPr>
        <w:t>6.</w:t>
      </w:r>
      <w:r>
        <w:rPr>
          <w:rFonts w:hint="eastAsia" w:ascii="宋体" w:hAnsi="宋体" w:cs="宋体"/>
          <w:color w:val="auto"/>
          <w:kern w:val="0"/>
          <w:szCs w:val="21"/>
          <w:highlight w:val="none"/>
        </w:rPr>
        <w:t>本协议书自签署之日起生效，合同履行完毕后自动失效。</w:t>
      </w:r>
    </w:p>
    <w:p w14:paraId="3791BD8B">
      <w:pPr>
        <w:shd w:val="clear"/>
        <w:autoSpaceDE w:val="0"/>
        <w:autoSpaceDN w:val="0"/>
        <w:adjustRightInd w:val="0"/>
        <w:spacing w:line="360" w:lineRule="auto"/>
        <w:ind w:firstLine="420"/>
        <w:jc w:val="left"/>
        <w:rPr>
          <w:rFonts w:ascii="宋体" w:cs="宋体"/>
          <w:color w:val="auto"/>
          <w:kern w:val="0"/>
          <w:szCs w:val="21"/>
          <w:highlight w:val="none"/>
        </w:rPr>
      </w:pPr>
    </w:p>
    <w:p w14:paraId="0BF2FAD0">
      <w:pPr>
        <w:shd w:val="clear"/>
        <w:autoSpaceDE w:val="0"/>
        <w:autoSpaceDN w:val="0"/>
        <w:adjustRightInd w:val="0"/>
        <w:spacing w:line="360" w:lineRule="auto"/>
        <w:ind w:firstLine="420"/>
        <w:jc w:val="left"/>
        <w:rPr>
          <w:rFonts w:ascii="宋体" w:cs="宋体"/>
          <w:color w:val="auto"/>
          <w:kern w:val="0"/>
          <w:szCs w:val="21"/>
          <w:highlight w:val="none"/>
        </w:rPr>
      </w:pPr>
      <w:r>
        <w:rPr>
          <w:rFonts w:hint="eastAsia" w:ascii="宋体" w:cs="宋体"/>
          <w:color w:val="auto"/>
          <w:kern w:val="0"/>
          <w:szCs w:val="21"/>
          <w:highlight w:val="none"/>
        </w:rPr>
        <w:t>注：本协议书由法定代表人签字的，应附法定代表人身份证明；本协议书由委托代理人签字的，应附法定代表人授权委托书。</w:t>
      </w:r>
    </w:p>
    <w:p w14:paraId="68790E74">
      <w:pPr>
        <w:shd w:val="clear"/>
        <w:autoSpaceDE w:val="0"/>
        <w:autoSpaceDN w:val="0"/>
        <w:adjustRightInd w:val="0"/>
        <w:spacing w:line="360" w:lineRule="auto"/>
        <w:jc w:val="left"/>
        <w:rPr>
          <w:rFonts w:ascii="宋体" w:cs="宋体"/>
          <w:color w:val="auto"/>
          <w:kern w:val="0"/>
          <w:szCs w:val="21"/>
          <w:highlight w:val="none"/>
        </w:rPr>
      </w:pPr>
    </w:p>
    <w:p w14:paraId="79247A0E">
      <w:pPr>
        <w:shd w:val="clear"/>
        <w:autoSpaceDE w:val="0"/>
        <w:autoSpaceDN w:val="0"/>
        <w:adjustRightInd w:val="0"/>
        <w:spacing w:line="360" w:lineRule="auto"/>
        <w:jc w:val="left"/>
        <w:rPr>
          <w:rFonts w:ascii="宋体" w:cs="宋体"/>
          <w:color w:val="auto"/>
          <w:kern w:val="0"/>
          <w:szCs w:val="21"/>
          <w:highlight w:val="none"/>
        </w:rPr>
      </w:pPr>
      <w:r>
        <w:rPr>
          <w:rFonts w:hint="eastAsia" w:ascii="宋体" w:cs="宋体"/>
          <w:color w:val="auto"/>
          <w:kern w:val="0"/>
          <w:szCs w:val="21"/>
          <w:highlight w:val="none"/>
        </w:rPr>
        <w:t>牵头人名称：</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（公章/电子签章）</w:t>
      </w:r>
    </w:p>
    <w:p w14:paraId="30009F8C">
      <w:pPr>
        <w:shd w:val="clear"/>
        <w:autoSpaceDE w:val="0"/>
        <w:autoSpaceDN w:val="0"/>
        <w:adjustRightInd w:val="0"/>
        <w:spacing w:line="360" w:lineRule="auto"/>
        <w:jc w:val="left"/>
        <w:rPr>
          <w:rFonts w:ascii="宋体" w:cs="宋体"/>
          <w:color w:val="auto"/>
          <w:kern w:val="0"/>
          <w:szCs w:val="21"/>
          <w:highlight w:val="none"/>
        </w:rPr>
      </w:pPr>
      <w:r>
        <w:rPr>
          <w:rFonts w:hint="eastAsia" w:ascii="宋体" w:cs="宋体"/>
          <w:color w:val="auto"/>
          <w:kern w:val="0"/>
          <w:szCs w:val="21"/>
          <w:highlight w:val="none"/>
        </w:rPr>
        <w:t>法定代表人或其委托代理人：</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（手写签名/电子签名）</w:t>
      </w:r>
    </w:p>
    <w:p w14:paraId="6E7728E0">
      <w:pPr>
        <w:shd w:val="clear"/>
        <w:autoSpaceDE w:val="0"/>
        <w:autoSpaceDN w:val="0"/>
        <w:adjustRightInd w:val="0"/>
        <w:spacing w:line="360" w:lineRule="auto"/>
        <w:jc w:val="left"/>
        <w:rPr>
          <w:rFonts w:ascii="宋体" w:cs="宋体"/>
          <w:color w:val="auto"/>
          <w:kern w:val="0"/>
          <w:szCs w:val="21"/>
          <w:highlight w:val="none"/>
        </w:rPr>
      </w:pPr>
    </w:p>
    <w:p w14:paraId="650ACFA7">
      <w:pPr>
        <w:shd w:val="clear"/>
        <w:autoSpaceDE w:val="0"/>
        <w:autoSpaceDN w:val="0"/>
        <w:adjustRightInd w:val="0"/>
        <w:spacing w:line="360" w:lineRule="auto"/>
        <w:jc w:val="left"/>
        <w:rPr>
          <w:rFonts w:ascii="宋体" w:cs="宋体"/>
          <w:color w:val="auto"/>
          <w:kern w:val="0"/>
          <w:szCs w:val="21"/>
          <w:highlight w:val="none"/>
        </w:rPr>
      </w:pPr>
      <w:r>
        <w:rPr>
          <w:rFonts w:hint="eastAsia" w:ascii="宋体" w:cs="宋体"/>
          <w:color w:val="auto"/>
          <w:kern w:val="0"/>
          <w:szCs w:val="21"/>
          <w:highlight w:val="none"/>
        </w:rPr>
        <w:t>成员一名称：</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（公章/电子签章）</w:t>
      </w:r>
    </w:p>
    <w:p w14:paraId="6C63FE15">
      <w:pPr>
        <w:shd w:val="clear"/>
        <w:autoSpaceDE w:val="0"/>
        <w:autoSpaceDN w:val="0"/>
        <w:adjustRightInd w:val="0"/>
        <w:spacing w:line="360" w:lineRule="auto"/>
        <w:jc w:val="left"/>
        <w:rPr>
          <w:rFonts w:ascii="宋体" w:cs="宋体"/>
          <w:color w:val="auto"/>
          <w:kern w:val="0"/>
          <w:szCs w:val="21"/>
          <w:highlight w:val="none"/>
        </w:rPr>
      </w:pPr>
      <w:r>
        <w:rPr>
          <w:rFonts w:hint="eastAsia" w:ascii="宋体" w:cs="宋体"/>
          <w:color w:val="auto"/>
          <w:kern w:val="0"/>
          <w:szCs w:val="21"/>
          <w:highlight w:val="none"/>
        </w:rPr>
        <w:t>法定代表人或其委托代理人：</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（手写签名/电子签名）</w:t>
      </w:r>
    </w:p>
    <w:p w14:paraId="73076127">
      <w:pPr>
        <w:shd w:val="clear"/>
        <w:autoSpaceDE w:val="0"/>
        <w:autoSpaceDN w:val="0"/>
        <w:adjustRightInd w:val="0"/>
        <w:spacing w:line="360" w:lineRule="auto"/>
        <w:jc w:val="left"/>
        <w:rPr>
          <w:rFonts w:ascii="宋体" w:cs="宋体"/>
          <w:color w:val="auto"/>
          <w:kern w:val="0"/>
          <w:szCs w:val="21"/>
          <w:highlight w:val="none"/>
        </w:rPr>
      </w:pPr>
    </w:p>
    <w:p w14:paraId="225ECA1F">
      <w:pPr>
        <w:shd w:val="clear"/>
        <w:autoSpaceDE w:val="0"/>
        <w:autoSpaceDN w:val="0"/>
        <w:adjustRightInd w:val="0"/>
        <w:spacing w:line="360" w:lineRule="auto"/>
        <w:jc w:val="left"/>
        <w:rPr>
          <w:rFonts w:ascii="宋体" w:cs="宋体"/>
          <w:color w:val="auto"/>
          <w:kern w:val="0"/>
          <w:szCs w:val="21"/>
          <w:highlight w:val="none"/>
        </w:rPr>
      </w:pPr>
      <w:r>
        <w:rPr>
          <w:rFonts w:hint="eastAsia" w:ascii="宋体" w:cs="宋体"/>
          <w:color w:val="auto"/>
          <w:kern w:val="0"/>
          <w:szCs w:val="21"/>
          <w:highlight w:val="none"/>
        </w:rPr>
        <w:t>成员二名称：</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（公章/电子签章）</w:t>
      </w:r>
    </w:p>
    <w:p w14:paraId="0E2D4A70">
      <w:pPr>
        <w:shd w:val="clear"/>
        <w:snapToGrid w:val="0"/>
        <w:spacing w:before="50" w:after="120" w:afterLines="50" w:line="360" w:lineRule="auto"/>
        <w:jc w:val="left"/>
        <w:rPr>
          <w:rFonts w:ascii="宋体" w:hAnsi="宋体" w:cs="宋体"/>
          <w:color w:val="auto"/>
          <w:sz w:val="24"/>
          <w:highlight w:val="none"/>
        </w:rPr>
      </w:pPr>
      <w:r>
        <w:rPr>
          <w:rFonts w:hint="eastAsia" w:cs="宋体"/>
          <w:color w:val="auto"/>
          <w:kern w:val="0"/>
          <w:szCs w:val="21"/>
          <w:highlight w:val="none"/>
        </w:rPr>
        <w:t>法定代表人或其委托代理人：</w:t>
      </w:r>
      <w:r>
        <w:rPr>
          <w:rFonts w:hint="eastAsia" w:cs="宋体"/>
          <w:color w:val="auto"/>
          <w:kern w:val="0"/>
          <w:szCs w:val="21"/>
          <w:highlight w:val="none"/>
          <w:u w:val="single"/>
        </w:rPr>
        <w:t xml:space="preserve">                         </w:t>
      </w:r>
      <w:r>
        <w:rPr>
          <w:rFonts w:hint="eastAsia" w:cs="宋体"/>
          <w:color w:val="auto"/>
          <w:kern w:val="0"/>
          <w:szCs w:val="21"/>
          <w:highlight w:val="none"/>
        </w:rPr>
        <w:t>（手写签名/电子签名）</w:t>
      </w:r>
    </w:p>
    <w:p w14:paraId="6CA89192">
      <w:pPr>
        <w:shd w:val="clear"/>
        <w:rPr>
          <w:color w:val="auto"/>
          <w:highlight w:val="none"/>
        </w:rPr>
      </w:pPr>
    </w:p>
    <w:p w14:paraId="11A2E7F8">
      <w:pPr>
        <w:widowControl/>
        <w:shd w:val="clear"/>
        <w:jc w:val="left"/>
        <w:rPr>
          <w:rFonts w:ascii="宋体" w:cs="宋体"/>
          <w:color w:val="auto"/>
          <w:kern w:val="0"/>
          <w:sz w:val="24"/>
          <w:highlight w:val="none"/>
          <w:lang w:val="zh-CN"/>
        </w:rPr>
      </w:pPr>
      <w:r>
        <w:rPr>
          <w:color w:val="auto"/>
          <w:highlight w:val="none"/>
          <w:lang w:val="zh-CN"/>
        </w:rPr>
        <w:br w:type="page"/>
      </w:r>
    </w:p>
    <w:p w14:paraId="3FA2A799">
      <w:pPr>
        <w:keepNext/>
        <w:keepLines/>
        <w:shd w:val="clear"/>
        <w:spacing w:before="20" w:after="20" w:line="360" w:lineRule="auto"/>
        <w:jc w:val="center"/>
        <w:outlineLvl w:val="1"/>
        <w:rPr>
          <w:rFonts w:ascii="宋体" w:hAnsi="宋体" w:cs="宋体"/>
          <w:b/>
          <w:color w:val="auto"/>
          <w:sz w:val="32"/>
          <w:szCs w:val="32"/>
          <w:highlight w:val="none"/>
          <w:lang w:val="zh-CN"/>
        </w:rPr>
      </w:pPr>
      <w:bookmarkStart w:id="75" w:name="_Toc5833"/>
      <w:bookmarkStart w:id="76" w:name="_Toc106283335"/>
      <w:bookmarkStart w:id="77" w:name="_Toc80205940"/>
      <w:r>
        <w:rPr>
          <w:rFonts w:hint="eastAsia" w:ascii="宋体" w:hAnsi="宋体" w:cs="宋体"/>
          <w:b/>
          <w:color w:val="auto"/>
          <w:sz w:val="32"/>
          <w:szCs w:val="32"/>
          <w:highlight w:val="none"/>
          <w:lang w:val="zh-CN"/>
        </w:rPr>
        <w:t>第</w:t>
      </w:r>
      <w:r>
        <w:rPr>
          <w:rFonts w:hint="eastAsia" w:ascii="宋体" w:hAnsi="宋体" w:cs="宋体"/>
          <w:b/>
          <w:color w:val="auto"/>
          <w:sz w:val="32"/>
          <w:szCs w:val="32"/>
          <w:highlight w:val="none"/>
        </w:rPr>
        <w:t>二</w:t>
      </w:r>
      <w:r>
        <w:rPr>
          <w:rFonts w:hint="eastAsia" w:ascii="宋体" w:hAnsi="宋体" w:cs="宋体"/>
          <w:b/>
          <w:color w:val="auto"/>
          <w:sz w:val="32"/>
          <w:szCs w:val="32"/>
          <w:highlight w:val="none"/>
          <w:lang w:val="zh-CN"/>
        </w:rPr>
        <w:t>节 商务技术文件格式</w:t>
      </w:r>
      <w:bookmarkEnd w:id="75"/>
      <w:bookmarkEnd w:id="76"/>
      <w:bookmarkEnd w:id="77"/>
    </w:p>
    <w:p w14:paraId="6C16950C">
      <w:pPr>
        <w:shd w:val="clear"/>
        <w:snapToGrid w:val="0"/>
        <w:spacing w:before="120" w:beforeLines="50" w:after="50" w:line="360" w:lineRule="auto"/>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全流程电子文件</w:t>
      </w:r>
    </w:p>
    <w:p w14:paraId="0C255FA4">
      <w:pPr>
        <w:shd w:val="clear"/>
        <w:snapToGrid w:val="0"/>
        <w:spacing w:before="120" w:beforeLines="50" w:after="50" w:line="360" w:lineRule="auto"/>
        <w:rPr>
          <w:rFonts w:ascii="宋体" w:hAnsi="宋体" w:cs="宋体"/>
          <w:color w:val="auto"/>
          <w:sz w:val="24"/>
          <w:szCs w:val="20"/>
          <w:highlight w:val="none"/>
        </w:rPr>
      </w:pPr>
    </w:p>
    <w:p w14:paraId="66B8C746">
      <w:pPr>
        <w:shd w:val="clear"/>
        <w:snapToGrid w:val="0"/>
        <w:spacing w:before="120" w:beforeLines="50" w:after="50" w:line="360" w:lineRule="auto"/>
        <w:rPr>
          <w:rFonts w:ascii="宋体" w:hAnsi="宋体" w:cs="宋体"/>
          <w:color w:val="auto"/>
          <w:sz w:val="24"/>
          <w:szCs w:val="20"/>
          <w:highlight w:val="none"/>
        </w:rPr>
      </w:pPr>
    </w:p>
    <w:p w14:paraId="012CC081">
      <w:pPr>
        <w:shd w:val="clear"/>
        <w:snapToGrid w:val="0"/>
        <w:spacing w:before="120" w:beforeLines="50" w:after="50" w:line="360" w:lineRule="auto"/>
        <w:rPr>
          <w:rFonts w:ascii="宋体" w:hAnsi="宋体" w:cs="宋体"/>
          <w:color w:val="auto"/>
          <w:sz w:val="24"/>
          <w:szCs w:val="20"/>
          <w:highlight w:val="none"/>
        </w:rPr>
      </w:pPr>
    </w:p>
    <w:p w14:paraId="25264EC7">
      <w:pPr>
        <w:shd w:val="clear"/>
        <w:snapToGrid w:val="0"/>
        <w:spacing w:before="120" w:beforeLines="50" w:after="50" w:line="360" w:lineRule="auto"/>
        <w:jc w:val="center"/>
        <w:rPr>
          <w:rFonts w:ascii="宋体" w:hAnsi="宋体" w:cs="宋体"/>
          <w:bCs/>
          <w:color w:val="auto"/>
          <w:sz w:val="44"/>
          <w:szCs w:val="44"/>
          <w:highlight w:val="none"/>
        </w:rPr>
      </w:pPr>
      <w:r>
        <w:rPr>
          <w:rFonts w:hint="eastAsia" w:ascii="宋体" w:hAnsi="宋体" w:cs="宋体"/>
          <w:bCs/>
          <w:color w:val="auto"/>
          <w:sz w:val="44"/>
          <w:szCs w:val="44"/>
          <w:highlight w:val="none"/>
        </w:rPr>
        <w:t>商务技术文件（封面）</w:t>
      </w:r>
    </w:p>
    <w:p w14:paraId="1B801878">
      <w:pPr>
        <w:shd w:val="clear"/>
        <w:snapToGrid w:val="0"/>
        <w:spacing w:before="120" w:beforeLines="50" w:after="50" w:line="360" w:lineRule="auto"/>
        <w:rPr>
          <w:rFonts w:ascii="宋体" w:hAnsi="宋体" w:cs="宋体"/>
          <w:bCs/>
          <w:color w:val="auto"/>
          <w:sz w:val="24"/>
          <w:szCs w:val="20"/>
          <w:highlight w:val="none"/>
        </w:rPr>
      </w:pPr>
    </w:p>
    <w:p w14:paraId="2141C924">
      <w:pPr>
        <w:shd w:val="clear"/>
        <w:snapToGrid w:val="0"/>
        <w:spacing w:before="120" w:beforeLines="50" w:after="50" w:line="360" w:lineRule="auto"/>
        <w:rPr>
          <w:rFonts w:ascii="宋体" w:hAnsi="宋体" w:cs="宋体"/>
          <w:bCs/>
          <w:color w:val="auto"/>
          <w:sz w:val="24"/>
          <w:szCs w:val="20"/>
          <w:highlight w:val="none"/>
        </w:rPr>
      </w:pPr>
    </w:p>
    <w:p w14:paraId="201276E4">
      <w:pPr>
        <w:shd w:val="clear"/>
        <w:snapToGrid w:val="0"/>
        <w:spacing w:before="120" w:beforeLines="50" w:after="50" w:line="360" w:lineRule="auto"/>
        <w:rPr>
          <w:rFonts w:ascii="宋体" w:hAnsi="宋体" w:cs="宋体"/>
          <w:bCs/>
          <w:color w:val="auto"/>
          <w:sz w:val="24"/>
          <w:szCs w:val="20"/>
          <w:highlight w:val="none"/>
        </w:rPr>
      </w:pPr>
    </w:p>
    <w:p w14:paraId="5531D4F6">
      <w:pPr>
        <w:shd w:val="clear"/>
        <w:snapToGrid w:val="0"/>
        <w:spacing w:before="120" w:beforeLines="50" w:after="50" w:line="360" w:lineRule="auto"/>
        <w:rPr>
          <w:rFonts w:ascii="宋体" w:hAnsi="宋体" w:cs="宋体"/>
          <w:bCs/>
          <w:color w:val="auto"/>
          <w:sz w:val="24"/>
          <w:szCs w:val="20"/>
          <w:highlight w:val="none"/>
        </w:rPr>
      </w:pPr>
    </w:p>
    <w:p w14:paraId="134549EF">
      <w:pPr>
        <w:shd w:val="clear"/>
        <w:snapToGrid w:val="0"/>
        <w:spacing w:line="600" w:lineRule="auto"/>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33DF54E9">
      <w:pPr>
        <w:shd w:val="clear"/>
        <w:snapToGrid w:val="0"/>
        <w:spacing w:line="600" w:lineRule="auto"/>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4DCA0D56">
      <w:pPr>
        <w:shd w:val="clear"/>
        <w:snapToGrid w:val="0"/>
        <w:spacing w:line="600" w:lineRule="auto"/>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7ABB424B">
      <w:pPr>
        <w:shd w:val="clear"/>
        <w:snapToGrid w:val="0"/>
        <w:spacing w:line="600" w:lineRule="auto"/>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27CA53E0">
      <w:pPr>
        <w:shd w:val="clear"/>
        <w:snapToGrid w:val="0"/>
        <w:spacing w:before="50" w:after="50" w:line="360" w:lineRule="auto"/>
        <w:ind w:firstLine="720" w:firstLineChars="225"/>
        <w:rPr>
          <w:rFonts w:ascii="宋体" w:hAnsi="宋体" w:cs="宋体"/>
          <w:bCs/>
          <w:color w:val="auto"/>
          <w:sz w:val="32"/>
          <w:szCs w:val="32"/>
          <w:highlight w:val="none"/>
        </w:rPr>
      </w:pPr>
    </w:p>
    <w:p w14:paraId="0D3DB433">
      <w:pPr>
        <w:shd w:val="clear"/>
        <w:snapToGrid w:val="0"/>
        <w:spacing w:before="50" w:after="50" w:line="360" w:lineRule="auto"/>
        <w:ind w:firstLine="1280" w:firstLineChars="400"/>
        <w:rPr>
          <w:rFonts w:ascii="宋体" w:hAnsi="宋体" w:cs="宋体"/>
          <w:bCs/>
          <w:color w:val="auto"/>
          <w:sz w:val="32"/>
          <w:szCs w:val="32"/>
          <w:highlight w:val="none"/>
        </w:rPr>
      </w:pPr>
    </w:p>
    <w:p w14:paraId="4132285F">
      <w:pPr>
        <w:shd w:val="clear"/>
        <w:snapToGrid w:val="0"/>
        <w:spacing w:before="120" w:beforeLines="50" w:after="50" w:line="360" w:lineRule="auto"/>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1BFA5786">
      <w:pPr>
        <w:shd w:val="clear"/>
        <w:snapToGrid w:val="0"/>
        <w:spacing w:before="120" w:beforeLines="50" w:after="50" w:line="360" w:lineRule="auto"/>
        <w:ind w:left="142" w:firstLine="643" w:firstLineChars="200"/>
        <w:jc w:val="left"/>
        <w:rPr>
          <w:rFonts w:ascii="宋体" w:hAnsi="宋体" w:cs="宋体"/>
          <w:b/>
          <w:bCs/>
          <w:color w:val="auto"/>
          <w:sz w:val="32"/>
          <w:szCs w:val="32"/>
          <w:highlight w:val="none"/>
        </w:rPr>
        <w:sectPr>
          <w:pgSz w:w="11910" w:h="16840"/>
          <w:pgMar w:top="1418" w:right="1418" w:bottom="1418" w:left="1418" w:header="720" w:footer="720" w:gutter="0"/>
          <w:cols w:space="720" w:num="1"/>
        </w:sectPr>
      </w:pPr>
    </w:p>
    <w:p w14:paraId="27831099">
      <w:pPr>
        <w:shd w:val="clear"/>
        <w:snapToGrid w:val="0"/>
        <w:spacing w:before="120" w:beforeLines="50" w:after="50"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商务技术文件目录</w:t>
      </w:r>
    </w:p>
    <w:p w14:paraId="705C575A">
      <w:pPr>
        <w:shd w:val="clear"/>
        <w:spacing w:line="360" w:lineRule="auto"/>
        <w:jc w:val="center"/>
        <w:rPr>
          <w:rFonts w:ascii="宋体" w:hAnsi="宋体" w:cs="宋体"/>
          <w:b/>
          <w:color w:val="auto"/>
          <w:kern w:val="0"/>
          <w:sz w:val="28"/>
          <w:szCs w:val="28"/>
          <w:highlight w:val="none"/>
        </w:rPr>
      </w:pPr>
    </w:p>
    <w:p w14:paraId="120648BC">
      <w:pPr>
        <w:shd w:val="clear"/>
        <w:snapToGrid w:val="0"/>
        <w:spacing w:before="120" w:beforeLines="50" w:after="50" w:line="360" w:lineRule="auto"/>
        <w:ind w:firstLine="640" w:firstLineChars="200"/>
        <w:rPr>
          <w:rFonts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08190C3B">
      <w:pPr>
        <w:shd w:val="clear"/>
        <w:spacing w:line="360" w:lineRule="auto"/>
        <w:rPr>
          <w:rFonts w:ascii="宋体" w:hAnsi="宋体" w:cs="宋体"/>
          <w:color w:val="auto"/>
          <w:sz w:val="32"/>
          <w:szCs w:val="32"/>
          <w:highlight w:val="none"/>
        </w:rPr>
      </w:pPr>
    </w:p>
    <w:p w14:paraId="34BA7DA6">
      <w:pPr>
        <w:shd w:val="clear"/>
        <w:spacing w:line="360" w:lineRule="auto"/>
        <w:rPr>
          <w:rFonts w:ascii="宋体" w:hAnsi="宋体" w:cs="宋体"/>
          <w:color w:val="auto"/>
          <w:sz w:val="44"/>
          <w:szCs w:val="44"/>
          <w:highlight w:val="none"/>
        </w:rPr>
      </w:pPr>
      <w:r>
        <w:rPr>
          <w:rFonts w:hint="eastAsia" w:ascii="宋体" w:hAnsi="宋体" w:cs="宋体"/>
          <w:color w:val="auto"/>
          <w:sz w:val="44"/>
          <w:szCs w:val="44"/>
          <w:highlight w:val="none"/>
        </w:rPr>
        <w:br w:type="page"/>
      </w:r>
      <w:r>
        <w:rPr>
          <w:rFonts w:hint="eastAsia" w:ascii="宋体" w:hAnsi="宋体" w:cs="宋体"/>
          <w:b/>
          <w:color w:val="auto"/>
          <w:sz w:val="30"/>
          <w:szCs w:val="30"/>
          <w:highlight w:val="none"/>
        </w:rPr>
        <w:t>一、无串标竞标行为的承诺函</w:t>
      </w:r>
    </w:p>
    <w:p w14:paraId="074508B2">
      <w:pPr>
        <w:shd w:val="clear"/>
        <w:spacing w:before="240" w:beforeLines="100" w:line="360" w:lineRule="auto"/>
        <w:jc w:val="center"/>
        <w:rPr>
          <w:rFonts w:ascii="宋体" w:hAnsi="宋体" w:cs="宋体"/>
          <w:color w:val="auto"/>
          <w:sz w:val="32"/>
          <w:szCs w:val="32"/>
          <w:highlight w:val="none"/>
        </w:rPr>
      </w:pPr>
      <w:r>
        <w:rPr>
          <w:rFonts w:hint="eastAsia" w:ascii="宋体" w:hAnsi="宋体" w:cs="宋体"/>
          <w:color w:val="auto"/>
          <w:sz w:val="44"/>
          <w:szCs w:val="44"/>
          <w:highlight w:val="none"/>
        </w:rPr>
        <w:t>无串通竞标行为的承诺函</w:t>
      </w:r>
    </w:p>
    <w:p w14:paraId="0F254DD1">
      <w:pPr>
        <w:shd w:val="clear"/>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一、我方承诺无下列相互串通竞标的情形：</w:t>
      </w:r>
    </w:p>
    <w:p w14:paraId="60CA236B">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 xml:space="preserve">1.不同供应商的响应文件由同一单位或者个人编制；或者不同供应商报名的IP地址一致的；或者编制标书硬件设备CPU编号、硬盘编号、网卡地址一致的情况。 </w:t>
      </w:r>
    </w:p>
    <w:p w14:paraId="32429032">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2.不同供应商委托同一单位或者个人办理竞标事宜；</w:t>
      </w:r>
    </w:p>
    <w:p w14:paraId="43D47987">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3.不同供应商的响应文件载明的项目管理员为同一个人；</w:t>
      </w:r>
    </w:p>
    <w:p w14:paraId="32FABB1D">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4.不</w:t>
      </w:r>
      <w:r>
        <w:rPr>
          <w:rFonts w:hint="eastAsia" w:ascii="宋体" w:hAnsi="宋体" w:cs="宋体"/>
          <w:color w:val="auto"/>
          <w:spacing w:val="-6"/>
          <w:sz w:val="24"/>
          <w:highlight w:val="none"/>
        </w:rPr>
        <w:t>同供应商的响应文件异常一致或者响应报价呈规律性差异；</w:t>
      </w:r>
    </w:p>
    <w:p w14:paraId="74B5B7F3">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5.不同供应商的响应文件相互混装；</w:t>
      </w:r>
    </w:p>
    <w:p w14:paraId="336C701B">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6.不同供应商的磋商保证金从同一单位或者个人账户转出。</w:t>
      </w:r>
    </w:p>
    <w:p w14:paraId="7B01BA3E">
      <w:pPr>
        <w:shd w:val="clear"/>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二、我方承诺无下列恶意串通的情形：</w:t>
      </w:r>
    </w:p>
    <w:p w14:paraId="45EC0F3F">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1.供应商直接或者间接从采购人或者采购代理机构处获得其他供应商的相关信息并修改其响应文件；</w:t>
      </w:r>
    </w:p>
    <w:p w14:paraId="127C9A87">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2.供应商按照采购人或者采购代理机构的授意撤换、修改响应文件；</w:t>
      </w:r>
    </w:p>
    <w:p w14:paraId="15EFBC93">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3.供</w:t>
      </w:r>
      <w:r>
        <w:rPr>
          <w:rFonts w:hint="eastAsia" w:ascii="宋体" w:hAnsi="宋体" w:cs="宋体"/>
          <w:color w:val="auto"/>
          <w:spacing w:val="-6"/>
          <w:sz w:val="24"/>
          <w:highlight w:val="none"/>
        </w:rPr>
        <w:t>应商之间协商报价、技术方案等响应文件的实质性内容；</w:t>
      </w:r>
    </w:p>
    <w:p w14:paraId="1A9CB627">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4.属于同一集团、协会、商会等组织成员的供应商按照该组织要求协同参加政府采购活动；</w:t>
      </w:r>
    </w:p>
    <w:p w14:paraId="7C485A11">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5.供应商之间事先约定一致抬高或者压低响应报价，或者在竞争性磋商项目中事先约定轮流以高价位或者低价位成交，或者事先约定由某一特定供应商成交，然后再参加竞标；</w:t>
      </w:r>
    </w:p>
    <w:p w14:paraId="5AB1733F">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6.供应商之间商定部分供应商放弃参加政府采购活动或者放弃成交；</w:t>
      </w:r>
    </w:p>
    <w:p w14:paraId="7966BBCA">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7.供应商与采购人或者采购代理机构之间、供应商相互之间，为</w:t>
      </w:r>
      <w:r>
        <w:rPr>
          <w:rFonts w:hint="eastAsia" w:ascii="宋体" w:hAnsi="宋体" w:cs="宋体"/>
          <w:color w:val="auto"/>
          <w:spacing w:val="-6"/>
          <w:sz w:val="24"/>
          <w:highlight w:val="none"/>
        </w:rPr>
        <w:t>谋求特定供应商成交或者排斥其他供应商的其他串通行为。</w:t>
      </w:r>
    </w:p>
    <w:p w14:paraId="318370E6">
      <w:pPr>
        <w:shd w:val="clear"/>
        <w:spacing w:line="360" w:lineRule="auto"/>
        <w:ind w:firstLine="480" w:firstLineChars="200"/>
        <w:contextualSpacing/>
        <w:rPr>
          <w:rFonts w:ascii="宋体" w:hAnsi="宋体" w:cs="宋体"/>
          <w:color w:val="auto"/>
          <w:sz w:val="24"/>
          <w:highlight w:val="none"/>
        </w:rPr>
      </w:pPr>
    </w:p>
    <w:p w14:paraId="25E16386">
      <w:pPr>
        <w:shd w:val="clear"/>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以上情形一经核查属实，我方愿意承担一切后果，并不再寻求任何旨在减轻或者免除法律责任的辩解。</w:t>
      </w:r>
    </w:p>
    <w:p w14:paraId="5BF0FA0A">
      <w:pPr>
        <w:shd w:val="clea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71F0ED9C">
      <w:pPr>
        <w:shd w:val="clear"/>
        <w:spacing w:line="360" w:lineRule="auto"/>
        <w:ind w:left="237" w:leftChars="113" w:firstLine="5860" w:firstLineChars="2442"/>
        <w:jc w:val="left"/>
        <w:rPr>
          <w:rFonts w:ascii="宋体" w:hAnsi="宋体" w:cs="宋体"/>
          <w:bCs/>
          <w:color w:val="auto"/>
          <w:sz w:val="44"/>
          <w:szCs w:val="44"/>
          <w:highlight w:val="none"/>
        </w:rPr>
      </w:pPr>
      <w:r>
        <w:rPr>
          <w:rFonts w:hint="eastAsia" w:ascii="宋体" w:hAnsi="宋体" w:cs="宋体"/>
          <w:color w:val="auto"/>
          <w:kern w:val="0"/>
          <w:sz w:val="24"/>
          <w:highlight w:val="none"/>
          <w:lang w:val="zh-CN"/>
        </w:rPr>
        <w:t xml:space="preserve">日期：  年   月   日   </w:t>
      </w:r>
      <w:r>
        <w:rPr>
          <w:rFonts w:hint="eastAsia" w:ascii="宋体" w:hAnsi="宋体" w:cs="宋体"/>
          <w:b/>
          <w:bCs/>
          <w:color w:val="auto"/>
          <w:sz w:val="32"/>
          <w:szCs w:val="32"/>
          <w:highlight w:val="none"/>
        </w:rPr>
        <w:br w:type="page"/>
      </w:r>
      <w:r>
        <w:rPr>
          <w:rFonts w:hint="eastAsia" w:ascii="宋体" w:hAnsi="宋体" w:cs="宋体"/>
          <w:b/>
          <w:color w:val="auto"/>
          <w:sz w:val="30"/>
          <w:szCs w:val="30"/>
          <w:highlight w:val="none"/>
        </w:rPr>
        <w:t>二、法定代表人身份证明书</w:t>
      </w:r>
    </w:p>
    <w:p w14:paraId="5C12CEBC">
      <w:pPr>
        <w:shd w:val="clear"/>
        <w:spacing w:before="240" w:beforeLines="100" w:line="360" w:lineRule="auto"/>
        <w:jc w:val="center"/>
        <w:rPr>
          <w:rFonts w:ascii="宋体" w:hAnsi="宋体" w:cs="宋体"/>
          <w:color w:val="auto"/>
          <w:sz w:val="32"/>
          <w:szCs w:val="32"/>
          <w:highlight w:val="none"/>
        </w:rPr>
      </w:pPr>
      <w:r>
        <w:rPr>
          <w:rFonts w:hint="eastAsia" w:ascii="宋体" w:hAnsi="宋体" w:cs="宋体"/>
          <w:bCs/>
          <w:color w:val="auto"/>
          <w:sz w:val="44"/>
          <w:szCs w:val="44"/>
          <w:highlight w:val="none"/>
        </w:rPr>
        <w:t>法定代表人证明书</w:t>
      </w:r>
    </w:p>
    <w:p w14:paraId="139097E4">
      <w:pPr>
        <w:shd w:val="clear"/>
        <w:spacing w:line="360" w:lineRule="auto"/>
        <w:ind w:left="540"/>
        <w:contextualSpacing/>
        <w:rPr>
          <w:rFonts w:ascii="宋体" w:hAnsi="宋体" w:cs="宋体"/>
          <w:color w:val="auto"/>
          <w:sz w:val="32"/>
          <w:szCs w:val="32"/>
          <w:highlight w:val="none"/>
        </w:rPr>
      </w:pPr>
    </w:p>
    <w:p w14:paraId="5A6FDDDA">
      <w:pPr>
        <w:shd w:val="clea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p>
    <w:p w14:paraId="09A02BB8">
      <w:pPr>
        <w:shd w:val="clea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7B3366D9">
      <w:pPr>
        <w:shd w:val="clea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0BE924B7">
      <w:pPr>
        <w:shd w:val="clear"/>
        <w:spacing w:line="360" w:lineRule="auto"/>
        <w:ind w:left="540"/>
        <w:contextualSpacing/>
        <w:rPr>
          <w:rFonts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p>
    <w:p w14:paraId="4F127CDC">
      <w:pPr>
        <w:shd w:val="clea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412F6CFA">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的法定代表人。</w:t>
      </w:r>
    </w:p>
    <w:p w14:paraId="2A64A68D">
      <w:pPr>
        <w:shd w:val="clea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特此证明。</w:t>
      </w:r>
    </w:p>
    <w:p w14:paraId="5786F733">
      <w:pPr>
        <w:shd w:val="clear"/>
        <w:spacing w:line="360" w:lineRule="auto"/>
        <w:ind w:left="540"/>
        <w:contextualSpacing/>
        <w:rPr>
          <w:rFonts w:ascii="宋体" w:hAnsi="宋体" w:cs="宋体"/>
          <w:color w:val="auto"/>
          <w:sz w:val="24"/>
          <w:highlight w:val="none"/>
        </w:rPr>
      </w:pPr>
    </w:p>
    <w:p w14:paraId="3C23E5EF">
      <w:pPr>
        <w:shd w:val="clear"/>
        <w:spacing w:line="360" w:lineRule="auto"/>
        <w:ind w:left="540"/>
        <w:contextualSpacing/>
        <w:rPr>
          <w:rFonts w:ascii="宋体" w:hAnsi="宋体" w:cs="宋体"/>
          <w:color w:val="auto"/>
          <w:sz w:val="24"/>
          <w:highlight w:val="none"/>
        </w:rPr>
      </w:pPr>
    </w:p>
    <w:p w14:paraId="26A69131">
      <w:pPr>
        <w:shd w:val="clear"/>
        <w:spacing w:line="360" w:lineRule="auto"/>
        <w:ind w:left="540"/>
        <w:contextualSpacing/>
        <w:rPr>
          <w:rFonts w:ascii="宋体" w:hAnsi="宋体" w:cs="宋体"/>
          <w:color w:val="auto"/>
          <w:sz w:val="24"/>
          <w:highlight w:val="none"/>
        </w:rPr>
      </w:pPr>
    </w:p>
    <w:p w14:paraId="3BBCEC2D">
      <w:pPr>
        <w:shd w:val="clea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572C600B">
      <w:pPr>
        <w:shd w:val="clear"/>
        <w:spacing w:line="360" w:lineRule="auto"/>
        <w:ind w:left="540"/>
        <w:contextualSpacing/>
        <w:rPr>
          <w:rFonts w:ascii="宋体" w:hAnsi="宋体" w:cs="宋体"/>
          <w:color w:val="auto"/>
          <w:sz w:val="24"/>
          <w:highlight w:val="none"/>
        </w:rPr>
      </w:pPr>
    </w:p>
    <w:p w14:paraId="1610C8D5">
      <w:pPr>
        <w:shd w:val="clea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1E5E8FDD">
      <w:pPr>
        <w:shd w:val="clear"/>
        <w:spacing w:line="360" w:lineRule="auto"/>
        <w:contextualSpacing/>
        <w:jc w:val="center"/>
        <w:rPr>
          <w:rFonts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22B1D84B">
      <w:pPr>
        <w:shd w:val="clear"/>
        <w:spacing w:line="360" w:lineRule="auto"/>
        <w:contextualSpacing/>
        <w:jc w:val="left"/>
        <w:rPr>
          <w:rFonts w:ascii="宋体" w:hAnsi="宋体" w:cs="宋体"/>
          <w:color w:val="auto"/>
          <w:sz w:val="24"/>
          <w:highlight w:val="none"/>
        </w:rPr>
      </w:pPr>
    </w:p>
    <w:p w14:paraId="72CFA832">
      <w:pPr>
        <w:shd w:val="clea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注：1.自然人竞标的无需提供，联合体竞标的只需牵头人出具。</w:t>
      </w:r>
    </w:p>
    <w:p w14:paraId="0E1D8A36">
      <w:pPr>
        <w:shd w:val="clear"/>
        <w:spacing w:line="360" w:lineRule="auto"/>
        <w:ind w:firstLine="480" w:firstLineChars="200"/>
        <w:contextualSpacing/>
        <w:jc w:val="left"/>
        <w:rPr>
          <w:rFonts w:ascii="宋体" w:hAnsi="宋体" w:cs="宋体"/>
          <w:color w:val="auto"/>
          <w:sz w:val="44"/>
          <w:szCs w:val="44"/>
          <w:highlight w:val="none"/>
        </w:rPr>
      </w:pPr>
      <w:r>
        <w:rPr>
          <w:rFonts w:hint="eastAsia" w:ascii="宋体" w:hAnsi="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r>
        <w:rPr>
          <w:rFonts w:hint="eastAsia" w:ascii="宋体" w:hAnsi="宋体" w:cs="宋体"/>
          <w:color w:val="auto"/>
          <w:sz w:val="44"/>
          <w:szCs w:val="44"/>
          <w:highlight w:val="none"/>
        </w:rPr>
        <w:br w:type="page"/>
      </w:r>
      <w:r>
        <w:rPr>
          <w:rFonts w:hint="eastAsia" w:ascii="宋体" w:hAnsi="宋体" w:cs="宋体"/>
          <w:b/>
          <w:color w:val="auto"/>
          <w:sz w:val="30"/>
          <w:szCs w:val="30"/>
          <w:highlight w:val="none"/>
        </w:rPr>
        <w:t>三、法定代表人授权委托书</w:t>
      </w:r>
    </w:p>
    <w:p w14:paraId="2A5D2058">
      <w:pPr>
        <w:shd w:val="clear"/>
        <w:spacing w:before="240" w:beforeLines="100" w:line="360" w:lineRule="auto"/>
        <w:jc w:val="center"/>
        <w:rPr>
          <w:rFonts w:ascii="宋体" w:hAnsi="宋体" w:cs="宋体"/>
          <w:color w:val="auto"/>
          <w:sz w:val="44"/>
          <w:szCs w:val="44"/>
          <w:highlight w:val="none"/>
        </w:rPr>
      </w:pPr>
      <w:r>
        <w:rPr>
          <w:rFonts w:hint="eastAsia" w:ascii="宋体" w:hAnsi="宋体" w:cs="宋体"/>
          <w:color w:val="auto"/>
          <w:sz w:val="44"/>
          <w:szCs w:val="44"/>
          <w:highlight w:val="none"/>
        </w:rPr>
        <w:t>法定代表人授权委托书（非联合体竞标格式）</w:t>
      </w:r>
    </w:p>
    <w:p w14:paraId="5559F48A">
      <w:pPr>
        <w:shd w:val="clear"/>
        <w:spacing w:line="360" w:lineRule="auto"/>
        <w:jc w:val="center"/>
        <w:rPr>
          <w:rFonts w:ascii="宋体" w:hAnsi="宋体" w:cs="宋体"/>
          <w:color w:val="auto"/>
          <w:sz w:val="44"/>
          <w:szCs w:val="44"/>
          <w:highlight w:val="none"/>
        </w:rPr>
      </w:pPr>
      <w:r>
        <w:rPr>
          <w:rFonts w:hint="eastAsia" w:ascii="宋体" w:hAnsi="宋体" w:cs="宋体"/>
          <w:color w:val="auto"/>
          <w:sz w:val="44"/>
          <w:szCs w:val="44"/>
          <w:highlight w:val="none"/>
        </w:rPr>
        <w:t>（如有委托时）</w:t>
      </w:r>
    </w:p>
    <w:p w14:paraId="15E91A8B">
      <w:pPr>
        <w:shd w:val="clear"/>
        <w:spacing w:line="360"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6376372E">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（供应商名称）  </w:t>
      </w:r>
      <w:r>
        <w:rPr>
          <w:rFonts w:hint="eastAsia" w:ascii="宋体" w:hAnsi="宋体" w:cs="宋体"/>
          <w:color w:val="auto"/>
          <w:sz w:val="24"/>
          <w:highlight w:val="none"/>
        </w:rPr>
        <w:t>的（</w:t>
      </w:r>
      <w:r>
        <w:rPr>
          <w:rFonts w:hint="eastAsia" w:ascii="宋体" w:hAnsi="宋体" w:cs="宋体"/>
          <w:color w:val="auto"/>
          <w:sz w:val="24"/>
          <w:highlight w:val="none"/>
          <w:u w:val="single"/>
        </w:rPr>
        <w:t>□法定代表人/□负责人/□自然人本人</w:t>
      </w:r>
      <w:r>
        <w:rPr>
          <w:rFonts w:hint="eastAsia" w:ascii="宋体" w:hAnsi="宋体" w:cs="宋体"/>
          <w:color w:val="auto"/>
          <w:sz w:val="24"/>
          <w:highlight w:val="none"/>
        </w:rPr>
        <w:t>），现授权</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以我方的名义参加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项目的竞标活动，并代表我方全权办理针对上述项目的所有采购程序和环节的具体事务和签署相关文件。</w:t>
      </w:r>
    </w:p>
    <w:p w14:paraId="04F78394">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我方对委托代理人的签字事项负全部责任。</w:t>
      </w:r>
    </w:p>
    <w:p w14:paraId="0DB59133">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28B7210C">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65D216E0">
      <w:pPr>
        <w:shd w:val="clear"/>
        <w:spacing w:line="360" w:lineRule="auto"/>
        <w:ind w:firstLine="480" w:firstLineChars="200"/>
        <w:rPr>
          <w:rFonts w:ascii="宋体" w:hAnsi="宋体" w:cs="宋体"/>
          <w:color w:val="auto"/>
          <w:sz w:val="24"/>
          <w:highlight w:val="none"/>
        </w:rPr>
      </w:pPr>
    </w:p>
    <w:p w14:paraId="0B3D830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附：委托代理人有效身份证正反面复印件</w:t>
      </w:r>
    </w:p>
    <w:p w14:paraId="6C820FB5">
      <w:pPr>
        <w:shd w:val="clear"/>
        <w:spacing w:line="360" w:lineRule="auto"/>
        <w:rPr>
          <w:rFonts w:ascii="宋体" w:hAnsi="宋体" w:cs="宋体"/>
          <w:color w:val="auto"/>
          <w:sz w:val="24"/>
          <w:highlight w:val="none"/>
        </w:rPr>
      </w:pPr>
    </w:p>
    <w:p w14:paraId="3A036A7C">
      <w:pPr>
        <w:shd w:val="clear"/>
        <w:spacing w:line="360" w:lineRule="auto"/>
        <w:rPr>
          <w:rFonts w:ascii="宋体" w:hAnsi="宋体" w:cs="宋体"/>
          <w:color w:val="auto"/>
          <w:sz w:val="24"/>
          <w:highlight w:val="none"/>
        </w:rPr>
      </w:pPr>
      <w:r>
        <w:rPr>
          <w:rFonts w:hint="eastAsia" w:ascii="宋体" w:hAnsi="宋体" w:cs="宋体"/>
          <w:color w:val="auto"/>
          <w:sz w:val="24"/>
          <w:highlight w:val="none"/>
        </w:rPr>
        <w:t xml:space="preserve">法定代表人（手写签名/电子签名）： </w:t>
      </w:r>
    </w:p>
    <w:p w14:paraId="43C02DAE">
      <w:pPr>
        <w:shd w:val="clear"/>
        <w:spacing w:line="360" w:lineRule="auto"/>
        <w:rPr>
          <w:rFonts w:ascii="宋体" w:hAnsi="宋体" w:cs="宋体"/>
          <w:color w:val="auto"/>
          <w:sz w:val="24"/>
          <w:highlight w:val="none"/>
        </w:rPr>
      </w:pPr>
      <w:r>
        <w:rPr>
          <w:rFonts w:hint="eastAsia" w:ascii="宋体" w:hAnsi="宋体" w:cs="宋体"/>
          <w:color w:val="auto"/>
          <w:sz w:val="24"/>
          <w:highlight w:val="none"/>
        </w:rPr>
        <w:t xml:space="preserve">委托代理人（手写签名/电子签名）： </w:t>
      </w:r>
    </w:p>
    <w:p w14:paraId="5298EB5F">
      <w:pPr>
        <w:shd w:val="clear"/>
        <w:spacing w:line="360" w:lineRule="auto"/>
        <w:rPr>
          <w:rFonts w:ascii="宋体" w:hAnsi="宋体" w:cs="宋体"/>
          <w:color w:val="auto"/>
          <w:sz w:val="24"/>
          <w:highlight w:val="none"/>
        </w:rPr>
      </w:pPr>
      <w:r>
        <w:rPr>
          <w:rFonts w:hint="eastAsia" w:ascii="宋体" w:hAnsi="宋体" w:cs="宋体"/>
          <w:color w:val="auto"/>
          <w:sz w:val="24"/>
          <w:highlight w:val="none"/>
        </w:rPr>
        <w:t>委托代理人身份证号码：</w:t>
      </w:r>
    </w:p>
    <w:p w14:paraId="03EF7D2B">
      <w:pPr>
        <w:shd w:val="clear"/>
        <w:spacing w:after="120"/>
        <w:rPr>
          <w:color w:val="auto"/>
          <w:highlight w:val="none"/>
          <w:lang w:val="zh-CN"/>
        </w:rPr>
      </w:pPr>
    </w:p>
    <w:p w14:paraId="7E7FE2FE">
      <w:pPr>
        <w:shd w:val="clea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rPr>
        <w:t>供应商名称（电子签章）：</w:t>
      </w:r>
    </w:p>
    <w:p w14:paraId="6DA2C964">
      <w:pPr>
        <w:shd w:val="clear"/>
        <w:spacing w:line="360" w:lineRule="auto"/>
        <w:contextualSpacing/>
        <w:jc w:val="center"/>
        <w:rPr>
          <w:rFonts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7A7A0797">
      <w:pPr>
        <w:shd w:val="clear"/>
        <w:spacing w:line="360" w:lineRule="auto"/>
        <w:rPr>
          <w:rFonts w:ascii="宋体" w:hAnsi="宋体" w:cs="宋体"/>
          <w:color w:val="auto"/>
          <w:sz w:val="24"/>
          <w:highlight w:val="none"/>
        </w:rPr>
      </w:pPr>
    </w:p>
    <w:p w14:paraId="655A46B1">
      <w:pPr>
        <w:shd w:val="clear"/>
        <w:spacing w:line="360" w:lineRule="auto"/>
        <w:rPr>
          <w:rFonts w:ascii="宋体" w:hAnsi="宋体" w:cs="宋体"/>
          <w:color w:val="auto"/>
          <w:sz w:val="24"/>
          <w:highlight w:val="none"/>
        </w:rPr>
      </w:pPr>
      <w:r>
        <w:rPr>
          <w:rFonts w:hint="eastAsia" w:ascii="宋体" w:hAnsi="宋体" w:cs="宋体"/>
          <w:color w:val="auto"/>
          <w:sz w:val="24"/>
          <w:highlight w:val="none"/>
        </w:rPr>
        <w:t>注：1.法定代表人必须在授权委托书上手写签名/电子签名，委托代理人必须在授权委托书上手写签名/电子签名，</w:t>
      </w:r>
      <w:r>
        <w:rPr>
          <w:rFonts w:hint="eastAsia" w:ascii="宋体" w:hAnsi="宋体" w:cs="宋体"/>
          <w:b/>
          <w:color w:val="auto"/>
          <w:sz w:val="24"/>
          <w:highlight w:val="none"/>
        </w:rPr>
        <w:t>否则其响应文件按无效响应处理。</w:t>
      </w:r>
    </w:p>
    <w:p w14:paraId="49F4E0B8">
      <w:pPr>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283A284">
      <w:pPr>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 法人、其他组织竞标时“我方”是指“我单位”，自然人竞标时“我方”是指“本人”。</w:t>
      </w:r>
    </w:p>
    <w:p w14:paraId="3C1FE806">
      <w:pPr>
        <w:shd w:val="clear"/>
        <w:spacing w:before="240" w:beforeLines="100" w:line="360" w:lineRule="auto"/>
        <w:jc w:val="center"/>
        <w:rPr>
          <w:rFonts w:ascii="宋体" w:hAnsi="宋体" w:cs="宋体"/>
          <w:color w:val="auto"/>
          <w:sz w:val="44"/>
          <w:szCs w:val="44"/>
          <w:highlight w:val="none"/>
        </w:rPr>
      </w:pPr>
      <w:r>
        <w:rPr>
          <w:rFonts w:hint="eastAsia" w:ascii="宋体" w:hAnsi="宋体" w:cs="宋体"/>
          <w:color w:val="auto"/>
          <w:sz w:val="44"/>
          <w:szCs w:val="44"/>
          <w:highlight w:val="none"/>
        </w:rPr>
        <w:t>法定代表人授权委托书（联合体竞标格式）</w:t>
      </w:r>
    </w:p>
    <w:p w14:paraId="7B5AEEBF">
      <w:pPr>
        <w:shd w:val="clear"/>
        <w:spacing w:line="360" w:lineRule="auto"/>
        <w:jc w:val="center"/>
        <w:rPr>
          <w:rFonts w:ascii="宋体" w:hAnsi="宋体" w:cs="宋体"/>
          <w:color w:val="auto"/>
          <w:sz w:val="44"/>
          <w:szCs w:val="44"/>
          <w:highlight w:val="none"/>
        </w:rPr>
      </w:pPr>
      <w:r>
        <w:rPr>
          <w:rFonts w:hint="eastAsia" w:ascii="宋体" w:hAnsi="宋体" w:cs="宋体"/>
          <w:color w:val="auto"/>
          <w:sz w:val="44"/>
          <w:szCs w:val="44"/>
          <w:highlight w:val="none"/>
        </w:rPr>
        <w:t>（如有委托时）</w:t>
      </w:r>
    </w:p>
    <w:p w14:paraId="7D6034BE">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本授权委托书声明：根据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（牵头人名称）与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（联合体其他成员名称）签订的《联合体协议书》的内容，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（牵头人名称）的法定代表人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（姓名）现授权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（姓名）为联合委托代理人，并代表我方全权办理针对上述项目的所有采购程序和环节的具体事务和签署相关文件。</w:t>
      </w:r>
    </w:p>
    <w:p w14:paraId="0FC449F0">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我方对委托代理人的签字事项负全部责任。</w:t>
      </w:r>
    </w:p>
    <w:p w14:paraId="41C52E80">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72CD906D">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7BDAF1AA">
      <w:pPr>
        <w:shd w:val="clear"/>
        <w:spacing w:line="360" w:lineRule="auto"/>
        <w:ind w:firstLine="420" w:firstLineChars="200"/>
        <w:rPr>
          <w:color w:val="auto"/>
          <w:highlight w:val="none"/>
        </w:rPr>
      </w:pPr>
    </w:p>
    <w:p w14:paraId="6CDC9498">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附：委托代理人有效身份证正反面复印件</w:t>
      </w:r>
    </w:p>
    <w:p w14:paraId="4F19BAD2">
      <w:pPr>
        <w:shd w:val="clear"/>
        <w:spacing w:line="360" w:lineRule="auto"/>
        <w:ind w:firstLine="480" w:firstLineChars="200"/>
        <w:rPr>
          <w:rFonts w:ascii="宋体" w:hAnsi="宋体" w:cs="宋体"/>
          <w:color w:val="auto"/>
          <w:sz w:val="24"/>
          <w:highlight w:val="none"/>
        </w:rPr>
      </w:pPr>
    </w:p>
    <w:p w14:paraId="0C0BF0F4">
      <w:pPr>
        <w:shd w:val="clear"/>
        <w:spacing w:line="360" w:lineRule="auto"/>
        <w:ind w:firstLine="2400" w:firstLineChars="1000"/>
        <w:rPr>
          <w:rFonts w:ascii="宋体" w:hAnsi="宋体" w:cs="宋体"/>
          <w:color w:val="auto"/>
          <w:sz w:val="24"/>
          <w:highlight w:val="none"/>
        </w:rPr>
      </w:pPr>
      <w:r>
        <w:rPr>
          <w:rFonts w:hint="eastAsia" w:ascii="宋体" w:hAnsi="宋体" w:cs="宋体"/>
          <w:color w:val="auto"/>
          <w:sz w:val="24"/>
          <w:highlight w:val="none"/>
        </w:rPr>
        <w:t>牵头人法定代表人（手写签名/电子签名）：</w:t>
      </w:r>
    </w:p>
    <w:p w14:paraId="34D8735F">
      <w:pPr>
        <w:shd w:val="clea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牵头人名称（公章/电子签章）：</w:t>
      </w:r>
    </w:p>
    <w:p w14:paraId="4AE09BDD">
      <w:pPr>
        <w:shd w:val="clear"/>
        <w:spacing w:line="360" w:lineRule="auto"/>
        <w:ind w:firstLine="4920" w:firstLineChars="2050"/>
        <w:rPr>
          <w:rFonts w:ascii="宋体" w:hAnsi="宋体" w:cs="宋体"/>
          <w:color w:val="auto"/>
          <w:sz w:val="24"/>
          <w:highlight w:val="none"/>
        </w:rPr>
      </w:pPr>
      <w:r>
        <w:rPr>
          <w:rFonts w:hint="eastAsia" w:ascii="宋体" w:hAnsi="宋体" w:cs="宋体"/>
          <w:color w:val="auto"/>
          <w:sz w:val="24"/>
          <w:highlight w:val="none"/>
        </w:rPr>
        <w:t>日期：   年   月   日</w:t>
      </w:r>
    </w:p>
    <w:p w14:paraId="6E4A614D">
      <w:pPr>
        <w:shd w:val="clear"/>
        <w:spacing w:line="360" w:lineRule="auto"/>
        <w:ind w:firstLine="3960" w:firstLineChars="1650"/>
        <w:rPr>
          <w:rFonts w:ascii="宋体" w:hAnsi="宋体" w:cs="宋体"/>
          <w:color w:val="auto"/>
          <w:sz w:val="24"/>
          <w:highlight w:val="none"/>
        </w:rPr>
      </w:pPr>
    </w:p>
    <w:p w14:paraId="7BEF6F60">
      <w:pPr>
        <w:shd w:val="clear"/>
        <w:spacing w:line="360" w:lineRule="auto"/>
        <w:ind w:firstLine="3360" w:firstLineChars="1400"/>
        <w:rPr>
          <w:rFonts w:ascii="宋体" w:hAnsi="宋体" w:cs="宋体"/>
          <w:color w:val="auto"/>
          <w:sz w:val="24"/>
          <w:highlight w:val="none"/>
        </w:rPr>
      </w:pPr>
      <w:r>
        <w:rPr>
          <w:rFonts w:hint="eastAsia" w:ascii="宋体" w:hAnsi="宋体" w:cs="宋体"/>
          <w:color w:val="auto"/>
          <w:sz w:val="24"/>
          <w:highlight w:val="none"/>
        </w:rPr>
        <w:t>委托代理人（手写签名/电子签名）：</w:t>
      </w:r>
    </w:p>
    <w:p w14:paraId="3B2BD7A5">
      <w:pPr>
        <w:shd w:val="clear"/>
        <w:spacing w:line="360" w:lineRule="auto"/>
        <w:ind w:firstLine="4920" w:firstLineChars="2050"/>
        <w:rPr>
          <w:rFonts w:ascii="宋体" w:hAnsi="宋体" w:cs="宋体"/>
          <w:color w:val="auto"/>
          <w:sz w:val="24"/>
          <w:highlight w:val="none"/>
        </w:rPr>
      </w:pPr>
      <w:r>
        <w:rPr>
          <w:rFonts w:hint="eastAsia" w:ascii="宋体" w:hAnsi="宋体" w:cs="宋体"/>
          <w:color w:val="auto"/>
          <w:sz w:val="24"/>
          <w:highlight w:val="none"/>
        </w:rPr>
        <w:t>日期：   年   月   日</w:t>
      </w:r>
    </w:p>
    <w:p w14:paraId="7DBF4408">
      <w:pPr>
        <w:shd w:val="clear"/>
        <w:spacing w:line="360" w:lineRule="auto"/>
        <w:rPr>
          <w:rFonts w:ascii="宋体" w:hAnsi="宋体" w:cs="宋体"/>
          <w:color w:val="auto"/>
          <w:sz w:val="24"/>
          <w:highlight w:val="none"/>
        </w:rPr>
      </w:pPr>
    </w:p>
    <w:p w14:paraId="48238B98">
      <w:pPr>
        <w:shd w:val="clear"/>
        <w:spacing w:line="360" w:lineRule="auto"/>
        <w:rPr>
          <w:rFonts w:ascii="宋体" w:hAnsi="宋体" w:cs="宋体"/>
          <w:color w:val="auto"/>
          <w:sz w:val="24"/>
          <w:highlight w:val="none"/>
        </w:rPr>
      </w:pPr>
      <w:r>
        <w:rPr>
          <w:rFonts w:hint="eastAsia" w:ascii="宋体" w:hAnsi="宋体" w:cs="宋体"/>
          <w:color w:val="auto"/>
          <w:sz w:val="24"/>
          <w:highlight w:val="none"/>
        </w:rPr>
        <w:t>注：1.法定代表人必须在授权委托书上手写签名/电子签名，委托代理人必须在授权委托书上手写签名/电子签名，</w:t>
      </w:r>
      <w:r>
        <w:rPr>
          <w:rFonts w:hint="eastAsia" w:ascii="宋体" w:hAnsi="宋体" w:cs="宋体"/>
          <w:b/>
          <w:color w:val="auto"/>
          <w:sz w:val="24"/>
          <w:highlight w:val="none"/>
        </w:rPr>
        <w:t>否则其响应文件按无效响应处理。</w:t>
      </w:r>
    </w:p>
    <w:p w14:paraId="519D5C3B">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2.本授权委托书应由联合体牵头人的法定代表人按上述规定签署。</w:t>
      </w:r>
    </w:p>
    <w:p w14:paraId="06BA23E5">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50112858">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4.法人、其他组织竞标时“我方”是指“我单位”，自然人竞标时“我方”是指“本人”。</w:t>
      </w:r>
    </w:p>
    <w:p w14:paraId="2D81958F">
      <w:pPr>
        <w:shd w:val="clear"/>
        <w:spacing w:line="360" w:lineRule="auto"/>
        <w:rPr>
          <w:rFonts w:ascii="宋体" w:hAnsi="宋体" w:cs="宋体"/>
          <w:b/>
          <w:color w:val="auto"/>
          <w:sz w:val="30"/>
          <w:szCs w:val="30"/>
          <w:highlight w:val="none"/>
        </w:rPr>
      </w:pPr>
      <w:r>
        <w:rPr>
          <w:rFonts w:hint="eastAsia" w:ascii="宋体" w:hAnsi="宋体" w:cs="宋体"/>
          <w:color w:val="auto"/>
          <w:szCs w:val="21"/>
          <w:highlight w:val="none"/>
        </w:rPr>
        <w:br w:type="page"/>
      </w:r>
      <w:r>
        <w:rPr>
          <w:rFonts w:hint="eastAsia" w:ascii="宋体" w:hAnsi="宋体" w:cs="宋体"/>
          <w:b/>
          <w:color w:val="auto"/>
          <w:sz w:val="30"/>
          <w:szCs w:val="30"/>
          <w:highlight w:val="none"/>
        </w:rPr>
        <w:t>四、商务条款偏离表</w:t>
      </w:r>
    </w:p>
    <w:p w14:paraId="2DE599D7">
      <w:pPr>
        <w:shd w:val="clear"/>
        <w:spacing w:before="240" w:beforeLines="100" w:line="360" w:lineRule="auto"/>
        <w:jc w:val="center"/>
        <w:rPr>
          <w:rFonts w:ascii="宋体" w:hAnsi="宋体" w:cs="宋体"/>
          <w:bCs/>
          <w:color w:val="auto"/>
          <w:sz w:val="44"/>
          <w:szCs w:val="44"/>
          <w:highlight w:val="none"/>
        </w:rPr>
      </w:pPr>
      <w:r>
        <w:rPr>
          <w:rFonts w:hint="eastAsia" w:ascii="宋体" w:hAnsi="宋体" w:cs="宋体"/>
          <w:bCs/>
          <w:color w:val="auto"/>
          <w:sz w:val="44"/>
          <w:szCs w:val="44"/>
          <w:highlight w:val="none"/>
        </w:rPr>
        <w:t>商务条款偏离表</w:t>
      </w:r>
    </w:p>
    <w:p w14:paraId="3D083A53">
      <w:pPr>
        <w:shd w:val="clear"/>
        <w:spacing w:line="360" w:lineRule="auto"/>
        <w:contextualSpacing/>
        <w:rPr>
          <w:rFonts w:ascii="宋体" w:hAnsi="宋体" w:cs="宋体"/>
          <w:color w:val="auto"/>
          <w:sz w:val="24"/>
          <w:highlight w:val="none"/>
          <w:u w:val="single"/>
        </w:rPr>
      </w:pP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p>
    <w:p w14:paraId="1661B182">
      <w:pPr>
        <w:shd w:val="clear"/>
        <w:spacing w:line="360" w:lineRule="auto"/>
        <w:contextualSpacing/>
        <w:rPr>
          <w:rFonts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tbl>
      <w:tblPr>
        <w:tblStyle w:val="51"/>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800"/>
        <w:gridCol w:w="3589"/>
        <w:gridCol w:w="1274"/>
      </w:tblGrid>
      <w:tr w14:paraId="3803F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tcBorders>
              <w:top w:val="single" w:color="auto" w:sz="4" w:space="0"/>
              <w:left w:val="single" w:color="auto" w:sz="4" w:space="0"/>
              <w:bottom w:val="single" w:color="auto" w:sz="4" w:space="0"/>
              <w:right w:val="single" w:color="auto" w:sz="4" w:space="0"/>
            </w:tcBorders>
            <w:vAlign w:val="center"/>
          </w:tcPr>
          <w:p w14:paraId="6D70FCAE">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项号</w:t>
            </w:r>
          </w:p>
        </w:tc>
        <w:tc>
          <w:tcPr>
            <w:tcW w:w="3800" w:type="dxa"/>
            <w:tcBorders>
              <w:top w:val="single" w:color="auto" w:sz="4" w:space="0"/>
              <w:left w:val="single" w:color="auto" w:sz="4" w:space="0"/>
              <w:bottom w:val="single" w:color="auto" w:sz="4" w:space="0"/>
              <w:right w:val="single" w:color="auto" w:sz="4" w:space="0"/>
            </w:tcBorders>
            <w:vAlign w:val="center"/>
          </w:tcPr>
          <w:p w14:paraId="732DA216">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竞争性磋商文件的商务条款</w:t>
            </w:r>
          </w:p>
        </w:tc>
        <w:tc>
          <w:tcPr>
            <w:tcW w:w="3589" w:type="dxa"/>
            <w:tcBorders>
              <w:top w:val="single" w:color="auto" w:sz="4" w:space="0"/>
              <w:left w:val="single" w:color="auto" w:sz="4" w:space="0"/>
              <w:bottom w:val="single" w:color="auto" w:sz="4" w:space="0"/>
              <w:right w:val="single" w:color="auto" w:sz="4" w:space="0"/>
            </w:tcBorders>
            <w:vAlign w:val="center"/>
          </w:tcPr>
          <w:p w14:paraId="37D25999">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vAlign w:val="center"/>
          </w:tcPr>
          <w:p w14:paraId="36E49D53">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偏离说明</w:t>
            </w:r>
          </w:p>
        </w:tc>
      </w:tr>
      <w:tr w14:paraId="61879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817" w:type="dxa"/>
            <w:tcBorders>
              <w:top w:val="single" w:color="auto" w:sz="4" w:space="0"/>
              <w:left w:val="single" w:color="auto" w:sz="4" w:space="0"/>
              <w:bottom w:val="single" w:color="auto" w:sz="4" w:space="0"/>
              <w:right w:val="single" w:color="auto" w:sz="4" w:space="0"/>
            </w:tcBorders>
          </w:tcPr>
          <w:p w14:paraId="0A0C4E22">
            <w:pPr>
              <w:shd w:val="clear"/>
              <w:spacing w:line="360" w:lineRule="auto"/>
              <w:rPr>
                <w:rFonts w:ascii="宋体" w:hAnsi="宋体" w:cs="宋体"/>
                <w:color w:val="auto"/>
                <w:sz w:val="24"/>
                <w:highlight w:val="none"/>
              </w:rPr>
            </w:pPr>
            <w:r>
              <w:rPr>
                <w:rFonts w:hint="eastAsia" w:ascii="宋体" w:hAnsi="宋体" w:cs="宋体"/>
                <w:color w:val="auto"/>
                <w:sz w:val="24"/>
                <w:highlight w:val="none"/>
              </w:rPr>
              <w:t>一</w:t>
            </w:r>
          </w:p>
        </w:tc>
        <w:tc>
          <w:tcPr>
            <w:tcW w:w="3800" w:type="dxa"/>
            <w:tcBorders>
              <w:top w:val="single" w:color="auto" w:sz="4" w:space="0"/>
              <w:left w:val="single" w:color="auto" w:sz="4" w:space="0"/>
              <w:bottom w:val="single" w:color="auto" w:sz="4" w:space="0"/>
              <w:right w:val="single" w:color="auto" w:sz="4" w:space="0"/>
            </w:tcBorders>
          </w:tcPr>
          <w:p w14:paraId="0A96E608">
            <w:pPr>
              <w:shd w:val="clear"/>
              <w:spacing w:line="360" w:lineRule="auto"/>
              <w:rPr>
                <w:rFonts w:ascii="宋体" w:hAnsi="宋体" w:cs="宋体"/>
                <w:color w:val="auto"/>
                <w:sz w:val="24"/>
                <w:highlight w:val="none"/>
              </w:rPr>
            </w:pPr>
            <w:r>
              <w:rPr>
                <w:rFonts w:hint="eastAsia" w:ascii="宋体" w:hAnsi="宋体" w:cs="宋体"/>
                <w:color w:val="auto"/>
                <w:sz w:val="24"/>
                <w:highlight w:val="none"/>
              </w:rPr>
              <w:t>1  ……</w:t>
            </w:r>
          </w:p>
          <w:p w14:paraId="4BB9EA4E">
            <w:pPr>
              <w:shd w:val="clear"/>
              <w:spacing w:line="360" w:lineRule="auto"/>
              <w:rPr>
                <w:rFonts w:ascii="宋体" w:hAnsi="宋体" w:cs="宋体"/>
                <w:color w:val="auto"/>
                <w:sz w:val="24"/>
                <w:highlight w:val="none"/>
              </w:rPr>
            </w:pPr>
            <w:r>
              <w:rPr>
                <w:rFonts w:hint="eastAsia" w:ascii="宋体" w:hAnsi="宋体" w:cs="宋体"/>
                <w:color w:val="auto"/>
                <w:sz w:val="24"/>
                <w:highlight w:val="none"/>
              </w:rPr>
              <w:t>2  ……</w:t>
            </w:r>
          </w:p>
          <w:p w14:paraId="077AFE4B">
            <w:pPr>
              <w:shd w:val="clear"/>
              <w:spacing w:line="360" w:lineRule="auto"/>
              <w:rPr>
                <w:rFonts w:ascii="宋体" w:hAnsi="宋体" w:cs="宋体"/>
                <w:color w:val="auto"/>
                <w:sz w:val="24"/>
                <w:highlight w:val="none"/>
              </w:rPr>
            </w:pPr>
            <w:r>
              <w:rPr>
                <w:rFonts w:hint="eastAsia" w:ascii="宋体" w:hAnsi="宋体" w:cs="宋体"/>
                <w:color w:val="auto"/>
                <w:sz w:val="24"/>
                <w:highlight w:val="none"/>
              </w:rPr>
              <w:t>3  ……</w:t>
            </w:r>
          </w:p>
          <w:p w14:paraId="59163909">
            <w:pPr>
              <w:shd w:val="clear"/>
              <w:spacing w:line="360" w:lineRule="auto"/>
              <w:rPr>
                <w:rFonts w:ascii="宋体" w:hAnsi="宋体" w:cs="宋体"/>
                <w:color w:val="auto"/>
                <w:sz w:val="24"/>
                <w:highlight w:val="none"/>
              </w:rPr>
            </w:pPr>
            <w:r>
              <w:rPr>
                <w:rFonts w:hint="eastAsia" w:ascii="宋体" w:hAnsi="宋体" w:cs="宋体"/>
                <w:color w:val="auto"/>
                <w:sz w:val="24"/>
                <w:highlight w:val="none"/>
              </w:rPr>
              <w:t>……</w:t>
            </w:r>
          </w:p>
        </w:tc>
        <w:tc>
          <w:tcPr>
            <w:tcW w:w="3589" w:type="dxa"/>
            <w:tcBorders>
              <w:top w:val="single" w:color="auto" w:sz="4" w:space="0"/>
              <w:left w:val="single" w:color="auto" w:sz="4" w:space="0"/>
              <w:bottom w:val="single" w:color="auto" w:sz="4" w:space="0"/>
              <w:right w:val="single" w:color="auto" w:sz="4" w:space="0"/>
            </w:tcBorders>
          </w:tcPr>
          <w:p w14:paraId="4BA75D5C">
            <w:pPr>
              <w:shd w:val="clear"/>
              <w:spacing w:line="360" w:lineRule="auto"/>
              <w:rPr>
                <w:rFonts w:ascii="宋体" w:hAnsi="宋体" w:cs="宋体"/>
                <w:color w:val="auto"/>
                <w:sz w:val="24"/>
                <w:highlight w:val="none"/>
              </w:rPr>
            </w:pPr>
            <w:r>
              <w:rPr>
                <w:rFonts w:hint="eastAsia" w:ascii="宋体" w:hAnsi="宋体" w:cs="宋体"/>
                <w:color w:val="auto"/>
                <w:sz w:val="24"/>
                <w:highlight w:val="none"/>
              </w:rPr>
              <w:t>1  ……</w:t>
            </w:r>
          </w:p>
          <w:p w14:paraId="62032C1B">
            <w:pPr>
              <w:shd w:val="clear"/>
              <w:spacing w:line="360" w:lineRule="auto"/>
              <w:rPr>
                <w:rFonts w:ascii="宋体" w:hAnsi="宋体" w:cs="宋体"/>
                <w:color w:val="auto"/>
                <w:sz w:val="24"/>
                <w:highlight w:val="none"/>
              </w:rPr>
            </w:pPr>
            <w:r>
              <w:rPr>
                <w:rFonts w:hint="eastAsia" w:ascii="宋体" w:hAnsi="宋体" w:cs="宋体"/>
                <w:color w:val="auto"/>
                <w:sz w:val="24"/>
                <w:highlight w:val="none"/>
              </w:rPr>
              <w:t>2  ……</w:t>
            </w:r>
          </w:p>
          <w:p w14:paraId="0C53D3EF">
            <w:pPr>
              <w:shd w:val="clear"/>
              <w:spacing w:line="360" w:lineRule="auto"/>
              <w:rPr>
                <w:rFonts w:ascii="宋体" w:hAnsi="宋体" w:cs="宋体"/>
                <w:color w:val="auto"/>
                <w:sz w:val="24"/>
                <w:highlight w:val="none"/>
              </w:rPr>
            </w:pPr>
            <w:r>
              <w:rPr>
                <w:rFonts w:hint="eastAsia" w:ascii="宋体" w:hAnsi="宋体" w:cs="宋体"/>
                <w:color w:val="auto"/>
                <w:sz w:val="24"/>
                <w:highlight w:val="none"/>
              </w:rPr>
              <w:t>3  ……</w:t>
            </w:r>
          </w:p>
          <w:p w14:paraId="34BFBE93">
            <w:pPr>
              <w:shd w:val="clear"/>
              <w:spacing w:line="360" w:lineRule="auto"/>
              <w:rPr>
                <w:rFonts w:ascii="宋体" w:hAnsi="宋体" w:cs="宋体"/>
                <w:color w:val="auto"/>
                <w:sz w:val="24"/>
                <w:highlight w:val="none"/>
              </w:rPr>
            </w:pPr>
            <w:r>
              <w:rPr>
                <w:rFonts w:hint="eastAsia" w:ascii="宋体" w:hAnsi="宋体" w:cs="宋体"/>
                <w:color w:val="auto"/>
                <w:sz w:val="24"/>
                <w:highlight w:val="none"/>
              </w:rPr>
              <w:t>……</w:t>
            </w:r>
          </w:p>
        </w:tc>
        <w:tc>
          <w:tcPr>
            <w:tcW w:w="1274" w:type="dxa"/>
            <w:tcBorders>
              <w:top w:val="single" w:color="auto" w:sz="4" w:space="0"/>
              <w:left w:val="single" w:color="auto" w:sz="4" w:space="0"/>
              <w:bottom w:val="single" w:color="auto" w:sz="4" w:space="0"/>
              <w:right w:val="single" w:color="auto" w:sz="4" w:space="0"/>
            </w:tcBorders>
          </w:tcPr>
          <w:p w14:paraId="448E32E5">
            <w:pPr>
              <w:shd w:val="clear"/>
              <w:spacing w:line="360" w:lineRule="auto"/>
              <w:rPr>
                <w:rFonts w:ascii="宋体" w:hAnsi="宋体" w:cs="宋体"/>
                <w:color w:val="auto"/>
                <w:sz w:val="24"/>
                <w:highlight w:val="none"/>
              </w:rPr>
            </w:pPr>
            <w:r>
              <w:rPr>
                <w:rFonts w:hint="eastAsia" w:ascii="宋体" w:hAnsi="宋体" w:cs="宋体"/>
                <w:color w:val="auto"/>
                <w:sz w:val="24"/>
                <w:highlight w:val="none"/>
              </w:rPr>
              <w:t>正偏离（负偏离或无偏离）</w:t>
            </w:r>
          </w:p>
        </w:tc>
      </w:tr>
      <w:tr w14:paraId="7565D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817" w:type="dxa"/>
            <w:tcBorders>
              <w:top w:val="single" w:color="auto" w:sz="4" w:space="0"/>
              <w:left w:val="single" w:color="auto" w:sz="4" w:space="0"/>
              <w:bottom w:val="single" w:color="auto" w:sz="4" w:space="0"/>
              <w:right w:val="single" w:color="auto" w:sz="4" w:space="0"/>
            </w:tcBorders>
          </w:tcPr>
          <w:p w14:paraId="326CFD29">
            <w:pPr>
              <w:shd w:val="clear"/>
              <w:spacing w:line="360" w:lineRule="auto"/>
              <w:rPr>
                <w:rFonts w:ascii="宋体" w:hAnsi="宋体" w:cs="宋体"/>
                <w:color w:val="auto"/>
                <w:sz w:val="24"/>
                <w:highlight w:val="none"/>
              </w:rPr>
            </w:pPr>
            <w:r>
              <w:rPr>
                <w:rFonts w:hint="eastAsia" w:ascii="宋体" w:hAnsi="宋体" w:cs="宋体"/>
                <w:color w:val="auto"/>
                <w:sz w:val="24"/>
                <w:highlight w:val="none"/>
              </w:rPr>
              <w:t>……</w:t>
            </w:r>
          </w:p>
        </w:tc>
        <w:tc>
          <w:tcPr>
            <w:tcW w:w="3800" w:type="dxa"/>
            <w:tcBorders>
              <w:top w:val="single" w:color="auto" w:sz="4" w:space="0"/>
              <w:left w:val="single" w:color="auto" w:sz="4" w:space="0"/>
              <w:bottom w:val="single" w:color="auto" w:sz="4" w:space="0"/>
              <w:right w:val="single" w:color="auto" w:sz="4" w:space="0"/>
            </w:tcBorders>
          </w:tcPr>
          <w:p w14:paraId="2F6762D7">
            <w:pPr>
              <w:shd w:val="clear"/>
              <w:spacing w:line="360" w:lineRule="auto"/>
              <w:rPr>
                <w:rFonts w:ascii="宋体" w:hAnsi="宋体" w:cs="宋体"/>
                <w:color w:val="auto"/>
                <w:sz w:val="24"/>
                <w:highlight w:val="none"/>
              </w:rPr>
            </w:pPr>
            <w:r>
              <w:rPr>
                <w:rFonts w:hint="eastAsia" w:ascii="宋体" w:hAnsi="宋体" w:cs="宋体"/>
                <w:color w:val="auto"/>
                <w:sz w:val="24"/>
                <w:highlight w:val="none"/>
              </w:rPr>
              <w:t>1  ……</w:t>
            </w:r>
          </w:p>
          <w:p w14:paraId="2D49D88A">
            <w:pPr>
              <w:shd w:val="clear"/>
              <w:spacing w:line="360" w:lineRule="auto"/>
              <w:rPr>
                <w:rFonts w:ascii="宋体" w:hAnsi="宋体" w:cs="宋体"/>
                <w:color w:val="auto"/>
                <w:sz w:val="24"/>
                <w:highlight w:val="none"/>
              </w:rPr>
            </w:pPr>
            <w:r>
              <w:rPr>
                <w:rFonts w:hint="eastAsia" w:ascii="宋体" w:hAnsi="宋体" w:cs="宋体"/>
                <w:color w:val="auto"/>
                <w:sz w:val="24"/>
                <w:highlight w:val="none"/>
              </w:rPr>
              <w:t>2  ……</w:t>
            </w:r>
          </w:p>
          <w:p w14:paraId="68339988">
            <w:pPr>
              <w:shd w:val="clear"/>
              <w:spacing w:line="360" w:lineRule="auto"/>
              <w:rPr>
                <w:rFonts w:ascii="宋体" w:hAnsi="宋体" w:cs="宋体"/>
                <w:color w:val="auto"/>
                <w:sz w:val="24"/>
                <w:highlight w:val="none"/>
              </w:rPr>
            </w:pPr>
            <w:r>
              <w:rPr>
                <w:rFonts w:hint="eastAsia" w:ascii="宋体" w:hAnsi="宋体" w:cs="宋体"/>
                <w:color w:val="auto"/>
                <w:sz w:val="24"/>
                <w:highlight w:val="none"/>
              </w:rPr>
              <w:t>3  ……</w:t>
            </w:r>
          </w:p>
          <w:p w14:paraId="42E804E6">
            <w:pPr>
              <w:shd w:val="clear"/>
              <w:spacing w:line="360" w:lineRule="auto"/>
              <w:rPr>
                <w:rFonts w:ascii="宋体" w:hAnsi="宋体" w:cs="宋体"/>
                <w:color w:val="auto"/>
                <w:sz w:val="24"/>
                <w:highlight w:val="none"/>
              </w:rPr>
            </w:pPr>
            <w:r>
              <w:rPr>
                <w:rFonts w:hint="eastAsia" w:ascii="宋体" w:hAnsi="宋体" w:cs="宋体"/>
                <w:color w:val="auto"/>
                <w:sz w:val="24"/>
                <w:highlight w:val="none"/>
              </w:rPr>
              <w:t>……</w:t>
            </w:r>
          </w:p>
        </w:tc>
        <w:tc>
          <w:tcPr>
            <w:tcW w:w="3589" w:type="dxa"/>
            <w:tcBorders>
              <w:top w:val="single" w:color="auto" w:sz="4" w:space="0"/>
              <w:left w:val="single" w:color="auto" w:sz="4" w:space="0"/>
              <w:bottom w:val="single" w:color="auto" w:sz="4" w:space="0"/>
              <w:right w:val="single" w:color="auto" w:sz="4" w:space="0"/>
            </w:tcBorders>
          </w:tcPr>
          <w:p w14:paraId="2579724F">
            <w:pPr>
              <w:shd w:val="clear"/>
              <w:spacing w:line="360" w:lineRule="auto"/>
              <w:rPr>
                <w:rFonts w:ascii="宋体" w:hAnsi="宋体" w:cs="宋体"/>
                <w:color w:val="auto"/>
                <w:sz w:val="24"/>
                <w:highlight w:val="none"/>
              </w:rPr>
            </w:pPr>
            <w:r>
              <w:rPr>
                <w:rFonts w:hint="eastAsia" w:ascii="宋体" w:hAnsi="宋体" w:cs="宋体"/>
                <w:color w:val="auto"/>
                <w:sz w:val="24"/>
                <w:highlight w:val="none"/>
              </w:rPr>
              <w:t>1  ……</w:t>
            </w:r>
          </w:p>
          <w:p w14:paraId="40B64403">
            <w:pPr>
              <w:shd w:val="clear"/>
              <w:spacing w:line="360" w:lineRule="auto"/>
              <w:rPr>
                <w:rFonts w:ascii="宋体" w:hAnsi="宋体" w:cs="宋体"/>
                <w:color w:val="auto"/>
                <w:sz w:val="24"/>
                <w:highlight w:val="none"/>
              </w:rPr>
            </w:pPr>
            <w:r>
              <w:rPr>
                <w:rFonts w:hint="eastAsia" w:ascii="宋体" w:hAnsi="宋体" w:cs="宋体"/>
                <w:color w:val="auto"/>
                <w:sz w:val="24"/>
                <w:highlight w:val="none"/>
              </w:rPr>
              <w:t>2  ……</w:t>
            </w:r>
          </w:p>
          <w:p w14:paraId="49F262B4">
            <w:pPr>
              <w:shd w:val="clear"/>
              <w:spacing w:line="360" w:lineRule="auto"/>
              <w:rPr>
                <w:rFonts w:ascii="宋体" w:hAnsi="宋体" w:cs="宋体"/>
                <w:color w:val="auto"/>
                <w:sz w:val="24"/>
                <w:highlight w:val="none"/>
              </w:rPr>
            </w:pPr>
            <w:r>
              <w:rPr>
                <w:rFonts w:hint="eastAsia" w:ascii="宋体" w:hAnsi="宋体" w:cs="宋体"/>
                <w:color w:val="auto"/>
                <w:sz w:val="24"/>
                <w:highlight w:val="none"/>
              </w:rPr>
              <w:t>3  ……</w:t>
            </w:r>
          </w:p>
          <w:p w14:paraId="730F56AA">
            <w:pPr>
              <w:shd w:val="clear"/>
              <w:spacing w:line="360" w:lineRule="auto"/>
              <w:rPr>
                <w:rFonts w:ascii="宋体" w:hAnsi="宋体" w:cs="宋体"/>
                <w:color w:val="auto"/>
                <w:sz w:val="24"/>
                <w:highlight w:val="none"/>
              </w:rPr>
            </w:pPr>
            <w:r>
              <w:rPr>
                <w:rFonts w:hint="eastAsia" w:ascii="宋体" w:hAnsi="宋体" w:cs="宋体"/>
                <w:color w:val="auto"/>
                <w:sz w:val="24"/>
                <w:highlight w:val="none"/>
              </w:rPr>
              <w:t>……</w:t>
            </w:r>
          </w:p>
        </w:tc>
        <w:tc>
          <w:tcPr>
            <w:tcW w:w="1274" w:type="dxa"/>
            <w:tcBorders>
              <w:top w:val="single" w:color="auto" w:sz="4" w:space="0"/>
              <w:left w:val="single" w:color="auto" w:sz="4" w:space="0"/>
              <w:bottom w:val="single" w:color="auto" w:sz="4" w:space="0"/>
              <w:right w:val="single" w:color="auto" w:sz="4" w:space="0"/>
            </w:tcBorders>
          </w:tcPr>
          <w:p w14:paraId="54B4409B">
            <w:pPr>
              <w:shd w:val="clear"/>
              <w:spacing w:line="360" w:lineRule="auto"/>
              <w:rPr>
                <w:rFonts w:ascii="宋体" w:hAnsi="宋体" w:cs="宋体"/>
                <w:color w:val="auto"/>
                <w:sz w:val="24"/>
                <w:highlight w:val="none"/>
              </w:rPr>
            </w:pPr>
            <w:r>
              <w:rPr>
                <w:rFonts w:hint="eastAsia" w:ascii="宋体" w:hAnsi="宋体" w:cs="宋体"/>
                <w:color w:val="auto"/>
                <w:sz w:val="24"/>
                <w:highlight w:val="none"/>
              </w:rPr>
              <w:t>正偏离（负偏离或无偏离）</w:t>
            </w:r>
          </w:p>
        </w:tc>
      </w:tr>
    </w:tbl>
    <w:p w14:paraId="15B691FC">
      <w:pPr>
        <w:shd w:val="clear"/>
        <w:spacing w:line="360" w:lineRule="auto"/>
        <w:contextualSpacing/>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注：</w:t>
      </w:r>
    </w:p>
    <w:p w14:paraId="64BF97B8">
      <w:pPr>
        <w:shd w:val="clear"/>
        <w:spacing w:line="360" w:lineRule="auto"/>
        <w:contextualSpacing/>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1.说明：应对照磋商文件“第二章 采购需求”中的商务条款逐条作出明确响应，并作出偏离说明。</w:t>
      </w:r>
    </w:p>
    <w:p w14:paraId="18523743">
      <w:pPr>
        <w:shd w:val="clear"/>
        <w:spacing w:line="360" w:lineRule="auto"/>
        <w:contextualSpacing/>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2.供应商应根据自身的承诺，对照磋商文件要求，在“偏离说明”中注明“正偏离”“负偏离”或者“无偏离”。既不属于“正偏离”也不属于“负偏离”即为“无偏离”。</w:t>
      </w:r>
      <w:r>
        <w:rPr>
          <w:rFonts w:hint="eastAsia" w:ascii="宋体" w:hAnsi="宋体" w:cs="宋体"/>
          <w:b/>
          <w:bCs/>
          <w:color w:val="auto"/>
          <w:kern w:val="0"/>
          <w:sz w:val="24"/>
          <w:highlight w:val="none"/>
          <w:lang w:val="zh-CN"/>
        </w:rPr>
        <w:t>当响应文件的</w:t>
      </w:r>
      <w:r>
        <w:rPr>
          <w:rFonts w:hint="eastAsia" w:ascii="宋体" w:hAnsi="宋体" w:cs="宋体"/>
          <w:color w:val="auto"/>
          <w:kern w:val="0"/>
          <w:sz w:val="24"/>
          <w:highlight w:val="none"/>
          <w:lang w:val="zh-CN"/>
        </w:rPr>
        <w:t>商务内容低于竞争性磋商文件要求时，竞标人应当如实写明“负偏离”，否则视为虚假应标</w:t>
      </w:r>
    </w:p>
    <w:p w14:paraId="478BB923">
      <w:pPr>
        <w:shd w:val="clear"/>
        <w:spacing w:line="360" w:lineRule="auto"/>
        <w:contextualSpacing/>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3.表格内容均需按要求填写，不得留空，否则按竞标无效处理。</w:t>
      </w:r>
    </w:p>
    <w:p w14:paraId="27165E99">
      <w:pPr>
        <w:shd w:val="clear"/>
        <w:spacing w:line="360" w:lineRule="auto"/>
        <w:contextualSpacing/>
        <w:rPr>
          <w:rFonts w:ascii="宋体" w:hAnsi="宋体" w:cs="宋体"/>
          <w:color w:val="auto"/>
          <w:kern w:val="0"/>
          <w:sz w:val="24"/>
          <w:szCs w:val="21"/>
          <w:highlight w:val="none"/>
          <w:lang w:val="zh-CN"/>
        </w:rPr>
      </w:pPr>
    </w:p>
    <w:p w14:paraId="0F0DF1A8">
      <w:pPr>
        <w:shd w:val="clear"/>
        <w:spacing w:line="360" w:lineRule="auto"/>
        <w:ind w:firstLine="3840" w:firstLineChars="1600"/>
        <w:rPr>
          <w:rFonts w:ascii="宋体" w:hAnsi="宋体" w:cs="宋体"/>
          <w:color w:val="auto"/>
          <w:kern w:val="0"/>
          <w:sz w:val="24"/>
          <w:highlight w:val="none"/>
        </w:rPr>
      </w:pPr>
    </w:p>
    <w:p w14:paraId="3863E6E9">
      <w:pPr>
        <w:shd w:val="clear"/>
        <w:spacing w:line="360" w:lineRule="auto"/>
        <w:ind w:firstLine="3840" w:firstLineChars="1600"/>
        <w:rPr>
          <w:rFonts w:ascii="宋体" w:hAnsi="宋体" w:cs="宋体"/>
          <w:color w:val="auto"/>
          <w:sz w:val="24"/>
          <w:highlight w:val="none"/>
        </w:rPr>
      </w:pPr>
      <w:r>
        <w:rPr>
          <w:rFonts w:hint="eastAsia" w:ascii="宋体" w:hAnsi="宋体" w:cs="宋体"/>
          <w:color w:val="auto"/>
          <w:kern w:val="0"/>
          <w:sz w:val="24"/>
          <w:highlight w:val="none"/>
        </w:rPr>
        <w:t>供应商名称（电子签章）：</w:t>
      </w:r>
    </w:p>
    <w:p w14:paraId="19DA70B3">
      <w:pPr>
        <w:shd w:val="clear"/>
        <w:spacing w:line="360" w:lineRule="auto"/>
        <w:contextualSpacing/>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6E190DA4">
      <w:pPr>
        <w:shd w:val="clear"/>
        <w:spacing w:line="360" w:lineRule="auto"/>
        <w:contextualSpacing/>
        <w:jc w:val="left"/>
        <w:rPr>
          <w:rFonts w:ascii="宋体" w:hAnsi="宋体" w:cs="宋体"/>
          <w:b/>
          <w:color w:val="auto"/>
          <w:sz w:val="30"/>
          <w:szCs w:val="30"/>
          <w:highlight w:val="none"/>
        </w:rPr>
      </w:pPr>
      <w:r>
        <w:rPr>
          <w:rFonts w:ascii="宋体" w:hAnsi="宋体" w:cs="宋体"/>
          <w:b/>
          <w:color w:val="auto"/>
          <w:sz w:val="30"/>
          <w:szCs w:val="30"/>
          <w:highlight w:val="none"/>
        </w:rPr>
        <w:br w:type="page"/>
      </w:r>
    </w:p>
    <w:p w14:paraId="06E5E741">
      <w:pPr>
        <w:shd w:val="clear"/>
        <w:snapToGrid w:val="0"/>
        <w:spacing w:line="360" w:lineRule="auto"/>
        <w:rPr>
          <w:rFonts w:ascii="宋体" w:hAnsi="宋体" w:cs="宋体"/>
          <w:bCs/>
          <w:color w:val="auto"/>
          <w:sz w:val="44"/>
          <w:szCs w:val="44"/>
          <w:highlight w:val="none"/>
        </w:rPr>
      </w:pPr>
      <w:r>
        <w:rPr>
          <w:rFonts w:hint="eastAsia" w:ascii="宋体" w:hAnsi="宋体" w:cs="宋体"/>
          <w:b/>
          <w:color w:val="auto"/>
          <w:sz w:val="30"/>
          <w:szCs w:val="30"/>
          <w:highlight w:val="none"/>
          <w:lang w:eastAsia="zh-CN"/>
        </w:rPr>
        <w:t>五</w:t>
      </w:r>
      <w:r>
        <w:rPr>
          <w:rFonts w:hint="eastAsia" w:ascii="宋体" w:hAnsi="宋体" w:cs="宋体"/>
          <w:b/>
          <w:color w:val="auto"/>
          <w:sz w:val="30"/>
          <w:szCs w:val="30"/>
          <w:highlight w:val="none"/>
        </w:rPr>
        <w:t>、服务需求偏离表</w:t>
      </w:r>
    </w:p>
    <w:p w14:paraId="19DA9BDA">
      <w:pPr>
        <w:shd w:val="clear"/>
        <w:spacing w:before="240" w:beforeLines="100" w:line="360" w:lineRule="auto"/>
        <w:jc w:val="center"/>
        <w:rPr>
          <w:rFonts w:ascii="宋体" w:hAnsi="宋体" w:cs="宋体"/>
          <w:bCs/>
          <w:color w:val="auto"/>
          <w:sz w:val="44"/>
          <w:szCs w:val="44"/>
          <w:highlight w:val="none"/>
        </w:rPr>
      </w:pPr>
      <w:r>
        <w:rPr>
          <w:rFonts w:hint="eastAsia" w:ascii="宋体" w:hAnsi="宋体" w:cs="宋体"/>
          <w:bCs/>
          <w:color w:val="auto"/>
          <w:sz w:val="44"/>
          <w:szCs w:val="44"/>
          <w:highlight w:val="none"/>
        </w:rPr>
        <w:t>服务需求偏离表</w:t>
      </w:r>
    </w:p>
    <w:p w14:paraId="3A1CA791">
      <w:pPr>
        <w:shd w:val="clear"/>
        <w:spacing w:line="360" w:lineRule="auto"/>
        <w:rPr>
          <w:rFonts w:ascii="宋体" w:hAnsi="宋体" w:cs="宋体"/>
          <w:color w:val="auto"/>
          <w:szCs w:val="21"/>
          <w:highlight w:val="none"/>
          <w:u w:val="single"/>
        </w:rPr>
      </w:pPr>
      <w:r>
        <w:rPr>
          <w:rFonts w:hint="eastAsia" w:ascii="宋体" w:hAnsi="宋体" w:cs="宋体"/>
          <w:color w:val="auto"/>
          <w:szCs w:val="21"/>
          <w:highlight w:val="none"/>
        </w:rPr>
        <w:t>项目编号：</w:t>
      </w:r>
      <w:r>
        <w:rPr>
          <w:rFonts w:hint="eastAsia" w:ascii="宋体" w:hAnsi="宋体" w:cs="宋体"/>
          <w:color w:val="auto"/>
          <w:szCs w:val="21"/>
          <w:highlight w:val="none"/>
          <w:u w:val="single"/>
        </w:rPr>
        <w:t xml:space="preserve">                 </w:t>
      </w:r>
    </w:p>
    <w:p w14:paraId="76D292B5">
      <w:pPr>
        <w:shd w:val="clear"/>
        <w:spacing w:line="360" w:lineRule="auto"/>
        <w:rPr>
          <w:rFonts w:ascii="宋体" w:hAnsi="宋体" w:cs="宋体"/>
          <w:color w:val="auto"/>
          <w:szCs w:val="21"/>
          <w:highlight w:val="none"/>
          <w:u w:val="singl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p>
    <w:tbl>
      <w:tblPr>
        <w:tblStyle w:val="51"/>
        <w:tblW w:w="9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4"/>
        <w:gridCol w:w="1371"/>
        <w:gridCol w:w="452"/>
        <w:gridCol w:w="2568"/>
        <w:gridCol w:w="1270"/>
        <w:gridCol w:w="487"/>
        <w:gridCol w:w="2282"/>
        <w:gridCol w:w="1095"/>
      </w:tblGrid>
      <w:tr w14:paraId="448F4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3" w:hRule="atLeast"/>
          <w:jc w:val="center"/>
        </w:trPr>
        <w:tc>
          <w:tcPr>
            <w:tcW w:w="394" w:type="dxa"/>
            <w:vMerge w:val="restart"/>
            <w:tcBorders>
              <w:top w:val="single" w:color="auto" w:sz="4" w:space="0"/>
              <w:left w:val="single" w:color="auto" w:sz="4" w:space="0"/>
              <w:right w:val="single" w:color="auto" w:sz="4" w:space="0"/>
            </w:tcBorders>
            <w:vAlign w:val="center"/>
          </w:tcPr>
          <w:p w14:paraId="42554CB9">
            <w:pPr>
              <w:shd w:val="clear"/>
              <w:tabs>
                <w:tab w:val="right" w:leader="dot" w:pos="8296"/>
              </w:tabs>
              <w:spacing w:before="120" w:after="120" w:line="360" w:lineRule="auto"/>
              <w:jc w:val="center"/>
              <w:rPr>
                <w:rFonts w:ascii="宋体" w:hAnsi="宋体" w:cs="宋体"/>
                <w:b/>
                <w:bCs/>
                <w:caps/>
                <w:color w:val="auto"/>
                <w:szCs w:val="21"/>
                <w:highlight w:val="none"/>
              </w:rPr>
            </w:pPr>
            <w:r>
              <w:rPr>
                <w:rFonts w:hint="eastAsia" w:ascii="宋体" w:hAnsi="宋体" w:cs="宋体"/>
                <w:b/>
                <w:bCs/>
                <w:caps/>
                <w:color w:val="auto"/>
                <w:szCs w:val="21"/>
                <w:highlight w:val="none"/>
              </w:rPr>
              <w:t>项号</w:t>
            </w:r>
          </w:p>
        </w:tc>
        <w:tc>
          <w:tcPr>
            <w:tcW w:w="4391" w:type="dxa"/>
            <w:gridSpan w:val="3"/>
            <w:tcBorders>
              <w:top w:val="single" w:color="auto" w:sz="4" w:space="0"/>
              <w:left w:val="single" w:color="auto" w:sz="4" w:space="0"/>
              <w:bottom w:val="single" w:color="auto" w:sz="4" w:space="0"/>
              <w:right w:val="single" w:color="auto" w:sz="4" w:space="0"/>
            </w:tcBorders>
            <w:vAlign w:val="center"/>
          </w:tcPr>
          <w:p w14:paraId="24ABD745">
            <w:pPr>
              <w:shd w:val="clear"/>
              <w:tabs>
                <w:tab w:val="right" w:leader="dot" w:pos="8296"/>
              </w:tabs>
              <w:spacing w:before="120" w:after="120" w:line="360" w:lineRule="auto"/>
              <w:jc w:val="center"/>
              <w:rPr>
                <w:rFonts w:ascii="宋体" w:hAnsi="宋体" w:cs="宋体"/>
                <w:b/>
                <w:bCs/>
                <w:caps/>
                <w:color w:val="auto"/>
                <w:szCs w:val="21"/>
                <w:highlight w:val="none"/>
              </w:rPr>
            </w:pPr>
            <w:r>
              <w:rPr>
                <w:rFonts w:hint="eastAsia" w:ascii="宋体" w:hAnsi="宋体" w:cs="宋体"/>
                <w:b/>
                <w:bCs/>
                <w:caps/>
                <w:color w:val="auto"/>
                <w:szCs w:val="21"/>
                <w:highlight w:val="none"/>
              </w:rPr>
              <w:t>竞争性磋商文件需求</w:t>
            </w:r>
          </w:p>
        </w:tc>
        <w:tc>
          <w:tcPr>
            <w:tcW w:w="4039" w:type="dxa"/>
            <w:gridSpan w:val="3"/>
            <w:tcBorders>
              <w:top w:val="single" w:color="auto" w:sz="4" w:space="0"/>
              <w:left w:val="single" w:color="auto" w:sz="4" w:space="0"/>
              <w:bottom w:val="single" w:color="auto" w:sz="4" w:space="0"/>
              <w:right w:val="single" w:color="auto" w:sz="4" w:space="0"/>
            </w:tcBorders>
            <w:vAlign w:val="center"/>
          </w:tcPr>
          <w:p w14:paraId="0A1BF77B">
            <w:pPr>
              <w:shd w:val="clear"/>
              <w:adjustRightInd w:val="0"/>
              <w:snapToGrid w:val="0"/>
              <w:spacing w:line="360" w:lineRule="auto"/>
              <w:jc w:val="center"/>
              <w:outlineLvl w:val="0"/>
              <w:rPr>
                <w:rFonts w:ascii="宋体" w:hAnsi="宋体" w:cs="宋体"/>
                <w:b/>
                <w:bCs/>
                <w:color w:val="auto"/>
                <w:szCs w:val="21"/>
                <w:highlight w:val="none"/>
              </w:rPr>
            </w:pPr>
            <w:bookmarkStart w:id="78" w:name="_Toc106283336"/>
            <w:r>
              <w:rPr>
                <w:rFonts w:hint="eastAsia" w:ascii="宋体" w:hAnsi="宋体" w:cs="宋体"/>
                <w:b/>
                <w:bCs/>
                <w:color w:val="auto"/>
                <w:szCs w:val="21"/>
                <w:highlight w:val="none"/>
              </w:rPr>
              <w:t>响应文件承诺</w:t>
            </w:r>
            <w:bookmarkEnd w:id="78"/>
          </w:p>
        </w:tc>
        <w:tc>
          <w:tcPr>
            <w:tcW w:w="1095" w:type="dxa"/>
            <w:vMerge w:val="restart"/>
            <w:tcBorders>
              <w:top w:val="single" w:color="auto" w:sz="4" w:space="0"/>
              <w:left w:val="single" w:color="auto" w:sz="4" w:space="0"/>
              <w:right w:val="single" w:color="auto" w:sz="4" w:space="0"/>
            </w:tcBorders>
            <w:vAlign w:val="center"/>
          </w:tcPr>
          <w:p w14:paraId="5FE32C4D">
            <w:pPr>
              <w:shd w:val="clear"/>
              <w:adjustRightInd w:val="0"/>
              <w:snapToGrid w:val="0"/>
              <w:spacing w:line="360" w:lineRule="auto"/>
              <w:jc w:val="center"/>
              <w:outlineLvl w:val="0"/>
              <w:rPr>
                <w:rFonts w:ascii="宋体" w:hAnsi="宋体" w:cs="宋体"/>
                <w:b/>
                <w:bCs/>
                <w:color w:val="auto"/>
                <w:szCs w:val="21"/>
                <w:highlight w:val="none"/>
              </w:rPr>
            </w:pPr>
            <w:bookmarkStart w:id="79" w:name="_Toc106283337"/>
            <w:r>
              <w:rPr>
                <w:rFonts w:hint="eastAsia" w:ascii="宋体" w:hAnsi="宋体" w:cs="宋体"/>
                <w:b/>
                <w:bCs/>
                <w:color w:val="auto"/>
                <w:szCs w:val="21"/>
                <w:highlight w:val="none"/>
              </w:rPr>
              <w:t>偏离说明</w:t>
            </w:r>
            <w:bookmarkEnd w:id="79"/>
          </w:p>
        </w:tc>
      </w:tr>
      <w:tr w14:paraId="1EB9D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394" w:type="dxa"/>
            <w:vMerge w:val="continue"/>
            <w:tcBorders>
              <w:left w:val="single" w:color="auto" w:sz="4" w:space="0"/>
              <w:bottom w:val="single" w:color="auto" w:sz="4" w:space="0"/>
              <w:right w:val="single" w:color="auto" w:sz="4" w:space="0"/>
            </w:tcBorders>
            <w:vAlign w:val="center"/>
          </w:tcPr>
          <w:p w14:paraId="40C26686">
            <w:pPr>
              <w:shd w:val="clear"/>
              <w:tabs>
                <w:tab w:val="right" w:leader="dot" w:pos="8296"/>
              </w:tabs>
              <w:spacing w:before="120" w:after="120" w:line="360" w:lineRule="auto"/>
              <w:jc w:val="center"/>
              <w:rPr>
                <w:rFonts w:ascii="宋体" w:hAnsi="宋体" w:cs="宋体"/>
                <w:b/>
                <w:bCs/>
                <w:caps/>
                <w:color w:val="auto"/>
                <w:szCs w:val="21"/>
                <w:highlight w:val="none"/>
              </w:rPr>
            </w:pPr>
          </w:p>
        </w:tc>
        <w:tc>
          <w:tcPr>
            <w:tcW w:w="1371" w:type="dxa"/>
            <w:tcBorders>
              <w:top w:val="single" w:color="auto" w:sz="4" w:space="0"/>
              <w:left w:val="single" w:color="auto" w:sz="4" w:space="0"/>
              <w:bottom w:val="single" w:color="auto" w:sz="4" w:space="0"/>
              <w:right w:val="single" w:color="auto" w:sz="4" w:space="0"/>
            </w:tcBorders>
            <w:vAlign w:val="center"/>
          </w:tcPr>
          <w:p w14:paraId="38DFE8F4">
            <w:pPr>
              <w:shd w:val="clear"/>
              <w:tabs>
                <w:tab w:val="right" w:leader="dot" w:pos="8296"/>
              </w:tabs>
              <w:spacing w:before="120" w:after="120" w:line="360" w:lineRule="auto"/>
              <w:jc w:val="center"/>
              <w:rPr>
                <w:rFonts w:ascii="宋体" w:hAnsi="宋体" w:cs="宋体"/>
                <w:b/>
                <w:bCs/>
                <w:caps/>
                <w:color w:val="auto"/>
                <w:szCs w:val="21"/>
                <w:highlight w:val="none"/>
              </w:rPr>
            </w:pPr>
            <w:r>
              <w:rPr>
                <w:rFonts w:hint="eastAsia" w:ascii="宋体" w:hAnsi="宋体" w:cs="宋体"/>
                <w:b/>
                <w:bCs/>
                <w:caps/>
                <w:color w:val="auto"/>
                <w:szCs w:val="21"/>
                <w:highlight w:val="none"/>
              </w:rPr>
              <w:t>标的名称</w:t>
            </w:r>
          </w:p>
        </w:tc>
        <w:tc>
          <w:tcPr>
            <w:tcW w:w="452" w:type="dxa"/>
            <w:tcBorders>
              <w:top w:val="single" w:color="auto" w:sz="4" w:space="0"/>
              <w:left w:val="single" w:color="auto" w:sz="4" w:space="0"/>
              <w:bottom w:val="single" w:color="auto" w:sz="4" w:space="0"/>
              <w:right w:val="single" w:color="auto" w:sz="4" w:space="0"/>
            </w:tcBorders>
            <w:vAlign w:val="center"/>
          </w:tcPr>
          <w:p w14:paraId="1BB2AB0E">
            <w:pPr>
              <w:shd w:val="clear"/>
              <w:tabs>
                <w:tab w:val="right" w:leader="dot" w:pos="8296"/>
              </w:tabs>
              <w:spacing w:before="120" w:after="120" w:line="360" w:lineRule="auto"/>
              <w:jc w:val="center"/>
              <w:rPr>
                <w:rFonts w:ascii="宋体" w:hAnsi="宋体" w:cs="宋体"/>
                <w:b/>
                <w:bCs/>
                <w:caps/>
                <w:color w:val="auto"/>
                <w:szCs w:val="21"/>
                <w:highlight w:val="none"/>
              </w:rPr>
            </w:pPr>
            <w:r>
              <w:rPr>
                <w:rFonts w:hint="eastAsia" w:ascii="宋体" w:hAnsi="宋体" w:cs="宋体"/>
                <w:b/>
                <w:bCs/>
                <w:caps/>
                <w:color w:val="auto"/>
                <w:szCs w:val="21"/>
                <w:highlight w:val="none"/>
              </w:rPr>
              <w:t>数量</w:t>
            </w:r>
          </w:p>
        </w:tc>
        <w:tc>
          <w:tcPr>
            <w:tcW w:w="2568" w:type="dxa"/>
            <w:tcBorders>
              <w:top w:val="single" w:color="auto" w:sz="4" w:space="0"/>
              <w:left w:val="single" w:color="auto" w:sz="4" w:space="0"/>
              <w:bottom w:val="single" w:color="auto" w:sz="4" w:space="0"/>
              <w:right w:val="single" w:color="auto" w:sz="4" w:space="0"/>
            </w:tcBorders>
            <w:vAlign w:val="center"/>
          </w:tcPr>
          <w:p w14:paraId="4ADFD13D">
            <w:pPr>
              <w:shd w:val="clear"/>
              <w:tabs>
                <w:tab w:val="right" w:leader="dot" w:pos="8296"/>
              </w:tabs>
              <w:spacing w:before="120" w:after="120" w:line="360" w:lineRule="auto"/>
              <w:jc w:val="center"/>
              <w:rPr>
                <w:rFonts w:ascii="宋体" w:hAnsi="宋体" w:cs="宋体"/>
                <w:b/>
                <w:bCs/>
                <w:caps/>
                <w:color w:val="auto"/>
                <w:szCs w:val="21"/>
                <w:highlight w:val="none"/>
              </w:rPr>
            </w:pPr>
            <w:r>
              <w:rPr>
                <w:rFonts w:hint="eastAsia" w:ascii="宋体" w:hAnsi="宋体" w:cs="宋体"/>
                <w:b/>
                <w:bCs/>
                <w:caps/>
                <w:color w:val="auto"/>
                <w:szCs w:val="21"/>
                <w:highlight w:val="none"/>
              </w:rPr>
              <w:t>服务需求</w:t>
            </w:r>
          </w:p>
        </w:tc>
        <w:tc>
          <w:tcPr>
            <w:tcW w:w="1270" w:type="dxa"/>
            <w:tcBorders>
              <w:top w:val="single" w:color="auto" w:sz="4" w:space="0"/>
              <w:left w:val="single" w:color="auto" w:sz="4" w:space="0"/>
              <w:bottom w:val="single" w:color="auto" w:sz="4" w:space="0"/>
              <w:right w:val="single" w:color="auto" w:sz="4" w:space="0"/>
            </w:tcBorders>
            <w:vAlign w:val="center"/>
          </w:tcPr>
          <w:p w14:paraId="6B858B73">
            <w:pPr>
              <w:shd w:val="clear"/>
              <w:tabs>
                <w:tab w:val="right" w:leader="dot" w:pos="8296"/>
              </w:tabs>
              <w:spacing w:before="120" w:after="120" w:line="360" w:lineRule="auto"/>
              <w:jc w:val="center"/>
              <w:rPr>
                <w:rFonts w:ascii="宋体" w:hAnsi="宋体" w:cs="宋体"/>
                <w:b/>
                <w:bCs/>
                <w:caps/>
                <w:color w:val="auto"/>
                <w:szCs w:val="21"/>
                <w:highlight w:val="none"/>
              </w:rPr>
            </w:pPr>
            <w:r>
              <w:rPr>
                <w:rFonts w:hint="eastAsia" w:ascii="宋体" w:hAnsi="宋体" w:cs="宋体"/>
                <w:b/>
                <w:bCs/>
                <w:caps/>
                <w:color w:val="auto"/>
                <w:szCs w:val="21"/>
                <w:highlight w:val="none"/>
              </w:rPr>
              <w:t>标的名称</w:t>
            </w:r>
          </w:p>
        </w:tc>
        <w:tc>
          <w:tcPr>
            <w:tcW w:w="487" w:type="dxa"/>
            <w:tcBorders>
              <w:top w:val="single" w:color="auto" w:sz="4" w:space="0"/>
              <w:left w:val="single" w:color="auto" w:sz="4" w:space="0"/>
              <w:bottom w:val="single" w:color="auto" w:sz="4" w:space="0"/>
              <w:right w:val="single" w:color="auto" w:sz="4" w:space="0"/>
            </w:tcBorders>
            <w:vAlign w:val="center"/>
          </w:tcPr>
          <w:p w14:paraId="7D7F421F">
            <w:pPr>
              <w:shd w:val="clear"/>
              <w:adjustRightInd w:val="0"/>
              <w:snapToGrid w:val="0"/>
              <w:spacing w:line="360" w:lineRule="auto"/>
              <w:jc w:val="center"/>
              <w:outlineLvl w:val="0"/>
              <w:rPr>
                <w:rFonts w:ascii="宋体" w:hAnsi="宋体" w:cs="宋体"/>
                <w:b/>
                <w:bCs/>
                <w:color w:val="auto"/>
                <w:szCs w:val="21"/>
                <w:highlight w:val="none"/>
              </w:rPr>
            </w:pPr>
            <w:bookmarkStart w:id="80" w:name="_Toc106283338"/>
            <w:bookmarkStart w:id="81" w:name="_Toc373333692"/>
            <w:bookmarkStart w:id="82" w:name="_Toc173211903"/>
            <w:bookmarkStart w:id="83" w:name="_Toc254970732"/>
            <w:bookmarkStart w:id="84" w:name="_Toc295404984"/>
            <w:bookmarkStart w:id="85" w:name="_Toc173066404"/>
            <w:bookmarkStart w:id="86" w:name="_Toc254970591"/>
            <w:bookmarkStart w:id="87" w:name="_Toc36488643"/>
            <w:bookmarkStart w:id="88" w:name="_Toc297193188"/>
            <w:bookmarkStart w:id="89" w:name="_Toc383699909"/>
            <w:bookmarkStart w:id="90" w:name="_Toc14132"/>
            <w:bookmarkStart w:id="91" w:name="_Toc301781614"/>
            <w:r>
              <w:rPr>
                <w:rFonts w:hint="eastAsia" w:ascii="宋体" w:hAnsi="宋体" w:cs="宋体"/>
                <w:b/>
                <w:bCs/>
                <w:color w:val="auto"/>
                <w:szCs w:val="21"/>
                <w:highlight w:val="none"/>
              </w:rPr>
              <w:t>数量</w:t>
            </w:r>
            <w:bookmarkEnd w:id="80"/>
          </w:p>
          <w:bookmarkEnd w:id="81"/>
          <w:bookmarkEnd w:id="82"/>
          <w:bookmarkEnd w:id="83"/>
          <w:bookmarkEnd w:id="84"/>
          <w:bookmarkEnd w:id="85"/>
          <w:bookmarkEnd w:id="86"/>
          <w:bookmarkEnd w:id="87"/>
          <w:bookmarkEnd w:id="88"/>
          <w:bookmarkEnd w:id="89"/>
          <w:bookmarkEnd w:id="90"/>
          <w:bookmarkEnd w:id="91"/>
        </w:tc>
        <w:tc>
          <w:tcPr>
            <w:tcW w:w="2282" w:type="dxa"/>
            <w:tcBorders>
              <w:top w:val="single" w:color="auto" w:sz="4" w:space="0"/>
              <w:left w:val="single" w:color="auto" w:sz="4" w:space="0"/>
              <w:bottom w:val="single" w:color="auto" w:sz="4" w:space="0"/>
              <w:right w:val="single" w:color="auto" w:sz="4" w:space="0"/>
            </w:tcBorders>
            <w:vAlign w:val="center"/>
          </w:tcPr>
          <w:p w14:paraId="54E3FFB0">
            <w:pPr>
              <w:shd w:val="clear"/>
              <w:adjustRightInd w:val="0"/>
              <w:snapToGrid w:val="0"/>
              <w:spacing w:line="360" w:lineRule="auto"/>
              <w:jc w:val="center"/>
              <w:outlineLvl w:val="0"/>
              <w:rPr>
                <w:rFonts w:ascii="宋体" w:hAnsi="宋体" w:cs="宋体"/>
                <w:b/>
                <w:bCs/>
                <w:color w:val="auto"/>
                <w:szCs w:val="21"/>
                <w:highlight w:val="none"/>
              </w:rPr>
            </w:pPr>
            <w:bookmarkStart w:id="92" w:name="_Toc106283339"/>
            <w:r>
              <w:rPr>
                <w:rFonts w:hint="eastAsia" w:ascii="宋体" w:hAnsi="宋体" w:cs="宋体"/>
                <w:b/>
                <w:bCs/>
                <w:color w:val="auto"/>
                <w:szCs w:val="21"/>
                <w:highlight w:val="none"/>
              </w:rPr>
              <w:t>服务需求响应</w:t>
            </w:r>
            <w:bookmarkEnd w:id="92"/>
          </w:p>
        </w:tc>
        <w:tc>
          <w:tcPr>
            <w:tcW w:w="1095" w:type="dxa"/>
            <w:vMerge w:val="continue"/>
            <w:tcBorders>
              <w:left w:val="single" w:color="auto" w:sz="4" w:space="0"/>
              <w:bottom w:val="single" w:color="auto" w:sz="4" w:space="0"/>
              <w:right w:val="single" w:color="auto" w:sz="4" w:space="0"/>
            </w:tcBorders>
            <w:vAlign w:val="center"/>
          </w:tcPr>
          <w:p w14:paraId="37E79B8F">
            <w:pPr>
              <w:shd w:val="clear"/>
              <w:adjustRightInd w:val="0"/>
              <w:snapToGrid w:val="0"/>
              <w:spacing w:line="360" w:lineRule="auto"/>
              <w:jc w:val="center"/>
              <w:outlineLvl w:val="0"/>
              <w:rPr>
                <w:rFonts w:ascii="宋体" w:hAnsi="宋体" w:cs="宋体"/>
                <w:color w:val="auto"/>
                <w:szCs w:val="21"/>
                <w:highlight w:val="none"/>
              </w:rPr>
            </w:pPr>
          </w:p>
        </w:tc>
      </w:tr>
      <w:tr w14:paraId="1E131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94" w:type="dxa"/>
            <w:tcBorders>
              <w:top w:val="single" w:color="auto" w:sz="4" w:space="0"/>
              <w:left w:val="single" w:color="auto" w:sz="4" w:space="0"/>
              <w:bottom w:val="single" w:color="auto" w:sz="4" w:space="0"/>
              <w:right w:val="single" w:color="auto" w:sz="4" w:space="0"/>
            </w:tcBorders>
            <w:vAlign w:val="center"/>
          </w:tcPr>
          <w:p w14:paraId="059FA833">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371" w:type="dxa"/>
            <w:tcBorders>
              <w:top w:val="single" w:color="auto" w:sz="4" w:space="0"/>
              <w:left w:val="single" w:color="auto" w:sz="4" w:space="0"/>
              <w:bottom w:val="single" w:color="auto" w:sz="4" w:space="0"/>
              <w:right w:val="single" w:color="auto" w:sz="4" w:space="0"/>
            </w:tcBorders>
            <w:vAlign w:val="center"/>
          </w:tcPr>
          <w:p w14:paraId="7F7F583F">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452" w:type="dxa"/>
            <w:tcBorders>
              <w:top w:val="single" w:color="auto" w:sz="4" w:space="0"/>
              <w:left w:val="single" w:color="auto" w:sz="4" w:space="0"/>
              <w:bottom w:val="single" w:color="auto" w:sz="4" w:space="0"/>
              <w:right w:val="single" w:color="auto" w:sz="4" w:space="0"/>
            </w:tcBorders>
            <w:vAlign w:val="center"/>
          </w:tcPr>
          <w:p w14:paraId="5D75089B">
            <w:pPr>
              <w:shd w:val="clear"/>
              <w:spacing w:line="360" w:lineRule="auto"/>
              <w:rPr>
                <w:rFonts w:ascii="宋体" w:hAnsi="宋体" w:cs="宋体"/>
                <w:color w:val="auto"/>
                <w:kern w:val="0"/>
                <w:szCs w:val="21"/>
                <w:highlight w:val="none"/>
              </w:rPr>
            </w:pPr>
            <w:r>
              <w:rPr>
                <w:rFonts w:hint="eastAsia" w:ascii="宋体" w:hAnsi="宋体" w:cs="宋体"/>
                <w:color w:val="auto"/>
                <w:szCs w:val="21"/>
                <w:highlight w:val="none"/>
              </w:rPr>
              <w:t>…</w:t>
            </w:r>
          </w:p>
        </w:tc>
        <w:tc>
          <w:tcPr>
            <w:tcW w:w="2568" w:type="dxa"/>
            <w:tcBorders>
              <w:top w:val="single" w:color="auto" w:sz="4" w:space="0"/>
              <w:left w:val="single" w:color="auto" w:sz="4" w:space="0"/>
              <w:bottom w:val="single" w:color="auto" w:sz="4" w:space="0"/>
              <w:right w:val="single" w:color="auto" w:sz="4" w:space="0"/>
            </w:tcBorders>
            <w:vAlign w:val="center"/>
          </w:tcPr>
          <w:p w14:paraId="2221CA3F">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1……</w:t>
            </w:r>
          </w:p>
          <w:p w14:paraId="11C2DCA5">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2 ……</w:t>
            </w:r>
          </w:p>
          <w:p w14:paraId="7A15BF94">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3……</w:t>
            </w:r>
          </w:p>
          <w:p w14:paraId="7BAAB2F4">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1270" w:type="dxa"/>
            <w:tcBorders>
              <w:top w:val="single" w:color="auto" w:sz="4" w:space="0"/>
              <w:left w:val="single" w:color="auto" w:sz="4" w:space="0"/>
              <w:bottom w:val="single" w:color="auto" w:sz="4" w:space="0"/>
              <w:right w:val="single" w:color="auto" w:sz="4" w:space="0"/>
            </w:tcBorders>
            <w:vAlign w:val="center"/>
          </w:tcPr>
          <w:p w14:paraId="1314131A">
            <w:pPr>
              <w:shd w:val="clear"/>
              <w:spacing w:line="360" w:lineRule="auto"/>
              <w:rPr>
                <w:rFonts w:ascii="宋体" w:hAnsi="宋体" w:cs="宋体"/>
                <w:color w:val="auto"/>
                <w:kern w:val="0"/>
                <w:szCs w:val="21"/>
                <w:highlight w:val="none"/>
              </w:rPr>
            </w:pPr>
            <w:r>
              <w:rPr>
                <w:rFonts w:hint="eastAsia" w:ascii="宋体" w:hAnsi="宋体" w:cs="宋体"/>
                <w:color w:val="auto"/>
                <w:szCs w:val="21"/>
                <w:highlight w:val="none"/>
              </w:rPr>
              <w:t>……</w:t>
            </w:r>
          </w:p>
        </w:tc>
        <w:tc>
          <w:tcPr>
            <w:tcW w:w="487" w:type="dxa"/>
            <w:tcBorders>
              <w:top w:val="single" w:color="auto" w:sz="4" w:space="0"/>
              <w:left w:val="single" w:color="auto" w:sz="4" w:space="0"/>
              <w:bottom w:val="single" w:color="auto" w:sz="4" w:space="0"/>
              <w:right w:val="single" w:color="auto" w:sz="4" w:space="0"/>
            </w:tcBorders>
            <w:vAlign w:val="center"/>
          </w:tcPr>
          <w:p w14:paraId="78D21D65">
            <w:pPr>
              <w:shd w:val="clear"/>
              <w:spacing w:line="360" w:lineRule="auto"/>
              <w:rPr>
                <w:rFonts w:ascii="宋体" w:hAnsi="宋体" w:cs="宋体"/>
                <w:color w:val="auto"/>
                <w:kern w:val="0"/>
                <w:szCs w:val="21"/>
                <w:highlight w:val="none"/>
              </w:rPr>
            </w:pPr>
            <w:r>
              <w:rPr>
                <w:rFonts w:hint="eastAsia" w:ascii="宋体" w:hAnsi="宋体" w:cs="宋体"/>
                <w:color w:val="auto"/>
                <w:szCs w:val="21"/>
                <w:highlight w:val="none"/>
              </w:rPr>
              <w:t>…</w:t>
            </w:r>
          </w:p>
        </w:tc>
        <w:tc>
          <w:tcPr>
            <w:tcW w:w="2282" w:type="dxa"/>
            <w:tcBorders>
              <w:top w:val="single" w:color="auto" w:sz="4" w:space="0"/>
              <w:left w:val="single" w:color="auto" w:sz="4" w:space="0"/>
              <w:bottom w:val="single" w:color="auto" w:sz="4" w:space="0"/>
              <w:right w:val="single" w:color="auto" w:sz="4" w:space="0"/>
            </w:tcBorders>
            <w:vAlign w:val="center"/>
          </w:tcPr>
          <w:p w14:paraId="13A082C0">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1……</w:t>
            </w:r>
          </w:p>
          <w:p w14:paraId="0EFE40F0">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2 ……</w:t>
            </w:r>
          </w:p>
          <w:p w14:paraId="0ACECD3A">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3……</w:t>
            </w:r>
          </w:p>
          <w:p w14:paraId="6E32EEFF">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1095" w:type="dxa"/>
            <w:tcBorders>
              <w:top w:val="single" w:color="auto" w:sz="4" w:space="0"/>
              <w:left w:val="single" w:color="auto" w:sz="4" w:space="0"/>
              <w:bottom w:val="single" w:color="auto" w:sz="4" w:space="0"/>
              <w:right w:val="single" w:color="auto" w:sz="4" w:space="0"/>
            </w:tcBorders>
            <w:vAlign w:val="center"/>
          </w:tcPr>
          <w:p w14:paraId="1C3B9B29">
            <w:pPr>
              <w:shd w:val="clear"/>
              <w:spacing w:line="360" w:lineRule="auto"/>
              <w:jc w:val="center"/>
              <w:rPr>
                <w:rFonts w:ascii="宋体" w:hAnsi="宋体" w:cs="宋体"/>
                <w:color w:val="auto"/>
                <w:szCs w:val="21"/>
                <w:highlight w:val="none"/>
              </w:rPr>
            </w:pPr>
          </w:p>
        </w:tc>
      </w:tr>
      <w:tr w14:paraId="4564E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dxa"/>
            <w:tcBorders>
              <w:top w:val="single" w:color="auto" w:sz="4" w:space="0"/>
              <w:left w:val="single" w:color="auto" w:sz="4" w:space="0"/>
              <w:bottom w:val="single" w:color="auto" w:sz="4" w:space="0"/>
              <w:right w:val="single" w:color="auto" w:sz="4" w:space="0"/>
            </w:tcBorders>
            <w:vAlign w:val="center"/>
          </w:tcPr>
          <w:p w14:paraId="40C4C434">
            <w:pPr>
              <w:shd w:val="clear"/>
              <w:spacing w:line="360" w:lineRule="auto"/>
              <w:jc w:val="center"/>
              <w:rPr>
                <w:rFonts w:ascii="宋体" w:hAnsi="宋体" w:cs="宋体"/>
                <w:color w:val="auto"/>
                <w:szCs w:val="21"/>
                <w:highlight w:val="none"/>
              </w:rPr>
            </w:pPr>
            <w:r>
              <w:rPr>
                <w:rFonts w:ascii="宋体" w:hAnsi="宋体" w:cs="宋体"/>
                <w:color w:val="auto"/>
                <w:szCs w:val="21"/>
                <w:highlight w:val="none"/>
              </w:rPr>
              <w:t>…</w:t>
            </w:r>
          </w:p>
        </w:tc>
        <w:tc>
          <w:tcPr>
            <w:tcW w:w="1371" w:type="dxa"/>
            <w:tcBorders>
              <w:top w:val="single" w:color="auto" w:sz="4" w:space="0"/>
              <w:left w:val="single" w:color="auto" w:sz="4" w:space="0"/>
              <w:bottom w:val="single" w:color="auto" w:sz="4" w:space="0"/>
              <w:right w:val="single" w:color="auto" w:sz="4" w:space="0"/>
            </w:tcBorders>
            <w:vAlign w:val="center"/>
          </w:tcPr>
          <w:p w14:paraId="73F56603">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452" w:type="dxa"/>
            <w:tcBorders>
              <w:top w:val="single" w:color="auto" w:sz="4" w:space="0"/>
              <w:left w:val="single" w:color="auto" w:sz="4" w:space="0"/>
              <w:bottom w:val="single" w:color="auto" w:sz="4" w:space="0"/>
              <w:right w:val="single" w:color="auto" w:sz="4" w:space="0"/>
            </w:tcBorders>
            <w:vAlign w:val="center"/>
          </w:tcPr>
          <w:p w14:paraId="1758A0B0">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2568" w:type="dxa"/>
            <w:tcBorders>
              <w:top w:val="single" w:color="auto" w:sz="4" w:space="0"/>
              <w:left w:val="single" w:color="auto" w:sz="4" w:space="0"/>
              <w:bottom w:val="single" w:color="auto" w:sz="4" w:space="0"/>
              <w:right w:val="single" w:color="auto" w:sz="4" w:space="0"/>
            </w:tcBorders>
            <w:vAlign w:val="center"/>
          </w:tcPr>
          <w:p w14:paraId="62C5CEF9">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1……</w:t>
            </w:r>
          </w:p>
          <w:p w14:paraId="110E6326">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2 ……</w:t>
            </w:r>
          </w:p>
          <w:p w14:paraId="019203B5">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3……</w:t>
            </w:r>
          </w:p>
          <w:p w14:paraId="088AAFE7">
            <w:pPr>
              <w:shd w:val="clear"/>
              <w:spacing w:line="360" w:lineRule="auto"/>
              <w:rPr>
                <w:rFonts w:ascii="宋体" w:hAnsi="宋体" w:cs="宋体"/>
                <w:color w:val="auto"/>
                <w:szCs w:val="21"/>
                <w:highlight w:val="none"/>
              </w:rPr>
            </w:pPr>
            <w:r>
              <w:rPr>
                <w:rFonts w:hint="eastAsia" w:ascii="宋体" w:hAnsi="宋体" w:cs="宋体"/>
                <w:color w:val="auto"/>
                <w:kern w:val="0"/>
                <w:szCs w:val="21"/>
                <w:highlight w:val="none"/>
              </w:rPr>
              <w:t>……</w:t>
            </w:r>
          </w:p>
        </w:tc>
        <w:tc>
          <w:tcPr>
            <w:tcW w:w="1270" w:type="dxa"/>
            <w:tcBorders>
              <w:top w:val="single" w:color="auto" w:sz="4" w:space="0"/>
              <w:left w:val="single" w:color="auto" w:sz="4" w:space="0"/>
              <w:bottom w:val="single" w:color="auto" w:sz="4" w:space="0"/>
              <w:right w:val="single" w:color="auto" w:sz="4" w:space="0"/>
            </w:tcBorders>
            <w:vAlign w:val="center"/>
          </w:tcPr>
          <w:p w14:paraId="4A1639B3">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487" w:type="dxa"/>
            <w:tcBorders>
              <w:top w:val="single" w:color="auto" w:sz="4" w:space="0"/>
              <w:left w:val="single" w:color="auto" w:sz="4" w:space="0"/>
              <w:bottom w:val="single" w:color="auto" w:sz="4" w:space="0"/>
              <w:right w:val="single" w:color="auto" w:sz="4" w:space="0"/>
            </w:tcBorders>
            <w:vAlign w:val="center"/>
          </w:tcPr>
          <w:p w14:paraId="63589E8F">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2282" w:type="dxa"/>
            <w:tcBorders>
              <w:top w:val="single" w:color="auto" w:sz="4" w:space="0"/>
              <w:left w:val="single" w:color="auto" w:sz="4" w:space="0"/>
              <w:bottom w:val="single" w:color="auto" w:sz="4" w:space="0"/>
              <w:right w:val="single" w:color="auto" w:sz="4" w:space="0"/>
            </w:tcBorders>
            <w:vAlign w:val="center"/>
          </w:tcPr>
          <w:p w14:paraId="0A6148D2">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1……</w:t>
            </w:r>
          </w:p>
          <w:p w14:paraId="18071FE9">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2 ……</w:t>
            </w:r>
          </w:p>
          <w:p w14:paraId="576954D6">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3……</w:t>
            </w:r>
          </w:p>
          <w:p w14:paraId="55EE83D1">
            <w:pPr>
              <w:shd w:val="clear"/>
              <w:spacing w:line="360" w:lineRule="auto"/>
              <w:rPr>
                <w:rFonts w:ascii="宋体" w:hAnsi="宋体" w:cs="宋体"/>
                <w:color w:val="auto"/>
                <w:szCs w:val="21"/>
                <w:highlight w:val="none"/>
              </w:rPr>
            </w:pPr>
            <w:r>
              <w:rPr>
                <w:rFonts w:hint="eastAsia" w:ascii="宋体" w:hAnsi="宋体" w:cs="宋体"/>
                <w:color w:val="auto"/>
                <w:kern w:val="0"/>
                <w:szCs w:val="21"/>
                <w:highlight w:val="none"/>
              </w:rPr>
              <w:t>……</w:t>
            </w:r>
          </w:p>
        </w:tc>
        <w:tc>
          <w:tcPr>
            <w:tcW w:w="1095" w:type="dxa"/>
            <w:tcBorders>
              <w:top w:val="single" w:color="auto" w:sz="4" w:space="0"/>
              <w:left w:val="single" w:color="auto" w:sz="4" w:space="0"/>
              <w:bottom w:val="single" w:color="auto" w:sz="4" w:space="0"/>
              <w:right w:val="single" w:color="auto" w:sz="4" w:space="0"/>
            </w:tcBorders>
          </w:tcPr>
          <w:p w14:paraId="32B2F794">
            <w:pPr>
              <w:shd w:val="clear"/>
              <w:spacing w:line="360" w:lineRule="auto"/>
              <w:rPr>
                <w:rFonts w:ascii="宋体" w:hAnsi="宋体" w:cs="宋体"/>
                <w:color w:val="auto"/>
                <w:szCs w:val="21"/>
                <w:highlight w:val="none"/>
              </w:rPr>
            </w:pPr>
          </w:p>
        </w:tc>
      </w:tr>
    </w:tbl>
    <w:p w14:paraId="1172D9D2">
      <w:pPr>
        <w:shd w:val="clear"/>
        <w:spacing w:line="360" w:lineRule="auto"/>
        <w:contextualSpacing/>
        <w:rPr>
          <w:rFonts w:ascii="宋体" w:hAnsi="宋体" w:cs="宋体"/>
          <w:color w:val="auto"/>
          <w:szCs w:val="21"/>
          <w:highlight w:val="none"/>
          <w:lang w:val="zh-CN"/>
        </w:rPr>
      </w:pPr>
      <w:r>
        <w:rPr>
          <w:rFonts w:hint="eastAsia" w:ascii="宋体" w:hAnsi="宋体" w:cs="宋体"/>
          <w:color w:val="auto"/>
          <w:szCs w:val="21"/>
          <w:highlight w:val="none"/>
          <w:lang w:val="zh-CN"/>
        </w:rPr>
        <w:t>注：</w:t>
      </w:r>
    </w:p>
    <w:p w14:paraId="03FA3C79">
      <w:pPr>
        <w:shd w:val="clear"/>
        <w:spacing w:line="360" w:lineRule="auto"/>
        <w:contextualSpacing/>
        <w:rPr>
          <w:rFonts w:ascii="宋体" w:hAnsi="宋体" w:cs="宋体"/>
          <w:color w:val="auto"/>
          <w:szCs w:val="21"/>
          <w:highlight w:val="none"/>
          <w:lang w:val="zh-CN"/>
        </w:rPr>
      </w:pPr>
      <w:r>
        <w:rPr>
          <w:rFonts w:hint="eastAsia" w:ascii="宋体" w:hAnsi="宋体" w:cs="宋体"/>
          <w:color w:val="auto"/>
          <w:szCs w:val="21"/>
          <w:highlight w:val="none"/>
          <w:lang w:val="zh-CN"/>
        </w:rPr>
        <w:t>1.说明：应对照磋商文件“第二章 采购需求”中的服务需求逐条作出明确响应，并作出偏离说明。</w:t>
      </w:r>
    </w:p>
    <w:p w14:paraId="53C36A40">
      <w:pPr>
        <w:shd w:val="clear"/>
        <w:spacing w:line="360" w:lineRule="auto"/>
        <w:contextualSpacing/>
        <w:rPr>
          <w:rFonts w:ascii="宋体" w:hAnsi="宋体" w:cs="宋体"/>
          <w:color w:val="auto"/>
          <w:szCs w:val="21"/>
          <w:highlight w:val="none"/>
          <w:lang w:val="zh-CN"/>
        </w:rPr>
      </w:pPr>
      <w:r>
        <w:rPr>
          <w:rFonts w:hint="eastAsia" w:ascii="宋体" w:hAnsi="宋体" w:cs="宋体"/>
          <w:color w:val="auto"/>
          <w:szCs w:val="21"/>
          <w:highlight w:val="none"/>
          <w:lang w:val="zh-CN"/>
        </w:rPr>
        <w:t>2.供应商应根据自身的承诺，对照磋商文件要求，在“偏离说明”中注明“正偏离”“负偏离”或者“无偏离”。既不属于“正偏离”也不属于“负偏离”即为“无偏离”。当响应文件的内容低于竞争性磋商文件要求时，供应商应当如实写明“负偏离”，否则视为虚假应标。</w:t>
      </w:r>
    </w:p>
    <w:p w14:paraId="6F2F2CC0">
      <w:pPr>
        <w:shd w:val="clear"/>
        <w:spacing w:line="360" w:lineRule="auto"/>
        <w:contextualSpacing/>
        <w:rPr>
          <w:rFonts w:ascii="宋体" w:hAnsi="宋体" w:cs="宋体"/>
          <w:color w:val="auto"/>
          <w:szCs w:val="21"/>
          <w:highlight w:val="none"/>
          <w:lang w:val="zh-CN"/>
        </w:rPr>
      </w:pPr>
      <w:r>
        <w:rPr>
          <w:rFonts w:hint="eastAsia" w:ascii="宋体" w:hAnsi="宋体" w:cs="宋体"/>
          <w:color w:val="auto"/>
          <w:szCs w:val="21"/>
          <w:highlight w:val="none"/>
          <w:lang w:val="zh-CN"/>
        </w:rPr>
        <w:t>3.表格内容均需按要求填写并盖章，不得留空，否则按竞标无效处理。</w:t>
      </w:r>
    </w:p>
    <w:p w14:paraId="32526A14">
      <w:pPr>
        <w:shd w:val="clear"/>
        <w:spacing w:line="360" w:lineRule="auto"/>
        <w:contextualSpacing/>
        <w:rPr>
          <w:rFonts w:ascii="宋体" w:hAnsi="宋体" w:cs="宋体"/>
          <w:color w:val="auto"/>
          <w:szCs w:val="21"/>
          <w:highlight w:val="none"/>
          <w:lang w:val="zh-CN"/>
        </w:rPr>
      </w:pPr>
      <w:r>
        <w:rPr>
          <w:rFonts w:hint="eastAsia" w:ascii="宋体" w:hAnsi="宋体" w:cs="宋体"/>
          <w:color w:val="auto"/>
          <w:szCs w:val="21"/>
          <w:highlight w:val="none"/>
          <w:lang w:val="zh-CN"/>
        </w:rPr>
        <w:t>4.如技术偏离表中的竞标响应与佐证材料不一致的，以佐证材料为准。</w:t>
      </w:r>
    </w:p>
    <w:p w14:paraId="7DDB618C">
      <w:pPr>
        <w:shd w:val="clear"/>
        <w:snapToGrid w:val="0"/>
        <w:spacing w:line="360" w:lineRule="auto"/>
        <w:ind w:firstLine="422" w:firstLineChars="200"/>
        <w:rPr>
          <w:rFonts w:ascii="宋体" w:hAnsi="宋体" w:cs="宋体"/>
          <w:b/>
          <w:color w:val="auto"/>
          <w:szCs w:val="21"/>
          <w:highlight w:val="none"/>
        </w:rPr>
      </w:pPr>
    </w:p>
    <w:p w14:paraId="1318B175">
      <w:pPr>
        <w:shd w:val="clear"/>
        <w:autoSpaceDE w:val="0"/>
        <w:autoSpaceDN w:val="0"/>
        <w:spacing w:line="360" w:lineRule="auto"/>
        <w:ind w:left="4305" w:leftChars="1950" w:hanging="210" w:hangingChars="100"/>
        <w:rPr>
          <w:rFonts w:ascii="宋体" w:hAnsi="宋体" w:cs="宋体"/>
          <w:color w:val="auto"/>
          <w:kern w:val="0"/>
          <w:szCs w:val="21"/>
          <w:highlight w:val="none"/>
        </w:rPr>
      </w:pPr>
    </w:p>
    <w:p w14:paraId="1B68DE70">
      <w:pPr>
        <w:shd w:val="clear"/>
        <w:autoSpaceDE w:val="0"/>
        <w:autoSpaceDN w:val="0"/>
        <w:spacing w:line="360" w:lineRule="auto"/>
        <w:ind w:left="4305" w:leftChars="1950" w:hanging="210" w:hangingChars="100"/>
        <w:rPr>
          <w:rFonts w:ascii="宋体" w:hAnsi="宋体" w:cs="宋体"/>
          <w:color w:val="auto"/>
          <w:kern w:val="0"/>
          <w:szCs w:val="21"/>
          <w:highlight w:val="none"/>
        </w:rPr>
      </w:pPr>
      <w:r>
        <w:rPr>
          <w:rFonts w:hint="eastAsia" w:ascii="宋体" w:hAnsi="宋体" w:cs="宋体"/>
          <w:color w:val="auto"/>
          <w:kern w:val="0"/>
          <w:szCs w:val="21"/>
          <w:highlight w:val="none"/>
        </w:rPr>
        <w:t>供应商名称（电子签章）：</w:t>
      </w:r>
    </w:p>
    <w:p w14:paraId="58DC247D">
      <w:pPr>
        <w:shd w:val="clear"/>
        <w:spacing w:line="360" w:lineRule="auto"/>
        <w:ind w:firstLine="5336" w:firstLineChars="2541"/>
        <w:contextualSpacing/>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日期：  年   月   日</w:t>
      </w:r>
    </w:p>
    <w:p w14:paraId="724F0465">
      <w:pPr>
        <w:shd w:val="clear"/>
        <w:rPr>
          <w:rFonts w:hint="eastAsia" w:ascii="宋体" w:hAnsi="宋体" w:eastAsia="宋体" w:cs="宋体"/>
          <w:color w:val="auto"/>
          <w:kern w:val="0"/>
          <w:szCs w:val="21"/>
          <w:highlight w:val="none"/>
          <w:lang w:val="zh-CN" w:eastAsia="zh-CN"/>
        </w:rPr>
      </w:pPr>
      <w:r>
        <w:rPr>
          <w:rFonts w:hint="eastAsia" w:ascii="宋体" w:hAnsi="宋体" w:eastAsia="宋体" w:cs="宋体"/>
          <w:color w:val="auto"/>
          <w:kern w:val="0"/>
          <w:szCs w:val="21"/>
          <w:highlight w:val="none"/>
          <w:lang w:val="zh-CN" w:eastAsia="zh-CN"/>
        </w:rPr>
        <w:br w:type="page"/>
      </w:r>
    </w:p>
    <w:p w14:paraId="0EB04C85">
      <w:pPr>
        <w:shd w:val="clear"/>
        <w:snapToGrid w:val="0"/>
        <w:spacing w:line="360" w:lineRule="auto"/>
        <w:rPr>
          <w:rFonts w:ascii="宋体" w:hAnsi="宋体" w:cs="宋体"/>
          <w:b/>
          <w:color w:val="auto"/>
          <w:sz w:val="30"/>
          <w:szCs w:val="30"/>
          <w:highlight w:val="none"/>
        </w:rPr>
      </w:pPr>
      <w:r>
        <w:rPr>
          <w:rFonts w:hint="eastAsia" w:ascii="宋体" w:hAnsi="宋体" w:cs="宋体"/>
          <w:b/>
          <w:color w:val="auto"/>
          <w:sz w:val="30"/>
          <w:szCs w:val="30"/>
          <w:highlight w:val="none"/>
        </w:rPr>
        <w:t>六、供应商类似的业绩证明文件</w:t>
      </w:r>
    </w:p>
    <w:p w14:paraId="4A63B5C5">
      <w:pPr>
        <w:shd w:val="clear"/>
        <w:snapToGrid w:val="0"/>
        <w:spacing w:line="360" w:lineRule="auto"/>
        <w:ind w:left="480" w:hanging="480" w:hangingChars="200"/>
        <w:contextualSpacing/>
        <w:rPr>
          <w:rFonts w:ascii="宋体" w:hAnsi="宋体" w:cs="宋体"/>
          <w:color w:val="auto"/>
          <w:sz w:val="24"/>
          <w:highlight w:val="none"/>
        </w:rPr>
      </w:pPr>
    </w:p>
    <w:tbl>
      <w:tblPr>
        <w:tblStyle w:val="51"/>
        <w:tblW w:w="986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19"/>
        <w:gridCol w:w="1843"/>
        <w:gridCol w:w="1134"/>
        <w:gridCol w:w="1134"/>
        <w:gridCol w:w="1416"/>
        <w:gridCol w:w="1276"/>
        <w:gridCol w:w="1843"/>
      </w:tblGrid>
      <w:tr w14:paraId="78AE25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1219" w:type="dxa"/>
            <w:vMerge w:val="restart"/>
            <w:tcBorders>
              <w:top w:val="single" w:color="auto" w:sz="4" w:space="0"/>
              <w:left w:val="single" w:color="auto" w:sz="4" w:space="0"/>
              <w:bottom w:val="single" w:color="auto" w:sz="4" w:space="0"/>
              <w:right w:val="single" w:color="auto" w:sz="4" w:space="0"/>
            </w:tcBorders>
            <w:vAlign w:val="center"/>
          </w:tcPr>
          <w:p w14:paraId="5B1683A0">
            <w:pPr>
              <w:shd w:val="clea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采购人</w:t>
            </w:r>
          </w:p>
          <w:p w14:paraId="5B8B45C8">
            <w:pPr>
              <w:shd w:val="clea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名称</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14:paraId="5F9A5147">
            <w:pPr>
              <w:shd w:val="clea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010D9EDA">
            <w:pPr>
              <w:shd w:val="clea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合同</w:t>
            </w:r>
          </w:p>
          <w:p w14:paraId="7EEE897F">
            <w:pPr>
              <w:shd w:val="clea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金额</w:t>
            </w:r>
          </w:p>
          <w:p w14:paraId="466E8C6A">
            <w:pPr>
              <w:shd w:val="clea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（万元）</w:t>
            </w:r>
          </w:p>
        </w:tc>
        <w:tc>
          <w:tcPr>
            <w:tcW w:w="3826" w:type="dxa"/>
            <w:gridSpan w:val="3"/>
            <w:tcBorders>
              <w:top w:val="single" w:color="auto" w:sz="4" w:space="0"/>
              <w:left w:val="single" w:color="auto" w:sz="4" w:space="0"/>
              <w:bottom w:val="single" w:color="auto" w:sz="4" w:space="0"/>
              <w:right w:val="single" w:color="auto" w:sz="4" w:space="0"/>
            </w:tcBorders>
            <w:vAlign w:val="center"/>
          </w:tcPr>
          <w:p w14:paraId="6133604E">
            <w:pPr>
              <w:shd w:val="clea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附件在响应文件中页码</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14:paraId="7E359761">
            <w:pPr>
              <w:shd w:val="clea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采购人联系人及联系电话</w:t>
            </w:r>
          </w:p>
        </w:tc>
      </w:tr>
      <w:tr w14:paraId="67F22F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jc w:val="center"/>
        </w:trPr>
        <w:tc>
          <w:tcPr>
            <w:tcW w:w="1219" w:type="dxa"/>
            <w:vMerge w:val="continue"/>
            <w:tcBorders>
              <w:top w:val="single" w:color="auto" w:sz="4" w:space="0"/>
              <w:left w:val="single" w:color="auto" w:sz="4" w:space="0"/>
              <w:bottom w:val="single" w:color="auto" w:sz="4" w:space="0"/>
              <w:right w:val="single" w:color="auto" w:sz="4" w:space="0"/>
            </w:tcBorders>
            <w:vAlign w:val="center"/>
          </w:tcPr>
          <w:p w14:paraId="2726BBC1">
            <w:pPr>
              <w:shd w:val="clear"/>
              <w:spacing w:line="360" w:lineRule="auto"/>
              <w:jc w:val="left"/>
              <w:rPr>
                <w:rFonts w:ascii="宋体" w:hAnsi="宋体" w:cs="宋体"/>
                <w:color w:val="auto"/>
                <w:sz w:val="24"/>
                <w:highlight w:val="none"/>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7B3F1935">
            <w:pPr>
              <w:shd w:val="clear"/>
              <w:spacing w:line="360" w:lineRule="auto"/>
              <w:jc w:val="left"/>
              <w:rPr>
                <w:rFonts w:ascii="宋体" w:hAnsi="宋体" w:cs="宋体"/>
                <w:color w:val="auto"/>
                <w:sz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2C91725F">
            <w:pPr>
              <w:shd w:val="clear"/>
              <w:spacing w:line="360" w:lineRule="auto"/>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51AEAC2">
            <w:pPr>
              <w:shd w:val="clea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合同</w:t>
            </w:r>
          </w:p>
        </w:tc>
        <w:tc>
          <w:tcPr>
            <w:tcW w:w="1416" w:type="dxa"/>
            <w:tcBorders>
              <w:top w:val="single" w:color="auto" w:sz="4" w:space="0"/>
              <w:left w:val="single" w:color="auto" w:sz="4" w:space="0"/>
              <w:bottom w:val="single" w:color="auto" w:sz="4" w:space="0"/>
              <w:right w:val="single" w:color="auto" w:sz="4" w:space="0"/>
            </w:tcBorders>
            <w:vAlign w:val="center"/>
          </w:tcPr>
          <w:p w14:paraId="617D4FFA">
            <w:pPr>
              <w:shd w:val="clea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验收报告</w:t>
            </w:r>
          </w:p>
        </w:tc>
        <w:tc>
          <w:tcPr>
            <w:tcW w:w="1276" w:type="dxa"/>
            <w:tcBorders>
              <w:top w:val="single" w:color="auto" w:sz="4" w:space="0"/>
              <w:left w:val="single" w:color="auto" w:sz="4" w:space="0"/>
              <w:bottom w:val="single" w:color="auto" w:sz="4" w:space="0"/>
              <w:right w:val="single" w:color="auto" w:sz="4" w:space="0"/>
            </w:tcBorders>
            <w:vAlign w:val="center"/>
          </w:tcPr>
          <w:p w14:paraId="19D5ED14">
            <w:pPr>
              <w:shd w:val="clea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用户评价</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2BBE91DC">
            <w:pPr>
              <w:shd w:val="clear"/>
              <w:spacing w:line="360" w:lineRule="auto"/>
              <w:jc w:val="left"/>
              <w:rPr>
                <w:rFonts w:ascii="宋体" w:hAnsi="宋体" w:cs="宋体"/>
                <w:color w:val="auto"/>
                <w:sz w:val="24"/>
                <w:highlight w:val="none"/>
              </w:rPr>
            </w:pPr>
          </w:p>
        </w:tc>
      </w:tr>
      <w:tr w14:paraId="478FE8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1219" w:type="dxa"/>
            <w:tcBorders>
              <w:top w:val="single" w:color="auto" w:sz="4" w:space="0"/>
              <w:left w:val="single" w:color="auto" w:sz="4" w:space="0"/>
              <w:bottom w:val="single" w:color="auto" w:sz="4" w:space="0"/>
              <w:right w:val="single" w:color="auto" w:sz="4" w:space="0"/>
            </w:tcBorders>
          </w:tcPr>
          <w:p w14:paraId="55C39CD9">
            <w:pPr>
              <w:shd w:val="clear"/>
              <w:snapToGrid w:val="0"/>
              <w:spacing w:line="360" w:lineRule="auto"/>
              <w:jc w:val="left"/>
              <w:rPr>
                <w:rFonts w:ascii="宋体" w:hAnsi="宋体" w:cs="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tcPr>
          <w:p w14:paraId="70201038">
            <w:pPr>
              <w:shd w:val="clear"/>
              <w:snapToGrid w:val="0"/>
              <w:spacing w:line="360" w:lineRule="auto"/>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28A2C067">
            <w:pPr>
              <w:shd w:val="clear"/>
              <w:snapToGrid w:val="0"/>
              <w:spacing w:line="360" w:lineRule="auto"/>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2C13500F">
            <w:pPr>
              <w:shd w:val="clear"/>
              <w:snapToGrid w:val="0"/>
              <w:spacing w:line="360" w:lineRule="auto"/>
              <w:jc w:val="left"/>
              <w:rPr>
                <w:rFonts w:ascii="宋体" w:hAnsi="宋体" w:cs="宋体"/>
                <w:color w:val="auto"/>
                <w:sz w:val="24"/>
                <w:highlight w:val="none"/>
              </w:rPr>
            </w:pPr>
          </w:p>
        </w:tc>
        <w:tc>
          <w:tcPr>
            <w:tcW w:w="1416" w:type="dxa"/>
            <w:tcBorders>
              <w:top w:val="single" w:color="auto" w:sz="4" w:space="0"/>
              <w:left w:val="single" w:color="auto" w:sz="4" w:space="0"/>
              <w:bottom w:val="single" w:color="auto" w:sz="4" w:space="0"/>
              <w:right w:val="single" w:color="auto" w:sz="4" w:space="0"/>
            </w:tcBorders>
          </w:tcPr>
          <w:p w14:paraId="74EBAC61">
            <w:pPr>
              <w:shd w:val="clear"/>
              <w:snapToGrid w:val="0"/>
              <w:spacing w:line="360" w:lineRule="auto"/>
              <w:jc w:val="left"/>
              <w:rPr>
                <w:rFonts w:ascii="宋体" w:hAnsi="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25EAF428">
            <w:pPr>
              <w:shd w:val="clear"/>
              <w:snapToGrid w:val="0"/>
              <w:spacing w:line="360" w:lineRule="auto"/>
              <w:jc w:val="left"/>
              <w:rPr>
                <w:rFonts w:ascii="宋体" w:hAnsi="宋体" w:cs="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tcPr>
          <w:p w14:paraId="6C53D4DB">
            <w:pPr>
              <w:shd w:val="clear"/>
              <w:snapToGrid w:val="0"/>
              <w:spacing w:line="360" w:lineRule="auto"/>
              <w:jc w:val="left"/>
              <w:rPr>
                <w:rFonts w:ascii="宋体" w:hAnsi="宋体" w:cs="宋体"/>
                <w:color w:val="auto"/>
                <w:sz w:val="24"/>
                <w:highlight w:val="none"/>
              </w:rPr>
            </w:pPr>
          </w:p>
        </w:tc>
      </w:tr>
      <w:tr w14:paraId="301B78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19" w:type="dxa"/>
            <w:tcBorders>
              <w:top w:val="single" w:color="auto" w:sz="4" w:space="0"/>
              <w:left w:val="single" w:color="auto" w:sz="4" w:space="0"/>
              <w:bottom w:val="single" w:color="auto" w:sz="4" w:space="0"/>
              <w:right w:val="single" w:color="auto" w:sz="4" w:space="0"/>
            </w:tcBorders>
          </w:tcPr>
          <w:p w14:paraId="4AD2CE89">
            <w:pPr>
              <w:shd w:val="clear"/>
              <w:snapToGrid w:val="0"/>
              <w:spacing w:before="50" w:after="120" w:afterLines="50" w:line="360" w:lineRule="auto"/>
              <w:jc w:val="left"/>
              <w:rPr>
                <w:rFonts w:ascii="宋体" w:hAnsi="宋体" w:cs="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tcPr>
          <w:p w14:paraId="6E8FC95E">
            <w:pPr>
              <w:shd w:val="clear"/>
              <w:snapToGrid w:val="0"/>
              <w:spacing w:before="50" w:after="120" w:afterLines="50" w:line="360" w:lineRule="auto"/>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1AF2E9A1">
            <w:pPr>
              <w:shd w:val="clear"/>
              <w:snapToGrid w:val="0"/>
              <w:spacing w:before="50" w:after="120" w:afterLines="50" w:line="360" w:lineRule="auto"/>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40A5ABE3">
            <w:pPr>
              <w:shd w:val="clear"/>
              <w:snapToGrid w:val="0"/>
              <w:spacing w:before="50" w:after="120" w:afterLines="50" w:line="360" w:lineRule="auto"/>
              <w:jc w:val="left"/>
              <w:rPr>
                <w:rFonts w:ascii="宋体" w:hAnsi="宋体" w:cs="宋体"/>
                <w:color w:val="auto"/>
                <w:sz w:val="24"/>
                <w:highlight w:val="none"/>
              </w:rPr>
            </w:pPr>
          </w:p>
        </w:tc>
        <w:tc>
          <w:tcPr>
            <w:tcW w:w="1416" w:type="dxa"/>
            <w:tcBorders>
              <w:top w:val="single" w:color="auto" w:sz="4" w:space="0"/>
              <w:left w:val="single" w:color="auto" w:sz="4" w:space="0"/>
              <w:bottom w:val="single" w:color="auto" w:sz="4" w:space="0"/>
              <w:right w:val="single" w:color="auto" w:sz="4" w:space="0"/>
            </w:tcBorders>
          </w:tcPr>
          <w:p w14:paraId="78AE4B7E">
            <w:pPr>
              <w:shd w:val="clear"/>
              <w:snapToGrid w:val="0"/>
              <w:spacing w:before="50" w:after="120" w:afterLines="50" w:line="360" w:lineRule="auto"/>
              <w:jc w:val="left"/>
              <w:rPr>
                <w:rFonts w:ascii="宋体" w:hAnsi="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2E5BE258">
            <w:pPr>
              <w:shd w:val="clear"/>
              <w:snapToGrid w:val="0"/>
              <w:spacing w:before="50" w:after="120" w:afterLines="50" w:line="360" w:lineRule="auto"/>
              <w:jc w:val="left"/>
              <w:rPr>
                <w:rFonts w:ascii="宋体" w:hAnsi="宋体" w:cs="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tcPr>
          <w:p w14:paraId="4EE4DAFD">
            <w:pPr>
              <w:shd w:val="clear"/>
              <w:snapToGrid w:val="0"/>
              <w:spacing w:before="50" w:after="120" w:afterLines="50" w:line="360" w:lineRule="auto"/>
              <w:jc w:val="left"/>
              <w:rPr>
                <w:rFonts w:ascii="宋体" w:hAnsi="宋体" w:cs="宋体"/>
                <w:color w:val="auto"/>
                <w:sz w:val="24"/>
                <w:highlight w:val="none"/>
              </w:rPr>
            </w:pPr>
          </w:p>
        </w:tc>
      </w:tr>
      <w:tr w14:paraId="544BE5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1219" w:type="dxa"/>
            <w:tcBorders>
              <w:top w:val="single" w:color="auto" w:sz="4" w:space="0"/>
              <w:left w:val="single" w:color="auto" w:sz="4" w:space="0"/>
              <w:bottom w:val="single" w:color="auto" w:sz="4" w:space="0"/>
              <w:right w:val="single" w:color="auto" w:sz="4" w:space="0"/>
            </w:tcBorders>
          </w:tcPr>
          <w:p w14:paraId="3CAF8239">
            <w:pPr>
              <w:shd w:val="clear"/>
              <w:snapToGrid w:val="0"/>
              <w:spacing w:before="50" w:after="120" w:afterLines="50" w:line="360" w:lineRule="auto"/>
              <w:jc w:val="left"/>
              <w:rPr>
                <w:rFonts w:ascii="宋体" w:hAnsi="宋体" w:cs="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tcPr>
          <w:p w14:paraId="219E3AF5">
            <w:pPr>
              <w:shd w:val="clear"/>
              <w:snapToGrid w:val="0"/>
              <w:spacing w:before="50" w:after="120" w:afterLines="50" w:line="360" w:lineRule="auto"/>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03C64BC4">
            <w:pPr>
              <w:shd w:val="clear"/>
              <w:snapToGrid w:val="0"/>
              <w:spacing w:before="50" w:after="120" w:afterLines="50" w:line="360" w:lineRule="auto"/>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305106A2">
            <w:pPr>
              <w:shd w:val="clear"/>
              <w:snapToGrid w:val="0"/>
              <w:spacing w:before="50" w:after="120" w:afterLines="50" w:line="360" w:lineRule="auto"/>
              <w:jc w:val="left"/>
              <w:rPr>
                <w:rFonts w:ascii="宋体" w:hAnsi="宋体" w:cs="宋体"/>
                <w:color w:val="auto"/>
                <w:sz w:val="24"/>
                <w:highlight w:val="none"/>
              </w:rPr>
            </w:pPr>
          </w:p>
        </w:tc>
        <w:tc>
          <w:tcPr>
            <w:tcW w:w="1416" w:type="dxa"/>
            <w:tcBorders>
              <w:top w:val="single" w:color="auto" w:sz="4" w:space="0"/>
              <w:left w:val="single" w:color="auto" w:sz="4" w:space="0"/>
              <w:bottom w:val="single" w:color="auto" w:sz="4" w:space="0"/>
              <w:right w:val="single" w:color="auto" w:sz="4" w:space="0"/>
            </w:tcBorders>
          </w:tcPr>
          <w:p w14:paraId="44E87A37">
            <w:pPr>
              <w:shd w:val="clear"/>
              <w:snapToGrid w:val="0"/>
              <w:spacing w:before="50" w:after="120" w:afterLines="50" w:line="360" w:lineRule="auto"/>
              <w:jc w:val="left"/>
              <w:rPr>
                <w:rFonts w:ascii="宋体" w:hAnsi="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5B843109">
            <w:pPr>
              <w:shd w:val="clear"/>
              <w:snapToGrid w:val="0"/>
              <w:spacing w:before="50" w:after="120" w:afterLines="50" w:line="360" w:lineRule="auto"/>
              <w:jc w:val="left"/>
              <w:rPr>
                <w:rFonts w:ascii="宋体" w:hAnsi="宋体" w:cs="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tcPr>
          <w:p w14:paraId="1C8C8F35">
            <w:pPr>
              <w:shd w:val="clear"/>
              <w:snapToGrid w:val="0"/>
              <w:spacing w:before="50" w:after="120" w:afterLines="50" w:line="360" w:lineRule="auto"/>
              <w:jc w:val="left"/>
              <w:rPr>
                <w:rFonts w:ascii="宋体" w:hAnsi="宋体" w:cs="宋体"/>
                <w:color w:val="auto"/>
                <w:sz w:val="24"/>
                <w:highlight w:val="none"/>
              </w:rPr>
            </w:pPr>
          </w:p>
        </w:tc>
      </w:tr>
      <w:tr w14:paraId="1A98A8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19" w:type="dxa"/>
            <w:tcBorders>
              <w:top w:val="single" w:color="auto" w:sz="4" w:space="0"/>
              <w:left w:val="single" w:color="auto" w:sz="4" w:space="0"/>
              <w:bottom w:val="single" w:color="auto" w:sz="4" w:space="0"/>
              <w:right w:val="single" w:color="auto" w:sz="4" w:space="0"/>
            </w:tcBorders>
          </w:tcPr>
          <w:p w14:paraId="7D75E0CA">
            <w:pPr>
              <w:shd w:val="clear"/>
              <w:snapToGrid w:val="0"/>
              <w:spacing w:before="50" w:after="120" w:afterLines="50" w:line="360" w:lineRule="auto"/>
              <w:jc w:val="left"/>
              <w:rPr>
                <w:rFonts w:ascii="宋体" w:hAnsi="宋体" w:cs="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tcPr>
          <w:p w14:paraId="0B58BD63">
            <w:pPr>
              <w:shd w:val="clear"/>
              <w:snapToGrid w:val="0"/>
              <w:spacing w:before="50" w:after="120" w:afterLines="50" w:line="360" w:lineRule="auto"/>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6FA6E213">
            <w:pPr>
              <w:shd w:val="clear"/>
              <w:snapToGrid w:val="0"/>
              <w:spacing w:before="50" w:after="120" w:afterLines="50" w:line="360" w:lineRule="auto"/>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02C0BE32">
            <w:pPr>
              <w:shd w:val="clear"/>
              <w:snapToGrid w:val="0"/>
              <w:spacing w:before="50" w:after="120" w:afterLines="50" w:line="360" w:lineRule="auto"/>
              <w:jc w:val="left"/>
              <w:rPr>
                <w:rFonts w:ascii="宋体" w:hAnsi="宋体" w:cs="宋体"/>
                <w:color w:val="auto"/>
                <w:sz w:val="24"/>
                <w:highlight w:val="none"/>
              </w:rPr>
            </w:pPr>
          </w:p>
        </w:tc>
        <w:tc>
          <w:tcPr>
            <w:tcW w:w="1416" w:type="dxa"/>
            <w:tcBorders>
              <w:top w:val="single" w:color="auto" w:sz="4" w:space="0"/>
              <w:left w:val="single" w:color="auto" w:sz="4" w:space="0"/>
              <w:bottom w:val="single" w:color="auto" w:sz="4" w:space="0"/>
              <w:right w:val="single" w:color="auto" w:sz="4" w:space="0"/>
            </w:tcBorders>
          </w:tcPr>
          <w:p w14:paraId="3460B473">
            <w:pPr>
              <w:shd w:val="clear"/>
              <w:snapToGrid w:val="0"/>
              <w:spacing w:before="50" w:after="120" w:afterLines="50" w:line="360" w:lineRule="auto"/>
              <w:jc w:val="left"/>
              <w:rPr>
                <w:rFonts w:ascii="宋体" w:hAnsi="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0E34B947">
            <w:pPr>
              <w:shd w:val="clear"/>
              <w:snapToGrid w:val="0"/>
              <w:spacing w:before="50" w:after="120" w:afterLines="50" w:line="360" w:lineRule="auto"/>
              <w:jc w:val="left"/>
              <w:rPr>
                <w:rFonts w:ascii="宋体" w:hAnsi="宋体" w:cs="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tcPr>
          <w:p w14:paraId="76790BA9">
            <w:pPr>
              <w:shd w:val="clear"/>
              <w:snapToGrid w:val="0"/>
              <w:spacing w:before="50" w:after="120" w:afterLines="50" w:line="360" w:lineRule="auto"/>
              <w:jc w:val="left"/>
              <w:rPr>
                <w:rFonts w:ascii="宋体" w:hAnsi="宋体" w:cs="宋体"/>
                <w:color w:val="auto"/>
                <w:sz w:val="24"/>
                <w:highlight w:val="none"/>
              </w:rPr>
            </w:pPr>
          </w:p>
        </w:tc>
      </w:tr>
      <w:tr w14:paraId="51CFC5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19" w:type="dxa"/>
            <w:tcBorders>
              <w:top w:val="single" w:color="auto" w:sz="4" w:space="0"/>
              <w:left w:val="single" w:color="auto" w:sz="4" w:space="0"/>
              <w:bottom w:val="single" w:color="auto" w:sz="4" w:space="0"/>
              <w:right w:val="single" w:color="auto" w:sz="4" w:space="0"/>
            </w:tcBorders>
          </w:tcPr>
          <w:p w14:paraId="425EF6A4">
            <w:pPr>
              <w:shd w:val="clear"/>
              <w:snapToGrid w:val="0"/>
              <w:spacing w:before="50" w:after="120" w:afterLines="50" w:line="360" w:lineRule="auto"/>
              <w:jc w:val="left"/>
              <w:rPr>
                <w:rFonts w:ascii="宋体" w:hAnsi="宋体" w:cs="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tcPr>
          <w:p w14:paraId="13057EFE">
            <w:pPr>
              <w:shd w:val="clear"/>
              <w:snapToGrid w:val="0"/>
              <w:spacing w:before="50" w:after="120" w:afterLines="50" w:line="360" w:lineRule="auto"/>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5EF96698">
            <w:pPr>
              <w:shd w:val="clear"/>
              <w:snapToGrid w:val="0"/>
              <w:spacing w:before="50" w:after="120" w:afterLines="50" w:line="360" w:lineRule="auto"/>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2E6C9EE6">
            <w:pPr>
              <w:shd w:val="clear"/>
              <w:snapToGrid w:val="0"/>
              <w:spacing w:before="50" w:after="120" w:afterLines="50" w:line="360" w:lineRule="auto"/>
              <w:jc w:val="left"/>
              <w:rPr>
                <w:rFonts w:ascii="宋体" w:hAnsi="宋体" w:cs="宋体"/>
                <w:color w:val="auto"/>
                <w:sz w:val="24"/>
                <w:highlight w:val="none"/>
              </w:rPr>
            </w:pPr>
          </w:p>
        </w:tc>
        <w:tc>
          <w:tcPr>
            <w:tcW w:w="1416" w:type="dxa"/>
            <w:tcBorders>
              <w:top w:val="single" w:color="auto" w:sz="4" w:space="0"/>
              <w:left w:val="single" w:color="auto" w:sz="4" w:space="0"/>
              <w:bottom w:val="single" w:color="auto" w:sz="4" w:space="0"/>
              <w:right w:val="single" w:color="auto" w:sz="4" w:space="0"/>
            </w:tcBorders>
          </w:tcPr>
          <w:p w14:paraId="160AF34C">
            <w:pPr>
              <w:shd w:val="clear"/>
              <w:snapToGrid w:val="0"/>
              <w:spacing w:before="50" w:after="120" w:afterLines="50" w:line="360" w:lineRule="auto"/>
              <w:jc w:val="left"/>
              <w:rPr>
                <w:rFonts w:ascii="宋体" w:hAnsi="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6A40DB23">
            <w:pPr>
              <w:shd w:val="clear"/>
              <w:snapToGrid w:val="0"/>
              <w:spacing w:before="50" w:after="120" w:afterLines="50" w:line="360" w:lineRule="auto"/>
              <w:jc w:val="left"/>
              <w:rPr>
                <w:rFonts w:ascii="宋体" w:hAnsi="宋体" w:cs="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tcPr>
          <w:p w14:paraId="5B8D70BD">
            <w:pPr>
              <w:shd w:val="clear"/>
              <w:snapToGrid w:val="0"/>
              <w:spacing w:before="50" w:after="120" w:afterLines="50" w:line="360" w:lineRule="auto"/>
              <w:jc w:val="left"/>
              <w:rPr>
                <w:rFonts w:ascii="宋体" w:hAnsi="宋体" w:cs="宋体"/>
                <w:color w:val="auto"/>
                <w:sz w:val="24"/>
                <w:highlight w:val="none"/>
              </w:rPr>
            </w:pPr>
          </w:p>
        </w:tc>
      </w:tr>
    </w:tbl>
    <w:p w14:paraId="4A4B0686">
      <w:pPr>
        <w:shd w:val="clear"/>
        <w:snapToGrid w:val="0"/>
        <w:spacing w:line="360" w:lineRule="auto"/>
        <w:ind w:left="480" w:hanging="480" w:hangingChars="200"/>
        <w:contextualSpacing/>
        <w:rPr>
          <w:rFonts w:ascii="宋体" w:hAnsi="宋体" w:cs="宋体"/>
          <w:color w:val="auto"/>
          <w:sz w:val="24"/>
          <w:highlight w:val="none"/>
        </w:rPr>
      </w:pPr>
    </w:p>
    <w:p w14:paraId="0458AB89">
      <w:pPr>
        <w:shd w:val="clear"/>
        <w:spacing w:line="360" w:lineRule="auto"/>
        <w:ind w:left="72"/>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注：供应商可按上述的格式自行编制。</w:t>
      </w:r>
    </w:p>
    <w:p w14:paraId="7271DB1C">
      <w:pPr>
        <w:shd w:val="clear"/>
        <w:snapToGrid w:val="0"/>
        <w:spacing w:line="360" w:lineRule="auto"/>
        <w:ind w:firstLine="4935" w:firstLineChars="2350"/>
        <w:rPr>
          <w:rFonts w:ascii="宋体" w:hAnsi="宋体" w:cs="宋体"/>
          <w:color w:val="auto"/>
          <w:szCs w:val="21"/>
          <w:highlight w:val="none"/>
        </w:rPr>
      </w:pPr>
      <w:r>
        <w:rPr>
          <w:rFonts w:hint="eastAsia" w:ascii="宋体" w:hAnsi="宋体" w:cs="宋体"/>
          <w:color w:val="auto"/>
          <w:szCs w:val="21"/>
          <w:highlight w:val="none"/>
        </w:rPr>
        <w:t xml:space="preserve"> </w:t>
      </w:r>
    </w:p>
    <w:p w14:paraId="6CCAFEB2">
      <w:pPr>
        <w:shd w:val="clear"/>
        <w:snapToGrid w:val="0"/>
        <w:spacing w:line="360" w:lineRule="auto"/>
        <w:ind w:firstLine="4935" w:firstLineChars="2350"/>
        <w:rPr>
          <w:rFonts w:ascii="宋体" w:hAnsi="宋体" w:cs="宋体"/>
          <w:color w:val="auto"/>
          <w:szCs w:val="21"/>
          <w:highlight w:val="none"/>
        </w:rPr>
      </w:pPr>
    </w:p>
    <w:p w14:paraId="3AA40FF7">
      <w:pPr>
        <w:shd w:val="clear"/>
        <w:snapToGrid w:val="0"/>
        <w:spacing w:line="360" w:lineRule="auto"/>
        <w:ind w:left="4410" w:leftChars="2100" w:firstLine="5670" w:firstLineChars="2700"/>
        <w:rPr>
          <w:rFonts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供应商名称（电子签章）：</w:t>
      </w:r>
    </w:p>
    <w:p w14:paraId="3CD0471C">
      <w:pPr>
        <w:shd w:val="clear"/>
        <w:spacing w:line="360" w:lineRule="auto"/>
        <w:ind w:firstLine="6098" w:firstLineChars="2541"/>
        <w:contextualSpacing/>
        <w:rPr>
          <w:rFonts w:hint="eastAsia" w:ascii="宋体" w:hAnsi="宋体" w:eastAsia="宋体" w:cs="宋体"/>
          <w:color w:val="auto"/>
          <w:kern w:val="0"/>
          <w:szCs w:val="21"/>
          <w:highlight w:val="none"/>
          <w:lang w:val="zh-CN" w:eastAsia="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76BDCFFC">
      <w:pPr>
        <w:shd w:val="clear"/>
        <w:snapToGrid w:val="0"/>
        <w:spacing w:line="360" w:lineRule="auto"/>
        <w:rPr>
          <w:rFonts w:ascii="宋体" w:hAnsi="宋体" w:cs="宋体"/>
          <w:b/>
          <w:color w:val="auto"/>
          <w:sz w:val="30"/>
          <w:szCs w:val="30"/>
          <w:highlight w:val="none"/>
        </w:rPr>
        <w:sectPr>
          <w:pgSz w:w="11910" w:h="16840"/>
          <w:pgMar w:top="1418" w:right="1418" w:bottom="1418" w:left="1418" w:header="720" w:footer="720" w:gutter="0"/>
          <w:cols w:space="720" w:num="1"/>
        </w:sectPr>
      </w:pPr>
    </w:p>
    <w:p w14:paraId="14FF2C06">
      <w:pPr>
        <w:keepNext/>
        <w:keepLines/>
        <w:shd w:val="clear"/>
        <w:spacing w:before="20" w:after="20" w:line="360" w:lineRule="auto"/>
        <w:jc w:val="center"/>
        <w:outlineLvl w:val="1"/>
        <w:rPr>
          <w:rFonts w:ascii="宋体" w:hAnsi="宋体" w:cs="宋体"/>
          <w:b/>
          <w:bCs/>
          <w:color w:val="auto"/>
          <w:sz w:val="32"/>
          <w:szCs w:val="32"/>
          <w:highlight w:val="none"/>
          <w:lang w:val="zh-CN"/>
        </w:rPr>
      </w:pPr>
      <w:bookmarkStart w:id="93" w:name="_Toc12015"/>
      <w:bookmarkStart w:id="94" w:name="_Toc106283340"/>
      <w:bookmarkStart w:id="95" w:name="_Toc80205941"/>
      <w:r>
        <w:rPr>
          <w:rFonts w:hint="eastAsia" w:ascii="宋体" w:hAnsi="宋体" w:cs="宋体"/>
          <w:b/>
          <w:bCs/>
          <w:color w:val="auto"/>
          <w:sz w:val="32"/>
          <w:szCs w:val="32"/>
          <w:highlight w:val="none"/>
          <w:lang w:val="zh-CN"/>
        </w:rPr>
        <w:t>第</w:t>
      </w:r>
      <w:r>
        <w:rPr>
          <w:rFonts w:hint="eastAsia" w:ascii="宋体" w:hAnsi="宋体" w:cs="宋体"/>
          <w:b/>
          <w:bCs/>
          <w:color w:val="auto"/>
          <w:sz w:val="32"/>
          <w:szCs w:val="32"/>
          <w:highlight w:val="none"/>
        </w:rPr>
        <w:t>三</w:t>
      </w:r>
      <w:r>
        <w:rPr>
          <w:rFonts w:hint="eastAsia" w:ascii="宋体" w:hAnsi="宋体" w:cs="宋体"/>
          <w:b/>
          <w:bCs/>
          <w:color w:val="auto"/>
          <w:sz w:val="32"/>
          <w:szCs w:val="32"/>
          <w:highlight w:val="none"/>
          <w:lang w:val="zh-CN"/>
        </w:rPr>
        <w:t>节 报价文件格式</w:t>
      </w:r>
      <w:bookmarkEnd w:id="93"/>
      <w:bookmarkEnd w:id="94"/>
      <w:bookmarkEnd w:id="95"/>
    </w:p>
    <w:p w14:paraId="6BFD4B27">
      <w:pPr>
        <w:shd w:val="clear"/>
        <w:snapToGrid w:val="0"/>
        <w:spacing w:before="120" w:beforeLines="50" w:after="50" w:line="360" w:lineRule="auto"/>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全流程电子文件</w:t>
      </w:r>
    </w:p>
    <w:p w14:paraId="7A3F57CE">
      <w:pPr>
        <w:shd w:val="clear"/>
        <w:snapToGrid w:val="0"/>
        <w:spacing w:before="120" w:beforeLines="50" w:after="50" w:line="360" w:lineRule="auto"/>
        <w:rPr>
          <w:rFonts w:ascii="宋体" w:hAnsi="宋体" w:cs="宋体"/>
          <w:color w:val="auto"/>
          <w:sz w:val="24"/>
          <w:szCs w:val="20"/>
          <w:highlight w:val="none"/>
        </w:rPr>
      </w:pPr>
    </w:p>
    <w:p w14:paraId="38299B7E">
      <w:pPr>
        <w:shd w:val="clear"/>
        <w:snapToGrid w:val="0"/>
        <w:spacing w:before="120" w:beforeLines="50" w:after="50" w:line="360" w:lineRule="auto"/>
        <w:rPr>
          <w:rFonts w:ascii="宋体" w:hAnsi="宋体" w:cs="宋体"/>
          <w:color w:val="auto"/>
          <w:sz w:val="24"/>
          <w:szCs w:val="20"/>
          <w:highlight w:val="none"/>
        </w:rPr>
      </w:pPr>
    </w:p>
    <w:p w14:paraId="4C330BC0">
      <w:pPr>
        <w:shd w:val="clear"/>
        <w:snapToGrid w:val="0"/>
        <w:spacing w:before="120" w:beforeLines="50" w:after="50" w:line="360" w:lineRule="auto"/>
        <w:rPr>
          <w:rFonts w:ascii="宋体" w:hAnsi="宋体" w:cs="宋体"/>
          <w:color w:val="auto"/>
          <w:sz w:val="24"/>
          <w:szCs w:val="20"/>
          <w:highlight w:val="none"/>
        </w:rPr>
      </w:pPr>
    </w:p>
    <w:p w14:paraId="311B04AC">
      <w:pPr>
        <w:shd w:val="clear"/>
        <w:snapToGrid w:val="0"/>
        <w:spacing w:before="120" w:beforeLines="50" w:after="50" w:line="360" w:lineRule="auto"/>
        <w:jc w:val="center"/>
        <w:rPr>
          <w:rFonts w:ascii="宋体" w:hAnsi="宋体" w:cs="宋体"/>
          <w:bCs/>
          <w:color w:val="auto"/>
          <w:sz w:val="44"/>
          <w:szCs w:val="44"/>
          <w:highlight w:val="none"/>
        </w:rPr>
      </w:pPr>
      <w:r>
        <w:rPr>
          <w:rFonts w:hint="eastAsia" w:ascii="宋体" w:hAnsi="宋体" w:cs="宋体"/>
          <w:bCs/>
          <w:color w:val="auto"/>
          <w:sz w:val="44"/>
          <w:szCs w:val="44"/>
          <w:highlight w:val="none"/>
        </w:rPr>
        <w:t>报价文件（封面）</w:t>
      </w:r>
    </w:p>
    <w:p w14:paraId="3A2C0945">
      <w:pPr>
        <w:shd w:val="clear"/>
        <w:snapToGrid w:val="0"/>
        <w:spacing w:before="120" w:beforeLines="50" w:after="50" w:line="360" w:lineRule="auto"/>
        <w:rPr>
          <w:rFonts w:ascii="宋体" w:hAnsi="宋体" w:cs="宋体"/>
          <w:bCs/>
          <w:color w:val="auto"/>
          <w:sz w:val="24"/>
          <w:szCs w:val="20"/>
          <w:highlight w:val="none"/>
        </w:rPr>
      </w:pPr>
    </w:p>
    <w:p w14:paraId="02B21AB9">
      <w:pPr>
        <w:shd w:val="clear"/>
        <w:snapToGrid w:val="0"/>
        <w:spacing w:before="120" w:beforeLines="50" w:after="50" w:line="360" w:lineRule="auto"/>
        <w:rPr>
          <w:rFonts w:ascii="宋体" w:hAnsi="宋体" w:cs="宋体"/>
          <w:bCs/>
          <w:color w:val="auto"/>
          <w:sz w:val="24"/>
          <w:szCs w:val="20"/>
          <w:highlight w:val="none"/>
        </w:rPr>
      </w:pPr>
    </w:p>
    <w:p w14:paraId="2970CB44">
      <w:pPr>
        <w:shd w:val="clear"/>
        <w:snapToGrid w:val="0"/>
        <w:spacing w:before="120" w:beforeLines="50" w:after="50" w:line="360" w:lineRule="auto"/>
        <w:rPr>
          <w:rFonts w:ascii="宋体" w:hAnsi="宋体" w:cs="宋体"/>
          <w:bCs/>
          <w:color w:val="auto"/>
          <w:sz w:val="24"/>
          <w:szCs w:val="20"/>
          <w:highlight w:val="none"/>
        </w:rPr>
      </w:pPr>
    </w:p>
    <w:p w14:paraId="586C5E2F">
      <w:pPr>
        <w:shd w:val="clear"/>
        <w:spacing w:line="600" w:lineRule="auto"/>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08A9F388">
      <w:pPr>
        <w:shd w:val="clear"/>
        <w:spacing w:line="600" w:lineRule="auto"/>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490EEB03">
      <w:pPr>
        <w:shd w:val="clear"/>
        <w:spacing w:line="600" w:lineRule="auto"/>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4AF5FF6F">
      <w:pPr>
        <w:shd w:val="clear"/>
        <w:spacing w:line="600" w:lineRule="auto"/>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5ECA1EEC">
      <w:pPr>
        <w:shd w:val="clear"/>
        <w:snapToGrid w:val="0"/>
        <w:spacing w:before="50" w:after="50" w:line="360" w:lineRule="auto"/>
        <w:ind w:firstLine="720" w:firstLineChars="225"/>
        <w:rPr>
          <w:rFonts w:ascii="宋体" w:hAnsi="宋体" w:cs="宋体"/>
          <w:bCs/>
          <w:color w:val="auto"/>
          <w:sz w:val="32"/>
          <w:szCs w:val="32"/>
          <w:highlight w:val="none"/>
        </w:rPr>
      </w:pPr>
    </w:p>
    <w:p w14:paraId="611BAFDB">
      <w:pPr>
        <w:shd w:val="clear"/>
        <w:snapToGrid w:val="0"/>
        <w:spacing w:before="50" w:after="50" w:line="360" w:lineRule="auto"/>
        <w:ind w:firstLine="1280" w:firstLineChars="400"/>
        <w:rPr>
          <w:rFonts w:ascii="宋体" w:hAnsi="宋体" w:cs="宋体"/>
          <w:bCs/>
          <w:color w:val="auto"/>
          <w:sz w:val="32"/>
          <w:szCs w:val="32"/>
          <w:highlight w:val="none"/>
        </w:rPr>
      </w:pPr>
    </w:p>
    <w:p w14:paraId="621A2517">
      <w:pPr>
        <w:shd w:val="clear"/>
        <w:snapToGrid w:val="0"/>
        <w:spacing w:before="120" w:beforeLines="50" w:after="50" w:line="360" w:lineRule="auto"/>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78684E01">
      <w:pPr>
        <w:shd w:val="clear"/>
        <w:snapToGrid w:val="0"/>
        <w:spacing w:before="120" w:beforeLines="50" w:after="50" w:line="360" w:lineRule="auto"/>
        <w:jc w:val="center"/>
        <w:rPr>
          <w:rFonts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报价文件目录</w:t>
      </w:r>
    </w:p>
    <w:p w14:paraId="625B0145">
      <w:pPr>
        <w:shd w:val="clear"/>
        <w:spacing w:line="360" w:lineRule="auto"/>
        <w:rPr>
          <w:rFonts w:ascii="宋体" w:hAnsi="宋体" w:cs="宋体"/>
          <w:color w:val="auto"/>
          <w:highlight w:val="none"/>
        </w:rPr>
      </w:pPr>
    </w:p>
    <w:p w14:paraId="4EC5C2DB">
      <w:pPr>
        <w:shd w:val="clear"/>
        <w:snapToGrid w:val="0"/>
        <w:spacing w:before="120" w:beforeLines="50" w:after="50" w:line="360" w:lineRule="auto"/>
        <w:ind w:firstLine="645"/>
        <w:rPr>
          <w:rFonts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3073DBC3">
      <w:pPr>
        <w:shd w:val="clear"/>
        <w:snapToGrid w:val="0"/>
        <w:spacing w:before="120" w:beforeLines="50" w:after="50" w:line="360" w:lineRule="auto"/>
        <w:ind w:left="142" w:firstLine="640" w:firstLineChars="200"/>
        <w:jc w:val="left"/>
        <w:rPr>
          <w:rFonts w:ascii="宋体" w:hAnsi="宋体" w:cs="宋体"/>
          <w:color w:val="auto"/>
          <w:sz w:val="32"/>
          <w:szCs w:val="32"/>
          <w:highlight w:val="none"/>
        </w:rPr>
      </w:pPr>
    </w:p>
    <w:p w14:paraId="022A0DC2">
      <w:pPr>
        <w:shd w:val="clear"/>
        <w:snapToGrid w:val="0"/>
        <w:spacing w:before="120" w:beforeLines="50" w:after="50" w:line="360" w:lineRule="auto"/>
        <w:jc w:val="left"/>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一、响应函</w:t>
      </w:r>
    </w:p>
    <w:p w14:paraId="53BEA166">
      <w:pPr>
        <w:shd w:val="clear"/>
        <w:spacing w:before="240" w:beforeLines="100" w:line="360" w:lineRule="auto"/>
        <w:jc w:val="center"/>
        <w:rPr>
          <w:rFonts w:ascii="宋体" w:hAnsi="宋体" w:cs="宋体"/>
          <w:bCs/>
          <w:color w:val="auto"/>
          <w:sz w:val="44"/>
          <w:szCs w:val="44"/>
          <w:highlight w:val="none"/>
        </w:rPr>
      </w:pPr>
      <w:r>
        <w:rPr>
          <w:rFonts w:hint="eastAsia" w:ascii="宋体" w:hAnsi="宋体" w:cs="宋体"/>
          <w:bCs/>
          <w:color w:val="auto"/>
          <w:sz w:val="44"/>
          <w:szCs w:val="44"/>
          <w:highlight w:val="none"/>
        </w:rPr>
        <w:t>响应函</w:t>
      </w:r>
    </w:p>
    <w:p w14:paraId="382B6992">
      <w:pPr>
        <w:shd w:val="clear"/>
        <w:spacing w:line="360" w:lineRule="auto"/>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致：</w:t>
      </w:r>
      <w:r>
        <w:rPr>
          <w:rFonts w:hint="eastAsia" w:ascii="宋体" w:hAnsi="宋体" w:cs="宋体"/>
          <w:color w:val="auto"/>
          <w:kern w:val="0"/>
          <w:szCs w:val="21"/>
          <w:highlight w:val="none"/>
          <w:u w:val="single"/>
          <w:lang w:val="zh-CN"/>
        </w:rPr>
        <w:t xml:space="preserve">                      </w:t>
      </w:r>
      <w:r>
        <w:rPr>
          <w:rFonts w:hint="eastAsia" w:ascii="宋体" w:hAnsi="宋体" w:cs="宋体"/>
          <w:color w:val="auto"/>
          <w:kern w:val="0"/>
          <w:szCs w:val="21"/>
          <w:highlight w:val="none"/>
          <w:lang w:val="zh-CN"/>
        </w:rPr>
        <w:t>（采购代理机构名称）</w:t>
      </w:r>
    </w:p>
    <w:p w14:paraId="3CE6CD9D">
      <w:pPr>
        <w:shd w:val="clea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我方已仔细阅读了贵方组织的</w:t>
      </w:r>
      <w:r>
        <w:rPr>
          <w:rFonts w:hint="eastAsia" w:ascii="宋体" w:hAnsi="宋体" w:cs="宋体"/>
          <w:color w:val="auto"/>
          <w:kern w:val="0"/>
          <w:szCs w:val="21"/>
          <w:highlight w:val="none"/>
          <w:u w:val="single"/>
          <w:lang w:val="zh-CN"/>
        </w:rPr>
        <w:t xml:space="preserve">                </w:t>
      </w:r>
      <w:r>
        <w:rPr>
          <w:rFonts w:hint="eastAsia" w:ascii="宋体" w:hAnsi="宋体" w:cs="宋体"/>
          <w:color w:val="auto"/>
          <w:kern w:val="0"/>
          <w:szCs w:val="21"/>
          <w:highlight w:val="none"/>
          <w:lang w:val="zh-CN"/>
        </w:rPr>
        <w:t>项目（项目编号：</w:t>
      </w:r>
      <w:r>
        <w:rPr>
          <w:rFonts w:hint="eastAsia" w:ascii="宋体" w:hAnsi="宋体" w:cs="宋体"/>
          <w:color w:val="auto"/>
          <w:kern w:val="0"/>
          <w:szCs w:val="21"/>
          <w:highlight w:val="none"/>
          <w:u w:val="single"/>
          <w:lang w:val="zh-CN"/>
        </w:rPr>
        <w:t xml:space="preserve">             </w:t>
      </w:r>
      <w:r>
        <w:rPr>
          <w:rFonts w:hint="eastAsia" w:ascii="宋体" w:hAnsi="宋体" w:cs="宋体"/>
          <w:color w:val="auto"/>
          <w:kern w:val="0"/>
          <w:szCs w:val="21"/>
          <w:highlight w:val="none"/>
          <w:lang w:val="zh-CN"/>
        </w:rPr>
        <w:t xml:space="preserve">）的竞争性磋商文件的全部内容，现正式递交下述文件参加贵方组织的本次政府采购活动： </w:t>
      </w:r>
    </w:p>
    <w:p w14:paraId="47F5E4CF">
      <w:pPr>
        <w:shd w:val="clea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一、报价文件电子版</w:t>
      </w:r>
      <w:r>
        <w:rPr>
          <w:rFonts w:hint="eastAsia" w:ascii="宋体" w:hAnsi="宋体" w:cs="宋体"/>
          <w:color w:val="auto"/>
          <w:kern w:val="0"/>
          <w:szCs w:val="21"/>
          <w:highlight w:val="none"/>
          <w:u w:val="single"/>
          <w:lang w:val="zh-CN"/>
        </w:rPr>
        <w:t xml:space="preserve">      </w:t>
      </w:r>
      <w:r>
        <w:rPr>
          <w:rFonts w:hint="eastAsia" w:ascii="宋体" w:hAnsi="宋体" w:cs="宋体"/>
          <w:color w:val="auto"/>
          <w:kern w:val="0"/>
          <w:szCs w:val="21"/>
          <w:highlight w:val="none"/>
          <w:lang w:val="zh-CN"/>
        </w:rPr>
        <w:t>份（包含按“第三章 供应商须知”提交的全部文件）；</w:t>
      </w:r>
    </w:p>
    <w:p w14:paraId="0D4EE8E9">
      <w:pPr>
        <w:shd w:val="clea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二、</w:t>
      </w:r>
      <w:r>
        <w:rPr>
          <w:rFonts w:hint="eastAsia" w:ascii="宋体" w:hAnsi="宋体" w:cs="宋体"/>
          <w:color w:val="auto"/>
          <w:kern w:val="0"/>
          <w:szCs w:val="21"/>
          <w:highlight w:val="none"/>
        </w:rPr>
        <w:t>资格证明</w:t>
      </w:r>
      <w:r>
        <w:rPr>
          <w:rFonts w:hint="eastAsia" w:ascii="宋体" w:hAnsi="宋体" w:cs="宋体"/>
          <w:color w:val="auto"/>
          <w:kern w:val="0"/>
          <w:szCs w:val="21"/>
          <w:highlight w:val="none"/>
          <w:lang w:val="zh-CN"/>
        </w:rPr>
        <w:t>文件电子版</w:t>
      </w:r>
      <w:r>
        <w:rPr>
          <w:rFonts w:hint="eastAsia" w:ascii="宋体" w:hAnsi="宋体" w:cs="宋体"/>
          <w:color w:val="auto"/>
          <w:kern w:val="0"/>
          <w:szCs w:val="21"/>
          <w:highlight w:val="none"/>
          <w:u w:val="single"/>
          <w:lang w:val="zh-CN"/>
        </w:rPr>
        <w:t xml:space="preserve">      </w:t>
      </w:r>
      <w:r>
        <w:rPr>
          <w:rFonts w:hint="eastAsia" w:ascii="宋体" w:hAnsi="宋体" w:cs="宋体"/>
          <w:color w:val="auto"/>
          <w:kern w:val="0"/>
          <w:szCs w:val="21"/>
          <w:highlight w:val="none"/>
          <w:lang w:val="zh-CN"/>
        </w:rPr>
        <w:t>份（包含按“第三章 供应商须知”提交的全部文件）；商务技术文件电子版</w:t>
      </w:r>
      <w:r>
        <w:rPr>
          <w:rFonts w:hint="eastAsia" w:ascii="宋体" w:hAnsi="宋体" w:cs="宋体"/>
          <w:color w:val="auto"/>
          <w:kern w:val="0"/>
          <w:szCs w:val="21"/>
          <w:highlight w:val="none"/>
          <w:u w:val="single"/>
          <w:lang w:val="zh-CN"/>
        </w:rPr>
        <w:t xml:space="preserve">      </w:t>
      </w:r>
      <w:r>
        <w:rPr>
          <w:rFonts w:hint="eastAsia" w:ascii="宋体" w:hAnsi="宋体" w:cs="宋体"/>
          <w:color w:val="auto"/>
          <w:kern w:val="0"/>
          <w:szCs w:val="21"/>
          <w:highlight w:val="none"/>
          <w:lang w:val="zh-CN"/>
        </w:rPr>
        <w:t>份（包含按“第三章 供应商须知”提交的全部文件）；</w:t>
      </w:r>
    </w:p>
    <w:p w14:paraId="327C7332">
      <w:pPr>
        <w:shd w:val="clea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据此函，签字人兹宣布：</w:t>
      </w:r>
    </w:p>
    <w:p w14:paraId="205F571E">
      <w:pPr>
        <w:pStyle w:val="28"/>
        <w:shd w:val="clear"/>
        <w:spacing w:line="360" w:lineRule="auto"/>
        <w:ind w:firstLine="482"/>
        <w:rPr>
          <w:rFonts w:hAnsi="宋体" w:cs="宋体"/>
          <w:color w:val="auto"/>
          <w:sz w:val="21"/>
          <w:highlight w:val="none"/>
        </w:rPr>
      </w:pPr>
      <w:r>
        <w:rPr>
          <w:rFonts w:hint="eastAsia" w:hAnsi="宋体" w:cs="宋体"/>
          <w:color w:val="auto"/>
          <w:sz w:val="21"/>
          <w:highlight w:val="none"/>
          <w:lang w:eastAsia="zh-CN"/>
        </w:rPr>
        <w:t>1.</w:t>
      </w:r>
      <w:r>
        <w:rPr>
          <w:rFonts w:hint="eastAsia" w:hAnsi="宋体" w:cs="宋体"/>
          <w:color w:val="auto"/>
          <w:sz w:val="21"/>
          <w:highlight w:val="none"/>
        </w:rPr>
        <w:t>我方愿意以（大写）人民币</w:t>
      </w:r>
      <w:r>
        <w:rPr>
          <w:rFonts w:hint="eastAsia" w:hAnsi="宋体" w:cs="宋体"/>
          <w:color w:val="auto"/>
          <w:sz w:val="21"/>
          <w:highlight w:val="none"/>
          <w:u w:val="single"/>
        </w:rPr>
        <w:t xml:space="preserve">              </w:t>
      </w:r>
      <w:r>
        <w:rPr>
          <w:rFonts w:hint="eastAsia" w:hAnsi="宋体" w:cs="宋体"/>
          <w:color w:val="auto"/>
          <w:sz w:val="21"/>
          <w:highlight w:val="none"/>
        </w:rPr>
        <w:t>（¥</w:t>
      </w:r>
      <w:r>
        <w:rPr>
          <w:rFonts w:hint="eastAsia" w:hAnsi="宋体" w:cs="宋体"/>
          <w:color w:val="auto"/>
          <w:sz w:val="21"/>
          <w:highlight w:val="none"/>
          <w:u w:val="single"/>
        </w:rPr>
        <w:t xml:space="preserve">          </w:t>
      </w:r>
      <w:r>
        <w:rPr>
          <w:rFonts w:hint="eastAsia" w:hAnsi="宋体" w:cs="宋体"/>
          <w:color w:val="auto"/>
          <w:sz w:val="21"/>
          <w:highlight w:val="none"/>
        </w:rPr>
        <w:t>元）的竞标总报价，提供本项目竞争性磋商文件第二章“采购需求”中相应的采购内容。</w:t>
      </w:r>
    </w:p>
    <w:p w14:paraId="11A369D5">
      <w:pPr>
        <w:pStyle w:val="28"/>
        <w:shd w:val="clear"/>
        <w:spacing w:line="360" w:lineRule="auto"/>
        <w:ind w:firstLine="482"/>
        <w:rPr>
          <w:rFonts w:hAnsi="宋体" w:cs="宋体"/>
          <w:color w:val="auto"/>
          <w:sz w:val="21"/>
          <w:highlight w:val="none"/>
        </w:rPr>
      </w:pPr>
      <w:r>
        <w:rPr>
          <w:rFonts w:hint="eastAsia" w:hAnsi="宋体" w:cs="宋体"/>
          <w:color w:val="auto"/>
          <w:sz w:val="21"/>
          <w:highlight w:val="none"/>
        </w:rPr>
        <w:t>其中（有分标时填写）：</w:t>
      </w:r>
    </w:p>
    <w:p w14:paraId="2B4DA353">
      <w:pPr>
        <w:pStyle w:val="28"/>
        <w:shd w:val="clear"/>
        <w:spacing w:line="360" w:lineRule="auto"/>
        <w:ind w:firstLine="482"/>
        <w:rPr>
          <w:rFonts w:hAnsi="宋体" w:cs="宋体"/>
          <w:color w:val="auto"/>
          <w:sz w:val="21"/>
          <w:highlight w:val="none"/>
        </w:rPr>
      </w:pPr>
      <w:r>
        <w:rPr>
          <w:rFonts w:hint="eastAsia" w:hAnsi="宋体" w:cs="宋体"/>
          <w:color w:val="auto"/>
          <w:sz w:val="21"/>
          <w:highlight w:val="none"/>
          <w:u w:val="single"/>
        </w:rPr>
        <w:t xml:space="preserve">    </w:t>
      </w:r>
      <w:r>
        <w:rPr>
          <w:rFonts w:hint="eastAsia" w:hAnsi="宋体" w:cs="宋体"/>
          <w:color w:val="auto"/>
          <w:sz w:val="21"/>
          <w:highlight w:val="none"/>
        </w:rPr>
        <w:t>分标报价为（大写）人民币</w:t>
      </w:r>
      <w:r>
        <w:rPr>
          <w:rFonts w:hint="eastAsia" w:hAnsi="宋体" w:cs="宋体"/>
          <w:color w:val="auto"/>
          <w:sz w:val="21"/>
          <w:highlight w:val="none"/>
          <w:u w:val="single"/>
        </w:rPr>
        <w:t xml:space="preserve">               </w:t>
      </w:r>
      <w:r>
        <w:rPr>
          <w:rFonts w:hint="eastAsia" w:hAnsi="宋体" w:cs="宋体"/>
          <w:color w:val="auto"/>
          <w:sz w:val="21"/>
          <w:highlight w:val="none"/>
        </w:rPr>
        <w:t xml:space="preserve"> （¥</w:t>
      </w:r>
      <w:r>
        <w:rPr>
          <w:rFonts w:hint="eastAsia" w:hAnsi="宋体" w:cs="宋体"/>
          <w:color w:val="auto"/>
          <w:sz w:val="21"/>
          <w:highlight w:val="none"/>
          <w:u w:val="single"/>
        </w:rPr>
        <w:t xml:space="preserve">           </w:t>
      </w:r>
      <w:r>
        <w:rPr>
          <w:rFonts w:hint="eastAsia" w:hAnsi="宋体" w:cs="宋体"/>
          <w:color w:val="auto"/>
          <w:sz w:val="21"/>
          <w:highlight w:val="none"/>
        </w:rPr>
        <w:t>元），服务期：</w:t>
      </w:r>
      <w:r>
        <w:rPr>
          <w:rFonts w:hint="eastAsia" w:hAnsi="宋体" w:cs="宋体"/>
          <w:color w:val="auto"/>
          <w:sz w:val="21"/>
          <w:highlight w:val="none"/>
          <w:u w:val="single"/>
        </w:rPr>
        <w:t xml:space="preserve">          </w:t>
      </w:r>
      <w:r>
        <w:rPr>
          <w:rFonts w:hint="eastAsia" w:hAnsi="宋体" w:cs="宋体"/>
          <w:color w:val="auto"/>
          <w:sz w:val="21"/>
          <w:highlight w:val="none"/>
        </w:rPr>
        <w:t>；</w:t>
      </w:r>
    </w:p>
    <w:p w14:paraId="22929841">
      <w:pPr>
        <w:pStyle w:val="28"/>
        <w:shd w:val="clear"/>
        <w:spacing w:line="360" w:lineRule="auto"/>
        <w:ind w:firstLine="482"/>
        <w:rPr>
          <w:rFonts w:hAnsi="宋体" w:cs="宋体"/>
          <w:color w:val="auto"/>
          <w:sz w:val="21"/>
          <w:highlight w:val="none"/>
        </w:rPr>
      </w:pPr>
      <w:r>
        <w:rPr>
          <w:rFonts w:hint="eastAsia" w:hAnsi="宋体" w:cs="宋体"/>
          <w:color w:val="auto"/>
          <w:sz w:val="21"/>
          <w:highlight w:val="none"/>
          <w:u w:val="single"/>
        </w:rPr>
        <w:t xml:space="preserve">    </w:t>
      </w:r>
      <w:r>
        <w:rPr>
          <w:rFonts w:hint="eastAsia" w:hAnsi="宋体" w:cs="宋体"/>
          <w:color w:val="auto"/>
          <w:sz w:val="21"/>
          <w:highlight w:val="none"/>
        </w:rPr>
        <w:t>分标报价为（大写）人民币</w:t>
      </w:r>
      <w:r>
        <w:rPr>
          <w:rFonts w:hint="eastAsia" w:hAnsi="宋体" w:cs="宋体"/>
          <w:color w:val="auto"/>
          <w:sz w:val="21"/>
          <w:highlight w:val="none"/>
          <w:u w:val="single"/>
        </w:rPr>
        <w:t xml:space="preserve">               </w:t>
      </w:r>
      <w:r>
        <w:rPr>
          <w:rFonts w:hint="eastAsia" w:hAnsi="宋体" w:cs="宋体"/>
          <w:color w:val="auto"/>
          <w:sz w:val="21"/>
          <w:highlight w:val="none"/>
        </w:rPr>
        <w:t xml:space="preserve"> （¥</w:t>
      </w:r>
      <w:r>
        <w:rPr>
          <w:rFonts w:hint="eastAsia" w:hAnsi="宋体" w:cs="宋体"/>
          <w:color w:val="auto"/>
          <w:sz w:val="21"/>
          <w:highlight w:val="none"/>
          <w:u w:val="single"/>
        </w:rPr>
        <w:t xml:space="preserve">           </w:t>
      </w:r>
      <w:r>
        <w:rPr>
          <w:rFonts w:hint="eastAsia" w:hAnsi="宋体" w:cs="宋体"/>
          <w:color w:val="auto"/>
          <w:sz w:val="21"/>
          <w:highlight w:val="none"/>
        </w:rPr>
        <w:t>元），服务期：</w:t>
      </w:r>
      <w:r>
        <w:rPr>
          <w:rFonts w:hint="eastAsia" w:hAnsi="宋体" w:cs="宋体"/>
          <w:color w:val="auto"/>
          <w:sz w:val="21"/>
          <w:highlight w:val="none"/>
          <w:u w:val="single"/>
        </w:rPr>
        <w:t xml:space="preserve">          </w:t>
      </w:r>
      <w:r>
        <w:rPr>
          <w:rFonts w:hint="eastAsia" w:hAnsi="宋体" w:cs="宋体"/>
          <w:color w:val="auto"/>
          <w:sz w:val="21"/>
          <w:highlight w:val="none"/>
        </w:rPr>
        <w:t>；</w:t>
      </w:r>
    </w:p>
    <w:p w14:paraId="71393E33">
      <w:pPr>
        <w:shd w:val="clear"/>
        <w:spacing w:line="360" w:lineRule="auto"/>
        <w:ind w:firstLine="482"/>
        <w:rPr>
          <w:rFonts w:ascii="宋体" w:hAnsi="宋体" w:cs="宋体"/>
          <w:color w:val="auto"/>
          <w:kern w:val="0"/>
          <w:szCs w:val="21"/>
          <w:highlight w:val="none"/>
          <w:lang w:val="zh-CN"/>
        </w:rPr>
      </w:pPr>
      <w:r>
        <w:rPr>
          <w:rFonts w:hint="eastAsia" w:hAnsi="宋体" w:cs="宋体"/>
          <w:color w:val="auto"/>
          <w:highlight w:val="none"/>
        </w:rPr>
        <w:t>……</w:t>
      </w:r>
    </w:p>
    <w:p w14:paraId="11451205">
      <w:pPr>
        <w:shd w:val="clear"/>
        <w:spacing w:line="360" w:lineRule="auto"/>
        <w:ind w:firstLine="482"/>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2.我方同意自本项目竞争性磋商文件采购公告规定的递交响应文件截止时间起遵循本响应函，并承诺在“第三章 供应商须知”规定的响应有效期内不修改、撤销响应文件。</w:t>
      </w:r>
    </w:p>
    <w:p w14:paraId="1968216E">
      <w:pPr>
        <w:shd w:val="clear"/>
        <w:spacing w:line="360" w:lineRule="auto"/>
        <w:ind w:firstLine="482"/>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3.我方在此声明，所递交的响应文件及有关资料内容完整、真实和准确。</w:t>
      </w:r>
    </w:p>
    <w:p w14:paraId="2981C572">
      <w:pPr>
        <w:shd w:val="clear"/>
        <w:spacing w:line="360" w:lineRule="auto"/>
        <w:ind w:firstLine="482"/>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4.如本项目采购内容涉及须符合国家强制规定的，我方承诺我方本次竞标均符合国家有关强制规定。</w:t>
      </w:r>
    </w:p>
    <w:p w14:paraId="55EE7F10">
      <w:pPr>
        <w:shd w:val="clear"/>
        <w:spacing w:line="360" w:lineRule="auto"/>
        <w:ind w:firstLine="482"/>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5.我方承诺未被列入失信被执行人、重大税收违法失信主体、政府采购严重违法失信行为记录名单，并已经具备《中华人民共和国政府采购法》中规定的参加政府采购活动的供应商应当具备的条件：</w:t>
      </w:r>
    </w:p>
    <w:p w14:paraId="14FBCCDE">
      <w:pPr>
        <w:numPr>
          <w:ilvl w:val="0"/>
          <w:numId w:val="5"/>
        </w:numPr>
        <w:shd w:val="clear"/>
        <w:tabs>
          <w:tab w:val="left" w:pos="945"/>
        </w:tabs>
        <w:spacing w:line="360" w:lineRule="auto"/>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具有独立承担民事责任的能力；</w:t>
      </w:r>
    </w:p>
    <w:p w14:paraId="1CF25EB4">
      <w:pPr>
        <w:numPr>
          <w:ilvl w:val="0"/>
          <w:numId w:val="5"/>
        </w:numPr>
        <w:shd w:val="clear"/>
        <w:tabs>
          <w:tab w:val="left" w:pos="945"/>
        </w:tabs>
        <w:spacing w:line="360" w:lineRule="auto"/>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具有良好的商业信誉和健全的财务会计制度；</w:t>
      </w:r>
    </w:p>
    <w:p w14:paraId="3FAA9159">
      <w:pPr>
        <w:numPr>
          <w:ilvl w:val="0"/>
          <w:numId w:val="5"/>
        </w:numPr>
        <w:shd w:val="clear"/>
        <w:tabs>
          <w:tab w:val="left" w:pos="945"/>
        </w:tabs>
        <w:spacing w:line="360" w:lineRule="auto"/>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具有履行合同所必需的设备和专业技术能力；</w:t>
      </w:r>
    </w:p>
    <w:p w14:paraId="27BDFF10">
      <w:pPr>
        <w:numPr>
          <w:ilvl w:val="0"/>
          <w:numId w:val="5"/>
        </w:numPr>
        <w:shd w:val="clear"/>
        <w:tabs>
          <w:tab w:val="left" w:pos="945"/>
        </w:tabs>
        <w:spacing w:line="360" w:lineRule="auto"/>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有依法缴纳税收和社会保障资金的良好记录；</w:t>
      </w:r>
    </w:p>
    <w:p w14:paraId="5C79AFA4">
      <w:pPr>
        <w:numPr>
          <w:ilvl w:val="0"/>
          <w:numId w:val="5"/>
        </w:numPr>
        <w:shd w:val="clear"/>
        <w:tabs>
          <w:tab w:val="left" w:pos="945"/>
        </w:tabs>
        <w:spacing w:line="360" w:lineRule="auto"/>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参加政府采购活动前三年内，在经营活动中没有重大违法记录；</w:t>
      </w:r>
    </w:p>
    <w:p w14:paraId="74BF3ADB">
      <w:pPr>
        <w:numPr>
          <w:ilvl w:val="0"/>
          <w:numId w:val="5"/>
        </w:numPr>
        <w:shd w:val="clear"/>
        <w:tabs>
          <w:tab w:val="left" w:pos="945"/>
        </w:tabs>
        <w:spacing w:line="360" w:lineRule="auto"/>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法律、行政法规规定的其他条件。</w:t>
      </w:r>
    </w:p>
    <w:p w14:paraId="53F0F0EA">
      <w:pPr>
        <w:shd w:val="clear"/>
        <w:spacing w:line="360" w:lineRule="auto"/>
        <w:ind w:firstLine="482"/>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6.如我方成交，我方承诺在收到成交通知书后，在成交通知书规定的期限内，根据竞争性磋商文件、我方的响应文件及有关澄清承诺书的要求按第六章“合同文本”与采购人订立书面合同，并按照合同约定承担完成合同的责任和义务。</w:t>
      </w:r>
    </w:p>
    <w:p w14:paraId="4BF7F3C4">
      <w:pPr>
        <w:shd w:val="clear"/>
        <w:spacing w:line="360" w:lineRule="auto"/>
        <w:ind w:firstLine="482"/>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7.我方已详细审核竞争性磋商文件，我方知道必须放弃提出含糊不清或误解问题的权利。</w:t>
      </w:r>
    </w:p>
    <w:p w14:paraId="095EEDB5">
      <w:pPr>
        <w:shd w:val="clear"/>
        <w:spacing w:line="360" w:lineRule="auto"/>
        <w:ind w:firstLine="482"/>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8.我方承诺满足竞争性磋商文件第六章“合同文本”的条款，承担完成合同的责任和义务。</w:t>
      </w:r>
    </w:p>
    <w:p w14:paraId="53E380E7">
      <w:pPr>
        <w:shd w:val="clear"/>
        <w:spacing w:line="360" w:lineRule="auto"/>
        <w:ind w:firstLine="482"/>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9.我方同意应贵方要求提供与本次竞标有关的任何数据或资料。若贵方需要，我方愿意提供我方作出的一切承诺的证明材料。</w:t>
      </w:r>
    </w:p>
    <w:p w14:paraId="681F94F4">
      <w:pPr>
        <w:shd w:val="clear"/>
        <w:spacing w:line="360" w:lineRule="auto"/>
        <w:ind w:firstLine="482"/>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10.我方完全理解贵方不一定接受响应报价最低的竞标人为成交供应商的行为。</w:t>
      </w:r>
    </w:p>
    <w:p w14:paraId="42E5BB59">
      <w:pPr>
        <w:shd w:val="clear"/>
        <w:spacing w:line="360" w:lineRule="auto"/>
        <w:ind w:firstLine="482"/>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11.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EA6EA7F">
      <w:pPr>
        <w:numPr>
          <w:ilvl w:val="0"/>
          <w:numId w:val="6"/>
        </w:numPr>
        <w:shd w:val="clear"/>
        <w:tabs>
          <w:tab w:val="left" w:pos="945"/>
          <w:tab w:val="left" w:pos="1140"/>
          <w:tab w:val="clear" w:pos="1200"/>
        </w:tabs>
        <w:spacing w:line="360" w:lineRule="auto"/>
        <w:ind w:left="114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提供虚假材料谋取中标、成交的；</w:t>
      </w:r>
    </w:p>
    <w:p w14:paraId="582B074F">
      <w:pPr>
        <w:numPr>
          <w:ilvl w:val="0"/>
          <w:numId w:val="6"/>
        </w:numPr>
        <w:shd w:val="clear"/>
        <w:tabs>
          <w:tab w:val="left" w:pos="945"/>
          <w:tab w:val="left" w:pos="1140"/>
          <w:tab w:val="clear" w:pos="1200"/>
        </w:tabs>
        <w:spacing w:line="360" w:lineRule="auto"/>
        <w:ind w:left="114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采取不正当手段诋毁、排挤其他供应商的；</w:t>
      </w:r>
    </w:p>
    <w:p w14:paraId="49C03570">
      <w:pPr>
        <w:numPr>
          <w:ilvl w:val="0"/>
          <w:numId w:val="6"/>
        </w:numPr>
        <w:shd w:val="clear"/>
        <w:tabs>
          <w:tab w:val="left" w:pos="945"/>
          <w:tab w:val="left" w:pos="1140"/>
          <w:tab w:val="clear" w:pos="1200"/>
        </w:tabs>
        <w:spacing w:line="360" w:lineRule="auto"/>
        <w:ind w:left="114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与采购人、其他供应商或者采购代理机构恶意串通的；</w:t>
      </w:r>
    </w:p>
    <w:p w14:paraId="554B26AA">
      <w:pPr>
        <w:numPr>
          <w:ilvl w:val="0"/>
          <w:numId w:val="6"/>
        </w:numPr>
        <w:shd w:val="clear"/>
        <w:tabs>
          <w:tab w:val="left" w:pos="945"/>
          <w:tab w:val="left" w:pos="1140"/>
          <w:tab w:val="clear" w:pos="1200"/>
        </w:tabs>
        <w:spacing w:line="360" w:lineRule="auto"/>
        <w:ind w:left="114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向采购人、采购代理机构行贿或者提供其他不正当利益的；</w:t>
      </w:r>
    </w:p>
    <w:p w14:paraId="71E28F0E">
      <w:pPr>
        <w:numPr>
          <w:ilvl w:val="0"/>
          <w:numId w:val="6"/>
        </w:numPr>
        <w:shd w:val="clear"/>
        <w:tabs>
          <w:tab w:val="left" w:pos="945"/>
          <w:tab w:val="left" w:pos="1140"/>
          <w:tab w:val="clear" w:pos="1200"/>
        </w:tabs>
        <w:spacing w:line="360" w:lineRule="auto"/>
        <w:ind w:left="114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在采购过程中与采购人进行协商磋商的；</w:t>
      </w:r>
    </w:p>
    <w:p w14:paraId="45EC5822">
      <w:pPr>
        <w:numPr>
          <w:ilvl w:val="0"/>
          <w:numId w:val="6"/>
        </w:numPr>
        <w:shd w:val="clear"/>
        <w:tabs>
          <w:tab w:val="left" w:pos="945"/>
          <w:tab w:val="left" w:pos="1140"/>
          <w:tab w:val="clear" w:pos="1200"/>
        </w:tabs>
        <w:spacing w:line="360" w:lineRule="auto"/>
        <w:ind w:left="114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拒绝有关部门监督检查或提供虚假情况的。</w:t>
      </w:r>
    </w:p>
    <w:p w14:paraId="4A06BDE2">
      <w:pPr>
        <w:shd w:val="clear"/>
        <w:spacing w:line="360" w:lineRule="auto"/>
        <w:ind w:firstLine="42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12.与本磋商有关的一切正式往来信函请寄：</w:t>
      </w:r>
    </w:p>
    <w:p w14:paraId="781B7943">
      <w:pPr>
        <w:shd w:val="clear"/>
        <w:spacing w:line="360" w:lineRule="auto"/>
        <w:ind w:firstLine="42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地址：</w:t>
      </w:r>
      <w:r>
        <w:rPr>
          <w:rFonts w:hint="eastAsia" w:ascii="宋体" w:hAnsi="宋体" w:cs="宋体"/>
          <w:color w:val="auto"/>
          <w:kern w:val="0"/>
          <w:szCs w:val="21"/>
          <w:highlight w:val="none"/>
          <w:u w:val="single"/>
          <w:lang w:val="zh-CN"/>
        </w:rPr>
        <w:t xml:space="preserve">                                                        </w:t>
      </w:r>
      <w:r>
        <w:rPr>
          <w:rFonts w:hint="eastAsia" w:ascii="宋体" w:hAnsi="宋体" w:cs="宋体"/>
          <w:color w:val="auto"/>
          <w:kern w:val="0"/>
          <w:szCs w:val="21"/>
          <w:highlight w:val="none"/>
          <w:lang w:val="zh-CN"/>
        </w:rPr>
        <w:t xml:space="preserve"> </w:t>
      </w:r>
    </w:p>
    <w:p w14:paraId="2DEEE3AC">
      <w:pPr>
        <w:shd w:val="clear"/>
        <w:spacing w:line="360" w:lineRule="auto"/>
        <w:ind w:firstLine="420"/>
        <w:rPr>
          <w:rFonts w:ascii="宋体" w:hAnsi="宋体" w:cs="宋体"/>
          <w:color w:val="auto"/>
          <w:kern w:val="0"/>
          <w:szCs w:val="21"/>
          <w:highlight w:val="none"/>
          <w:u w:val="single"/>
          <w:lang w:val="zh-CN"/>
        </w:rPr>
      </w:pPr>
      <w:r>
        <w:rPr>
          <w:rFonts w:hint="eastAsia" w:ascii="宋体" w:hAnsi="宋体" w:cs="宋体"/>
          <w:color w:val="auto"/>
          <w:kern w:val="0"/>
          <w:szCs w:val="21"/>
          <w:highlight w:val="none"/>
          <w:lang w:val="zh-CN"/>
        </w:rPr>
        <w:t>电话：</w:t>
      </w:r>
      <w:r>
        <w:rPr>
          <w:rFonts w:hint="eastAsia" w:ascii="宋体" w:hAnsi="宋体" w:cs="宋体"/>
          <w:color w:val="auto"/>
          <w:kern w:val="0"/>
          <w:szCs w:val="21"/>
          <w:highlight w:val="none"/>
          <w:u w:val="single"/>
          <w:lang w:val="zh-CN"/>
        </w:rPr>
        <w:t xml:space="preserve">                                      　　　　　　　　　</w:t>
      </w:r>
    </w:p>
    <w:p w14:paraId="63C50A6D">
      <w:pPr>
        <w:shd w:val="clear"/>
        <w:spacing w:line="360" w:lineRule="auto"/>
        <w:ind w:firstLine="42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传真：</w:t>
      </w:r>
      <w:r>
        <w:rPr>
          <w:rFonts w:hint="eastAsia" w:ascii="宋体" w:hAnsi="宋体" w:cs="宋体"/>
          <w:color w:val="auto"/>
          <w:kern w:val="0"/>
          <w:szCs w:val="21"/>
          <w:highlight w:val="none"/>
          <w:u w:val="single"/>
          <w:lang w:val="zh-CN"/>
        </w:rPr>
        <w:t>　　　　　　　　　　　　　　　　　　　　　　　　　　　　</w:t>
      </w:r>
    </w:p>
    <w:p w14:paraId="47F84189">
      <w:pPr>
        <w:shd w:val="clear"/>
        <w:spacing w:line="360" w:lineRule="auto"/>
        <w:ind w:firstLine="420"/>
        <w:rPr>
          <w:rFonts w:ascii="宋体" w:hAnsi="宋体" w:cs="宋体"/>
          <w:color w:val="auto"/>
          <w:kern w:val="0"/>
          <w:szCs w:val="21"/>
          <w:highlight w:val="none"/>
          <w:u w:val="single"/>
          <w:lang w:val="zh-CN"/>
        </w:rPr>
      </w:pPr>
      <w:r>
        <w:rPr>
          <w:rFonts w:hint="eastAsia" w:ascii="宋体" w:hAnsi="宋体" w:cs="宋体"/>
          <w:color w:val="auto"/>
          <w:kern w:val="0"/>
          <w:szCs w:val="21"/>
          <w:highlight w:val="none"/>
          <w:lang w:val="zh-CN"/>
        </w:rPr>
        <w:t>邮政编码：</w:t>
      </w:r>
      <w:r>
        <w:rPr>
          <w:rFonts w:hint="eastAsia" w:ascii="宋体" w:hAnsi="宋体" w:cs="宋体"/>
          <w:color w:val="auto"/>
          <w:kern w:val="0"/>
          <w:szCs w:val="21"/>
          <w:highlight w:val="none"/>
          <w:u w:val="single"/>
          <w:lang w:val="zh-CN"/>
        </w:rPr>
        <w:t xml:space="preserve">                                                    </w:t>
      </w:r>
    </w:p>
    <w:p w14:paraId="597EF512">
      <w:pPr>
        <w:shd w:val="clear"/>
        <w:spacing w:line="360" w:lineRule="auto"/>
        <w:ind w:firstLine="420"/>
        <w:rPr>
          <w:rFonts w:ascii="宋体" w:hAnsi="宋体" w:cs="宋体"/>
          <w:color w:val="auto"/>
          <w:kern w:val="0"/>
          <w:szCs w:val="21"/>
          <w:highlight w:val="none"/>
          <w:u w:val="single"/>
          <w:lang w:val="zh-CN"/>
        </w:rPr>
      </w:pPr>
      <w:r>
        <w:rPr>
          <w:rFonts w:hint="eastAsia" w:ascii="宋体" w:hAnsi="宋体" w:cs="宋体"/>
          <w:color w:val="auto"/>
          <w:kern w:val="0"/>
          <w:szCs w:val="21"/>
          <w:highlight w:val="none"/>
          <w:lang w:val="zh-CN"/>
        </w:rPr>
        <w:t>开户名称：</w:t>
      </w:r>
      <w:r>
        <w:rPr>
          <w:rFonts w:hint="eastAsia" w:ascii="宋体" w:hAnsi="宋体" w:cs="宋体"/>
          <w:color w:val="auto"/>
          <w:kern w:val="0"/>
          <w:szCs w:val="21"/>
          <w:highlight w:val="none"/>
          <w:u w:val="single"/>
          <w:lang w:val="zh-CN"/>
        </w:rPr>
        <w:t xml:space="preserve">                                                    </w:t>
      </w:r>
    </w:p>
    <w:p w14:paraId="7C2CF6E7">
      <w:pPr>
        <w:shd w:val="clear"/>
        <w:spacing w:line="360" w:lineRule="auto"/>
        <w:ind w:firstLine="420"/>
        <w:rPr>
          <w:rFonts w:ascii="宋体" w:hAnsi="宋体" w:cs="宋体"/>
          <w:color w:val="auto"/>
          <w:kern w:val="0"/>
          <w:szCs w:val="21"/>
          <w:highlight w:val="none"/>
          <w:u w:val="single"/>
          <w:lang w:val="zh-CN"/>
        </w:rPr>
      </w:pPr>
      <w:r>
        <w:rPr>
          <w:rFonts w:hint="eastAsia" w:ascii="宋体" w:hAnsi="宋体" w:cs="宋体"/>
          <w:color w:val="auto"/>
          <w:kern w:val="0"/>
          <w:szCs w:val="21"/>
          <w:highlight w:val="none"/>
          <w:lang w:val="zh-CN"/>
        </w:rPr>
        <w:t>开户银行：</w:t>
      </w:r>
      <w:r>
        <w:rPr>
          <w:rFonts w:hint="eastAsia" w:ascii="宋体" w:hAnsi="宋体" w:cs="宋体"/>
          <w:color w:val="auto"/>
          <w:kern w:val="0"/>
          <w:szCs w:val="21"/>
          <w:highlight w:val="none"/>
          <w:u w:val="single"/>
          <w:lang w:val="zh-CN"/>
        </w:rPr>
        <w:t xml:space="preserve">                                                    </w:t>
      </w:r>
    </w:p>
    <w:p w14:paraId="3884B469">
      <w:pPr>
        <w:shd w:val="clear"/>
        <w:spacing w:line="360" w:lineRule="auto"/>
        <w:ind w:firstLine="420"/>
        <w:rPr>
          <w:rFonts w:ascii="宋体" w:hAnsi="宋体" w:cs="宋体"/>
          <w:color w:val="auto"/>
          <w:kern w:val="0"/>
          <w:szCs w:val="21"/>
          <w:highlight w:val="none"/>
          <w:u w:val="single"/>
          <w:lang w:val="zh-CN"/>
        </w:rPr>
      </w:pPr>
      <w:r>
        <w:rPr>
          <w:rFonts w:hint="eastAsia" w:ascii="宋体" w:hAnsi="宋体" w:cs="宋体"/>
          <w:color w:val="auto"/>
          <w:kern w:val="0"/>
          <w:szCs w:val="21"/>
          <w:highlight w:val="none"/>
          <w:lang w:val="zh-CN"/>
        </w:rPr>
        <w:t>银行账号：</w:t>
      </w:r>
      <w:r>
        <w:rPr>
          <w:rFonts w:hint="eastAsia" w:ascii="宋体" w:hAnsi="宋体" w:cs="宋体"/>
          <w:color w:val="auto"/>
          <w:kern w:val="0"/>
          <w:szCs w:val="21"/>
          <w:highlight w:val="none"/>
          <w:u w:val="single"/>
          <w:lang w:val="zh-CN"/>
        </w:rPr>
        <w:t xml:space="preserve">                                                    </w:t>
      </w:r>
    </w:p>
    <w:p w14:paraId="19B7A2EF">
      <w:pPr>
        <w:shd w:val="clear"/>
        <w:tabs>
          <w:tab w:val="left" w:pos="939"/>
        </w:tabs>
        <w:spacing w:line="360" w:lineRule="auto"/>
        <w:ind w:left="141" w:leftChars="67" w:firstLine="315" w:firstLineChars="150"/>
        <w:contextualSpacing/>
        <w:rPr>
          <w:rFonts w:ascii="宋体" w:hAnsi="宋体" w:cs="宋体"/>
          <w:color w:val="auto"/>
          <w:szCs w:val="21"/>
          <w:highlight w:val="none"/>
        </w:rPr>
      </w:pPr>
      <w:r>
        <w:rPr>
          <w:rFonts w:hint="eastAsia" w:ascii="宋体" w:hAnsi="宋体" w:cs="宋体"/>
          <w:color w:val="auto"/>
          <w:szCs w:val="21"/>
          <w:highlight w:val="none"/>
        </w:rPr>
        <w:t>特此承诺。</w:t>
      </w:r>
    </w:p>
    <w:p w14:paraId="7A309D82">
      <w:pPr>
        <w:shd w:val="clear"/>
        <w:spacing w:line="360" w:lineRule="auto"/>
        <w:contextualSpacing/>
        <w:jc w:val="left"/>
        <w:rPr>
          <w:rFonts w:ascii="宋体" w:hAnsi="宋体" w:cs="宋体"/>
          <w:color w:val="auto"/>
          <w:szCs w:val="21"/>
          <w:highlight w:val="none"/>
        </w:rPr>
      </w:pPr>
    </w:p>
    <w:p w14:paraId="73B74ABC">
      <w:pPr>
        <w:shd w:val="clea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24488E5B">
      <w:pPr>
        <w:shd w:val="clear"/>
        <w:autoSpaceDE w:val="0"/>
        <w:autoSpaceDN w:val="0"/>
        <w:spacing w:line="360" w:lineRule="auto"/>
        <w:ind w:firstLine="5880" w:firstLineChars="24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735D0320">
      <w:pPr>
        <w:shd w:val="clear"/>
        <w:spacing w:line="360" w:lineRule="auto"/>
        <w:ind w:firstLine="420" w:firstLineChars="200"/>
        <w:rPr>
          <w:rFonts w:ascii="宋体" w:hAnsi="宋体" w:cs="宋体"/>
          <w:color w:val="auto"/>
          <w:highlight w:val="none"/>
        </w:rPr>
        <w:sectPr>
          <w:pgSz w:w="11910" w:h="16840"/>
          <w:pgMar w:top="1418" w:right="1418" w:bottom="1418" w:left="1418" w:header="720" w:footer="720" w:gutter="0"/>
          <w:cols w:space="720" w:num="1"/>
        </w:sectPr>
      </w:pPr>
    </w:p>
    <w:p w14:paraId="19094DD2">
      <w:pPr>
        <w:shd w:val="clear"/>
        <w:snapToGrid w:val="0"/>
        <w:spacing w:before="120" w:beforeLines="50" w:after="50" w:line="360" w:lineRule="auto"/>
        <w:jc w:val="left"/>
        <w:rPr>
          <w:rFonts w:ascii="宋体" w:hAnsi="宋体" w:cs="宋体"/>
          <w:b/>
          <w:bCs/>
          <w:color w:val="auto"/>
          <w:sz w:val="32"/>
          <w:szCs w:val="32"/>
          <w:highlight w:val="none"/>
        </w:rPr>
      </w:pPr>
      <w:r>
        <w:rPr>
          <w:rFonts w:hint="eastAsia" w:ascii="宋体" w:hAnsi="宋体" w:cs="宋体"/>
          <w:b/>
          <w:bCs/>
          <w:color w:val="auto"/>
          <w:sz w:val="32"/>
          <w:szCs w:val="32"/>
          <w:highlight w:val="none"/>
        </w:rPr>
        <w:t>二、响应报价表</w:t>
      </w:r>
    </w:p>
    <w:p w14:paraId="79EEBD3E">
      <w:pPr>
        <w:shd w:val="clear"/>
        <w:spacing w:before="240" w:beforeLines="100" w:line="360" w:lineRule="auto"/>
        <w:jc w:val="center"/>
        <w:rPr>
          <w:rFonts w:ascii="宋体" w:hAnsi="宋体" w:cs="宋体"/>
          <w:bCs/>
          <w:color w:val="auto"/>
          <w:sz w:val="44"/>
          <w:szCs w:val="44"/>
          <w:highlight w:val="none"/>
        </w:rPr>
      </w:pPr>
      <w:r>
        <w:rPr>
          <w:rFonts w:hint="eastAsia" w:ascii="宋体" w:hAnsi="宋体" w:cs="宋体"/>
          <w:bCs/>
          <w:color w:val="auto"/>
          <w:sz w:val="44"/>
          <w:szCs w:val="44"/>
          <w:highlight w:val="none"/>
        </w:rPr>
        <w:t>响应报价表</w:t>
      </w:r>
    </w:p>
    <w:p w14:paraId="5FB7BE10">
      <w:pPr>
        <w:shd w:val="clear"/>
        <w:snapToGrid w:val="0"/>
        <w:spacing w:before="50" w:after="50" w:line="360" w:lineRule="auto"/>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F1CFA1E">
      <w:pPr>
        <w:shd w:val="clea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p>
    <w:tbl>
      <w:tblPr>
        <w:tblStyle w:val="51"/>
        <w:tblW w:w="9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2910"/>
        <w:gridCol w:w="1106"/>
        <w:gridCol w:w="1648"/>
        <w:gridCol w:w="1754"/>
        <w:gridCol w:w="1418"/>
      </w:tblGrid>
      <w:tr w14:paraId="398BE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3D9B82CE">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2910" w:type="dxa"/>
            <w:tcBorders>
              <w:top w:val="single" w:color="auto" w:sz="4" w:space="0"/>
              <w:left w:val="single" w:color="auto" w:sz="4" w:space="0"/>
              <w:bottom w:val="single" w:color="auto" w:sz="4" w:space="0"/>
              <w:right w:val="single" w:color="auto" w:sz="4" w:space="0"/>
            </w:tcBorders>
            <w:vAlign w:val="center"/>
          </w:tcPr>
          <w:p w14:paraId="2E24CB32">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标的名称</w:t>
            </w:r>
          </w:p>
        </w:tc>
        <w:tc>
          <w:tcPr>
            <w:tcW w:w="1106" w:type="dxa"/>
            <w:tcBorders>
              <w:top w:val="single" w:color="auto" w:sz="4" w:space="0"/>
              <w:left w:val="single" w:color="auto" w:sz="4" w:space="0"/>
              <w:bottom w:val="single" w:color="auto" w:sz="4" w:space="0"/>
              <w:right w:val="single" w:color="auto" w:sz="4" w:space="0"/>
            </w:tcBorders>
            <w:vAlign w:val="center"/>
          </w:tcPr>
          <w:p w14:paraId="478F7CD6">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数量①</w:t>
            </w:r>
          </w:p>
        </w:tc>
        <w:tc>
          <w:tcPr>
            <w:tcW w:w="1648" w:type="dxa"/>
            <w:tcBorders>
              <w:top w:val="single" w:color="auto" w:sz="4" w:space="0"/>
              <w:left w:val="single" w:color="auto" w:sz="4" w:space="0"/>
              <w:bottom w:val="single" w:color="auto" w:sz="4" w:space="0"/>
              <w:right w:val="single" w:color="auto" w:sz="4" w:space="0"/>
            </w:tcBorders>
            <w:vAlign w:val="center"/>
          </w:tcPr>
          <w:p w14:paraId="67DD53E3">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单价（元）②</w:t>
            </w:r>
          </w:p>
        </w:tc>
        <w:tc>
          <w:tcPr>
            <w:tcW w:w="1754" w:type="dxa"/>
            <w:tcBorders>
              <w:top w:val="single" w:color="auto" w:sz="4" w:space="0"/>
              <w:left w:val="single" w:color="auto" w:sz="4" w:space="0"/>
              <w:bottom w:val="single" w:color="auto" w:sz="4" w:space="0"/>
              <w:right w:val="single" w:color="auto" w:sz="4" w:space="0"/>
            </w:tcBorders>
            <w:vAlign w:val="center"/>
          </w:tcPr>
          <w:p w14:paraId="6449A910">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单项合价（元）</w:t>
            </w:r>
          </w:p>
          <w:p w14:paraId="029C236E">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③=①×②</w:t>
            </w:r>
          </w:p>
        </w:tc>
        <w:tc>
          <w:tcPr>
            <w:tcW w:w="1418" w:type="dxa"/>
            <w:tcBorders>
              <w:top w:val="single" w:color="auto" w:sz="4" w:space="0"/>
              <w:left w:val="single" w:color="auto" w:sz="4" w:space="0"/>
              <w:bottom w:val="single" w:color="auto" w:sz="4" w:space="0"/>
              <w:right w:val="single" w:color="auto" w:sz="4" w:space="0"/>
            </w:tcBorders>
            <w:vAlign w:val="center"/>
          </w:tcPr>
          <w:p w14:paraId="760F833A">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备注</w:t>
            </w:r>
          </w:p>
        </w:tc>
      </w:tr>
      <w:tr w14:paraId="6C9B9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7F9F77E3">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2910" w:type="dxa"/>
            <w:tcBorders>
              <w:top w:val="single" w:color="auto" w:sz="4" w:space="0"/>
              <w:left w:val="single" w:color="auto" w:sz="4" w:space="0"/>
              <w:bottom w:val="single" w:color="auto" w:sz="4" w:space="0"/>
              <w:right w:val="single" w:color="auto" w:sz="4" w:space="0"/>
            </w:tcBorders>
            <w:vAlign w:val="center"/>
          </w:tcPr>
          <w:p w14:paraId="4C0A1D54">
            <w:pPr>
              <w:shd w:val="clear"/>
              <w:spacing w:line="360"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《&lt;工业行业主要产品用水定额&gt;&lt;城镇生活用水定额&gt;评估及修订》（2026—2027）</w:t>
            </w:r>
          </w:p>
        </w:tc>
        <w:tc>
          <w:tcPr>
            <w:tcW w:w="1106" w:type="dxa"/>
            <w:tcBorders>
              <w:top w:val="single" w:color="auto" w:sz="4" w:space="0"/>
              <w:left w:val="single" w:color="auto" w:sz="4" w:space="0"/>
              <w:bottom w:val="single" w:color="auto" w:sz="4" w:space="0"/>
              <w:right w:val="single" w:color="auto" w:sz="4" w:space="0"/>
            </w:tcBorders>
            <w:vAlign w:val="center"/>
          </w:tcPr>
          <w:p w14:paraId="3F53A0D6">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1项</w:t>
            </w:r>
          </w:p>
        </w:tc>
        <w:tc>
          <w:tcPr>
            <w:tcW w:w="1648" w:type="dxa"/>
            <w:tcBorders>
              <w:top w:val="single" w:color="auto" w:sz="4" w:space="0"/>
              <w:left w:val="single" w:color="auto" w:sz="4" w:space="0"/>
              <w:bottom w:val="single" w:color="auto" w:sz="4" w:space="0"/>
              <w:right w:val="single" w:color="auto" w:sz="4" w:space="0"/>
            </w:tcBorders>
            <w:vAlign w:val="center"/>
          </w:tcPr>
          <w:p w14:paraId="5043DCCB">
            <w:pPr>
              <w:shd w:val="clear"/>
              <w:spacing w:line="360" w:lineRule="auto"/>
              <w:jc w:val="center"/>
              <w:rPr>
                <w:rFonts w:ascii="宋体" w:hAnsi="宋体" w:cs="宋体"/>
                <w:color w:val="auto"/>
                <w:sz w:val="24"/>
                <w:highlight w:val="none"/>
              </w:rPr>
            </w:pPr>
          </w:p>
        </w:tc>
        <w:tc>
          <w:tcPr>
            <w:tcW w:w="1754" w:type="dxa"/>
            <w:tcBorders>
              <w:top w:val="single" w:color="auto" w:sz="4" w:space="0"/>
              <w:left w:val="single" w:color="auto" w:sz="4" w:space="0"/>
              <w:bottom w:val="single" w:color="auto" w:sz="4" w:space="0"/>
              <w:right w:val="single" w:color="auto" w:sz="4" w:space="0"/>
            </w:tcBorders>
            <w:vAlign w:val="center"/>
          </w:tcPr>
          <w:p w14:paraId="7EB1DB23">
            <w:pPr>
              <w:shd w:val="clear"/>
              <w:spacing w:line="360" w:lineRule="auto"/>
              <w:jc w:val="center"/>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1C3F3ED3">
            <w:pPr>
              <w:shd w:val="clear"/>
              <w:spacing w:line="360" w:lineRule="auto"/>
              <w:jc w:val="center"/>
              <w:rPr>
                <w:rFonts w:ascii="宋体" w:hAnsi="宋体" w:cs="宋体"/>
                <w:color w:val="auto"/>
                <w:sz w:val="24"/>
                <w:highlight w:val="none"/>
              </w:rPr>
            </w:pPr>
          </w:p>
        </w:tc>
      </w:tr>
      <w:tr w14:paraId="7E6FE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555" w:type="dxa"/>
            <w:gridSpan w:val="6"/>
            <w:tcBorders>
              <w:top w:val="single" w:color="auto" w:sz="4" w:space="0"/>
              <w:left w:val="single" w:color="auto" w:sz="4" w:space="0"/>
              <w:bottom w:val="single" w:color="auto" w:sz="4" w:space="0"/>
              <w:right w:val="single" w:color="auto" w:sz="4" w:space="0"/>
            </w:tcBorders>
            <w:vAlign w:val="center"/>
          </w:tcPr>
          <w:p w14:paraId="6E88A3FF">
            <w:pPr>
              <w:shd w:val="clear"/>
              <w:spacing w:line="360" w:lineRule="auto"/>
              <w:rPr>
                <w:rFonts w:ascii="宋体" w:hAnsi="宋体" w:cs="宋体"/>
                <w:color w:val="auto"/>
                <w:sz w:val="24"/>
                <w:highlight w:val="none"/>
              </w:rPr>
            </w:pPr>
            <w:r>
              <w:rPr>
                <w:rFonts w:hint="eastAsia" w:ascii="宋体" w:hAnsi="宋体" w:cs="宋体"/>
                <w:color w:val="auto"/>
                <w:sz w:val="24"/>
                <w:highlight w:val="none"/>
              </w:rPr>
              <w:t>报价合计：</w:t>
            </w:r>
            <w:r>
              <w:rPr>
                <w:rFonts w:hint="eastAsia" w:ascii="宋体" w:hAnsi="宋体" w:cs="宋体"/>
                <w:color w:val="auto"/>
                <w:sz w:val="24"/>
                <w:highlight w:val="none"/>
                <w:u w:val="single"/>
              </w:rPr>
              <w:t>人民币              （¥              ）</w:t>
            </w:r>
          </w:p>
        </w:tc>
      </w:tr>
      <w:tr w14:paraId="2099F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555" w:type="dxa"/>
            <w:gridSpan w:val="6"/>
            <w:tcBorders>
              <w:top w:val="single" w:color="auto" w:sz="4" w:space="0"/>
              <w:left w:val="single" w:color="auto" w:sz="4" w:space="0"/>
              <w:bottom w:val="single" w:color="auto" w:sz="4" w:space="0"/>
              <w:right w:val="single" w:color="auto" w:sz="4" w:space="0"/>
            </w:tcBorders>
            <w:vAlign w:val="center"/>
          </w:tcPr>
          <w:p w14:paraId="0BE3F9DE">
            <w:pPr>
              <w:shd w:val="clear"/>
              <w:spacing w:line="360" w:lineRule="auto"/>
              <w:rPr>
                <w:rFonts w:ascii="宋体" w:hAnsi="宋体" w:cs="宋体"/>
                <w:color w:val="auto"/>
                <w:sz w:val="24"/>
                <w:highlight w:val="none"/>
              </w:rPr>
            </w:pPr>
            <w:r>
              <w:rPr>
                <w:rFonts w:hint="eastAsia" w:ascii="宋体" w:hAnsi="宋体" w:cs="宋体"/>
                <w:color w:val="auto"/>
                <w:sz w:val="24"/>
                <w:highlight w:val="none"/>
                <w:u w:val="single"/>
              </w:rPr>
              <w:t>　　</w:t>
            </w:r>
            <w:r>
              <w:rPr>
                <w:rFonts w:hint="eastAsia" w:ascii="宋体" w:hAnsi="宋体" w:cs="宋体"/>
                <w:color w:val="auto"/>
                <w:sz w:val="24"/>
                <w:highlight w:val="none"/>
              </w:rPr>
              <w:t>分标（此处有分标时填写具体分标号，无分标时填写“无”）</w:t>
            </w:r>
          </w:p>
        </w:tc>
      </w:tr>
    </w:tbl>
    <w:p w14:paraId="20D0B1B0">
      <w:pPr>
        <w:pStyle w:val="93"/>
        <w:shd w:val="clear"/>
        <w:ind w:firstLine="420"/>
        <w:rPr>
          <w:color w:val="auto"/>
          <w:highlight w:val="none"/>
        </w:rPr>
      </w:pPr>
    </w:p>
    <w:p w14:paraId="208781A8">
      <w:pPr>
        <w:shd w:val="clear"/>
        <w:snapToGrid w:val="0"/>
        <w:spacing w:before="50" w:after="50"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注： </w:t>
      </w:r>
    </w:p>
    <w:p w14:paraId="3EC24564">
      <w:pPr>
        <w:shd w:val="clear"/>
        <w:snapToGrid w:val="0"/>
        <w:spacing w:before="50" w:after="50"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1.供应商需按本表格式填写，不得自行更改，也不得留空</w:t>
      </w:r>
      <w:r>
        <w:rPr>
          <w:rFonts w:hint="eastAsia" w:ascii="宋体" w:hAnsi="宋体" w:cs="宋体"/>
          <w:b/>
          <w:color w:val="auto"/>
          <w:kern w:val="0"/>
          <w:sz w:val="24"/>
          <w:highlight w:val="none"/>
          <w:lang w:val="zh-CN"/>
        </w:rPr>
        <w:t>。</w:t>
      </w:r>
    </w:p>
    <w:p w14:paraId="172512A9">
      <w:pPr>
        <w:shd w:val="clea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本次报价须为人民币报价，报价包括了供应商完成本项目所需的一切工作内容而发生的所有直接费用、间接费用、其他费用、税金等全部费用和供应商要求获得的利润以及应由供应商承担的义务、责任和风险所发生的一切费用。</w:t>
      </w:r>
    </w:p>
    <w:p w14:paraId="73C47225">
      <w:pPr>
        <w:shd w:val="clear"/>
        <w:autoSpaceDE w:val="0"/>
        <w:autoSpaceDN w:val="0"/>
        <w:spacing w:line="360" w:lineRule="auto"/>
        <w:ind w:left="4335" w:leftChars="1950" w:hanging="240" w:hangingChars="100"/>
        <w:rPr>
          <w:rFonts w:ascii="宋体" w:hAnsi="宋体" w:cs="宋体"/>
          <w:color w:val="auto"/>
          <w:kern w:val="0"/>
          <w:sz w:val="24"/>
          <w:highlight w:val="none"/>
        </w:rPr>
      </w:pPr>
    </w:p>
    <w:p w14:paraId="3FB69966">
      <w:pPr>
        <w:shd w:val="clea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7440E3A4">
      <w:pPr>
        <w:shd w:val="clear"/>
        <w:spacing w:line="360" w:lineRule="auto"/>
        <w:ind w:firstLine="5678" w:firstLineChars="2366"/>
        <w:rPr>
          <w:rFonts w:ascii="宋体" w:hAnsi="宋体" w:cs="宋体"/>
          <w:color w:val="auto"/>
          <w:kern w:val="0"/>
          <w:sz w:val="24"/>
          <w:szCs w:val="21"/>
          <w:highlight w:val="none"/>
        </w:rPr>
      </w:pPr>
      <w:r>
        <w:rPr>
          <w:rFonts w:hint="eastAsia" w:ascii="宋体" w:hAnsi="宋体" w:cs="宋体"/>
          <w:color w:val="auto"/>
          <w:kern w:val="0"/>
          <w:sz w:val="24"/>
          <w:szCs w:val="21"/>
          <w:highlight w:val="none"/>
          <w:lang w:val="zh-CN"/>
        </w:rPr>
        <w:t>日期</w:t>
      </w:r>
      <w:r>
        <w:rPr>
          <w:rFonts w:hint="eastAsia" w:ascii="宋体" w:hAnsi="宋体" w:cs="宋体"/>
          <w:color w:val="auto"/>
          <w:kern w:val="0"/>
          <w:sz w:val="24"/>
          <w:szCs w:val="21"/>
          <w:highlight w:val="none"/>
        </w:rPr>
        <w:t xml:space="preserve">：  </w:t>
      </w:r>
      <w:r>
        <w:rPr>
          <w:rFonts w:hint="eastAsia" w:ascii="宋体" w:hAnsi="宋体" w:cs="宋体"/>
          <w:color w:val="auto"/>
          <w:kern w:val="0"/>
          <w:sz w:val="24"/>
          <w:szCs w:val="21"/>
          <w:highlight w:val="none"/>
          <w:lang w:val="zh-CN"/>
        </w:rPr>
        <w:t>年</w:t>
      </w:r>
      <w:r>
        <w:rPr>
          <w:rFonts w:hint="eastAsia" w:ascii="宋体" w:hAnsi="宋体" w:cs="宋体"/>
          <w:color w:val="auto"/>
          <w:kern w:val="0"/>
          <w:sz w:val="24"/>
          <w:szCs w:val="21"/>
          <w:highlight w:val="none"/>
        </w:rPr>
        <w:t xml:space="preserve">  </w:t>
      </w:r>
      <w:r>
        <w:rPr>
          <w:rFonts w:hint="eastAsia" w:ascii="宋体" w:hAnsi="宋体" w:cs="宋体"/>
          <w:color w:val="auto"/>
          <w:kern w:val="0"/>
          <w:sz w:val="24"/>
          <w:szCs w:val="21"/>
          <w:highlight w:val="none"/>
          <w:lang w:val="zh-CN"/>
        </w:rPr>
        <w:t>月</w:t>
      </w:r>
      <w:r>
        <w:rPr>
          <w:rFonts w:hint="eastAsia" w:ascii="宋体" w:hAnsi="宋体" w:cs="宋体"/>
          <w:color w:val="auto"/>
          <w:kern w:val="0"/>
          <w:sz w:val="24"/>
          <w:szCs w:val="21"/>
          <w:highlight w:val="none"/>
        </w:rPr>
        <w:t xml:space="preserve">   </w:t>
      </w:r>
      <w:r>
        <w:rPr>
          <w:rFonts w:hint="eastAsia" w:ascii="宋体" w:hAnsi="宋体" w:cs="宋体"/>
          <w:color w:val="auto"/>
          <w:kern w:val="0"/>
          <w:sz w:val="24"/>
          <w:szCs w:val="21"/>
          <w:highlight w:val="none"/>
          <w:lang w:val="zh-CN"/>
        </w:rPr>
        <w:t>日</w:t>
      </w:r>
    </w:p>
    <w:p w14:paraId="049B77CE">
      <w:pPr>
        <w:shd w:val="clear"/>
        <w:spacing w:line="360" w:lineRule="auto"/>
        <w:rPr>
          <w:rFonts w:ascii="宋体" w:hAnsi="宋体" w:cs="宋体"/>
          <w:color w:val="auto"/>
          <w:sz w:val="24"/>
          <w:highlight w:val="none"/>
        </w:rPr>
      </w:pPr>
      <w:r>
        <w:rPr>
          <w:rFonts w:ascii="宋体" w:hAnsi="宋体" w:cs="宋体"/>
          <w:color w:val="auto"/>
          <w:sz w:val="24"/>
          <w:highlight w:val="none"/>
        </w:rPr>
        <w:t xml:space="preserve"> </w:t>
      </w:r>
    </w:p>
    <w:p w14:paraId="5C270528">
      <w:pPr>
        <w:shd w:val="clear"/>
        <w:rPr>
          <w:rFonts w:ascii="宋体" w:hAnsi="宋体" w:cs="宋体"/>
          <w:color w:val="auto"/>
          <w:sz w:val="24"/>
          <w:highlight w:val="none"/>
        </w:rPr>
      </w:pPr>
      <w:r>
        <w:rPr>
          <w:rFonts w:ascii="宋体" w:hAnsi="宋体" w:cs="宋体"/>
          <w:color w:val="auto"/>
          <w:sz w:val="24"/>
          <w:highlight w:val="none"/>
        </w:rPr>
        <w:br w:type="page"/>
      </w:r>
    </w:p>
    <w:p w14:paraId="6F272297">
      <w:pPr>
        <w:shd w:val="clear"/>
        <w:spacing w:line="360" w:lineRule="auto"/>
        <w:rPr>
          <w:rFonts w:ascii="宋体" w:hAnsi="宋体" w:cs="宋体"/>
          <w:b/>
          <w:color w:val="auto"/>
          <w:sz w:val="30"/>
          <w:szCs w:val="30"/>
          <w:highlight w:val="none"/>
          <w:lang w:val="zh-CN"/>
        </w:rPr>
      </w:pPr>
      <w:r>
        <w:rPr>
          <w:rFonts w:hint="eastAsia" w:ascii="宋体" w:hAnsi="宋体" w:cs="宋体"/>
          <w:b/>
          <w:color w:val="auto"/>
          <w:sz w:val="30"/>
          <w:szCs w:val="30"/>
          <w:highlight w:val="none"/>
          <w:lang w:val="zh-CN"/>
        </w:rPr>
        <w:t>三、中小企业声明函</w:t>
      </w:r>
    </w:p>
    <w:p w14:paraId="25E74534">
      <w:pPr>
        <w:pStyle w:val="94"/>
        <w:shd w:val="clear"/>
        <w:rPr>
          <w:color w:val="auto"/>
          <w:highlight w:val="none"/>
          <w:lang w:val="zh-CN"/>
        </w:rPr>
      </w:pPr>
    </w:p>
    <w:p w14:paraId="5F1DC9F9">
      <w:pPr>
        <w:shd w:val="clear"/>
        <w:spacing w:line="360" w:lineRule="auto"/>
        <w:ind w:firstLine="2200" w:firstLineChars="500"/>
        <w:rPr>
          <w:rFonts w:ascii="宋体" w:hAnsi="宋体" w:cs="宋体"/>
          <w:color w:val="auto"/>
          <w:sz w:val="44"/>
          <w:szCs w:val="44"/>
          <w:highlight w:val="none"/>
        </w:rPr>
      </w:pPr>
      <w:r>
        <w:rPr>
          <w:rFonts w:hint="eastAsia" w:ascii="宋体" w:hAnsi="宋体" w:cs="宋体"/>
          <w:color w:val="auto"/>
          <w:sz w:val="44"/>
          <w:szCs w:val="44"/>
          <w:highlight w:val="none"/>
        </w:rPr>
        <w:t>中小企业声明函（服务）</w:t>
      </w:r>
    </w:p>
    <w:p w14:paraId="584D5D63">
      <w:pPr>
        <w:widowControl/>
        <w:shd w:val="clear"/>
        <w:spacing w:line="360" w:lineRule="auto"/>
        <w:ind w:firstLine="480"/>
        <w:jc w:val="left"/>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本公司（联合体）郑重声明，根据《政府采购促进中小企业发展管理办法》（财库﹝2020﹞46 号）的规定，本公司（联合体）参加</w:t>
      </w:r>
      <w:r>
        <w:rPr>
          <w:rFonts w:hint="eastAsia" w:ascii="宋体" w:hAnsi="宋体" w:cs="宋体"/>
          <w:color w:val="auto"/>
          <w:sz w:val="24"/>
          <w:highlight w:val="none"/>
          <w:u w:val="single"/>
          <w:shd w:val="clear" w:color="auto" w:fill="FFFFFF"/>
        </w:rPr>
        <w:t>（单位名称）</w:t>
      </w:r>
      <w:r>
        <w:rPr>
          <w:rFonts w:hint="eastAsia" w:ascii="宋体" w:hAnsi="宋体" w:cs="宋体"/>
          <w:color w:val="auto"/>
          <w:sz w:val="24"/>
          <w:highlight w:val="none"/>
          <w:shd w:val="clear" w:color="auto" w:fill="FFFFFF"/>
        </w:rPr>
        <w:t>的</w:t>
      </w:r>
      <w:r>
        <w:rPr>
          <w:rFonts w:hint="eastAsia" w:ascii="宋体" w:hAnsi="宋体" w:cs="宋体"/>
          <w:color w:val="auto"/>
          <w:sz w:val="24"/>
          <w:highlight w:val="none"/>
          <w:u w:val="single"/>
          <w:shd w:val="clear" w:color="auto" w:fill="FFFFFF"/>
        </w:rPr>
        <w:t>（项目名称）</w:t>
      </w:r>
      <w:r>
        <w:rPr>
          <w:rFonts w:hint="eastAsia" w:ascii="宋体" w:hAnsi="宋体" w:cs="宋体"/>
          <w:color w:val="auto"/>
          <w:sz w:val="24"/>
          <w:highlight w:val="none"/>
          <w:shd w:val="clear" w:color="auto" w:fill="FFFFFF"/>
        </w:rPr>
        <w:t>采购活动，工程的施工单位全部为符合政策要求的中小企业（或者：服务全部由符合政策要求的中小企业承接）。相关企业（含联合体中的中小企业、签订分包意向协议的中小企业）的具体情况如下：</w:t>
      </w:r>
    </w:p>
    <w:p w14:paraId="15BEFBA2">
      <w:pPr>
        <w:widowControl/>
        <w:shd w:val="clear"/>
        <w:spacing w:line="360" w:lineRule="auto"/>
        <w:ind w:firstLine="480"/>
        <w:jc w:val="left"/>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1.</w:t>
      </w:r>
      <w:r>
        <w:rPr>
          <w:rFonts w:hint="eastAsia" w:ascii="宋体" w:hAnsi="宋体" w:cs="宋体"/>
          <w:color w:val="auto"/>
          <w:sz w:val="24"/>
          <w:highlight w:val="none"/>
          <w:u w:val="single"/>
          <w:shd w:val="clear" w:color="auto" w:fill="FFFFFF"/>
        </w:rPr>
        <w:t>（标的名称）</w:t>
      </w:r>
      <w:r>
        <w:rPr>
          <w:rFonts w:hint="eastAsia" w:ascii="宋体" w:hAnsi="宋体" w:cs="宋体"/>
          <w:color w:val="auto"/>
          <w:sz w:val="24"/>
          <w:highlight w:val="none"/>
          <w:shd w:val="clear" w:color="auto" w:fill="FFFFFF"/>
        </w:rPr>
        <w:t>，属于</w:t>
      </w:r>
      <w:r>
        <w:rPr>
          <w:rFonts w:hint="eastAsia" w:ascii="宋体" w:hAnsi="宋体" w:cs="宋体"/>
          <w:color w:val="auto"/>
          <w:sz w:val="24"/>
          <w:highlight w:val="none"/>
          <w:u w:val="single"/>
          <w:shd w:val="clear" w:color="auto" w:fill="FFFFFF"/>
        </w:rPr>
        <w:t>（采购文件列明的行业）</w:t>
      </w:r>
      <w:r>
        <w:rPr>
          <w:rFonts w:hint="eastAsia" w:ascii="宋体" w:hAnsi="宋体" w:cs="宋体"/>
          <w:color w:val="auto"/>
          <w:sz w:val="24"/>
          <w:highlight w:val="none"/>
          <w:shd w:val="clear" w:color="auto" w:fill="FFFFFF"/>
        </w:rPr>
        <w:t>；承建（承接）企业为</w:t>
      </w:r>
      <w:r>
        <w:rPr>
          <w:rFonts w:hint="eastAsia" w:ascii="宋体" w:hAnsi="宋体" w:cs="宋体"/>
          <w:color w:val="auto"/>
          <w:sz w:val="24"/>
          <w:highlight w:val="none"/>
          <w:u w:val="single"/>
          <w:shd w:val="clear" w:color="auto" w:fill="FFFFFF"/>
        </w:rPr>
        <w:t>（企业名称）</w:t>
      </w:r>
      <w:r>
        <w:rPr>
          <w:rFonts w:hint="eastAsia" w:ascii="宋体" w:hAnsi="宋体" w:cs="宋体"/>
          <w:color w:val="auto"/>
          <w:sz w:val="24"/>
          <w:highlight w:val="none"/>
          <w:shd w:val="clear" w:color="auto" w:fill="FFFFFF"/>
        </w:rPr>
        <w:t>，从业人员_____人，营业收入为_____万元，资产总额为_____万元，属于</w:t>
      </w:r>
      <w:r>
        <w:rPr>
          <w:rFonts w:hint="eastAsia" w:ascii="宋体" w:hAnsi="宋体" w:cs="宋体"/>
          <w:color w:val="auto"/>
          <w:sz w:val="24"/>
          <w:highlight w:val="none"/>
          <w:u w:val="single"/>
          <w:shd w:val="clear" w:color="auto" w:fill="FFFFFF"/>
        </w:rPr>
        <w:t>（中型企业、小型企业、微型企业）</w:t>
      </w:r>
      <w:r>
        <w:rPr>
          <w:rFonts w:hint="eastAsia" w:ascii="宋体" w:hAnsi="宋体" w:cs="宋体"/>
          <w:color w:val="auto"/>
          <w:sz w:val="24"/>
          <w:highlight w:val="none"/>
          <w:shd w:val="clear" w:color="auto" w:fill="FFFFFF"/>
        </w:rPr>
        <w:t>；</w:t>
      </w:r>
    </w:p>
    <w:p w14:paraId="77481480">
      <w:pPr>
        <w:widowControl/>
        <w:shd w:val="clear"/>
        <w:spacing w:line="360" w:lineRule="auto"/>
        <w:ind w:firstLine="480"/>
        <w:jc w:val="left"/>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2.</w:t>
      </w:r>
      <w:r>
        <w:rPr>
          <w:rFonts w:hint="eastAsia" w:ascii="宋体" w:hAnsi="宋体" w:cs="宋体"/>
          <w:color w:val="auto"/>
          <w:sz w:val="24"/>
          <w:highlight w:val="none"/>
          <w:u w:val="single"/>
          <w:shd w:val="clear" w:color="auto" w:fill="FFFFFF"/>
        </w:rPr>
        <w:t>（标的名称）</w:t>
      </w:r>
      <w:r>
        <w:rPr>
          <w:rFonts w:hint="eastAsia" w:ascii="宋体" w:hAnsi="宋体" w:cs="宋体"/>
          <w:color w:val="auto"/>
          <w:sz w:val="24"/>
          <w:highlight w:val="none"/>
          <w:shd w:val="clear" w:color="auto" w:fill="FFFFFF"/>
        </w:rPr>
        <w:t>，属于</w:t>
      </w:r>
      <w:r>
        <w:rPr>
          <w:rFonts w:hint="eastAsia" w:ascii="宋体" w:hAnsi="宋体" w:cs="宋体"/>
          <w:color w:val="auto"/>
          <w:sz w:val="24"/>
          <w:highlight w:val="none"/>
          <w:u w:val="single"/>
          <w:shd w:val="clear" w:color="auto" w:fill="FFFFFF"/>
        </w:rPr>
        <w:t>（采购文件列明的行业）</w:t>
      </w:r>
      <w:r>
        <w:rPr>
          <w:rFonts w:hint="eastAsia" w:ascii="宋体" w:hAnsi="宋体" w:cs="宋体"/>
          <w:color w:val="auto"/>
          <w:sz w:val="24"/>
          <w:highlight w:val="none"/>
          <w:shd w:val="clear" w:color="auto" w:fill="FFFFFF"/>
        </w:rPr>
        <w:t>；承建（承接）企业为</w:t>
      </w:r>
      <w:r>
        <w:rPr>
          <w:rFonts w:hint="eastAsia" w:ascii="宋体" w:hAnsi="宋体" w:cs="宋体"/>
          <w:color w:val="auto"/>
          <w:sz w:val="24"/>
          <w:highlight w:val="none"/>
          <w:u w:val="single"/>
          <w:shd w:val="clear" w:color="auto" w:fill="FFFFFF"/>
        </w:rPr>
        <w:t>（企业名称）</w:t>
      </w:r>
      <w:r>
        <w:rPr>
          <w:rFonts w:hint="eastAsia" w:ascii="宋体" w:hAnsi="宋体" w:cs="宋体"/>
          <w:color w:val="auto"/>
          <w:sz w:val="24"/>
          <w:highlight w:val="none"/>
          <w:shd w:val="clear" w:color="auto" w:fill="FFFFFF"/>
        </w:rPr>
        <w:t>，从业人员_____人，营业收入为_____万元，资产总额为_____万元，属于（中型企业、小型企业、微型企业）；</w:t>
      </w:r>
    </w:p>
    <w:p w14:paraId="665D6007">
      <w:pPr>
        <w:widowControl/>
        <w:shd w:val="clear"/>
        <w:spacing w:line="360" w:lineRule="auto"/>
        <w:ind w:firstLine="480"/>
        <w:jc w:val="left"/>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w:t>
      </w:r>
    </w:p>
    <w:p w14:paraId="5C783D86">
      <w:pPr>
        <w:widowControl/>
        <w:shd w:val="clear"/>
        <w:spacing w:line="360" w:lineRule="auto"/>
        <w:ind w:firstLine="480"/>
        <w:jc w:val="left"/>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以上企业，不属于大企业的分支机构，不存在控股股东为大企业的情形，也不存在与大企业的负责人为同一人的情形。</w:t>
      </w:r>
    </w:p>
    <w:p w14:paraId="7062F083">
      <w:pPr>
        <w:widowControl/>
        <w:shd w:val="clear"/>
        <w:spacing w:line="360" w:lineRule="auto"/>
        <w:ind w:firstLine="480"/>
        <w:jc w:val="left"/>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本企业对上述声明内容的真实性负责。如有虚假，将依法承担相应责任。</w:t>
      </w:r>
    </w:p>
    <w:p w14:paraId="621490C3">
      <w:pPr>
        <w:shd w:val="clear"/>
        <w:autoSpaceDE w:val="0"/>
        <w:autoSpaceDN w:val="0"/>
        <w:spacing w:line="360" w:lineRule="auto"/>
        <w:ind w:left="4335" w:leftChars="1950" w:hanging="240" w:hangingChars="100"/>
        <w:rPr>
          <w:rFonts w:ascii="宋体" w:hAnsi="宋体" w:cs="宋体"/>
          <w:color w:val="auto"/>
          <w:kern w:val="0"/>
          <w:sz w:val="24"/>
          <w:highlight w:val="none"/>
        </w:rPr>
      </w:pPr>
    </w:p>
    <w:p w14:paraId="15264806">
      <w:pPr>
        <w:shd w:val="clea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7A8BCCE3">
      <w:pPr>
        <w:shd w:val="clear"/>
        <w:spacing w:line="360" w:lineRule="auto"/>
        <w:ind w:firstLine="5678" w:firstLineChars="2366"/>
        <w:rPr>
          <w:rFonts w:ascii="宋体" w:hAnsi="宋体" w:cs="宋体"/>
          <w:color w:val="auto"/>
          <w:kern w:val="0"/>
          <w:sz w:val="24"/>
          <w:szCs w:val="21"/>
          <w:highlight w:val="none"/>
          <w:lang w:val="zh-CN"/>
        </w:rPr>
      </w:pPr>
      <w:r>
        <w:rPr>
          <w:rFonts w:hint="eastAsia" w:ascii="宋体" w:hAnsi="宋体" w:cs="宋体"/>
          <w:color w:val="auto"/>
          <w:kern w:val="0"/>
          <w:sz w:val="24"/>
          <w:szCs w:val="21"/>
          <w:highlight w:val="none"/>
          <w:lang w:val="zh-CN"/>
        </w:rPr>
        <w:t>日期：  年  月   日</w:t>
      </w:r>
    </w:p>
    <w:p w14:paraId="61BD1CA9">
      <w:pPr>
        <w:shd w:val="clear"/>
        <w:spacing w:line="360" w:lineRule="auto"/>
        <w:ind w:left="3960" w:right="1808"/>
        <w:contextualSpacing/>
        <w:rPr>
          <w:rFonts w:ascii="宋体" w:hAnsi="宋体" w:cs="宋体"/>
          <w:color w:val="auto"/>
          <w:highlight w:val="none"/>
          <w:lang w:val="zh-CN"/>
        </w:rPr>
      </w:pPr>
    </w:p>
    <w:p w14:paraId="2B27FEB6">
      <w:pPr>
        <w:shd w:val="clear"/>
        <w:spacing w:line="360" w:lineRule="auto"/>
        <w:contextualSpacing/>
        <w:jc w:val="left"/>
        <w:rPr>
          <w:rFonts w:ascii="宋体" w:hAnsi="宋体" w:cs="宋体"/>
          <w:color w:val="auto"/>
          <w:kern w:val="0"/>
          <w:sz w:val="24"/>
          <w:highlight w:val="none"/>
        </w:rPr>
      </w:pPr>
      <w:r>
        <w:rPr>
          <w:rFonts w:hint="eastAsia" w:ascii="宋体" w:hAnsi="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4FA8524D">
      <w:pPr>
        <w:shd w:val="clear"/>
        <w:snapToGrid w:val="0"/>
        <w:spacing w:before="120" w:beforeLines="50" w:after="50" w:line="360" w:lineRule="auto"/>
        <w:outlineLvl w:val="1"/>
        <w:rPr>
          <w:rFonts w:ascii="宋体" w:hAnsi="宋体" w:cs="宋体"/>
          <w:b/>
          <w:bCs/>
          <w:color w:val="auto"/>
          <w:sz w:val="32"/>
          <w:szCs w:val="32"/>
          <w:highlight w:val="none"/>
        </w:rPr>
        <w:sectPr>
          <w:pgSz w:w="11910" w:h="16840"/>
          <w:pgMar w:top="1418" w:right="1418" w:bottom="1418" w:left="1418" w:header="720" w:footer="720" w:gutter="0"/>
          <w:cols w:space="720" w:num="1"/>
        </w:sectPr>
      </w:pPr>
      <w:bookmarkStart w:id="96" w:name="_Toc35611438"/>
      <w:bookmarkStart w:id="97" w:name="_Toc31723070"/>
      <w:bookmarkStart w:id="98" w:name="_Toc44229899"/>
      <w:bookmarkStart w:id="99" w:name="_Toc35611516"/>
      <w:bookmarkStart w:id="100" w:name="_Toc31728084"/>
    </w:p>
    <w:bookmarkEnd w:id="96"/>
    <w:bookmarkEnd w:id="97"/>
    <w:bookmarkEnd w:id="98"/>
    <w:bookmarkEnd w:id="99"/>
    <w:bookmarkEnd w:id="100"/>
    <w:p w14:paraId="5862A3F3">
      <w:pPr>
        <w:shd w:val="clear"/>
        <w:spacing w:line="360" w:lineRule="auto"/>
        <w:rPr>
          <w:rFonts w:ascii="宋体" w:hAnsi="宋体" w:cs="宋体"/>
          <w:b/>
          <w:color w:val="auto"/>
          <w:sz w:val="30"/>
          <w:szCs w:val="30"/>
          <w:highlight w:val="none"/>
          <w:lang w:val="zh-CN"/>
        </w:rPr>
      </w:pPr>
      <w:r>
        <w:rPr>
          <w:rFonts w:hint="eastAsia" w:ascii="宋体" w:hAnsi="宋体" w:cs="宋体"/>
          <w:b/>
          <w:color w:val="auto"/>
          <w:sz w:val="30"/>
          <w:szCs w:val="30"/>
          <w:highlight w:val="none"/>
          <w:lang w:val="zh-CN"/>
        </w:rPr>
        <w:t>四、残疾人福利性单位声明函</w:t>
      </w:r>
    </w:p>
    <w:p w14:paraId="79C46EA8">
      <w:pPr>
        <w:shd w:val="clear"/>
        <w:spacing w:line="360" w:lineRule="auto"/>
        <w:rPr>
          <w:rFonts w:ascii="宋体" w:hAnsi="宋体" w:cs="宋体"/>
          <w:color w:val="auto"/>
          <w:sz w:val="24"/>
          <w:highlight w:val="none"/>
        </w:rPr>
      </w:pPr>
    </w:p>
    <w:p w14:paraId="746EB879">
      <w:pPr>
        <w:shd w:val="clear"/>
        <w:spacing w:line="360" w:lineRule="auto"/>
        <w:jc w:val="center"/>
        <w:rPr>
          <w:rFonts w:ascii="宋体" w:hAnsi="宋体" w:cs="宋体"/>
          <w:color w:val="auto"/>
          <w:sz w:val="32"/>
          <w:szCs w:val="32"/>
          <w:highlight w:val="none"/>
        </w:rPr>
      </w:pPr>
      <w:r>
        <w:rPr>
          <w:rFonts w:hint="eastAsia" w:ascii="宋体" w:hAnsi="宋体" w:cs="宋体"/>
          <w:color w:val="auto"/>
          <w:sz w:val="44"/>
          <w:szCs w:val="44"/>
          <w:highlight w:val="none"/>
        </w:rPr>
        <w:t>残疾人福利性单位声明函</w:t>
      </w:r>
    </w:p>
    <w:p w14:paraId="7544FCB3">
      <w:pPr>
        <w:shd w:val="clear"/>
        <w:spacing w:line="360" w:lineRule="auto"/>
        <w:rPr>
          <w:rFonts w:ascii="宋体" w:hAnsi="宋体" w:cs="宋体"/>
          <w:color w:val="auto"/>
          <w:sz w:val="32"/>
          <w:szCs w:val="32"/>
          <w:highlight w:val="none"/>
        </w:rPr>
      </w:pPr>
    </w:p>
    <w:p w14:paraId="1A698A5D">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单位的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项目采购活动由本单位提供服务。</w:t>
      </w:r>
    </w:p>
    <w:p w14:paraId="57D111AE">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475D1C8B">
      <w:pPr>
        <w:shd w:val="clear"/>
        <w:spacing w:line="360" w:lineRule="auto"/>
        <w:contextualSpacing/>
        <w:rPr>
          <w:rFonts w:ascii="宋体" w:hAnsi="宋体" w:cs="宋体"/>
          <w:color w:val="auto"/>
          <w:sz w:val="24"/>
          <w:highlight w:val="none"/>
        </w:rPr>
      </w:pPr>
    </w:p>
    <w:p w14:paraId="650B84BC">
      <w:pPr>
        <w:shd w:val="clear"/>
        <w:spacing w:line="360" w:lineRule="auto"/>
        <w:contextualSpacing/>
        <w:rPr>
          <w:rFonts w:ascii="宋体" w:hAnsi="宋体" w:cs="宋体"/>
          <w:color w:val="auto"/>
          <w:sz w:val="24"/>
          <w:highlight w:val="none"/>
        </w:rPr>
      </w:pPr>
    </w:p>
    <w:p w14:paraId="7A0696FC">
      <w:pPr>
        <w:shd w:val="clear"/>
        <w:spacing w:line="360" w:lineRule="auto"/>
        <w:ind w:firstLine="2400" w:firstLineChars="1000"/>
        <w:contextualSpacing/>
        <w:rPr>
          <w:rFonts w:ascii="宋体" w:hAnsi="宋体" w:cs="宋体"/>
          <w:color w:val="auto"/>
          <w:sz w:val="24"/>
          <w:highlight w:val="none"/>
        </w:rPr>
      </w:pPr>
      <w:r>
        <w:rPr>
          <w:rFonts w:hint="eastAsia" w:ascii="宋体" w:hAnsi="宋体" w:cs="宋体"/>
          <w:color w:val="auto"/>
          <w:sz w:val="24"/>
          <w:highlight w:val="none"/>
        </w:rPr>
        <w:t>供应商名称（电子签章）：</w:t>
      </w:r>
    </w:p>
    <w:p w14:paraId="0F41D191">
      <w:pPr>
        <w:shd w:val="clear"/>
        <w:spacing w:line="360" w:lineRule="auto"/>
        <w:ind w:firstLine="4320" w:firstLineChars="1800"/>
        <w:contextualSpacing/>
        <w:rPr>
          <w:rFonts w:ascii="宋体" w:hAnsi="宋体" w:cs="宋体"/>
          <w:color w:val="auto"/>
          <w:sz w:val="24"/>
          <w:highlight w:val="none"/>
        </w:rPr>
      </w:pPr>
      <w:r>
        <w:rPr>
          <w:rFonts w:hint="eastAsia" w:ascii="宋体" w:hAnsi="宋体" w:cs="宋体"/>
          <w:color w:val="auto"/>
          <w:sz w:val="24"/>
          <w:highlight w:val="none"/>
        </w:rPr>
        <w:t>日  期：     年   月   日</w:t>
      </w:r>
    </w:p>
    <w:p w14:paraId="0D7C0FD5">
      <w:pPr>
        <w:shd w:val="clear"/>
        <w:spacing w:line="360" w:lineRule="auto"/>
        <w:contextualSpacing/>
        <w:rPr>
          <w:rFonts w:ascii="宋体" w:hAnsi="宋体" w:cs="宋体"/>
          <w:color w:val="auto"/>
          <w:sz w:val="24"/>
          <w:highlight w:val="none"/>
        </w:rPr>
      </w:pPr>
    </w:p>
    <w:p w14:paraId="45DC2425">
      <w:pPr>
        <w:shd w:val="clear"/>
        <w:spacing w:line="360" w:lineRule="auto"/>
        <w:contextualSpacing/>
        <w:rPr>
          <w:rFonts w:ascii="宋体" w:hAnsi="宋体" w:cs="宋体"/>
          <w:color w:val="auto"/>
          <w:sz w:val="24"/>
          <w:highlight w:val="none"/>
        </w:rPr>
      </w:pPr>
    </w:p>
    <w:p w14:paraId="4C528CE4">
      <w:pPr>
        <w:shd w:val="clear"/>
        <w:spacing w:line="360" w:lineRule="auto"/>
        <w:contextualSpacing/>
        <w:rPr>
          <w:rFonts w:ascii="宋体" w:hAnsi="宋体" w:cs="宋体"/>
          <w:color w:val="auto"/>
          <w:sz w:val="24"/>
          <w:highlight w:val="none"/>
        </w:rPr>
      </w:pPr>
    </w:p>
    <w:p w14:paraId="7214F9AF">
      <w:pPr>
        <w:shd w:val="clear"/>
        <w:spacing w:line="360" w:lineRule="auto"/>
        <w:contextualSpacing/>
        <w:rPr>
          <w:rFonts w:hint="eastAsia" w:ascii="宋体" w:hAnsi="宋体" w:cs="宋体"/>
          <w:color w:val="auto"/>
          <w:sz w:val="24"/>
          <w:highlight w:val="none"/>
          <w:lang w:eastAsia="zh-CN"/>
        </w:rPr>
      </w:pPr>
      <w:r>
        <w:rPr>
          <w:rFonts w:hint="eastAsia" w:ascii="宋体" w:hAnsi="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301AC88F">
      <w:pPr>
        <w:shd w:val="clear"/>
        <w:spacing w:line="360" w:lineRule="auto"/>
        <w:jc w:val="center"/>
        <w:rPr>
          <w:rFonts w:ascii="宋体" w:hAnsi="宋体" w:cs="宋体"/>
          <w:color w:val="auto"/>
          <w:sz w:val="24"/>
          <w:highlight w:val="none"/>
        </w:rPr>
      </w:pPr>
    </w:p>
    <w:p w14:paraId="0B1687E1">
      <w:pPr>
        <w:keepNext/>
        <w:keepLines/>
        <w:shd w:val="clear"/>
        <w:spacing w:before="340" w:after="330" w:line="360" w:lineRule="auto"/>
        <w:jc w:val="center"/>
        <w:outlineLvl w:val="0"/>
        <w:rPr>
          <w:rFonts w:ascii="宋体" w:hAnsi="宋体" w:cs="宋体"/>
          <w:b/>
          <w:bCs/>
          <w:color w:val="auto"/>
          <w:kern w:val="44"/>
          <w:sz w:val="44"/>
          <w:szCs w:val="44"/>
          <w:highlight w:val="none"/>
        </w:rPr>
      </w:pPr>
      <w:bookmarkStart w:id="101" w:name="_Toc8850"/>
      <w:r>
        <w:rPr>
          <w:rFonts w:ascii="宋体" w:hAnsi="宋体" w:cs="宋体"/>
          <w:b/>
          <w:bCs/>
          <w:color w:val="auto"/>
          <w:kern w:val="44"/>
          <w:sz w:val="44"/>
          <w:szCs w:val="44"/>
          <w:highlight w:val="none"/>
        </w:rPr>
        <w:br w:type="page"/>
      </w:r>
      <w:bookmarkStart w:id="102" w:name="_Toc106283342"/>
      <w:r>
        <w:rPr>
          <w:rFonts w:hint="eastAsia" w:ascii="宋体" w:hAnsi="宋体" w:cs="宋体"/>
          <w:b/>
          <w:bCs/>
          <w:color w:val="auto"/>
          <w:kern w:val="44"/>
          <w:sz w:val="44"/>
          <w:szCs w:val="44"/>
          <w:highlight w:val="none"/>
          <w:lang w:val="zh-CN"/>
        </w:rPr>
        <w:t>第六章</w:t>
      </w:r>
      <w:r>
        <w:rPr>
          <w:rFonts w:hint="eastAsia" w:ascii="宋体" w:hAnsi="宋体" w:cs="宋体"/>
          <w:b/>
          <w:bCs/>
          <w:color w:val="auto"/>
          <w:kern w:val="44"/>
          <w:sz w:val="44"/>
          <w:szCs w:val="44"/>
          <w:highlight w:val="none"/>
        </w:rPr>
        <w:t xml:space="preserve"> </w:t>
      </w:r>
      <w:r>
        <w:rPr>
          <w:rFonts w:hint="eastAsia" w:ascii="宋体" w:hAnsi="宋体" w:cs="宋体"/>
          <w:b/>
          <w:bCs/>
          <w:color w:val="auto"/>
          <w:kern w:val="44"/>
          <w:sz w:val="44"/>
          <w:szCs w:val="44"/>
          <w:highlight w:val="none"/>
          <w:lang w:val="zh-CN"/>
        </w:rPr>
        <w:t>合同文本</w:t>
      </w:r>
      <w:bookmarkEnd w:id="102"/>
    </w:p>
    <w:p w14:paraId="6880FF32">
      <w:pPr>
        <w:shd w:val="clear"/>
        <w:spacing w:line="360" w:lineRule="auto"/>
        <w:jc w:val="center"/>
        <w:rPr>
          <w:rFonts w:ascii="Calibri" w:hAnsi="Calibri" w:cs="宋体"/>
          <w:b/>
          <w:color w:val="auto"/>
          <w:sz w:val="52"/>
          <w:szCs w:val="52"/>
          <w:highlight w:val="none"/>
        </w:rPr>
      </w:pPr>
    </w:p>
    <w:bookmarkEnd w:id="101"/>
    <w:p w14:paraId="16F2DD11">
      <w:pPr>
        <w:shd w:val="clear"/>
        <w:spacing w:line="360" w:lineRule="auto"/>
        <w:jc w:val="center"/>
        <w:rPr>
          <w:rFonts w:ascii="Calibri" w:hAnsi="Calibri" w:cs="宋体"/>
          <w:b/>
          <w:color w:val="auto"/>
          <w:kern w:val="0"/>
          <w:sz w:val="52"/>
          <w:szCs w:val="52"/>
          <w:highlight w:val="none"/>
        </w:rPr>
      </w:pPr>
      <w:r>
        <w:rPr>
          <w:rFonts w:hint="eastAsia" w:ascii="Calibri" w:hAnsi="Calibri" w:cs="宋体"/>
          <w:b/>
          <w:color w:val="auto"/>
          <w:sz w:val="52"/>
          <w:szCs w:val="52"/>
          <w:highlight w:val="none"/>
          <w:lang w:bidi="ar"/>
        </w:rPr>
        <w:t>广西壮族自治区政府采购合同</w:t>
      </w:r>
    </w:p>
    <w:p w14:paraId="0FA7AFFB">
      <w:pPr>
        <w:shd w:val="clear"/>
        <w:spacing w:line="360" w:lineRule="auto"/>
        <w:rPr>
          <w:rFonts w:ascii="Calibri" w:hAnsi="Calibri" w:cs="宋体"/>
          <w:color w:val="auto"/>
          <w:kern w:val="0"/>
          <w:sz w:val="24"/>
          <w:highlight w:val="none"/>
        </w:rPr>
      </w:pPr>
    </w:p>
    <w:p w14:paraId="6ADBA5C6">
      <w:pPr>
        <w:shd w:val="clear"/>
        <w:spacing w:line="360" w:lineRule="auto"/>
        <w:rPr>
          <w:rFonts w:ascii="Calibri" w:hAnsi="Calibri" w:cs="宋体"/>
          <w:color w:val="auto"/>
          <w:kern w:val="0"/>
          <w:sz w:val="24"/>
          <w:highlight w:val="none"/>
        </w:rPr>
      </w:pPr>
    </w:p>
    <w:p w14:paraId="060D25A9">
      <w:pPr>
        <w:shd w:val="clear"/>
        <w:spacing w:line="360" w:lineRule="auto"/>
        <w:rPr>
          <w:rFonts w:ascii="Calibri" w:hAnsi="Calibri" w:cs="宋体"/>
          <w:color w:val="auto"/>
          <w:kern w:val="0"/>
          <w:sz w:val="24"/>
          <w:highlight w:val="none"/>
        </w:rPr>
      </w:pPr>
    </w:p>
    <w:p w14:paraId="0E32C01F">
      <w:pPr>
        <w:shd w:val="clear"/>
        <w:spacing w:line="600" w:lineRule="auto"/>
        <w:ind w:firstLine="1590" w:firstLineChars="495"/>
        <w:rPr>
          <w:rFonts w:ascii="Calibri" w:hAnsi="Calibri" w:cs="宋体"/>
          <w:b/>
          <w:color w:val="auto"/>
          <w:kern w:val="0"/>
          <w:sz w:val="32"/>
          <w:szCs w:val="32"/>
          <w:highlight w:val="none"/>
          <w:u w:val="single"/>
        </w:rPr>
      </w:pPr>
      <w:r>
        <w:rPr>
          <w:rFonts w:hint="eastAsia" w:ascii="Calibri" w:hAnsi="Calibri" w:cs="宋体"/>
          <w:b/>
          <w:color w:val="auto"/>
          <w:sz w:val="32"/>
          <w:szCs w:val="32"/>
          <w:highlight w:val="none"/>
          <w:lang w:bidi="ar"/>
        </w:rPr>
        <w:t>合同名称：</w:t>
      </w:r>
      <w:r>
        <w:rPr>
          <w:rFonts w:hint="eastAsia" w:ascii="Calibri" w:hAnsi="Calibri" w:cs="宋体"/>
          <w:b/>
          <w:color w:val="auto"/>
          <w:sz w:val="32"/>
          <w:szCs w:val="32"/>
          <w:highlight w:val="none"/>
          <w:u w:val="single"/>
          <w:lang w:bidi="ar"/>
        </w:rPr>
        <w:t xml:space="preserve">             </w:t>
      </w:r>
      <w:r>
        <w:rPr>
          <w:rFonts w:ascii="Calibri" w:hAnsi="Calibri" w:cs="宋体"/>
          <w:b/>
          <w:color w:val="auto"/>
          <w:sz w:val="32"/>
          <w:szCs w:val="32"/>
          <w:highlight w:val="none"/>
          <w:u w:val="single"/>
          <w:lang w:bidi="ar"/>
        </w:rPr>
        <w:t xml:space="preserve"> </w:t>
      </w:r>
      <w:r>
        <w:rPr>
          <w:rFonts w:hint="eastAsia" w:ascii="Calibri" w:hAnsi="Calibri" w:cs="宋体"/>
          <w:b/>
          <w:color w:val="auto"/>
          <w:sz w:val="32"/>
          <w:szCs w:val="32"/>
          <w:highlight w:val="none"/>
          <w:u w:val="single"/>
          <w:lang w:bidi="ar"/>
        </w:rPr>
        <w:t xml:space="preserve"> </w:t>
      </w:r>
      <w:r>
        <w:rPr>
          <w:rFonts w:ascii="Calibri" w:hAnsi="Calibri" w:cs="宋体"/>
          <w:b/>
          <w:color w:val="auto"/>
          <w:sz w:val="32"/>
          <w:szCs w:val="32"/>
          <w:highlight w:val="none"/>
          <w:u w:val="single"/>
          <w:lang w:bidi="ar"/>
        </w:rPr>
        <w:t xml:space="preserve"> </w:t>
      </w:r>
      <w:r>
        <w:rPr>
          <w:rFonts w:hint="eastAsia" w:ascii="Calibri" w:hAnsi="Calibri" w:cs="宋体"/>
          <w:b/>
          <w:color w:val="auto"/>
          <w:sz w:val="32"/>
          <w:szCs w:val="32"/>
          <w:highlight w:val="none"/>
          <w:u w:val="single"/>
          <w:lang w:bidi="ar"/>
        </w:rPr>
        <w:t xml:space="preserve">             </w:t>
      </w:r>
    </w:p>
    <w:p w14:paraId="59491317">
      <w:pPr>
        <w:shd w:val="clear"/>
        <w:spacing w:line="600" w:lineRule="auto"/>
        <w:ind w:firstLine="1590" w:firstLineChars="495"/>
        <w:rPr>
          <w:rFonts w:ascii="Calibri" w:hAnsi="Calibri" w:cs="宋体"/>
          <w:b/>
          <w:color w:val="auto"/>
          <w:kern w:val="0"/>
          <w:sz w:val="32"/>
          <w:szCs w:val="32"/>
          <w:highlight w:val="none"/>
          <w:u w:val="single"/>
        </w:rPr>
      </w:pPr>
      <w:r>
        <w:rPr>
          <w:rFonts w:hint="eastAsia" w:ascii="Calibri" w:hAnsi="Calibri" w:cs="宋体"/>
          <w:b/>
          <w:color w:val="auto"/>
          <w:sz w:val="32"/>
          <w:szCs w:val="32"/>
          <w:highlight w:val="none"/>
          <w:lang w:bidi="ar"/>
        </w:rPr>
        <w:t>合同编号：</w:t>
      </w:r>
      <w:r>
        <w:rPr>
          <w:rFonts w:hint="eastAsia" w:ascii="Calibri" w:hAnsi="Calibri" w:cs="宋体"/>
          <w:b/>
          <w:color w:val="auto"/>
          <w:sz w:val="32"/>
          <w:szCs w:val="32"/>
          <w:highlight w:val="none"/>
          <w:u w:val="single"/>
          <w:lang w:bidi="ar"/>
        </w:rPr>
        <w:t xml:space="preserve">             </w:t>
      </w:r>
      <w:r>
        <w:rPr>
          <w:rFonts w:ascii="Calibri" w:hAnsi="Calibri" w:cs="宋体"/>
          <w:b/>
          <w:color w:val="auto"/>
          <w:sz w:val="32"/>
          <w:szCs w:val="32"/>
          <w:highlight w:val="none"/>
          <w:u w:val="single"/>
          <w:lang w:bidi="ar"/>
        </w:rPr>
        <w:t xml:space="preserve">  </w:t>
      </w:r>
      <w:r>
        <w:rPr>
          <w:rFonts w:hint="eastAsia" w:ascii="Calibri" w:hAnsi="Calibri" w:cs="宋体"/>
          <w:b/>
          <w:color w:val="auto"/>
          <w:sz w:val="32"/>
          <w:szCs w:val="32"/>
          <w:highlight w:val="none"/>
          <w:u w:val="single"/>
          <w:lang w:bidi="ar"/>
        </w:rPr>
        <w:t xml:space="preserve">              </w:t>
      </w:r>
    </w:p>
    <w:p w14:paraId="1DD1CE2A">
      <w:pPr>
        <w:shd w:val="clear"/>
        <w:spacing w:line="600" w:lineRule="auto"/>
        <w:ind w:firstLine="1590" w:firstLineChars="495"/>
        <w:rPr>
          <w:rFonts w:ascii="Calibri" w:hAnsi="Calibri" w:cs="宋体"/>
          <w:b/>
          <w:color w:val="auto"/>
          <w:kern w:val="0"/>
          <w:sz w:val="32"/>
          <w:szCs w:val="32"/>
          <w:highlight w:val="none"/>
        </w:rPr>
      </w:pPr>
      <w:r>
        <w:rPr>
          <w:rFonts w:hint="eastAsia" w:ascii="Calibri" w:hAnsi="Calibri" w:cs="宋体"/>
          <w:b/>
          <w:color w:val="auto"/>
          <w:sz w:val="32"/>
          <w:szCs w:val="32"/>
          <w:highlight w:val="none"/>
          <w:lang w:bidi="ar"/>
        </w:rPr>
        <w:t>采购单位（甲方）：</w:t>
      </w:r>
      <w:r>
        <w:rPr>
          <w:rFonts w:hint="eastAsia" w:ascii="Calibri" w:hAnsi="Calibri" w:cs="宋体"/>
          <w:b/>
          <w:color w:val="auto"/>
          <w:sz w:val="32"/>
          <w:szCs w:val="32"/>
          <w:highlight w:val="none"/>
          <w:u w:val="single"/>
          <w:lang w:bidi="ar"/>
        </w:rPr>
        <w:t xml:space="preserve">                      </w:t>
      </w:r>
    </w:p>
    <w:p w14:paraId="08AAF501">
      <w:pPr>
        <w:shd w:val="clear"/>
        <w:spacing w:line="600" w:lineRule="auto"/>
        <w:ind w:firstLine="1590" w:firstLineChars="495"/>
        <w:rPr>
          <w:rFonts w:ascii="Calibri" w:hAnsi="Calibri" w:cs="宋体"/>
          <w:b/>
          <w:color w:val="auto"/>
          <w:kern w:val="0"/>
          <w:sz w:val="32"/>
          <w:szCs w:val="32"/>
          <w:highlight w:val="none"/>
        </w:rPr>
      </w:pPr>
      <w:r>
        <w:rPr>
          <w:rFonts w:hint="eastAsia" w:ascii="Calibri" w:hAnsi="Calibri" w:cs="宋体"/>
          <w:b/>
          <w:color w:val="auto"/>
          <w:sz w:val="32"/>
          <w:szCs w:val="32"/>
          <w:highlight w:val="none"/>
          <w:lang w:bidi="ar"/>
        </w:rPr>
        <w:t>供 应 商（乙方）：</w:t>
      </w:r>
      <w:r>
        <w:rPr>
          <w:rFonts w:hint="eastAsia" w:ascii="Calibri" w:hAnsi="Calibri" w:cs="宋体"/>
          <w:b/>
          <w:color w:val="auto"/>
          <w:sz w:val="32"/>
          <w:szCs w:val="32"/>
          <w:highlight w:val="none"/>
          <w:u w:val="single"/>
          <w:lang w:bidi="ar"/>
        </w:rPr>
        <w:t xml:space="preserve">                      </w:t>
      </w:r>
    </w:p>
    <w:p w14:paraId="0892B62E">
      <w:pPr>
        <w:shd w:val="clear"/>
        <w:spacing w:line="600" w:lineRule="auto"/>
        <w:ind w:firstLine="1590" w:firstLineChars="495"/>
        <w:rPr>
          <w:rFonts w:ascii="Calibri" w:hAnsi="Calibri" w:cs="宋体"/>
          <w:b/>
          <w:color w:val="auto"/>
          <w:kern w:val="0"/>
          <w:sz w:val="32"/>
          <w:szCs w:val="32"/>
          <w:highlight w:val="none"/>
          <w:u w:val="single"/>
        </w:rPr>
      </w:pPr>
      <w:r>
        <w:rPr>
          <w:rFonts w:hint="eastAsia" w:ascii="Calibri" w:hAnsi="Calibri" w:cs="宋体"/>
          <w:b/>
          <w:color w:val="auto"/>
          <w:sz w:val="32"/>
          <w:szCs w:val="32"/>
          <w:highlight w:val="none"/>
          <w:lang w:bidi="ar"/>
        </w:rPr>
        <w:t>签订合同地点：</w:t>
      </w:r>
      <w:r>
        <w:rPr>
          <w:rFonts w:hint="eastAsia" w:ascii="Calibri" w:hAnsi="Calibri" w:cs="宋体"/>
          <w:b/>
          <w:color w:val="auto"/>
          <w:sz w:val="32"/>
          <w:szCs w:val="32"/>
          <w:highlight w:val="none"/>
          <w:u w:val="single"/>
          <w:lang w:bidi="ar"/>
        </w:rPr>
        <w:t xml:space="preserve">        </w:t>
      </w:r>
      <w:r>
        <w:rPr>
          <w:rFonts w:ascii="Calibri" w:hAnsi="Calibri" w:cs="宋体"/>
          <w:b/>
          <w:color w:val="auto"/>
          <w:sz w:val="32"/>
          <w:szCs w:val="32"/>
          <w:highlight w:val="none"/>
          <w:u w:val="single"/>
          <w:lang w:bidi="ar"/>
        </w:rPr>
        <w:t xml:space="preserve">  </w:t>
      </w:r>
      <w:r>
        <w:rPr>
          <w:rFonts w:hint="eastAsia" w:ascii="Calibri" w:hAnsi="Calibri" w:cs="宋体"/>
          <w:b/>
          <w:color w:val="auto"/>
          <w:sz w:val="32"/>
          <w:szCs w:val="32"/>
          <w:highlight w:val="none"/>
          <w:u w:val="single"/>
          <w:lang w:bidi="ar"/>
        </w:rPr>
        <w:t xml:space="preserve">               </w:t>
      </w:r>
    </w:p>
    <w:p w14:paraId="073F49C2">
      <w:pPr>
        <w:shd w:val="clear"/>
        <w:spacing w:line="600" w:lineRule="auto"/>
        <w:ind w:firstLine="1590" w:firstLineChars="495"/>
        <w:rPr>
          <w:rFonts w:ascii="Calibri" w:hAnsi="Calibri" w:cs="宋体"/>
          <w:b/>
          <w:color w:val="auto"/>
          <w:kern w:val="0"/>
          <w:sz w:val="32"/>
          <w:szCs w:val="32"/>
          <w:highlight w:val="none"/>
        </w:rPr>
      </w:pPr>
      <w:r>
        <w:rPr>
          <w:rFonts w:hint="eastAsia" w:ascii="Calibri" w:hAnsi="Calibri" w:cs="宋体"/>
          <w:b/>
          <w:color w:val="auto"/>
          <w:sz w:val="32"/>
          <w:szCs w:val="32"/>
          <w:highlight w:val="none"/>
          <w:lang w:bidi="ar"/>
        </w:rPr>
        <w:t>签订合同时间：</w:t>
      </w:r>
      <w:r>
        <w:rPr>
          <w:rFonts w:hint="eastAsia" w:ascii="Calibri" w:hAnsi="Calibri" w:cs="宋体"/>
          <w:b/>
          <w:color w:val="auto"/>
          <w:sz w:val="32"/>
          <w:szCs w:val="32"/>
          <w:highlight w:val="none"/>
          <w:u w:val="single"/>
          <w:lang w:bidi="ar"/>
        </w:rPr>
        <w:t xml:space="preserve">       </w:t>
      </w:r>
      <w:r>
        <w:rPr>
          <w:rFonts w:ascii="Calibri" w:hAnsi="Calibri" w:cs="宋体"/>
          <w:b/>
          <w:color w:val="auto"/>
          <w:sz w:val="32"/>
          <w:szCs w:val="32"/>
          <w:highlight w:val="none"/>
          <w:u w:val="single"/>
          <w:lang w:bidi="ar"/>
        </w:rPr>
        <w:t xml:space="preserve">  </w:t>
      </w:r>
      <w:r>
        <w:rPr>
          <w:rFonts w:hint="eastAsia" w:ascii="Calibri" w:hAnsi="Calibri" w:cs="宋体"/>
          <w:b/>
          <w:color w:val="auto"/>
          <w:sz w:val="32"/>
          <w:szCs w:val="32"/>
          <w:highlight w:val="none"/>
          <w:u w:val="single"/>
          <w:lang w:bidi="ar"/>
        </w:rPr>
        <w:t xml:space="preserve">                </w:t>
      </w:r>
    </w:p>
    <w:p w14:paraId="35C1FDC5">
      <w:pPr>
        <w:shd w:val="clear"/>
        <w:spacing w:line="360" w:lineRule="auto"/>
        <w:jc w:val="center"/>
        <w:rPr>
          <w:rFonts w:ascii="Calibri" w:hAnsi="Calibri" w:cs="宋体"/>
          <w:color w:val="auto"/>
          <w:kern w:val="0"/>
          <w:sz w:val="24"/>
          <w:highlight w:val="none"/>
        </w:rPr>
      </w:pPr>
    </w:p>
    <w:p w14:paraId="1C0200D6">
      <w:pPr>
        <w:shd w:val="clear"/>
        <w:spacing w:line="360" w:lineRule="auto"/>
        <w:rPr>
          <w:rFonts w:ascii="Calibri" w:hAnsi="Calibri" w:cs="宋体"/>
          <w:color w:val="auto"/>
          <w:kern w:val="0"/>
          <w:sz w:val="24"/>
          <w:highlight w:val="none"/>
        </w:rPr>
      </w:pPr>
    </w:p>
    <w:p w14:paraId="3E16A316">
      <w:pPr>
        <w:shd w:val="clear"/>
        <w:spacing w:line="360" w:lineRule="auto"/>
        <w:jc w:val="left"/>
        <w:rPr>
          <w:rFonts w:ascii="Calibri" w:hAnsi="Calibri" w:cs="宋体"/>
          <w:color w:val="auto"/>
          <w:kern w:val="0"/>
          <w:sz w:val="24"/>
          <w:highlight w:val="none"/>
        </w:rPr>
      </w:pPr>
      <w:r>
        <w:rPr>
          <w:rFonts w:hint="eastAsia" w:ascii="Calibri" w:hAnsi="Calibri" w:cs="宋体"/>
          <w:color w:val="auto"/>
          <w:szCs w:val="21"/>
          <w:highlight w:val="none"/>
          <w:lang w:bidi="ar"/>
        </w:rPr>
        <w:t>合同使用说明：根据《中华人民共和国政府采购法》《</w:t>
      </w:r>
      <w:r>
        <w:rPr>
          <w:rFonts w:ascii="Calibri" w:hAnsi="Calibri" w:cs="宋体"/>
          <w:color w:val="auto"/>
          <w:szCs w:val="21"/>
          <w:highlight w:val="none"/>
          <w:lang w:bidi="ar"/>
        </w:rPr>
        <w:t>中华人民共和国民法典》</w:t>
      </w:r>
      <w:r>
        <w:rPr>
          <w:rFonts w:hint="eastAsia" w:ascii="Calibri" w:hAnsi="Calibri" w:cs="宋体"/>
          <w:color w:val="auto"/>
          <w:szCs w:val="21"/>
          <w:highlight w:val="none"/>
          <w:lang w:bidi="ar"/>
        </w:rPr>
        <w:t>等法律法规规定，</w:t>
      </w:r>
    </w:p>
    <w:p w14:paraId="041BBA57">
      <w:pPr>
        <w:shd w:val="clear"/>
        <w:spacing w:line="360" w:lineRule="auto"/>
        <w:ind w:firstLine="1470" w:firstLineChars="700"/>
        <w:rPr>
          <w:rFonts w:ascii="Calibri" w:hAnsi="Calibri" w:cs="宋体"/>
          <w:color w:val="auto"/>
          <w:kern w:val="0"/>
          <w:sz w:val="24"/>
          <w:highlight w:val="none"/>
        </w:rPr>
      </w:pPr>
      <w:r>
        <w:rPr>
          <w:rFonts w:hint="eastAsia" w:ascii="Calibri" w:hAnsi="Calibri" w:cs="宋体"/>
          <w:color w:val="auto"/>
          <w:szCs w:val="21"/>
          <w:highlight w:val="none"/>
          <w:lang w:bidi="ar"/>
        </w:rPr>
        <w:t>按照磋商文件规定条款和</w:t>
      </w:r>
      <w:r>
        <w:rPr>
          <w:rFonts w:hint="eastAsia" w:ascii="Calibri" w:hAnsi="Calibri" w:cs="宋体"/>
          <w:color w:val="auto"/>
          <w:szCs w:val="21"/>
          <w:highlight w:val="none"/>
          <w:lang w:eastAsia="zh-CN" w:bidi="ar"/>
        </w:rPr>
        <w:t>乙方</w:t>
      </w:r>
      <w:r>
        <w:rPr>
          <w:rFonts w:hint="eastAsia" w:ascii="Calibri" w:hAnsi="Calibri" w:cs="宋体"/>
          <w:color w:val="auto"/>
          <w:szCs w:val="21"/>
          <w:highlight w:val="none"/>
          <w:lang w:bidi="ar"/>
        </w:rPr>
        <w:t>响应文件及其承诺，甲乙双方签订本合同。</w:t>
      </w:r>
    </w:p>
    <w:p w14:paraId="5CE20E81">
      <w:pPr>
        <w:numPr>
          <w:ilvl w:val="0"/>
          <w:numId w:val="0"/>
        </w:numPr>
        <w:shd w:val="clear"/>
        <w:spacing w:line="360" w:lineRule="auto"/>
        <w:jc w:val="center"/>
        <w:rPr>
          <w:rFonts w:ascii="宋体" w:hAnsi="宋体" w:eastAsia="宋体" w:cs="Times New Roman"/>
          <w:b/>
          <w:color w:val="auto"/>
          <w:sz w:val="36"/>
          <w:szCs w:val="36"/>
          <w:highlight w:val="none"/>
        </w:rPr>
      </w:pPr>
      <w:r>
        <w:rPr>
          <w:rFonts w:hint="eastAsia"/>
          <w:color w:val="auto"/>
          <w:highlight w:val="none"/>
        </w:rPr>
        <w:br w:type="page"/>
      </w:r>
      <w:r>
        <w:rPr>
          <w:rFonts w:hint="eastAsia" w:ascii="宋体" w:hAnsi="宋体" w:cs="Times New Roman"/>
          <w:b/>
          <w:color w:val="auto"/>
          <w:sz w:val="36"/>
          <w:szCs w:val="36"/>
          <w:highlight w:val="none"/>
          <w:lang w:eastAsia="zh-CN"/>
        </w:rPr>
        <w:t>采购</w:t>
      </w:r>
      <w:r>
        <w:rPr>
          <w:rFonts w:hint="eastAsia" w:ascii="宋体" w:hAnsi="宋体" w:eastAsia="宋体" w:cs="Times New Roman"/>
          <w:b/>
          <w:color w:val="auto"/>
          <w:sz w:val="36"/>
          <w:szCs w:val="36"/>
          <w:highlight w:val="none"/>
        </w:rPr>
        <w:t>合同文本</w:t>
      </w:r>
    </w:p>
    <w:p w14:paraId="3F36BDFB">
      <w:pPr>
        <w:shd w:val="clear"/>
        <w:spacing w:before="120" w:beforeLines="50" w:after="120" w:afterLines="50" w:line="348" w:lineRule="auto"/>
        <w:ind w:firstLine="5880" w:firstLineChars="2800"/>
        <w:rPr>
          <w:rFonts w:ascii="宋体" w:hAnsi="宋体" w:eastAsia="宋体" w:cs="Times New Roman"/>
          <w:color w:val="auto"/>
          <w:szCs w:val="21"/>
          <w:highlight w:val="none"/>
        </w:rPr>
      </w:pPr>
      <w:r>
        <w:rPr>
          <w:rFonts w:hint="eastAsia" w:ascii="宋体" w:hAnsi="宋体" w:eastAsia="宋体" w:cs="Times New Roman"/>
          <w:bCs/>
          <w:color w:val="auto"/>
          <w:szCs w:val="21"/>
          <w:highlight w:val="none"/>
        </w:rPr>
        <w:t>合同编号：</w:t>
      </w:r>
      <w:r>
        <w:rPr>
          <w:rFonts w:hint="eastAsia" w:ascii="宋体" w:hAnsi="宋体" w:eastAsia="宋体" w:cs="宋体"/>
          <w:color w:val="auto"/>
          <w:szCs w:val="21"/>
          <w:highlight w:val="none"/>
        </w:rPr>
        <w:t>___________________</w:t>
      </w:r>
    </w:p>
    <w:p w14:paraId="3CBE7958">
      <w:pPr>
        <w:shd w:val="clear"/>
        <w:spacing w:line="348" w:lineRule="auto"/>
        <w:rPr>
          <w:rFonts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采购单位（甲方）：</w:t>
      </w:r>
      <w:r>
        <w:rPr>
          <w:rFonts w:hint="eastAsia" w:ascii="宋体" w:hAnsi="宋体" w:eastAsia="宋体" w:cs="宋体"/>
          <w:color w:val="auto"/>
          <w:szCs w:val="21"/>
          <w:highlight w:val="none"/>
        </w:rPr>
        <w:t>_________________________</w:t>
      </w:r>
      <w:r>
        <w:rPr>
          <w:rFonts w:hint="eastAsia" w:ascii="宋体" w:hAnsi="宋体" w:eastAsia="宋体" w:cs="Times New Roman"/>
          <w:color w:val="auto"/>
          <w:szCs w:val="21"/>
          <w:highlight w:val="none"/>
        </w:rPr>
        <w:t xml:space="preserve">    采购计划文号：</w:t>
      </w:r>
      <w:r>
        <w:rPr>
          <w:rFonts w:hint="eastAsia" w:ascii="宋体" w:hAnsi="宋体" w:eastAsia="宋体" w:cs="宋体"/>
          <w:color w:val="auto"/>
          <w:szCs w:val="21"/>
          <w:highlight w:val="none"/>
        </w:rPr>
        <w:t>_________________________</w:t>
      </w:r>
    </w:p>
    <w:p w14:paraId="28AAEB75">
      <w:pPr>
        <w:shd w:val="clear"/>
        <w:spacing w:line="348" w:lineRule="auto"/>
        <w:rPr>
          <w:rFonts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供应商（乙方）：</w:t>
      </w:r>
      <w:r>
        <w:rPr>
          <w:rFonts w:hint="eastAsia" w:ascii="宋体" w:hAnsi="宋体" w:eastAsia="宋体" w:cs="宋体"/>
          <w:color w:val="auto"/>
          <w:szCs w:val="21"/>
          <w:highlight w:val="none"/>
        </w:rPr>
        <w:t>___________________________</w:t>
      </w:r>
      <w:r>
        <w:rPr>
          <w:rFonts w:hint="eastAsia" w:ascii="宋体" w:hAnsi="宋体" w:eastAsia="宋体" w:cs="Times New Roman"/>
          <w:color w:val="auto"/>
          <w:szCs w:val="21"/>
          <w:highlight w:val="none"/>
        </w:rPr>
        <w:t xml:space="preserve">    项目名称及编号：</w:t>
      </w:r>
      <w:r>
        <w:rPr>
          <w:rFonts w:hint="eastAsia" w:ascii="宋体" w:hAnsi="宋体" w:eastAsia="宋体" w:cs="宋体"/>
          <w:color w:val="auto"/>
          <w:szCs w:val="21"/>
          <w:highlight w:val="none"/>
        </w:rPr>
        <w:t>_______________________</w:t>
      </w:r>
    </w:p>
    <w:p w14:paraId="0B7B91AD">
      <w:pPr>
        <w:shd w:val="clear"/>
        <w:spacing w:line="348" w:lineRule="auto"/>
        <w:rPr>
          <w:rFonts w:ascii="宋体" w:hAnsi="宋体" w:eastAsia="宋体" w:cs="Times New Roman"/>
          <w:b/>
          <w:color w:val="auto"/>
          <w:szCs w:val="21"/>
          <w:highlight w:val="none"/>
        </w:rPr>
      </w:pPr>
      <w:r>
        <w:rPr>
          <w:rFonts w:hint="eastAsia" w:ascii="宋体" w:hAnsi="宋体" w:eastAsia="宋体" w:cs="Times New Roman"/>
          <w:color w:val="auto"/>
          <w:szCs w:val="21"/>
          <w:highlight w:val="none"/>
        </w:rPr>
        <w:t>签订地点：</w:t>
      </w:r>
      <w:r>
        <w:rPr>
          <w:rFonts w:hint="eastAsia" w:ascii="宋体" w:hAnsi="宋体" w:eastAsia="宋体" w:cs="宋体"/>
          <w:color w:val="auto"/>
          <w:szCs w:val="21"/>
          <w:highlight w:val="none"/>
        </w:rPr>
        <w:t>_________________________________</w:t>
      </w:r>
      <w:r>
        <w:rPr>
          <w:rFonts w:hint="eastAsia" w:ascii="宋体" w:hAnsi="宋体" w:eastAsia="宋体" w:cs="Times New Roman"/>
          <w:color w:val="auto"/>
          <w:szCs w:val="21"/>
          <w:highlight w:val="none"/>
        </w:rPr>
        <w:t xml:space="preserve">    签订时间：</w:t>
      </w:r>
      <w:r>
        <w:rPr>
          <w:rFonts w:hint="eastAsia" w:ascii="宋体" w:hAnsi="宋体" w:eastAsia="宋体" w:cs="宋体"/>
          <w:color w:val="auto"/>
          <w:szCs w:val="21"/>
          <w:highlight w:val="none"/>
        </w:rPr>
        <w:t>_____________________________</w:t>
      </w:r>
    </w:p>
    <w:p w14:paraId="41579379">
      <w:pPr>
        <w:shd w:val="clear"/>
        <w:spacing w:before="240" w:beforeLines="100" w:line="348"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根据《中华人民共和国政府采购法》《</w:t>
      </w:r>
      <w:r>
        <w:rPr>
          <w:rFonts w:ascii="Times New Roman" w:hAnsi="Times New Roman" w:eastAsia="宋体" w:cs="宋体"/>
          <w:color w:val="auto"/>
          <w:kern w:val="0"/>
          <w:szCs w:val="21"/>
          <w:highlight w:val="none"/>
        </w:rPr>
        <w:t>中华人民共和国民法典</w:t>
      </w:r>
      <w:r>
        <w:rPr>
          <w:rFonts w:hint="eastAsia" w:ascii="宋体" w:hAnsi="宋体" w:eastAsia="宋体" w:cs="Times New Roman"/>
          <w:color w:val="auto"/>
          <w:szCs w:val="21"/>
          <w:highlight w:val="none"/>
        </w:rPr>
        <w:t>》等法律法规规定，按照磋商文件规定条款和</w:t>
      </w:r>
      <w:r>
        <w:rPr>
          <w:rFonts w:hint="eastAsia" w:ascii="宋体" w:hAnsi="宋体" w:eastAsia="宋体" w:cs="Times New Roman"/>
          <w:color w:val="auto"/>
          <w:szCs w:val="21"/>
          <w:highlight w:val="none"/>
          <w:lang w:eastAsia="zh-CN"/>
        </w:rPr>
        <w:t>乙方</w:t>
      </w:r>
      <w:r>
        <w:rPr>
          <w:rFonts w:hint="eastAsia" w:ascii="宋体" w:hAnsi="宋体" w:eastAsia="宋体" w:cs="Times New Roman"/>
          <w:color w:val="auto"/>
          <w:szCs w:val="21"/>
          <w:highlight w:val="none"/>
        </w:rPr>
        <w:t>响应文件及其承诺，甲乙双方签订本合同。</w:t>
      </w:r>
    </w:p>
    <w:p w14:paraId="6DF2A4F7">
      <w:pPr>
        <w:shd w:val="clear"/>
        <w:spacing w:line="348" w:lineRule="auto"/>
        <w:ind w:firstLine="422" w:firstLineChars="200"/>
        <w:rPr>
          <w:rFonts w:ascii="宋体" w:hAnsi="宋体" w:eastAsia="宋体" w:cs="宋体"/>
          <w:color w:val="auto"/>
          <w:kern w:val="0"/>
          <w:szCs w:val="21"/>
          <w:highlight w:val="none"/>
        </w:rPr>
      </w:pPr>
      <w:r>
        <w:rPr>
          <w:rFonts w:hint="eastAsia" w:ascii="宋体" w:hAnsi="宋体" w:eastAsia="宋体" w:cs="宋体"/>
          <w:b/>
          <w:color w:val="auto"/>
          <w:szCs w:val="21"/>
          <w:highlight w:val="none"/>
        </w:rPr>
        <w:t>第一条　合同标的</w:t>
      </w:r>
    </w:p>
    <w:p w14:paraId="10945A53">
      <w:pPr>
        <w:widowControl/>
        <w:shd w:val="clear"/>
        <w:spacing w:line="348"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color w:val="auto"/>
          <w:szCs w:val="21"/>
          <w:highlight w:val="none"/>
        </w:rPr>
        <w:t>服务</w:t>
      </w:r>
      <w:r>
        <w:rPr>
          <w:rFonts w:hint="eastAsia" w:ascii="宋体" w:hAnsi="宋体" w:eastAsia="宋体" w:cs="宋体"/>
          <w:bCs/>
          <w:color w:val="auto"/>
          <w:szCs w:val="21"/>
          <w:highlight w:val="none"/>
        </w:rPr>
        <w:t>一览表</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531"/>
        <w:gridCol w:w="992"/>
        <w:gridCol w:w="993"/>
        <w:gridCol w:w="2531"/>
        <w:gridCol w:w="2531"/>
      </w:tblGrid>
      <w:tr w14:paraId="23487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36" w:type="dxa"/>
            <w:noWrap w:val="0"/>
            <w:vAlign w:val="center"/>
          </w:tcPr>
          <w:p w14:paraId="5074C898">
            <w:pPr>
              <w:widowControl/>
              <w:shd w:val="clear"/>
              <w:snapToGrid w:val="0"/>
              <w:spacing w:line="320" w:lineRule="exact"/>
              <w:jc w:val="center"/>
              <w:rPr>
                <w:rFonts w:ascii="宋体" w:hAnsi="宋体" w:eastAsia="宋体" w:cs="宋体"/>
                <w:color w:val="auto"/>
                <w:kern w:val="0"/>
                <w:szCs w:val="21"/>
                <w:highlight w:val="none"/>
                <w:lang w:eastAsia="en-US"/>
              </w:rPr>
            </w:pPr>
            <w:r>
              <w:rPr>
                <w:rFonts w:hint="eastAsia" w:ascii="宋体" w:hAnsi="宋体" w:eastAsia="宋体" w:cs="宋体"/>
                <w:color w:val="auto"/>
                <w:kern w:val="0"/>
                <w:szCs w:val="21"/>
                <w:highlight w:val="none"/>
                <w:lang w:eastAsia="en-US"/>
              </w:rPr>
              <w:t>序号</w:t>
            </w:r>
          </w:p>
        </w:tc>
        <w:tc>
          <w:tcPr>
            <w:tcW w:w="1531" w:type="dxa"/>
            <w:noWrap w:val="0"/>
            <w:vAlign w:val="center"/>
          </w:tcPr>
          <w:p w14:paraId="583162DE">
            <w:pPr>
              <w:widowControl/>
              <w:shd w:val="clear"/>
              <w:snapToGrid w:val="0"/>
              <w:spacing w:line="320" w:lineRule="exact"/>
              <w:jc w:val="center"/>
              <w:rPr>
                <w:rFonts w:ascii="宋体" w:hAnsi="宋体" w:eastAsia="宋体" w:cs="宋体"/>
                <w:color w:val="auto"/>
                <w:kern w:val="0"/>
                <w:szCs w:val="21"/>
                <w:highlight w:val="none"/>
                <w:lang w:eastAsia="en-US"/>
              </w:rPr>
            </w:pPr>
            <w:r>
              <w:rPr>
                <w:rFonts w:hint="eastAsia" w:ascii="宋体" w:hAnsi="宋体" w:eastAsia="宋体" w:cs="宋体"/>
                <w:color w:val="auto"/>
                <w:kern w:val="0"/>
                <w:szCs w:val="21"/>
                <w:highlight w:val="none"/>
                <w:lang w:eastAsia="en-US"/>
              </w:rPr>
              <w:t>标的名称</w:t>
            </w:r>
          </w:p>
        </w:tc>
        <w:tc>
          <w:tcPr>
            <w:tcW w:w="992" w:type="dxa"/>
            <w:noWrap w:val="0"/>
            <w:vAlign w:val="center"/>
          </w:tcPr>
          <w:p w14:paraId="238B69BB">
            <w:pPr>
              <w:widowControl/>
              <w:shd w:val="clear"/>
              <w:snapToGrid w:val="0"/>
              <w:spacing w:line="320" w:lineRule="exact"/>
              <w:jc w:val="center"/>
              <w:rPr>
                <w:rFonts w:ascii="宋体" w:hAnsi="宋体" w:eastAsia="宋体" w:cs="宋体"/>
                <w:color w:val="auto"/>
                <w:kern w:val="0"/>
                <w:szCs w:val="21"/>
                <w:highlight w:val="none"/>
                <w:lang w:eastAsia="en-US"/>
              </w:rPr>
            </w:pPr>
            <w:r>
              <w:rPr>
                <w:rFonts w:hint="eastAsia" w:ascii="宋体" w:hAnsi="宋体" w:eastAsia="宋体" w:cs="宋体"/>
                <w:color w:val="auto"/>
                <w:kern w:val="0"/>
                <w:szCs w:val="21"/>
                <w:highlight w:val="none"/>
                <w:lang w:eastAsia="en-US"/>
              </w:rPr>
              <w:t>数量</w:t>
            </w:r>
          </w:p>
        </w:tc>
        <w:tc>
          <w:tcPr>
            <w:tcW w:w="993" w:type="dxa"/>
            <w:noWrap w:val="0"/>
            <w:vAlign w:val="center"/>
          </w:tcPr>
          <w:p w14:paraId="145A8531">
            <w:pPr>
              <w:widowControl/>
              <w:shd w:val="clear"/>
              <w:snapToGrid w:val="0"/>
              <w:spacing w:line="320" w:lineRule="exact"/>
              <w:jc w:val="center"/>
              <w:rPr>
                <w:rFonts w:ascii="宋体" w:hAnsi="宋体" w:eastAsia="宋体" w:cs="宋体"/>
                <w:color w:val="auto"/>
                <w:kern w:val="0"/>
                <w:szCs w:val="21"/>
                <w:highlight w:val="none"/>
                <w:lang w:eastAsia="en-US"/>
              </w:rPr>
            </w:pPr>
            <w:r>
              <w:rPr>
                <w:rFonts w:hint="eastAsia" w:ascii="宋体" w:hAnsi="宋体" w:eastAsia="宋体" w:cs="宋体"/>
                <w:color w:val="auto"/>
                <w:kern w:val="0"/>
                <w:szCs w:val="21"/>
                <w:highlight w:val="none"/>
                <w:lang w:eastAsia="en-US"/>
              </w:rPr>
              <w:t>单位</w:t>
            </w:r>
          </w:p>
        </w:tc>
        <w:tc>
          <w:tcPr>
            <w:tcW w:w="2531" w:type="dxa"/>
            <w:noWrap w:val="0"/>
            <w:vAlign w:val="center"/>
          </w:tcPr>
          <w:p w14:paraId="1DC768A7">
            <w:pPr>
              <w:widowControl/>
              <w:shd w:val="clear"/>
              <w:snapToGrid w:val="0"/>
              <w:spacing w:line="320" w:lineRule="exact"/>
              <w:jc w:val="center"/>
              <w:rPr>
                <w:rFonts w:ascii="宋体" w:hAnsi="宋体" w:eastAsia="宋体" w:cs="宋体"/>
                <w:color w:val="auto"/>
                <w:kern w:val="0"/>
                <w:szCs w:val="21"/>
                <w:highlight w:val="none"/>
                <w:lang w:eastAsia="en-US"/>
              </w:rPr>
            </w:pPr>
            <w:r>
              <w:rPr>
                <w:rFonts w:hint="eastAsia" w:ascii="宋体" w:hAnsi="宋体" w:eastAsia="宋体" w:cs="宋体"/>
                <w:color w:val="auto"/>
                <w:kern w:val="0"/>
                <w:szCs w:val="21"/>
                <w:highlight w:val="none"/>
                <w:lang w:eastAsia="en-US"/>
              </w:rPr>
              <w:t>单价（元）</w:t>
            </w:r>
          </w:p>
        </w:tc>
        <w:tc>
          <w:tcPr>
            <w:tcW w:w="2531" w:type="dxa"/>
            <w:noWrap w:val="0"/>
            <w:vAlign w:val="center"/>
          </w:tcPr>
          <w:p w14:paraId="03D889DC">
            <w:pPr>
              <w:widowControl/>
              <w:shd w:val="clear"/>
              <w:snapToGrid w:val="0"/>
              <w:spacing w:line="320" w:lineRule="exact"/>
              <w:jc w:val="center"/>
              <w:rPr>
                <w:rFonts w:ascii="宋体" w:hAnsi="宋体" w:eastAsia="宋体" w:cs="宋体"/>
                <w:color w:val="auto"/>
                <w:kern w:val="0"/>
                <w:szCs w:val="21"/>
                <w:highlight w:val="none"/>
                <w:lang w:eastAsia="en-US"/>
              </w:rPr>
            </w:pPr>
            <w:r>
              <w:rPr>
                <w:rFonts w:hint="eastAsia" w:ascii="宋体" w:hAnsi="宋体" w:eastAsia="宋体" w:cs="宋体"/>
                <w:color w:val="auto"/>
                <w:kern w:val="0"/>
                <w:szCs w:val="21"/>
                <w:highlight w:val="none"/>
                <w:lang w:eastAsia="en-US"/>
              </w:rPr>
              <w:t>金额（元）</w:t>
            </w:r>
          </w:p>
        </w:tc>
      </w:tr>
      <w:tr w14:paraId="2E090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36" w:type="dxa"/>
            <w:noWrap w:val="0"/>
            <w:vAlign w:val="center"/>
          </w:tcPr>
          <w:p w14:paraId="59F75036">
            <w:pPr>
              <w:widowControl/>
              <w:shd w:val="clear"/>
              <w:snapToGrid w:val="0"/>
              <w:spacing w:line="320" w:lineRule="exact"/>
              <w:jc w:val="center"/>
              <w:rPr>
                <w:rFonts w:ascii="宋体" w:hAnsi="宋体" w:eastAsia="宋体" w:cs="宋体"/>
                <w:color w:val="auto"/>
                <w:kern w:val="0"/>
                <w:szCs w:val="21"/>
                <w:highlight w:val="none"/>
                <w:lang w:eastAsia="en-US"/>
              </w:rPr>
            </w:pPr>
            <w:r>
              <w:rPr>
                <w:rFonts w:hint="eastAsia" w:ascii="宋体" w:hAnsi="宋体" w:eastAsia="宋体" w:cs="宋体"/>
                <w:color w:val="auto"/>
                <w:kern w:val="0"/>
                <w:szCs w:val="21"/>
                <w:highlight w:val="none"/>
                <w:lang w:eastAsia="en-US"/>
              </w:rPr>
              <w:t>1</w:t>
            </w:r>
          </w:p>
        </w:tc>
        <w:tc>
          <w:tcPr>
            <w:tcW w:w="1531" w:type="dxa"/>
            <w:noWrap w:val="0"/>
            <w:vAlign w:val="center"/>
          </w:tcPr>
          <w:p w14:paraId="3A58176A">
            <w:pPr>
              <w:widowControl/>
              <w:shd w:val="clear"/>
              <w:snapToGrid w:val="0"/>
              <w:spacing w:line="320" w:lineRule="exact"/>
              <w:jc w:val="center"/>
              <w:rPr>
                <w:rFonts w:ascii="宋体" w:hAnsi="宋体" w:eastAsia="宋体" w:cs="宋体"/>
                <w:color w:val="auto"/>
                <w:kern w:val="0"/>
                <w:szCs w:val="21"/>
                <w:highlight w:val="none"/>
                <w:lang w:eastAsia="en-US"/>
              </w:rPr>
            </w:pPr>
          </w:p>
        </w:tc>
        <w:tc>
          <w:tcPr>
            <w:tcW w:w="992" w:type="dxa"/>
            <w:noWrap w:val="0"/>
            <w:vAlign w:val="center"/>
          </w:tcPr>
          <w:p w14:paraId="2E64B01E">
            <w:pPr>
              <w:widowControl/>
              <w:shd w:val="clear"/>
              <w:snapToGrid w:val="0"/>
              <w:spacing w:line="320" w:lineRule="exact"/>
              <w:jc w:val="center"/>
              <w:rPr>
                <w:rFonts w:ascii="宋体" w:hAnsi="宋体" w:eastAsia="宋体" w:cs="宋体"/>
                <w:color w:val="auto"/>
                <w:kern w:val="0"/>
                <w:szCs w:val="21"/>
                <w:highlight w:val="none"/>
                <w:lang w:eastAsia="en-US"/>
              </w:rPr>
            </w:pPr>
          </w:p>
        </w:tc>
        <w:tc>
          <w:tcPr>
            <w:tcW w:w="993" w:type="dxa"/>
            <w:noWrap w:val="0"/>
            <w:vAlign w:val="center"/>
          </w:tcPr>
          <w:p w14:paraId="33F3CB34">
            <w:pPr>
              <w:widowControl/>
              <w:shd w:val="clear"/>
              <w:snapToGrid w:val="0"/>
              <w:spacing w:line="320" w:lineRule="exact"/>
              <w:jc w:val="center"/>
              <w:rPr>
                <w:rFonts w:ascii="宋体" w:hAnsi="宋体" w:eastAsia="宋体" w:cs="宋体"/>
                <w:color w:val="auto"/>
                <w:kern w:val="0"/>
                <w:szCs w:val="21"/>
                <w:highlight w:val="none"/>
                <w:lang w:eastAsia="en-US"/>
              </w:rPr>
            </w:pPr>
          </w:p>
        </w:tc>
        <w:tc>
          <w:tcPr>
            <w:tcW w:w="2531" w:type="dxa"/>
            <w:noWrap w:val="0"/>
            <w:vAlign w:val="center"/>
          </w:tcPr>
          <w:p w14:paraId="0D444F7B">
            <w:pPr>
              <w:widowControl/>
              <w:shd w:val="clear"/>
              <w:snapToGrid w:val="0"/>
              <w:spacing w:line="320" w:lineRule="exact"/>
              <w:jc w:val="center"/>
              <w:rPr>
                <w:rFonts w:ascii="宋体" w:hAnsi="宋体" w:eastAsia="宋体" w:cs="宋体"/>
                <w:color w:val="auto"/>
                <w:kern w:val="0"/>
                <w:szCs w:val="21"/>
                <w:highlight w:val="none"/>
                <w:lang w:eastAsia="en-US"/>
              </w:rPr>
            </w:pPr>
          </w:p>
        </w:tc>
        <w:tc>
          <w:tcPr>
            <w:tcW w:w="2531" w:type="dxa"/>
            <w:noWrap w:val="0"/>
            <w:vAlign w:val="center"/>
          </w:tcPr>
          <w:p w14:paraId="44E9ABDB">
            <w:pPr>
              <w:widowControl/>
              <w:shd w:val="clear"/>
              <w:snapToGrid w:val="0"/>
              <w:spacing w:line="320" w:lineRule="exact"/>
              <w:jc w:val="center"/>
              <w:rPr>
                <w:rFonts w:ascii="宋体" w:hAnsi="宋体" w:eastAsia="宋体" w:cs="宋体"/>
                <w:color w:val="auto"/>
                <w:kern w:val="0"/>
                <w:szCs w:val="21"/>
                <w:highlight w:val="none"/>
                <w:lang w:eastAsia="en-US"/>
              </w:rPr>
            </w:pPr>
          </w:p>
        </w:tc>
      </w:tr>
      <w:tr w14:paraId="25173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14" w:type="dxa"/>
            <w:gridSpan w:val="6"/>
            <w:noWrap w:val="0"/>
            <w:vAlign w:val="center"/>
          </w:tcPr>
          <w:p w14:paraId="6A7F2E07">
            <w:pPr>
              <w:widowControl/>
              <w:shd w:val="clear"/>
              <w:snapToGrid w:val="0"/>
              <w:spacing w:line="320" w:lineRule="exac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合同总金额</w:t>
            </w:r>
            <w:r>
              <w:rPr>
                <w:rFonts w:hint="eastAsia" w:ascii="宋体" w:hAnsi="宋体" w:eastAsia="宋体" w:cs="宋体"/>
                <w:color w:val="auto"/>
                <w:kern w:val="0"/>
                <w:szCs w:val="21"/>
                <w:highlight w:val="none"/>
              </w:rPr>
              <w:t>：人民币</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tc>
      </w:tr>
    </w:tbl>
    <w:p w14:paraId="705F6D25">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合同总金额为完成甲方指定服务全部内容的报价，即履行合同的最终价格，包括了乙方完成本项目所需的一切工作内容而发生的所有直接费用、间接费用、其他费用、税金等全部费用和供应商要求获得的利润以及应由供应商承担的义务、责任和风险所发生的一切费用。</w:t>
      </w:r>
    </w:p>
    <w:p w14:paraId="137D3384">
      <w:pPr>
        <w:keepNext w:val="0"/>
        <w:keepLines w:val="0"/>
        <w:pageBreakBefore w:val="0"/>
        <w:widowControl w:val="0"/>
        <w:shd w:val="clea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第二条　质量保证</w:t>
      </w:r>
    </w:p>
    <w:p w14:paraId="341ABEFF">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乙方所提供的服务及服务内容必须与响应文件承诺相一致，有国家强制性标准的，还必须符合国家强制性标准的规定，没有国家强制性标准但有其他强制性标准的，必须符合其他强制性标准的规定。</w:t>
      </w:r>
    </w:p>
    <w:p w14:paraId="4BD92DD7">
      <w:pPr>
        <w:keepNext w:val="0"/>
        <w:keepLines w:val="0"/>
        <w:pageBreakBefore w:val="0"/>
        <w:widowControl w:val="0"/>
        <w:shd w:val="clea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第三条　权利保证</w:t>
      </w:r>
    </w:p>
    <w:p w14:paraId="11DC8228">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乙方应保证所提供服务在使用时不会侵犯任何第三方的专利权、商标权、工业设计权等知识产权及其他合法权利，且所有权、处分权等没有受到任何限制。</w:t>
      </w:r>
    </w:p>
    <w:p w14:paraId="5B80B51D">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乙方应按竞争性磋商文件规定的时间向甲方提供使用服务的有关技术资料。</w:t>
      </w:r>
    </w:p>
    <w:p w14:paraId="3329B5ED">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如有泄露，乙方须承担相应的法律责任。</w:t>
      </w:r>
    </w:p>
    <w:p w14:paraId="674B0CDA">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乙方保证所交付的服务的所有权完全属于乙方且无任何抵押、质押、查封等产权瑕疵。</w:t>
      </w:r>
    </w:p>
    <w:p w14:paraId="4F0F7D8C">
      <w:pPr>
        <w:shd w:val="clear"/>
        <w:tabs>
          <w:tab w:val="left" w:pos="5250"/>
          <w:tab w:val="left" w:pos="5940"/>
        </w:tabs>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w:t>
      </w:r>
      <w:r>
        <w:rPr>
          <w:rFonts w:hint="eastAsia" w:ascii="宋体" w:hAnsi="宋体" w:eastAsia="宋体" w:cs="宋体"/>
          <w:b/>
          <w:color w:val="auto"/>
          <w:szCs w:val="21"/>
          <w:highlight w:val="none"/>
          <w:lang w:eastAsia="zh-CN"/>
        </w:rPr>
        <w:t>四</w:t>
      </w:r>
      <w:r>
        <w:rPr>
          <w:rFonts w:hint="eastAsia" w:ascii="宋体" w:hAnsi="宋体" w:eastAsia="宋体" w:cs="宋体"/>
          <w:b/>
          <w:color w:val="auto"/>
          <w:szCs w:val="21"/>
          <w:highlight w:val="none"/>
        </w:rPr>
        <w:t>条  交付</w:t>
      </w:r>
    </w:p>
    <w:p w14:paraId="062BA474">
      <w:pPr>
        <w:shd w:val="clea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服务期限：</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lang w:eastAsia="zh-CN"/>
        </w:rPr>
        <w:t>。</w:t>
      </w:r>
    </w:p>
    <w:p w14:paraId="2E58C184">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服务地点：</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rPr>
        <w:t>。</w:t>
      </w:r>
    </w:p>
    <w:p w14:paraId="3C25D75C">
      <w:pPr>
        <w:shd w:val="clear"/>
        <w:spacing w:line="360" w:lineRule="auto"/>
        <w:ind w:firstLine="422" w:firstLineChars="200"/>
        <w:rPr>
          <w:rFonts w:hint="eastAsia" w:ascii="宋体" w:hAnsi="宋体" w:eastAsia="宋体" w:cs="宋体"/>
          <w:color w:val="auto"/>
          <w:szCs w:val="21"/>
          <w:highlight w:val="none"/>
          <w:lang w:eastAsia="zh-CN"/>
        </w:rPr>
      </w:pPr>
      <w:r>
        <w:rPr>
          <w:rFonts w:hint="eastAsia" w:ascii="宋体" w:hAnsi="宋体" w:eastAsia="宋体" w:cs="宋体"/>
          <w:b/>
          <w:color w:val="auto"/>
          <w:szCs w:val="21"/>
          <w:highlight w:val="none"/>
        </w:rPr>
        <w:t>第</w:t>
      </w:r>
      <w:r>
        <w:rPr>
          <w:rFonts w:hint="eastAsia" w:ascii="宋体" w:hAnsi="宋体" w:eastAsia="宋体" w:cs="宋体"/>
          <w:b/>
          <w:color w:val="auto"/>
          <w:szCs w:val="21"/>
          <w:highlight w:val="none"/>
          <w:lang w:eastAsia="zh-CN"/>
        </w:rPr>
        <w:t>五</w:t>
      </w:r>
      <w:r>
        <w:rPr>
          <w:rFonts w:hint="eastAsia" w:ascii="宋体" w:hAnsi="宋体" w:eastAsia="宋体" w:cs="宋体"/>
          <w:b/>
          <w:color w:val="auto"/>
          <w:szCs w:val="21"/>
          <w:highlight w:val="none"/>
        </w:rPr>
        <w:t>条　付款方式</w:t>
      </w:r>
      <w:r>
        <w:rPr>
          <w:rFonts w:hint="eastAsia" w:ascii="宋体" w:hAnsi="宋体" w:eastAsia="宋体" w:cs="宋体"/>
          <w:b/>
          <w:color w:val="auto"/>
          <w:szCs w:val="21"/>
          <w:highlight w:val="none"/>
          <w:lang w:eastAsia="zh-CN"/>
        </w:rPr>
        <w:t>及其他</w:t>
      </w:r>
    </w:p>
    <w:p w14:paraId="1998C5E2">
      <w:pPr>
        <w:widowControl/>
        <w:shd w:val="clear"/>
        <w:tabs>
          <w:tab w:val="left" w:pos="360"/>
        </w:tabs>
        <w:spacing w:line="360" w:lineRule="auto"/>
        <w:ind w:firstLine="420" w:firstLineChars="200"/>
        <w:rPr>
          <w:rStyle w:val="57"/>
          <w:rFonts w:hint="eastAsia" w:ascii="宋体" w:hAnsi="宋体" w:cs="宋体"/>
          <w:color w:val="auto"/>
          <w:szCs w:val="21"/>
          <w:highlight w:val="none"/>
          <w:u w:val="none"/>
        </w:rPr>
      </w:pPr>
      <w:r>
        <w:rPr>
          <w:rFonts w:hint="eastAsia" w:ascii="宋体" w:hAnsi="宋体" w:eastAsia="宋体" w:cs="宋体"/>
          <w:bCs/>
          <w:color w:val="auto"/>
          <w:szCs w:val="21"/>
          <w:highlight w:val="none"/>
          <w:u w:val="none"/>
          <w:lang w:val="en-US" w:eastAsia="zh-CN"/>
        </w:rPr>
        <w:t>1.付款方式：</w:t>
      </w:r>
      <w:r>
        <w:rPr>
          <w:rFonts w:hint="eastAsia" w:ascii="宋体" w:hAnsi="宋体" w:cs="宋体"/>
          <w:bCs/>
          <w:color w:val="auto"/>
          <w:szCs w:val="21"/>
          <w:highlight w:val="none"/>
          <w:u w:val="single"/>
          <w:lang w:val="en-US" w:eastAsia="zh-CN"/>
        </w:rPr>
        <w:t xml:space="preserve">              </w:t>
      </w:r>
      <w:r>
        <w:rPr>
          <w:rStyle w:val="57"/>
          <w:rFonts w:hint="eastAsia" w:ascii="宋体" w:hAnsi="宋体" w:cs="宋体"/>
          <w:color w:val="auto"/>
          <w:szCs w:val="21"/>
          <w:highlight w:val="none"/>
          <w:u w:val="none"/>
        </w:rPr>
        <w:t>。</w:t>
      </w:r>
    </w:p>
    <w:p w14:paraId="22B7D09B">
      <w:pPr>
        <w:widowControl/>
        <w:shd w:val="clear"/>
        <w:tabs>
          <w:tab w:val="left" w:pos="360"/>
        </w:tabs>
        <w:spacing w:line="360" w:lineRule="auto"/>
        <w:ind w:firstLine="420" w:firstLineChars="200"/>
        <w:rPr>
          <w:rFonts w:hint="eastAsia" w:ascii="宋体" w:hAnsi="宋体" w:eastAsia="宋体" w:cs="宋体"/>
          <w:bCs/>
          <w:color w:val="auto"/>
          <w:szCs w:val="21"/>
          <w:highlight w:val="none"/>
          <w:u w:val="none"/>
          <w:lang w:val="en-US" w:eastAsia="zh-CN"/>
        </w:rPr>
      </w:pPr>
      <w:r>
        <w:rPr>
          <w:rFonts w:hint="eastAsia" w:ascii="宋体" w:hAnsi="宋体" w:eastAsia="宋体" w:cs="宋体"/>
          <w:bCs/>
          <w:color w:val="auto"/>
          <w:szCs w:val="21"/>
          <w:highlight w:val="none"/>
          <w:u w:val="none"/>
          <w:lang w:val="en-US" w:eastAsia="zh-CN"/>
        </w:rPr>
        <w:t>2.其他：无</w:t>
      </w:r>
      <w:r>
        <w:rPr>
          <w:rFonts w:hint="eastAsia" w:ascii="宋体" w:hAnsi="宋体" w:cs="宋体"/>
          <w:bCs/>
          <w:color w:val="auto"/>
          <w:szCs w:val="21"/>
          <w:highlight w:val="none"/>
          <w:u w:val="none"/>
          <w:lang w:val="en-US" w:eastAsia="zh-CN"/>
        </w:rPr>
        <w:t>。</w:t>
      </w:r>
    </w:p>
    <w:p w14:paraId="267FD51C">
      <w:pPr>
        <w:shd w:val="clea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w:t>
      </w:r>
      <w:r>
        <w:rPr>
          <w:rFonts w:hint="eastAsia" w:ascii="宋体" w:hAnsi="宋体" w:eastAsia="宋体" w:cs="宋体"/>
          <w:b/>
          <w:color w:val="auto"/>
          <w:szCs w:val="21"/>
          <w:highlight w:val="none"/>
          <w:lang w:eastAsia="zh-CN"/>
        </w:rPr>
        <w:t>六</w:t>
      </w:r>
      <w:r>
        <w:rPr>
          <w:rFonts w:hint="eastAsia" w:ascii="宋体" w:hAnsi="宋体" w:eastAsia="宋体" w:cs="宋体"/>
          <w:b/>
          <w:color w:val="auto"/>
          <w:szCs w:val="21"/>
          <w:highlight w:val="none"/>
        </w:rPr>
        <w:t>条　税费</w:t>
      </w:r>
    </w:p>
    <w:p w14:paraId="1D77D30E">
      <w:pPr>
        <w:shd w:val="clea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本合同执行中相关的一切</w:t>
      </w:r>
      <w:r>
        <w:rPr>
          <w:rFonts w:hint="eastAsia" w:ascii="宋体" w:hAnsi="宋体" w:eastAsia="宋体" w:cs="宋体"/>
          <w:color w:val="auto"/>
          <w:szCs w:val="21"/>
          <w:highlight w:val="none"/>
          <w:lang w:eastAsia="zh-CN"/>
        </w:rPr>
        <w:t>成本和</w:t>
      </w:r>
      <w:r>
        <w:rPr>
          <w:rFonts w:hint="eastAsia" w:ascii="宋体" w:hAnsi="宋体" w:eastAsia="宋体" w:cs="宋体"/>
          <w:color w:val="auto"/>
          <w:szCs w:val="21"/>
          <w:highlight w:val="none"/>
        </w:rPr>
        <w:t>税费均由乙方负担，合同另有约定的除外。</w:t>
      </w:r>
    </w:p>
    <w:p w14:paraId="28501C3D">
      <w:pPr>
        <w:shd w:val="clear"/>
        <w:spacing w:line="360" w:lineRule="auto"/>
        <w:ind w:firstLine="422" w:firstLineChars="200"/>
        <w:rPr>
          <w:rFonts w:ascii="宋体" w:hAnsi="宋体" w:eastAsia="宋体" w:cs="Times New Roman"/>
          <w:b/>
          <w:color w:val="auto"/>
          <w:szCs w:val="21"/>
          <w:highlight w:val="none"/>
        </w:rPr>
      </w:pPr>
      <w:r>
        <w:rPr>
          <w:rFonts w:hint="eastAsia" w:ascii="宋体" w:hAnsi="宋体" w:eastAsia="宋体" w:cs="宋体"/>
          <w:b/>
          <w:color w:val="auto"/>
          <w:szCs w:val="21"/>
          <w:highlight w:val="none"/>
        </w:rPr>
        <w:t xml:space="preserve">第七条  </w:t>
      </w:r>
      <w:r>
        <w:rPr>
          <w:rFonts w:hint="eastAsia" w:ascii="宋体" w:hAnsi="宋体" w:eastAsia="宋体" w:cs="Times New Roman"/>
          <w:b/>
          <w:color w:val="auto"/>
          <w:szCs w:val="21"/>
          <w:highlight w:val="none"/>
        </w:rPr>
        <w:t>双方约定</w:t>
      </w:r>
    </w:p>
    <w:p w14:paraId="76B60CC7">
      <w:pPr>
        <w:shd w:val="clear"/>
        <w:autoSpaceDE w:val="0"/>
        <w:autoSpaceDN w:val="0"/>
        <w:spacing w:line="360" w:lineRule="auto"/>
        <w:ind w:firstLine="420" w:firstLineChars="20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1</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乙方应站在甲方的立场上对甲方委托的项目进行认真、细致、公正的服务，服从甲方的各项管理制度及管理要求。</w:t>
      </w:r>
    </w:p>
    <w:p w14:paraId="050571B3">
      <w:pPr>
        <w:shd w:val="clear"/>
        <w:autoSpaceDE w:val="0"/>
        <w:autoSpaceDN w:val="0"/>
        <w:spacing w:line="360" w:lineRule="auto"/>
        <w:ind w:firstLine="420" w:firstLineChars="20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2</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乙方不得将甲方委托的服务项目转交第三方完成。</w:t>
      </w:r>
    </w:p>
    <w:p w14:paraId="5C0F5463">
      <w:pPr>
        <w:shd w:val="clear"/>
        <w:autoSpaceDE w:val="0"/>
        <w:autoSpaceDN w:val="0"/>
        <w:spacing w:line="360" w:lineRule="auto"/>
        <w:ind w:firstLine="420" w:firstLineChars="20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乙方应严格按国家有关标准提供服务。</w:t>
      </w:r>
    </w:p>
    <w:p w14:paraId="5C7DBF1E">
      <w:pPr>
        <w:shd w:val="clear"/>
        <w:spacing w:line="360" w:lineRule="auto"/>
        <w:ind w:firstLine="420" w:firstLineChars="200"/>
        <w:rPr>
          <w:rFonts w:ascii="宋体" w:hAnsi="宋体" w:eastAsia="宋体" w:cs="宋体"/>
          <w:b/>
          <w:color w:val="auto"/>
          <w:szCs w:val="21"/>
          <w:highlight w:val="none"/>
        </w:rPr>
      </w:pPr>
      <w:r>
        <w:rPr>
          <w:rFonts w:hint="eastAsia" w:ascii="宋体" w:hAnsi="宋体" w:eastAsia="宋体" w:cs="Times New Roman"/>
          <w:color w:val="auto"/>
          <w:szCs w:val="21"/>
          <w:highlight w:val="none"/>
          <w:lang w:val="zh-CN"/>
        </w:rPr>
        <w:t>4</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乙方在接受甲方委托的服务任务后应积极主动地与甲方联系，落实具体事宜，并安排相应的人员在规定的时间内完成任务。</w:t>
      </w:r>
    </w:p>
    <w:p w14:paraId="630A0854">
      <w:pPr>
        <w:shd w:val="clea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第八条　违约责任</w:t>
      </w:r>
    </w:p>
    <w:p w14:paraId="75963E61">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甲方违约造成乙方损失的，应按《中华人民共和国民法典》有关规定赔偿损失。</w:t>
      </w:r>
    </w:p>
    <w:p w14:paraId="5D340CB8">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甲方对乙方递交的咨询服务成果（报告）进行审核，成果达不到要求的，甲方有权督促乙方修改完善，甲方不另支付费用；出现重大失误的，乙方必须承担由此造成的全部经济和法律责任，甲方不支付该项目的咨询服务费用。</w:t>
      </w:r>
    </w:p>
    <w:p w14:paraId="34EA836C">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乙方未按本合同和响应文件中规定的服务承诺提供售后服务的，乙方应按</w:t>
      </w:r>
      <w:r>
        <w:rPr>
          <w:rFonts w:hint="eastAsia" w:ascii="宋体" w:hAnsi="宋体" w:eastAsia="宋体" w:cs="宋体"/>
          <w:color w:val="auto"/>
          <w:szCs w:val="21"/>
          <w:highlight w:val="none"/>
          <w:lang w:eastAsia="zh-CN"/>
        </w:rPr>
        <w:t>合同总金额</w:t>
      </w:r>
      <w:r>
        <w:rPr>
          <w:rFonts w:hint="eastAsia" w:ascii="宋体" w:hAnsi="宋体" w:eastAsia="宋体" w:cs="宋体"/>
          <w:color w:val="auto"/>
          <w:szCs w:val="21"/>
          <w:highlight w:val="none"/>
        </w:rPr>
        <w:t>5%向甲方支付违约金。</w:t>
      </w:r>
    </w:p>
    <w:p w14:paraId="26220656">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如乙方逾期超过20日未能提交服务成果的，甲方有权解除合同</w:t>
      </w:r>
      <w:r>
        <w:rPr>
          <w:rFonts w:hint="eastAsia" w:ascii="宋体" w:hAnsi="宋体" w:cs="宋体"/>
          <w:color w:val="auto"/>
          <w:szCs w:val="21"/>
          <w:highlight w:val="none"/>
          <w:lang w:eastAsia="zh-CN"/>
        </w:rPr>
        <w:t>，并</w:t>
      </w:r>
      <w:r>
        <w:rPr>
          <w:rFonts w:hint="eastAsia" w:ascii="宋体" w:hAnsi="宋体" w:eastAsia="宋体" w:cs="宋体"/>
          <w:color w:val="auto"/>
          <w:szCs w:val="21"/>
          <w:highlight w:val="none"/>
        </w:rPr>
        <w:t>要求乙方返还已支付费用及承担合同</w:t>
      </w:r>
      <w:r>
        <w:rPr>
          <w:rFonts w:hint="eastAsia" w:ascii="宋体" w:hAnsi="宋体" w:eastAsia="宋体" w:cs="宋体"/>
          <w:color w:val="auto"/>
          <w:szCs w:val="21"/>
          <w:highlight w:val="none"/>
          <w:lang w:eastAsia="zh-CN"/>
        </w:rPr>
        <w:t>总</w:t>
      </w:r>
      <w:r>
        <w:rPr>
          <w:rFonts w:hint="eastAsia" w:ascii="宋体" w:hAnsi="宋体" w:eastAsia="宋体" w:cs="宋体"/>
          <w:color w:val="auto"/>
          <w:szCs w:val="21"/>
          <w:highlight w:val="none"/>
        </w:rPr>
        <w:t>金额5%的违约金。</w:t>
      </w:r>
    </w:p>
    <w:p w14:paraId="021C8324">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其他违约行为按违约数额5%收取违约金并赔偿经济损失。</w:t>
      </w:r>
    </w:p>
    <w:p w14:paraId="48269983">
      <w:pPr>
        <w:shd w:val="clea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甲方遭受的全部经济损失是指（包括但不限于直接损失、间接损失及实现债权的费用，如诉讼费、律师费、差旅费、调查费、财产保全责任险保险费等）。</w:t>
      </w:r>
    </w:p>
    <w:p w14:paraId="38B04CD6">
      <w:pPr>
        <w:shd w:val="clea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w:t>
      </w:r>
      <w:r>
        <w:rPr>
          <w:rFonts w:hint="eastAsia" w:ascii="宋体" w:hAnsi="宋体" w:eastAsia="宋体" w:cs="宋体"/>
          <w:b/>
          <w:color w:val="auto"/>
          <w:szCs w:val="21"/>
          <w:highlight w:val="none"/>
          <w:lang w:eastAsia="zh-CN"/>
        </w:rPr>
        <w:t>九</w:t>
      </w:r>
      <w:r>
        <w:rPr>
          <w:rFonts w:hint="eastAsia" w:ascii="宋体" w:hAnsi="宋体" w:eastAsia="宋体" w:cs="宋体"/>
          <w:b/>
          <w:color w:val="auto"/>
          <w:szCs w:val="21"/>
          <w:highlight w:val="none"/>
        </w:rPr>
        <w:t>条  不可抗力事件处理</w:t>
      </w:r>
    </w:p>
    <w:p w14:paraId="02676A73">
      <w:pPr>
        <w:shd w:val="clear"/>
        <w:autoSpaceDE w:val="0"/>
        <w:autoSpaceDN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1.在合同有效期内，任何一方因不可抗力事件导致不能履行合同，则合同履行期可延长，其延长期与不可抗力影响期相同。</w:t>
      </w:r>
    </w:p>
    <w:p w14:paraId="42094FF2">
      <w:pPr>
        <w:shd w:val="clear"/>
        <w:autoSpaceDE w:val="0"/>
        <w:autoSpaceDN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2.不可抗力事件发生后，应立即通知对方，并寄送有关权威机构出具的证明。</w:t>
      </w:r>
    </w:p>
    <w:p w14:paraId="7BB70CB6">
      <w:pPr>
        <w:shd w:val="clear"/>
        <w:autoSpaceDE w:val="0"/>
        <w:autoSpaceDN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3.不可抗力事件延续一百二十天以上，双方应通过友好协商，确定是否继续履行合同。</w:t>
      </w:r>
    </w:p>
    <w:p w14:paraId="679CAB77">
      <w:pPr>
        <w:shd w:val="clea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第十条  合同争议解决</w:t>
      </w:r>
    </w:p>
    <w:p w14:paraId="07D197B6">
      <w:pPr>
        <w:shd w:val="clear"/>
        <w:autoSpaceDE w:val="0"/>
        <w:autoSpaceDN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1.因服务质量问题发生争议的，应邀请国家认可的质量检测机构进行鉴定。服务符合标准的，鉴定费由甲方承担；服务不符合标准的，鉴定费由乙方承担。</w:t>
      </w:r>
    </w:p>
    <w:p w14:paraId="56A7964E">
      <w:pPr>
        <w:shd w:val="clear"/>
        <w:autoSpaceDE w:val="0"/>
        <w:autoSpaceDN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2.因履行本合同引起的或者与本合同有关的争议，甲乙双方应首先通过友好协商解决，如果协商不能解决，可向甲方所在地有管辖权的人民法院提起诉讼。</w:t>
      </w:r>
    </w:p>
    <w:p w14:paraId="3E35BAC8">
      <w:pPr>
        <w:shd w:val="clear"/>
        <w:autoSpaceDE w:val="0"/>
        <w:autoSpaceDN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3.诉讼期间，本合同继续履行，但涉及合同解除、终止的除外。</w:t>
      </w:r>
    </w:p>
    <w:p w14:paraId="442682E7">
      <w:pPr>
        <w:shd w:val="clea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第十</w:t>
      </w:r>
      <w:r>
        <w:rPr>
          <w:rFonts w:hint="eastAsia" w:ascii="宋体" w:hAnsi="宋体" w:eastAsia="宋体" w:cs="宋体"/>
          <w:b/>
          <w:color w:val="auto"/>
          <w:szCs w:val="21"/>
          <w:highlight w:val="none"/>
          <w:lang w:eastAsia="zh-CN"/>
        </w:rPr>
        <w:t>一</w:t>
      </w:r>
      <w:r>
        <w:rPr>
          <w:rFonts w:hint="eastAsia" w:ascii="宋体" w:hAnsi="宋体" w:eastAsia="宋体" w:cs="宋体"/>
          <w:b/>
          <w:color w:val="auto"/>
          <w:szCs w:val="21"/>
          <w:highlight w:val="none"/>
        </w:rPr>
        <w:t>条  合同生效及其他</w:t>
      </w:r>
    </w:p>
    <w:p w14:paraId="18317C6F">
      <w:pPr>
        <w:shd w:val="clear"/>
        <w:autoSpaceDE w:val="0"/>
        <w:autoSpaceDN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1.合同经双方法定代表人或授权代表签字并加盖单位公章后生效。</w:t>
      </w:r>
    </w:p>
    <w:p w14:paraId="54FC83FE">
      <w:pPr>
        <w:shd w:val="clear"/>
        <w:autoSpaceDE w:val="0"/>
        <w:autoSpaceDN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2.本合同未尽事宜，遵照《中华人民共和国民法典》有关规定执行。</w:t>
      </w:r>
    </w:p>
    <w:p w14:paraId="2D75A635">
      <w:pPr>
        <w:shd w:val="clear"/>
        <w:spacing w:line="360" w:lineRule="auto"/>
        <w:ind w:firstLine="422" w:firstLineChars="200"/>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第十</w:t>
      </w:r>
      <w:r>
        <w:rPr>
          <w:rFonts w:hint="eastAsia" w:ascii="宋体" w:hAnsi="宋体" w:eastAsia="宋体" w:cs="宋体"/>
          <w:b/>
          <w:color w:val="auto"/>
          <w:szCs w:val="21"/>
          <w:highlight w:val="none"/>
          <w:lang w:eastAsia="zh-CN"/>
        </w:rPr>
        <w:t>二</w:t>
      </w:r>
      <w:r>
        <w:rPr>
          <w:rFonts w:hint="eastAsia" w:ascii="宋体" w:hAnsi="宋体" w:eastAsia="宋体" w:cs="宋体"/>
          <w:b/>
          <w:color w:val="auto"/>
          <w:szCs w:val="21"/>
          <w:highlight w:val="none"/>
        </w:rPr>
        <w:t>条  合同的变更、终止</w:t>
      </w:r>
      <w:r>
        <w:rPr>
          <w:rFonts w:hint="eastAsia" w:ascii="宋体" w:hAnsi="宋体" w:eastAsia="宋体" w:cs="宋体"/>
          <w:b/>
          <w:color w:val="auto"/>
          <w:szCs w:val="21"/>
          <w:highlight w:val="none"/>
          <w:lang w:eastAsia="zh-CN"/>
        </w:rPr>
        <w:t>与转让</w:t>
      </w:r>
    </w:p>
    <w:p w14:paraId="0193CA63">
      <w:pPr>
        <w:shd w:val="clear"/>
        <w:autoSpaceDE w:val="0"/>
        <w:autoSpaceDN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1.除《中华人民共和国政府采购法》第五十条规定的情形外，本合同一经签订，甲乙双方不得擅自变更、中止或终止。</w:t>
      </w:r>
    </w:p>
    <w:p w14:paraId="772048C5">
      <w:pPr>
        <w:shd w:val="clear"/>
        <w:autoSpaceDE w:val="0"/>
        <w:autoSpaceDN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2.乙方不得擅自转让其应履行的合同义务。</w:t>
      </w:r>
    </w:p>
    <w:p w14:paraId="737037AD">
      <w:pPr>
        <w:shd w:val="clea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第十</w:t>
      </w:r>
      <w:r>
        <w:rPr>
          <w:rFonts w:hint="eastAsia" w:ascii="宋体" w:hAnsi="宋体" w:eastAsia="宋体" w:cs="宋体"/>
          <w:b/>
          <w:color w:val="auto"/>
          <w:szCs w:val="21"/>
          <w:highlight w:val="none"/>
          <w:lang w:eastAsia="zh-CN"/>
        </w:rPr>
        <w:t>三</w:t>
      </w:r>
      <w:r>
        <w:rPr>
          <w:rFonts w:hint="eastAsia" w:ascii="宋体" w:hAnsi="宋体" w:eastAsia="宋体" w:cs="宋体"/>
          <w:b/>
          <w:color w:val="auto"/>
          <w:szCs w:val="21"/>
          <w:highlight w:val="none"/>
        </w:rPr>
        <w:t>条  签订本合同依据</w:t>
      </w:r>
    </w:p>
    <w:p w14:paraId="7C4C9DEF">
      <w:pPr>
        <w:shd w:val="clear"/>
        <w:autoSpaceDE w:val="0"/>
        <w:autoSpaceDN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1.竞争性磋商文件；</w:t>
      </w:r>
    </w:p>
    <w:p w14:paraId="29FC30A2">
      <w:pPr>
        <w:shd w:val="clear"/>
        <w:autoSpaceDE w:val="0"/>
        <w:autoSpaceDN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2.乙方提供的响应（或应答）文件；</w:t>
      </w:r>
    </w:p>
    <w:p w14:paraId="29363631">
      <w:pPr>
        <w:shd w:val="clear"/>
        <w:autoSpaceDE w:val="0"/>
        <w:autoSpaceDN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3.成交通知书。</w:t>
      </w:r>
    </w:p>
    <w:p w14:paraId="28AC9E1E">
      <w:pPr>
        <w:shd w:val="clea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第十</w:t>
      </w:r>
      <w:r>
        <w:rPr>
          <w:rFonts w:hint="eastAsia" w:ascii="宋体" w:hAnsi="宋体" w:eastAsia="宋体" w:cs="宋体"/>
          <w:b/>
          <w:color w:val="auto"/>
          <w:szCs w:val="21"/>
          <w:highlight w:val="none"/>
          <w:lang w:eastAsia="zh-CN"/>
        </w:rPr>
        <w:t>四</w:t>
      </w:r>
      <w:r>
        <w:rPr>
          <w:rFonts w:hint="eastAsia" w:ascii="宋体" w:hAnsi="宋体" w:eastAsia="宋体" w:cs="宋体"/>
          <w:b/>
          <w:color w:val="auto"/>
          <w:szCs w:val="21"/>
          <w:highlight w:val="none"/>
        </w:rPr>
        <w:t>条　通知和送达</w:t>
      </w:r>
    </w:p>
    <w:p w14:paraId="794642AE">
      <w:pPr>
        <w:shd w:val="clea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1.各方确认，本合同载明的各方地址为各方真实有效通讯地址，一方向对方发出的任何通知、信函和文件，以挂号信函或快递信函方式向对方地址邮寄有关通知、信函和文件的，挂号信函或快递信函成功送达后的邮寄凭证即视为有效凭证。一方地址变更的，应在变更后10日内书面通知对方，否则本合同载明的地址仍为真实有效通讯地址。若为专人提交的，自对方法定代表人、授权代表、委托代理人签收时或单位盖章时视为送达对方。因提供或者确认的通讯地址不准确、通讯地址变更后未及时依程序告知对方或受送达方拒绝签收等原因，导致文书未能被实际接收的，邮寄送达的，以文书退回之日视为送达之日。</w:t>
      </w:r>
    </w:p>
    <w:p w14:paraId="65FF93B0">
      <w:pPr>
        <w:shd w:val="clea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2.本合同载明的各方电子邮箱、微信号是各方真实有效的通讯联系方式，一方向对方发出的任何通知、信函和文件，若以邮件方式发送的，自邮件发送成功视为送达对方，若以微信方式发送的，自微信发送成功视为送达对方。一方电子邮箱或微信变更的，应在变更后10日内书面通知对方，否则本合同载明的电子邮箱或微信仍为真实有效的通讯联系方式。</w:t>
      </w:r>
    </w:p>
    <w:p w14:paraId="77B257E7">
      <w:pPr>
        <w:shd w:val="clea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3.上述送达地址和联系方式适用范围包括双方非诉时各类通知、合同等文件以及就合同发生纠纷时相关文件和法律文书的送达，同时包括在争议进入仲裁、民事诉讼程序后的一审、二审、再审和执行程序。</w:t>
      </w:r>
    </w:p>
    <w:p w14:paraId="4898FA54">
      <w:pPr>
        <w:shd w:val="clear"/>
        <w:spacing w:line="360" w:lineRule="auto"/>
        <w:ind w:firstLine="422" w:firstLineChars="200"/>
        <w:jc w:val="left"/>
        <w:rPr>
          <w:rFonts w:ascii="宋体" w:hAnsi="宋体" w:eastAsia="宋体" w:cs="宋体"/>
          <w:color w:val="auto"/>
          <w:szCs w:val="21"/>
          <w:highlight w:val="none"/>
        </w:rPr>
      </w:pPr>
      <w:r>
        <w:rPr>
          <w:rFonts w:hint="eastAsia" w:ascii="宋体" w:hAnsi="宋体" w:eastAsia="宋体" w:cs="宋体"/>
          <w:b/>
          <w:color w:val="auto"/>
          <w:szCs w:val="21"/>
          <w:highlight w:val="none"/>
        </w:rPr>
        <w:t>第十</w:t>
      </w:r>
      <w:r>
        <w:rPr>
          <w:rFonts w:hint="eastAsia" w:ascii="宋体" w:hAnsi="宋体" w:eastAsia="宋体" w:cs="宋体"/>
          <w:b/>
          <w:color w:val="auto"/>
          <w:szCs w:val="21"/>
          <w:highlight w:val="none"/>
          <w:lang w:eastAsia="zh-CN"/>
        </w:rPr>
        <w:t>五</w:t>
      </w:r>
      <w:r>
        <w:rPr>
          <w:rFonts w:hint="eastAsia" w:ascii="宋体" w:hAnsi="宋体" w:eastAsia="宋体" w:cs="宋体"/>
          <w:b/>
          <w:color w:val="auto"/>
          <w:szCs w:val="21"/>
          <w:highlight w:val="none"/>
        </w:rPr>
        <w:t>条　</w:t>
      </w:r>
      <w:r>
        <w:rPr>
          <w:rFonts w:hint="eastAsia" w:ascii="宋体" w:hAnsi="宋体" w:eastAsia="宋体" w:cs="宋体"/>
          <w:color w:val="auto"/>
          <w:szCs w:val="21"/>
          <w:highlight w:val="none"/>
        </w:rPr>
        <w:t>本合同</w:t>
      </w:r>
      <w:r>
        <w:rPr>
          <w:rFonts w:hint="eastAsia" w:ascii="宋体" w:hAnsi="宋体" w:eastAsia="宋体" w:cs="宋体"/>
          <w:color w:val="auto"/>
          <w:szCs w:val="21"/>
          <w:highlight w:val="none"/>
          <w:lang w:eastAsia="zh-CN"/>
        </w:rPr>
        <w:t>一式</w:t>
      </w:r>
      <w:r>
        <w:rPr>
          <w:rFonts w:hint="eastAsia" w:ascii="宋体" w:hAnsi="宋体" w:cs="宋体"/>
          <w:color w:val="auto"/>
          <w:szCs w:val="21"/>
          <w:highlight w:val="none"/>
          <w:lang w:eastAsia="zh-CN"/>
        </w:rPr>
        <w:t>伍</w:t>
      </w:r>
      <w:r>
        <w:rPr>
          <w:rFonts w:hint="eastAsia" w:ascii="宋体" w:hAnsi="宋体" w:eastAsia="宋体" w:cs="宋体"/>
          <w:color w:val="auto"/>
          <w:szCs w:val="21"/>
          <w:highlight w:val="none"/>
          <w:lang w:eastAsia="zh-CN"/>
        </w:rPr>
        <w:t>份</w:t>
      </w:r>
      <w:r>
        <w:rPr>
          <w:rFonts w:hint="eastAsia" w:ascii="宋体" w:hAnsi="宋体" w:eastAsia="宋体" w:cs="宋体"/>
          <w:color w:val="auto"/>
          <w:szCs w:val="21"/>
          <w:highlight w:val="none"/>
        </w:rPr>
        <w:t>，具有同等法律效力，采购代理机构壹份，甲乙</w:t>
      </w:r>
      <w:r>
        <w:rPr>
          <w:rFonts w:hint="eastAsia" w:ascii="宋体" w:hAnsi="宋体" w:eastAsia="宋体" w:cs="宋体"/>
          <w:color w:val="auto"/>
          <w:szCs w:val="21"/>
          <w:highlight w:val="none"/>
          <w:lang w:eastAsia="zh-CN"/>
        </w:rPr>
        <w:t>双</w:t>
      </w:r>
      <w:r>
        <w:rPr>
          <w:rFonts w:hint="eastAsia" w:ascii="宋体" w:hAnsi="宋体" w:eastAsia="宋体" w:cs="宋体"/>
          <w:color w:val="auto"/>
          <w:szCs w:val="21"/>
          <w:highlight w:val="none"/>
        </w:rPr>
        <w:t>方</w:t>
      </w:r>
      <w:r>
        <w:rPr>
          <w:rFonts w:hint="eastAsia" w:ascii="宋体" w:hAnsi="宋体" w:eastAsia="宋体" w:cs="宋体"/>
          <w:color w:val="auto"/>
          <w:szCs w:val="21"/>
          <w:highlight w:val="none"/>
          <w:lang w:eastAsia="zh-CN"/>
        </w:rPr>
        <w:t>各</w:t>
      </w:r>
      <w:r>
        <w:rPr>
          <w:rFonts w:hint="eastAsia" w:ascii="宋体" w:hAnsi="宋体" w:cs="宋体"/>
          <w:color w:val="auto"/>
          <w:szCs w:val="21"/>
          <w:highlight w:val="none"/>
          <w:lang w:eastAsia="zh-CN"/>
        </w:rPr>
        <w:t>贰</w:t>
      </w:r>
      <w:r>
        <w:rPr>
          <w:rFonts w:hint="eastAsia" w:ascii="宋体" w:hAnsi="宋体" w:eastAsia="宋体" w:cs="宋体"/>
          <w:color w:val="auto"/>
          <w:szCs w:val="21"/>
          <w:highlight w:val="none"/>
        </w:rPr>
        <w:t>份（可根据需要另增加）。</w:t>
      </w:r>
    </w:p>
    <w:p w14:paraId="38494D1D">
      <w:pPr>
        <w:shd w:val="clea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本合同自签订之日起2个工作日内，甲方或采购代理机构应当将采购合同在广西壮族自治区财政厅指定的媒体上公告。</w:t>
      </w:r>
    </w:p>
    <w:p w14:paraId="422948F4">
      <w:pPr>
        <w:widowControl/>
        <w:shd w:val="clear"/>
        <w:spacing w:line="360" w:lineRule="auto"/>
        <w:ind w:firstLine="422" w:firstLineChars="200"/>
        <w:rPr>
          <w:rFonts w:ascii="Times New Roman" w:hAnsi="Times New Roman" w:eastAsia="宋体" w:cs="Times New Roman"/>
          <w:color w:val="auto"/>
          <w:highlight w:val="none"/>
        </w:rPr>
      </w:pPr>
      <w:r>
        <w:rPr>
          <w:rFonts w:hint="eastAsia" w:ascii="宋体" w:hAnsi="宋体" w:eastAsia="宋体" w:cs="宋体"/>
          <w:b/>
          <w:color w:val="auto"/>
          <w:kern w:val="0"/>
          <w:szCs w:val="21"/>
          <w:highlight w:val="none"/>
          <w:lang w:eastAsia="en-US"/>
        </w:rPr>
        <w:t>（以下无正文）</w:t>
      </w:r>
    </w:p>
    <w:p w14:paraId="104B908D">
      <w:pPr>
        <w:widowControl/>
        <w:shd w:val="clear"/>
        <w:spacing w:line="360" w:lineRule="auto"/>
        <w:ind w:firstLine="420" w:firstLineChars="200"/>
        <w:rPr>
          <w:rFonts w:ascii="Times New Roman" w:hAnsi="Times New Roman" w:eastAsia="宋体" w:cs="Times New Roman"/>
          <w:color w:val="auto"/>
          <w:highlight w:val="none"/>
        </w:rPr>
      </w:pP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772"/>
      </w:tblGrid>
      <w:tr w14:paraId="71790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jc w:val="center"/>
        </w:trPr>
        <w:tc>
          <w:tcPr>
            <w:tcW w:w="4516" w:type="dxa"/>
            <w:tcBorders>
              <w:top w:val="single" w:color="auto" w:sz="4" w:space="0"/>
              <w:left w:val="single" w:color="auto" w:sz="4" w:space="0"/>
              <w:bottom w:val="single" w:color="auto" w:sz="4" w:space="0"/>
              <w:right w:val="single" w:color="auto" w:sz="4" w:space="0"/>
            </w:tcBorders>
            <w:noWrap w:val="0"/>
            <w:vAlign w:val="center"/>
          </w:tcPr>
          <w:p w14:paraId="68129087">
            <w:pPr>
              <w:shd w:val="clear"/>
              <w:snapToGrid w:val="0"/>
              <w:spacing w:line="360" w:lineRule="exact"/>
              <w:rPr>
                <w:rFonts w:ascii="宋体" w:hAnsi="宋体" w:eastAsia="宋体" w:cs="Times New Roman"/>
                <w:color w:val="auto"/>
                <w:kern w:val="0"/>
                <w:szCs w:val="21"/>
                <w:highlight w:val="none"/>
              </w:rPr>
            </w:pPr>
            <w:r>
              <w:rPr>
                <w:rFonts w:hint="eastAsia" w:ascii="宋体" w:hAnsi="宋体" w:eastAsia="宋体" w:cs="Times New Roman"/>
                <w:color w:val="auto"/>
                <w:szCs w:val="21"/>
                <w:highlight w:val="none"/>
              </w:rPr>
              <w:t xml:space="preserve">甲方（单位公章）           </w:t>
            </w:r>
          </w:p>
          <w:p w14:paraId="0623B42E">
            <w:pPr>
              <w:shd w:val="clear"/>
              <w:snapToGrid w:val="0"/>
              <w:spacing w:line="360" w:lineRule="exact"/>
              <w:rPr>
                <w:rFonts w:ascii="宋体" w:hAnsi="宋体" w:eastAsia="宋体" w:cs="Times New Roman"/>
                <w:color w:val="auto"/>
                <w:kern w:val="0"/>
                <w:szCs w:val="21"/>
                <w:highlight w:val="none"/>
              </w:rPr>
            </w:pPr>
          </w:p>
          <w:p w14:paraId="038017F1">
            <w:pPr>
              <w:keepNext/>
              <w:keepLines/>
              <w:widowControl/>
              <w:shd w:val="clear"/>
              <w:spacing w:before="120" w:after="120" w:line="360" w:lineRule="auto"/>
              <w:jc w:val="center"/>
              <w:outlineLvl w:val="3"/>
              <w:rPr>
                <w:rFonts w:ascii="Arial" w:hAnsi="Arial" w:eastAsia="黑体" w:cs="Times New Roman"/>
                <w:color w:val="auto"/>
                <w:kern w:val="2"/>
                <w:sz w:val="28"/>
                <w:szCs w:val="24"/>
                <w:highlight w:val="none"/>
                <w:lang w:val="en-US" w:eastAsia="zh-CN" w:bidi="ar-SA"/>
              </w:rPr>
            </w:pPr>
          </w:p>
          <w:p w14:paraId="5BC062DD">
            <w:pPr>
              <w:shd w:val="clear"/>
              <w:snapToGrid w:val="0"/>
              <w:spacing w:line="360" w:lineRule="exact"/>
              <w:ind w:firstLine="945" w:firstLineChars="450"/>
              <w:jc w:val="right"/>
              <w:rPr>
                <w:rFonts w:ascii="宋体" w:hAnsi="宋体" w:eastAsia="宋体" w:cs="Times New Roman"/>
                <w:color w:val="auto"/>
                <w:kern w:val="0"/>
                <w:szCs w:val="21"/>
                <w:highlight w:val="none"/>
              </w:rPr>
            </w:pPr>
            <w:r>
              <w:rPr>
                <w:rFonts w:hint="eastAsia" w:ascii="宋体" w:hAnsi="宋体" w:eastAsia="宋体" w:cs="Times New Roman"/>
                <w:color w:val="auto"/>
                <w:szCs w:val="21"/>
                <w:highlight w:val="none"/>
              </w:rPr>
              <w:t>年   月   日</w:t>
            </w:r>
          </w:p>
        </w:tc>
        <w:tc>
          <w:tcPr>
            <w:tcW w:w="4772" w:type="dxa"/>
            <w:tcBorders>
              <w:top w:val="single" w:color="auto" w:sz="4" w:space="0"/>
              <w:left w:val="single" w:color="auto" w:sz="4" w:space="0"/>
              <w:bottom w:val="single" w:color="auto" w:sz="4" w:space="0"/>
              <w:right w:val="single" w:color="auto" w:sz="4" w:space="0"/>
            </w:tcBorders>
            <w:noWrap w:val="0"/>
            <w:vAlign w:val="center"/>
          </w:tcPr>
          <w:p w14:paraId="04624B5E">
            <w:pPr>
              <w:shd w:val="clear"/>
              <w:snapToGrid w:val="0"/>
              <w:spacing w:line="360" w:lineRule="exact"/>
              <w:rPr>
                <w:rFonts w:ascii="宋体" w:hAnsi="宋体" w:eastAsia="宋体" w:cs="Times New Roman"/>
                <w:color w:val="auto"/>
                <w:kern w:val="0"/>
                <w:szCs w:val="21"/>
                <w:highlight w:val="none"/>
              </w:rPr>
            </w:pPr>
            <w:r>
              <w:rPr>
                <w:rFonts w:hint="eastAsia" w:ascii="宋体" w:hAnsi="宋体" w:eastAsia="宋体" w:cs="Times New Roman"/>
                <w:color w:val="auto"/>
                <w:szCs w:val="21"/>
                <w:highlight w:val="none"/>
              </w:rPr>
              <w:t xml:space="preserve">乙方（单位公章）              </w:t>
            </w:r>
          </w:p>
          <w:p w14:paraId="0ED955BD">
            <w:pPr>
              <w:shd w:val="clear"/>
              <w:snapToGrid w:val="0"/>
              <w:spacing w:line="360" w:lineRule="exact"/>
              <w:rPr>
                <w:rFonts w:ascii="宋体" w:hAnsi="宋体" w:eastAsia="宋体" w:cs="Times New Roman"/>
                <w:color w:val="auto"/>
                <w:kern w:val="0"/>
                <w:szCs w:val="21"/>
                <w:highlight w:val="none"/>
              </w:rPr>
            </w:pPr>
          </w:p>
          <w:p w14:paraId="7EB4FBEE">
            <w:pPr>
              <w:keepNext/>
              <w:keepLines/>
              <w:widowControl/>
              <w:shd w:val="clear"/>
              <w:spacing w:before="120" w:after="120" w:line="360" w:lineRule="auto"/>
              <w:jc w:val="center"/>
              <w:outlineLvl w:val="3"/>
              <w:rPr>
                <w:rFonts w:ascii="Arial" w:hAnsi="Arial" w:eastAsia="黑体" w:cs="Times New Roman"/>
                <w:color w:val="auto"/>
                <w:kern w:val="2"/>
                <w:sz w:val="28"/>
                <w:szCs w:val="24"/>
                <w:highlight w:val="none"/>
                <w:lang w:val="en-US" w:eastAsia="zh-CN" w:bidi="ar-SA"/>
              </w:rPr>
            </w:pPr>
          </w:p>
          <w:p w14:paraId="274C34A6">
            <w:pPr>
              <w:shd w:val="clear"/>
              <w:snapToGrid w:val="0"/>
              <w:spacing w:line="360" w:lineRule="exact"/>
              <w:jc w:val="right"/>
              <w:rPr>
                <w:rFonts w:ascii="宋体" w:hAnsi="宋体" w:eastAsia="宋体" w:cs="Times New Roman"/>
                <w:color w:val="auto"/>
                <w:kern w:val="0"/>
                <w:szCs w:val="21"/>
                <w:highlight w:val="none"/>
              </w:rPr>
            </w:pPr>
            <w:r>
              <w:rPr>
                <w:rFonts w:hint="eastAsia" w:ascii="宋体" w:hAnsi="宋体" w:eastAsia="宋体" w:cs="Times New Roman"/>
                <w:color w:val="auto"/>
                <w:szCs w:val="21"/>
                <w:highlight w:val="none"/>
              </w:rPr>
              <w:t xml:space="preserve"> 年   月   日</w:t>
            </w:r>
          </w:p>
        </w:tc>
      </w:tr>
      <w:tr w14:paraId="56CF4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16" w:type="dxa"/>
            <w:tcBorders>
              <w:top w:val="single" w:color="auto" w:sz="4" w:space="0"/>
              <w:left w:val="single" w:color="auto" w:sz="4" w:space="0"/>
              <w:bottom w:val="single" w:color="auto" w:sz="4" w:space="0"/>
              <w:right w:val="single" w:color="auto" w:sz="4" w:space="0"/>
            </w:tcBorders>
            <w:noWrap w:val="0"/>
            <w:vAlign w:val="center"/>
          </w:tcPr>
          <w:p w14:paraId="732B578B">
            <w:pPr>
              <w:shd w:val="clear"/>
              <w:snapToGrid w:val="0"/>
              <w:spacing w:line="360" w:lineRule="exact"/>
              <w:rPr>
                <w:rFonts w:ascii="宋体" w:hAnsi="宋体" w:eastAsia="宋体" w:cs="Times New Roman"/>
                <w:color w:val="auto"/>
                <w:kern w:val="0"/>
                <w:szCs w:val="21"/>
                <w:highlight w:val="none"/>
              </w:rPr>
            </w:pPr>
            <w:r>
              <w:rPr>
                <w:rFonts w:hint="eastAsia" w:ascii="宋体" w:hAnsi="宋体" w:eastAsia="宋体" w:cs="Times New Roman"/>
                <w:color w:val="auto"/>
                <w:szCs w:val="21"/>
                <w:highlight w:val="none"/>
              </w:rPr>
              <w:t>单位地址：</w:t>
            </w:r>
          </w:p>
        </w:tc>
        <w:tc>
          <w:tcPr>
            <w:tcW w:w="4772" w:type="dxa"/>
            <w:tcBorders>
              <w:top w:val="single" w:color="auto" w:sz="4" w:space="0"/>
              <w:left w:val="single" w:color="auto" w:sz="4" w:space="0"/>
              <w:bottom w:val="single" w:color="auto" w:sz="4" w:space="0"/>
              <w:right w:val="single" w:color="auto" w:sz="4" w:space="0"/>
            </w:tcBorders>
            <w:noWrap w:val="0"/>
            <w:vAlign w:val="center"/>
          </w:tcPr>
          <w:p w14:paraId="18B98928">
            <w:pPr>
              <w:shd w:val="clear"/>
              <w:snapToGrid w:val="0"/>
              <w:spacing w:line="360" w:lineRule="exact"/>
              <w:rPr>
                <w:rFonts w:ascii="宋体" w:hAnsi="宋体" w:eastAsia="宋体" w:cs="Times New Roman"/>
                <w:color w:val="auto"/>
                <w:kern w:val="0"/>
                <w:szCs w:val="21"/>
                <w:highlight w:val="none"/>
              </w:rPr>
            </w:pPr>
            <w:r>
              <w:rPr>
                <w:rFonts w:hint="eastAsia" w:ascii="宋体" w:hAnsi="宋体" w:eastAsia="宋体" w:cs="Times New Roman"/>
                <w:color w:val="auto"/>
                <w:szCs w:val="21"/>
                <w:highlight w:val="none"/>
              </w:rPr>
              <w:t>单位地址：</w:t>
            </w:r>
          </w:p>
        </w:tc>
      </w:tr>
      <w:tr w14:paraId="44279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16" w:type="dxa"/>
            <w:tcBorders>
              <w:top w:val="single" w:color="auto" w:sz="4" w:space="0"/>
              <w:left w:val="single" w:color="auto" w:sz="4" w:space="0"/>
              <w:bottom w:val="single" w:color="auto" w:sz="4" w:space="0"/>
              <w:right w:val="single" w:color="auto" w:sz="4" w:space="0"/>
            </w:tcBorders>
            <w:noWrap w:val="0"/>
            <w:vAlign w:val="center"/>
          </w:tcPr>
          <w:p w14:paraId="5CE0D911">
            <w:pPr>
              <w:shd w:val="clear"/>
              <w:snapToGrid w:val="0"/>
              <w:spacing w:line="360" w:lineRule="exact"/>
              <w:rPr>
                <w:rFonts w:ascii="宋体" w:hAnsi="宋体" w:eastAsia="宋体" w:cs="Times New Roman"/>
                <w:color w:val="auto"/>
                <w:kern w:val="0"/>
                <w:szCs w:val="21"/>
                <w:highlight w:val="none"/>
              </w:rPr>
            </w:pPr>
            <w:r>
              <w:rPr>
                <w:rFonts w:hint="eastAsia" w:ascii="宋体" w:hAnsi="宋体" w:eastAsia="宋体" w:cs="Times New Roman"/>
                <w:color w:val="auto"/>
                <w:szCs w:val="21"/>
                <w:highlight w:val="none"/>
              </w:rPr>
              <w:t>法定代表人：</w:t>
            </w:r>
          </w:p>
        </w:tc>
        <w:tc>
          <w:tcPr>
            <w:tcW w:w="4772" w:type="dxa"/>
            <w:tcBorders>
              <w:top w:val="single" w:color="auto" w:sz="4" w:space="0"/>
              <w:left w:val="single" w:color="auto" w:sz="4" w:space="0"/>
              <w:bottom w:val="single" w:color="auto" w:sz="4" w:space="0"/>
              <w:right w:val="single" w:color="auto" w:sz="4" w:space="0"/>
            </w:tcBorders>
            <w:noWrap w:val="0"/>
            <w:vAlign w:val="center"/>
          </w:tcPr>
          <w:p w14:paraId="7D9A6006">
            <w:pPr>
              <w:shd w:val="clear"/>
              <w:snapToGrid w:val="0"/>
              <w:spacing w:line="360" w:lineRule="exact"/>
              <w:rPr>
                <w:rFonts w:ascii="宋体" w:hAnsi="宋体" w:eastAsia="宋体" w:cs="Times New Roman"/>
                <w:color w:val="auto"/>
                <w:kern w:val="0"/>
                <w:szCs w:val="21"/>
                <w:highlight w:val="none"/>
              </w:rPr>
            </w:pPr>
            <w:r>
              <w:rPr>
                <w:rFonts w:hint="eastAsia" w:ascii="宋体" w:hAnsi="宋体" w:eastAsia="宋体" w:cs="Times New Roman"/>
                <w:color w:val="auto"/>
                <w:szCs w:val="21"/>
                <w:highlight w:val="none"/>
              </w:rPr>
              <w:t>法定代表人：</w:t>
            </w:r>
          </w:p>
        </w:tc>
      </w:tr>
      <w:tr w14:paraId="587B5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16" w:type="dxa"/>
            <w:tcBorders>
              <w:top w:val="single" w:color="auto" w:sz="4" w:space="0"/>
              <w:left w:val="single" w:color="auto" w:sz="4" w:space="0"/>
              <w:bottom w:val="single" w:color="auto" w:sz="4" w:space="0"/>
              <w:right w:val="single" w:color="auto" w:sz="4" w:space="0"/>
            </w:tcBorders>
            <w:noWrap w:val="0"/>
            <w:vAlign w:val="center"/>
          </w:tcPr>
          <w:p w14:paraId="47DAF9BD">
            <w:pPr>
              <w:shd w:val="clear"/>
              <w:snapToGrid w:val="0"/>
              <w:spacing w:line="360" w:lineRule="exact"/>
              <w:rPr>
                <w:rFonts w:ascii="宋体" w:hAnsi="宋体" w:eastAsia="宋体" w:cs="Times New Roman"/>
                <w:color w:val="auto"/>
                <w:kern w:val="0"/>
                <w:szCs w:val="21"/>
                <w:highlight w:val="none"/>
              </w:rPr>
            </w:pPr>
            <w:r>
              <w:rPr>
                <w:rFonts w:hint="eastAsia" w:ascii="宋体" w:hAnsi="宋体" w:eastAsia="宋体" w:cs="Times New Roman"/>
                <w:color w:val="auto"/>
                <w:szCs w:val="21"/>
                <w:highlight w:val="none"/>
              </w:rPr>
              <w:t>委托代理人：</w:t>
            </w:r>
          </w:p>
        </w:tc>
        <w:tc>
          <w:tcPr>
            <w:tcW w:w="4772" w:type="dxa"/>
            <w:tcBorders>
              <w:top w:val="single" w:color="auto" w:sz="4" w:space="0"/>
              <w:left w:val="single" w:color="auto" w:sz="4" w:space="0"/>
              <w:bottom w:val="single" w:color="auto" w:sz="4" w:space="0"/>
              <w:right w:val="single" w:color="auto" w:sz="4" w:space="0"/>
            </w:tcBorders>
            <w:noWrap w:val="0"/>
            <w:vAlign w:val="center"/>
          </w:tcPr>
          <w:p w14:paraId="4DD856D8">
            <w:pPr>
              <w:shd w:val="clear"/>
              <w:snapToGrid w:val="0"/>
              <w:spacing w:line="360" w:lineRule="exact"/>
              <w:rPr>
                <w:rFonts w:ascii="宋体" w:hAnsi="宋体" w:eastAsia="宋体" w:cs="Times New Roman"/>
                <w:color w:val="auto"/>
                <w:kern w:val="0"/>
                <w:szCs w:val="21"/>
                <w:highlight w:val="none"/>
              </w:rPr>
            </w:pPr>
            <w:r>
              <w:rPr>
                <w:rFonts w:hint="eastAsia" w:ascii="宋体" w:hAnsi="宋体" w:eastAsia="宋体" w:cs="Times New Roman"/>
                <w:color w:val="auto"/>
                <w:szCs w:val="21"/>
                <w:highlight w:val="none"/>
              </w:rPr>
              <w:t>委托代理人：</w:t>
            </w:r>
          </w:p>
        </w:tc>
      </w:tr>
      <w:tr w14:paraId="2A05F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16" w:type="dxa"/>
            <w:tcBorders>
              <w:top w:val="single" w:color="auto" w:sz="4" w:space="0"/>
              <w:left w:val="single" w:color="auto" w:sz="4" w:space="0"/>
              <w:bottom w:val="single" w:color="auto" w:sz="4" w:space="0"/>
              <w:right w:val="single" w:color="auto" w:sz="4" w:space="0"/>
            </w:tcBorders>
            <w:noWrap w:val="0"/>
            <w:vAlign w:val="center"/>
          </w:tcPr>
          <w:p w14:paraId="42FAD35A">
            <w:pPr>
              <w:shd w:val="clear"/>
              <w:snapToGrid w:val="0"/>
              <w:spacing w:line="360" w:lineRule="exact"/>
              <w:rPr>
                <w:rFonts w:ascii="宋体" w:hAnsi="宋体" w:eastAsia="宋体" w:cs="Times New Roman"/>
                <w:color w:val="auto"/>
                <w:kern w:val="0"/>
                <w:szCs w:val="21"/>
                <w:highlight w:val="none"/>
              </w:rPr>
            </w:pPr>
            <w:r>
              <w:rPr>
                <w:rFonts w:hint="eastAsia" w:ascii="宋体" w:hAnsi="宋体" w:eastAsia="宋体" w:cs="Times New Roman"/>
                <w:color w:val="auto"/>
                <w:szCs w:val="21"/>
                <w:highlight w:val="none"/>
              </w:rPr>
              <w:t>电话：</w:t>
            </w:r>
          </w:p>
        </w:tc>
        <w:tc>
          <w:tcPr>
            <w:tcW w:w="4772" w:type="dxa"/>
            <w:tcBorders>
              <w:top w:val="single" w:color="auto" w:sz="4" w:space="0"/>
              <w:left w:val="single" w:color="auto" w:sz="4" w:space="0"/>
              <w:bottom w:val="single" w:color="auto" w:sz="4" w:space="0"/>
              <w:right w:val="single" w:color="auto" w:sz="4" w:space="0"/>
            </w:tcBorders>
            <w:noWrap w:val="0"/>
            <w:vAlign w:val="center"/>
          </w:tcPr>
          <w:p w14:paraId="5A1631FD">
            <w:pPr>
              <w:shd w:val="clear"/>
              <w:snapToGrid w:val="0"/>
              <w:spacing w:line="360" w:lineRule="exact"/>
              <w:rPr>
                <w:rFonts w:ascii="宋体" w:hAnsi="宋体" w:eastAsia="宋体" w:cs="Times New Roman"/>
                <w:color w:val="auto"/>
                <w:kern w:val="0"/>
                <w:szCs w:val="21"/>
                <w:highlight w:val="none"/>
              </w:rPr>
            </w:pPr>
            <w:r>
              <w:rPr>
                <w:rFonts w:hint="eastAsia" w:ascii="宋体" w:hAnsi="宋体" w:eastAsia="宋体" w:cs="Times New Roman"/>
                <w:color w:val="auto"/>
                <w:szCs w:val="21"/>
                <w:highlight w:val="none"/>
              </w:rPr>
              <w:t>电话：</w:t>
            </w:r>
          </w:p>
        </w:tc>
      </w:tr>
      <w:tr w14:paraId="38F3A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16" w:type="dxa"/>
            <w:tcBorders>
              <w:top w:val="single" w:color="auto" w:sz="4" w:space="0"/>
              <w:left w:val="single" w:color="auto" w:sz="4" w:space="0"/>
              <w:bottom w:val="single" w:color="auto" w:sz="4" w:space="0"/>
              <w:right w:val="single" w:color="auto" w:sz="4" w:space="0"/>
            </w:tcBorders>
            <w:noWrap w:val="0"/>
            <w:vAlign w:val="center"/>
          </w:tcPr>
          <w:p w14:paraId="3FE1E2C0">
            <w:pPr>
              <w:shd w:val="clear"/>
              <w:snapToGrid w:val="0"/>
              <w:spacing w:line="360" w:lineRule="exact"/>
              <w:rPr>
                <w:rFonts w:ascii="宋体" w:hAnsi="宋体" w:eastAsia="宋体" w:cs="Times New Roman"/>
                <w:color w:val="auto"/>
                <w:kern w:val="0"/>
                <w:szCs w:val="21"/>
                <w:highlight w:val="none"/>
              </w:rPr>
            </w:pPr>
            <w:r>
              <w:rPr>
                <w:rFonts w:hint="eastAsia" w:ascii="宋体" w:hAnsi="宋体" w:eastAsia="宋体" w:cs="Times New Roman"/>
                <w:color w:val="auto"/>
                <w:szCs w:val="21"/>
                <w:highlight w:val="none"/>
              </w:rPr>
              <w:t>电子邮箱：</w:t>
            </w:r>
          </w:p>
        </w:tc>
        <w:tc>
          <w:tcPr>
            <w:tcW w:w="4772" w:type="dxa"/>
            <w:tcBorders>
              <w:top w:val="single" w:color="auto" w:sz="4" w:space="0"/>
              <w:left w:val="single" w:color="auto" w:sz="4" w:space="0"/>
              <w:bottom w:val="single" w:color="auto" w:sz="4" w:space="0"/>
              <w:right w:val="single" w:color="auto" w:sz="4" w:space="0"/>
            </w:tcBorders>
            <w:noWrap w:val="0"/>
            <w:vAlign w:val="center"/>
          </w:tcPr>
          <w:p w14:paraId="16325910">
            <w:pPr>
              <w:shd w:val="clear"/>
              <w:snapToGrid w:val="0"/>
              <w:spacing w:line="360" w:lineRule="exact"/>
              <w:rPr>
                <w:rFonts w:ascii="宋体" w:hAnsi="宋体" w:eastAsia="宋体" w:cs="Times New Roman"/>
                <w:color w:val="auto"/>
                <w:kern w:val="0"/>
                <w:szCs w:val="21"/>
                <w:highlight w:val="none"/>
              </w:rPr>
            </w:pPr>
            <w:r>
              <w:rPr>
                <w:rFonts w:hint="eastAsia" w:ascii="宋体" w:hAnsi="宋体" w:eastAsia="宋体" w:cs="Times New Roman"/>
                <w:color w:val="auto"/>
                <w:szCs w:val="21"/>
                <w:highlight w:val="none"/>
              </w:rPr>
              <w:t>电子邮箱：</w:t>
            </w:r>
          </w:p>
        </w:tc>
      </w:tr>
      <w:tr w14:paraId="294D1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16" w:type="dxa"/>
            <w:tcBorders>
              <w:top w:val="single" w:color="auto" w:sz="4" w:space="0"/>
              <w:left w:val="single" w:color="auto" w:sz="4" w:space="0"/>
              <w:bottom w:val="single" w:color="auto" w:sz="4" w:space="0"/>
              <w:right w:val="single" w:color="auto" w:sz="4" w:space="0"/>
            </w:tcBorders>
            <w:noWrap w:val="0"/>
            <w:vAlign w:val="center"/>
          </w:tcPr>
          <w:p w14:paraId="1B6AE4D6">
            <w:pPr>
              <w:shd w:val="clear"/>
              <w:snapToGrid w:val="0"/>
              <w:spacing w:line="360" w:lineRule="exact"/>
              <w:rPr>
                <w:rFonts w:ascii="宋体" w:hAnsi="宋体" w:eastAsia="宋体" w:cs="Times New Roman"/>
                <w:color w:val="auto"/>
                <w:kern w:val="0"/>
                <w:szCs w:val="21"/>
                <w:highlight w:val="none"/>
              </w:rPr>
            </w:pPr>
            <w:r>
              <w:rPr>
                <w:rFonts w:hint="eastAsia" w:ascii="宋体" w:hAnsi="宋体" w:eastAsia="宋体" w:cs="Times New Roman"/>
                <w:color w:val="auto"/>
                <w:szCs w:val="21"/>
                <w:highlight w:val="none"/>
              </w:rPr>
              <w:t>开户银行：</w:t>
            </w:r>
          </w:p>
        </w:tc>
        <w:tc>
          <w:tcPr>
            <w:tcW w:w="4772" w:type="dxa"/>
            <w:tcBorders>
              <w:top w:val="single" w:color="auto" w:sz="4" w:space="0"/>
              <w:left w:val="single" w:color="auto" w:sz="4" w:space="0"/>
              <w:bottom w:val="single" w:color="auto" w:sz="4" w:space="0"/>
              <w:right w:val="single" w:color="auto" w:sz="4" w:space="0"/>
            </w:tcBorders>
            <w:noWrap w:val="0"/>
            <w:vAlign w:val="center"/>
          </w:tcPr>
          <w:p w14:paraId="4A13E0DA">
            <w:pPr>
              <w:shd w:val="clear"/>
              <w:snapToGrid w:val="0"/>
              <w:spacing w:line="360" w:lineRule="exact"/>
              <w:rPr>
                <w:rFonts w:ascii="宋体" w:hAnsi="宋体" w:eastAsia="宋体" w:cs="Times New Roman"/>
                <w:color w:val="auto"/>
                <w:kern w:val="0"/>
                <w:szCs w:val="21"/>
                <w:highlight w:val="none"/>
              </w:rPr>
            </w:pPr>
            <w:r>
              <w:rPr>
                <w:rFonts w:hint="eastAsia" w:ascii="宋体" w:hAnsi="宋体" w:eastAsia="宋体" w:cs="Times New Roman"/>
                <w:color w:val="auto"/>
                <w:szCs w:val="21"/>
                <w:highlight w:val="none"/>
              </w:rPr>
              <w:t>开户银行：</w:t>
            </w:r>
          </w:p>
        </w:tc>
      </w:tr>
      <w:tr w14:paraId="54A14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16" w:type="dxa"/>
            <w:tcBorders>
              <w:top w:val="single" w:color="auto" w:sz="4" w:space="0"/>
              <w:left w:val="single" w:color="auto" w:sz="4" w:space="0"/>
              <w:bottom w:val="single" w:color="auto" w:sz="4" w:space="0"/>
              <w:right w:val="single" w:color="auto" w:sz="4" w:space="0"/>
            </w:tcBorders>
            <w:noWrap w:val="0"/>
            <w:vAlign w:val="center"/>
          </w:tcPr>
          <w:p w14:paraId="3A02B968">
            <w:pPr>
              <w:shd w:val="clear"/>
              <w:snapToGrid w:val="0"/>
              <w:spacing w:line="360" w:lineRule="exact"/>
              <w:rPr>
                <w:rFonts w:ascii="宋体" w:hAnsi="宋体" w:eastAsia="宋体" w:cs="Times New Roman"/>
                <w:color w:val="auto"/>
                <w:kern w:val="0"/>
                <w:szCs w:val="21"/>
                <w:highlight w:val="none"/>
              </w:rPr>
            </w:pPr>
            <w:r>
              <w:rPr>
                <w:rFonts w:hint="eastAsia" w:ascii="宋体" w:hAnsi="宋体" w:eastAsia="宋体" w:cs="Times New Roman"/>
                <w:color w:val="auto"/>
                <w:szCs w:val="21"/>
                <w:highlight w:val="none"/>
              </w:rPr>
              <w:t>账号：</w:t>
            </w:r>
          </w:p>
        </w:tc>
        <w:tc>
          <w:tcPr>
            <w:tcW w:w="4772" w:type="dxa"/>
            <w:tcBorders>
              <w:top w:val="single" w:color="auto" w:sz="4" w:space="0"/>
              <w:left w:val="single" w:color="auto" w:sz="4" w:space="0"/>
              <w:bottom w:val="single" w:color="auto" w:sz="4" w:space="0"/>
              <w:right w:val="single" w:color="auto" w:sz="4" w:space="0"/>
            </w:tcBorders>
            <w:noWrap w:val="0"/>
            <w:vAlign w:val="center"/>
          </w:tcPr>
          <w:p w14:paraId="33457AA0">
            <w:pPr>
              <w:shd w:val="clear"/>
              <w:snapToGrid w:val="0"/>
              <w:spacing w:line="360" w:lineRule="exact"/>
              <w:rPr>
                <w:rFonts w:ascii="宋体" w:hAnsi="宋体" w:eastAsia="宋体" w:cs="Times New Roman"/>
                <w:color w:val="auto"/>
                <w:kern w:val="0"/>
                <w:szCs w:val="21"/>
                <w:highlight w:val="none"/>
              </w:rPr>
            </w:pPr>
            <w:r>
              <w:rPr>
                <w:rFonts w:hint="eastAsia" w:ascii="宋体" w:hAnsi="宋体" w:eastAsia="宋体" w:cs="Times New Roman"/>
                <w:color w:val="auto"/>
                <w:szCs w:val="21"/>
                <w:highlight w:val="none"/>
              </w:rPr>
              <w:t>账号：</w:t>
            </w:r>
          </w:p>
        </w:tc>
      </w:tr>
      <w:tr w14:paraId="4F99A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16" w:type="dxa"/>
            <w:tcBorders>
              <w:top w:val="single" w:color="auto" w:sz="4" w:space="0"/>
              <w:left w:val="single" w:color="auto" w:sz="4" w:space="0"/>
              <w:bottom w:val="single" w:color="auto" w:sz="4" w:space="0"/>
              <w:right w:val="single" w:color="auto" w:sz="4" w:space="0"/>
            </w:tcBorders>
            <w:noWrap w:val="0"/>
            <w:vAlign w:val="center"/>
          </w:tcPr>
          <w:p w14:paraId="00A9E045">
            <w:pPr>
              <w:shd w:val="clear"/>
              <w:snapToGrid w:val="0"/>
              <w:spacing w:line="360" w:lineRule="exact"/>
              <w:rPr>
                <w:rFonts w:ascii="宋体" w:hAnsi="宋体" w:eastAsia="宋体" w:cs="Times New Roman"/>
                <w:color w:val="auto"/>
                <w:kern w:val="0"/>
                <w:szCs w:val="21"/>
                <w:highlight w:val="none"/>
              </w:rPr>
            </w:pPr>
            <w:r>
              <w:rPr>
                <w:rFonts w:hint="eastAsia" w:ascii="宋体" w:hAnsi="宋体" w:eastAsia="宋体" w:cs="Times New Roman"/>
                <w:color w:val="auto"/>
                <w:szCs w:val="21"/>
                <w:highlight w:val="none"/>
              </w:rPr>
              <w:t>邮政编码：</w:t>
            </w:r>
          </w:p>
        </w:tc>
        <w:tc>
          <w:tcPr>
            <w:tcW w:w="4772" w:type="dxa"/>
            <w:tcBorders>
              <w:top w:val="single" w:color="auto" w:sz="4" w:space="0"/>
              <w:left w:val="single" w:color="auto" w:sz="4" w:space="0"/>
              <w:bottom w:val="single" w:color="auto" w:sz="4" w:space="0"/>
              <w:right w:val="single" w:color="auto" w:sz="4" w:space="0"/>
            </w:tcBorders>
            <w:noWrap w:val="0"/>
            <w:vAlign w:val="center"/>
          </w:tcPr>
          <w:p w14:paraId="188844AF">
            <w:pPr>
              <w:shd w:val="clear"/>
              <w:snapToGrid w:val="0"/>
              <w:spacing w:line="360" w:lineRule="exact"/>
              <w:rPr>
                <w:rFonts w:ascii="宋体" w:hAnsi="宋体" w:eastAsia="宋体" w:cs="Times New Roman"/>
                <w:color w:val="auto"/>
                <w:kern w:val="0"/>
                <w:szCs w:val="21"/>
                <w:highlight w:val="none"/>
              </w:rPr>
            </w:pPr>
            <w:r>
              <w:rPr>
                <w:rFonts w:hint="eastAsia" w:ascii="宋体" w:hAnsi="宋体" w:eastAsia="宋体" w:cs="Times New Roman"/>
                <w:color w:val="auto"/>
                <w:szCs w:val="21"/>
                <w:highlight w:val="none"/>
              </w:rPr>
              <w:t>邮政编码：</w:t>
            </w:r>
          </w:p>
        </w:tc>
      </w:tr>
    </w:tbl>
    <w:p w14:paraId="0726693D">
      <w:pPr>
        <w:shd w:val="clear"/>
        <w:snapToGrid w:val="0"/>
        <w:spacing w:line="360" w:lineRule="exact"/>
        <w:jc w:val="center"/>
        <w:rPr>
          <w:rFonts w:ascii="宋体" w:hAnsi="宋体" w:eastAsia="宋体" w:cs="Times New Roman"/>
          <w:b/>
          <w:color w:val="auto"/>
          <w:szCs w:val="21"/>
          <w:highlight w:val="none"/>
        </w:rPr>
      </w:pPr>
    </w:p>
    <w:p w14:paraId="1C23820D">
      <w:pPr>
        <w:shd w:val="clear"/>
        <w:spacing w:before="120" w:beforeLines="50" w:line="420" w:lineRule="exact"/>
        <w:jc w:val="center"/>
        <w:rPr>
          <w:rFonts w:ascii="宋体" w:hAnsi="宋体" w:eastAsia="宋体" w:cs="Times New Roman"/>
          <w:b/>
          <w:color w:val="auto"/>
          <w:sz w:val="28"/>
          <w:szCs w:val="28"/>
          <w:highlight w:val="none"/>
        </w:rPr>
      </w:pPr>
      <w:r>
        <w:rPr>
          <w:rFonts w:hint="eastAsia" w:ascii="宋体" w:hAnsi="宋体" w:eastAsia="宋体" w:cs="Times New Roman"/>
          <w:b/>
          <w:color w:val="auto"/>
          <w:szCs w:val="21"/>
          <w:highlight w:val="none"/>
        </w:rPr>
        <w:br w:type="page"/>
      </w:r>
      <w:r>
        <w:rPr>
          <w:rFonts w:hint="eastAsia" w:ascii="宋体" w:hAnsi="宋体" w:eastAsia="宋体" w:cs="Times New Roman"/>
          <w:b/>
          <w:color w:val="auto"/>
          <w:sz w:val="28"/>
          <w:szCs w:val="28"/>
          <w:highlight w:val="none"/>
        </w:rPr>
        <w:t>合 同 附 件</w:t>
      </w:r>
    </w:p>
    <w:p w14:paraId="55B47503">
      <w:pPr>
        <w:shd w:val="clear"/>
        <w:snapToGrid w:val="0"/>
        <w:spacing w:line="360" w:lineRule="exact"/>
        <w:jc w:val="center"/>
        <w:rPr>
          <w:rFonts w:ascii="宋体" w:hAnsi="宋体" w:eastAsia="宋体" w:cs="Times New Roman"/>
          <w:b/>
          <w:color w:val="auto"/>
          <w:szCs w:val="21"/>
          <w:highlight w:val="none"/>
        </w:rPr>
      </w:pP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8"/>
        <w:gridCol w:w="4680"/>
      </w:tblGrid>
      <w:tr w14:paraId="39630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9468" w:type="dxa"/>
            <w:gridSpan w:val="2"/>
            <w:tcBorders>
              <w:top w:val="single" w:color="auto" w:sz="4" w:space="0"/>
              <w:left w:val="single" w:color="auto" w:sz="4" w:space="0"/>
              <w:bottom w:val="single" w:color="auto" w:sz="4" w:space="0"/>
              <w:right w:val="single" w:color="auto" w:sz="4" w:space="0"/>
            </w:tcBorders>
            <w:noWrap w:val="0"/>
            <w:vAlign w:val="top"/>
          </w:tcPr>
          <w:p w14:paraId="7E08A4DD">
            <w:pPr>
              <w:shd w:val="clear"/>
              <w:snapToGrid w:val="0"/>
              <w:spacing w:line="360" w:lineRule="exact"/>
              <w:rPr>
                <w:rFonts w:ascii="宋体" w:hAnsi="宋体" w:eastAsia="宋体" w:cs="Times New Roman"/>
                <w:color w:val="auto"/>
                <w:kern w:val="0"/>
                <w:szCs w:val="21"/>
                <w:highlight w:val="none"/>
              </w:rPr>
            </w:pPr>
            <w:r>
              <w:rPr>
                <w:rFonts w:hint="eastAsia" w:ascii="宋体" w:hAnsi="宋体" w:cs="Times New Roman"/>
                <w:color w:val="auto"/>
                <w:szCs w:val="21"/>
                <w:highlight w:val="none"/>
                <w:lang w:eastAsia="zh-CN"/>
              </w:rPr>
              <w:t>1.</w:t>
            </w:r>
            <w:r>
              <w:rPr>
                <w:rFonts w:hint="eastAsia" w:ascii="宋体" w:hAnsi="宋体" w:eastAsia="宋体" w:cs="Times New Roman"/>
                <w:color w:val="auto"/>
                <w:szCs w:val="21"/>
                <w:highlight w:val="none"/>
              </w:rPr>
              <w:t>乙方承诺具体事项：</w:t>
            </w:r>
          </w:p>
        </w:tc>
      </w:tr>
      <w:tr w14:paraId="3FCA0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9468" w:type="dxa"/>
            <w:gridSpan w:val="2"/>
            <w:tcBorders>
              <w:top w:val="single" w:color="auto" w:sz="4" w:space="0"/>
              <w:left w:val="single" w:color="auto" w:sz="4" w:space="0"/>
              <w:bottom w:val="single" w:color="auto" w:sz="4" w:space="0"/>
              <w:right w:val="single" w:color="auto" w:sz="4" w:space="0"/>
            </w:tcBorders>
            <w:noWrap w:val="0"/>
            <w:vAlign w:val="top"/>
          </w:tcPr>
          <w:p w14:paraId="6B45AB17">
            <w:pPr>
              <w:shd w:val="clear"/>
              <w:snapToGrid w:val="0"/>
              <w:spacing w:line="360" w:lineRule="exact"/>
              <w:rPr>
                <w:rFonts w:ascii="宋体" w:hAnsi="宋体" w:eastAsia="宋体" w:cs="Times New Roman"/>
                <w:color w:val="auto"/>
                <w:kern w:val="0"/>
                <w:szCs w:val="21"/>
                <w:highlight w:val="none"/>
              </w:rPr>
            </w:pPr>
            <w:r>
              <w:rPr>
                <w:rFonts w:hint="eastAsia" w:ascii="宋体" w:hAnsi="宋体" w:cs="Times New Roman"/>
                <w:color w:val="auto"/>
                <w:szCs w:val="21"/>
                <w:highlight w:val="none"/>
                <w:lang w:eastAsia="zh-CN"/>
              </w:rPr>
              <w:t>2.</w:t>
            </w:r>
            <w:r>
              <w:rPr>
                <w:rFonts w:hint="eastAsia" w:ascii="宋体" w:hAnsi="宋体" w:eastAsia="宋体" w:cs="Times New Roman"/>
                <w:color w:val="auto"/>
                <w:szCs w:val="21"/>
                <w:highlight w:val="none"/>
              </w:rPr>
              <w:t>服务具体事项：</w:t>
            </w:r>
          </w:p>
        </w:tc>
      </w:tr>
      <w:tr w14:paraId="3BE6E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9468" w:type="dxa"/>
            <w:gridSpan w:val="2"/>
            <w:tcBorders>
              <w:top w:val="single" w:color="auto" w:sz="4" w:space="0"/>
              <w:left w:val="single" w:color="auto" w:sz="4" w:space="0"/>
              <w:bottom w:val="single" w:color="auto" w:sz="4" w:space="0"/>
              <w:right w:val="single" w:color="auto" w:sz="4" w:space="0"/>
            </w:tcBorders>
            <w:noWrap w:val="0"/>
            <w:vAlign w:val="top"/>
          </w:tcPr>
          <w:p w14:paraId="1FCD15BD">
            <w:pPr>
              <w:shd w:val="clear"/>
              <w:snapToGrid w:val="0"/>
              <w:spacing w:line="360" w:lineRule="exact"/>
              <w:rPr>
                <w:rFonts w:ascii="宋体" w:hAnsi="宋体" w:eastAsia="宋体" w:cs="Times New Roman"/>
                <w:color w:val="auto"/>
                <w:kern w:val="0"/>
                <w:szCs w:val="21"/>
                <w:highlight w:val="none"/>
              </w:rPr>
            </w:pPr>
            <w:r>
              <w:rPr>
                <w:rFonts w:hint="eastAsia" w:ascii="宋体" w:hAnsi="宋体" w:cs="Times New Roman"/>
                <w:color w:val="auto"/>
                <w:szCs w:val="21"/>
                <w:highlight w:val="none"/>
                <w:lang w:eastAsia="zh-CN"/>
              </w:rPr>
              <w:t>3.</w:t>
            </w:r>
            <w:r>
              <w:rPr>
                <w:rFonts w:hint="eastAsia" w:ascii="宋体" w:hAnsi="宋体" w:eastAsia="宋体" w:cs="Times New Roman"/>
                <w:color w:val="auto"/>
                <w:szCs w:val="21"/>
                <w:highlight w:val="none"/>
              </w:rPr>
              <w:t>服务期责任：</w:t>
            </w:r>
          </w:p>
        </w:tc>
      </w:tr>
      <w:tr w14:paraId="415C9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9468" w:type="dxa"/>
            <w:gridSpan w:val="2"/>
            <w:tcBorders>
              <w:top w:val="single" w:color="auto" w:sz="4" w:space="0"/>
              <w:left w:val="single" w:color="auto" w:sz="4" w:space="0"/>
              <w:bottom w:val="single" w:color="auto" w:sz="4" w:space="0"/>
              <w:right w:val="single" w:color="auto" w:sz="4" w:space="0"/>
            </w:tcBorders>
            <w:noWrap w:val="0"/>
            <w:vAlign w:val="top"/>
          </w:tcPr>
          <w:p w14:paraId="7BEE6F1B">
            <w:pPr>
              <w:shd w:val="clear"/>
              <w:snapToGrid w:val="0"/>
              <w:spacing w:line="360" w:lineRule="exact"/>
              <w:rPr>
                <w:rFonts w:ascii="宋体" w:hAnsi="宋体" w:eastAsia="宋体" w:cs="Times New Roman"/>
                <w:color w:val="auto"/>
                <w:kern w:val="0"/>
                <w:szCs w:val="21"/>
                <w:highlight w:val="none"/>
              </w:rPr>
            </w:pPr>
            <w:r>
              <w:rPr>
                <w:rFonts w:hint="eastAsia" w:ascii="宋体" w:hAnsi="宋体" w:cs="Times New Roman"/>
                <w:color w:val="auto"/>
                <w:szCs w:val="21"/>
                <w:highlight w:val="none"/>
                <w:lang w:eastAsia="zh-CN"/>
              </w:rPr>
              <w:t>4.</w:t>
            </w:r>
            <w:r>
              <w:rPr>
                <w:rFonts w:hint="eastAsia" w:ascii="宋体" w:hAnsi="宋体" w:eastAsia="宋体" w:cs="Times New Roman"/>
                <w:color w:val="auto"/>
                <w:szCs w:val="21"/>
                <w:highlight w:val="none"/>
              </w:rPr>
              <w:t>其他具体事项：</w:t>
            </w:r>
          </w:p>
        </w:tc>
      </w:tr>
      <w:tr w14:paraId="037CE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4788" w:type="dxa"/>
            <w:tcBorders>
              <w:top w:val="single" w:color="auto" w:sz="4" w:space="0"/>
              <w:left w:val="single" w:color="auto" w:sz="4" w:space="0"/>
              <w:bottom w:val="single" w:color="auto" w:sz="4" w:space="0"/>
              <w:right w:val="single" w:color="auto" w:sz="4" w:space="0"/>
            </w:tcBorders>
            <w:noWrap w:val="0"/>
            <w:vAlign w:val="center"/>
          </w:tcPr>
          <w:p w14:paraId="45E7291E">
            <w:pPr>
              <w:shd w:val="clear"/>
              <w:snapToGrid w:val="0"/>
              <w:spacing w:line="360" w:lineRule="exact"/>
              <w:rPr>
                <w:rFonts w:ascii="宋体" w:hAnsi="宋体" w:eastAsia="宋体" w:cs="Times New Roman"/>
                <w:color w:val="auto"/>
                <w:kern w:val="0"/>
                <w:szCs w:val="21"/>
                <w:highlight w:val="none"/>
              </w:rPr>
            </w:pPr>
            <w:r>
              <w:rPr>
                <w:rFonts w:hint="eastAsia" w:ascii="宋体" w:hAnsi="宋体" w:eastAsia="宋体" w:cs="Times New Roman"/>
                <w:color w:val="auto"/>
                <w:szCs w:val="21"/>
                <w:highlight w:val="none"/>
              </w:rPr>
              <w:t>甲方（单位公章）</w:t>
            </w:r>
          </w:p>
          <w:p w14:paraId="0AE4EFD1">
            <w:pPr>
              <w:shd w:val="clear"/>
              <w:snapToGrid w:val="0"/>
              <w:spacing w:line="360" w:lineRule="exact"/>
              <w:ind w:firstLine="422"/>
              <w:rPr>
                <w:rFonts w:ascii="宋体" w:hAnsi="宋体" w:eastAsia="宋体" w:cs="Times New Roman"/>
                <w:color w:val="auto"/>
                <w:kern w:val="0"/>
                <w:szCs w:val="21"/>
                <w:highlight w:val="none"/>
              </w:rPr>
            </w:pPr>
          </w:p>
          <w:p w14:paraId="332162F7">
            <w:pPr>
              <w:shd w:val="clear"/>
              <w:snapToGrid w:val="0"/>
              <w:spacing w:line="360" w:lineRule="exact"/>
              <w:rPr>
                <w:rFonts w:ascii="宋体" w:hAnsi="宋体" w:eastAsia="宋体" w:cs="Times New Roman"/>
                <w:color w:val="auto"/>
                <w:kern w:val="0"/>
                <w:szCs w:val="21"/>
                <w:highlight w:val="none"/>
              </w:rPr>
            </w:pPr>
          </w:p>
          <w:p w14:paraId="12141EA5">
            <w:pPr>
              <w:shd w:val="clear"/>
              <w:snapToGrid w:val="0"/>
              <w:spacing w:line="360" w:lineRule="exact"/>
              <w:ind w:firstLine="422"/>
              <w:rPr>
                <w:rFonts w:ascii="宋体" w:hAnsi="宋体" w:eastAsia="宋体" w:cs="Times New Roman"/>
                <w:color w:val="auto"/>
                <w:kern w:val="0"/>
                <w:szCs w:val="21"/>
                <w:highlight w:val="none"/>
              </w:rPr>
            </w:pPr>
            <w:r>
              <w:rPr>
                <w:rFonts w:hint="eastAsia" w:ascii="宋体" w:hAnsi="宋体" w:eastAsia="宋体" w:cs="Times New Roman"/>
                <w:color w:val="auto"/>
                <w:szCs w:val="21"/>
                <w:highlight w:val="none"/>
              </w:rPr>
              <w:t xml:space="preserve">                      年   月   日 </w:t>
            </w:r>
          </w:p>
        </w:tc>
        <w:tc>
          <w:tcPr>
            <w:tcW w:w="4680" w:type="dxa"/>
            <w:tcBorders>
              <w:top w:val="single" w:color="auto" w:sz="4" w:space="0"/>
              <w:left w:val="single" w:color="auto" w:sz="4" w:space="0"/>
              <w:bottom w:val="single" w:color="auto" w:sz="4" w:space="0"/>
              <w:right w:val="single" w:color="auto" w:sz="4" w:space="0"/>
            </w:tcBorders>
            <w:noWrap w:val="0"/>
            <w:vAlign w:val="center"/>
          </w:tcPr>
          <w:p w14:paraId="69D7A28D">
            <w:pPr>
              <w:shd w:val="clear"/>
              <w:snapToGrid w:val="0"/>
              <w:spacing w:line="360" w:lineRule="exact"/>
              <w:rPr>
                <w:rFonts w:ascii="宋体" w:hAnsi="宋体" w:eastAsia="宋体" w:cs="Times New Roman"/>
                <w:color w:val="auto"/>
                <w:kern w:val="0"/>
                <w:szCs w:val="21"/>
                <w:highlight w:val="none"/>
              </w:rPr>
            </w:pPr>
            <w:r>
              <w:rPr>
                <w:rFonts w:hint="eastAsia" w:ascii="宋体" w:hAnsi="宋体" w:eastAsia="宋体" w:cs="Times New Roman"/>
                <w:color w:val="auto"/>
                <w:szCs w:val="21"/>
                <w:highlight w:val="none"/>
              </w:rPr>
              <w:t>乙方（单位公章）</w:t>
            </w:r>
          </w:p>
          <w:p w14:paraId="191A021A">
            <w:pPr>
              <w:shd w:val="clear"/>
              <w:snapToGrid w:val="0"/>
              <w:spacing w:line="360" w:lineRule="exact"/>
              <w:ind w:firstLine="422"/>
              <w:rPr>
                <w:rFonts w:ascii="宋体" w:hAnsi="宋体" w:eastAsia="宋体" w:cs="Times New Roman"/>
                <w:color w:val="auto"/>
                <w:kern w:val="0"/>
                <w:szCs w:val="21"/>
                <w:highlight w:val="none"/>
              </w:rPr>
            </w:pPr>
          </w:p>
          <w:p w14:paraId="66EADBF5">
            <w:pPr>
              <w:shd w:val="clear"/>
              <w:snapToGrid w:val="0"/>
              <w:spacing w:line="360" w:lineRule="exact"/>
              <w:rPr>
                <w:rFonts w:ascii="宋体" w:hAnsi="宋体" w:eastAsia="宋体" w:cs="Times New Roman"/>
                <w:color w:val="auto"/>
                <w:kern w:val="0"/>
                <w:szCs w:val="21"/>
                <w:highlight w:val="none"/>
              </w:rPr>
            </w:pPr>
          </w:p>
          <w:p w14:paraId="7C54DFAE">
            <w:pPr>
              <w:shd w:val="clear"/>
              <w:snapToGrid w:val="0"/>
              <w:spacing w:line="360" w:lineRule="exact"/>
              <w:ind w:firstLine="422"/>
              <w:rPr>
                <w:rFonts w:ascii="宋体" w:hAnsi="宋体" w:eastAsia="宋体" w:cs="Times New Roman"/>
                <w:color w:val="auto"/>
                <w:kern w:val="0"/>
                <w:szCs w:val="21"/>
                <w:highlight w:val="none"/>
              </w:rPr>
            </w:pPr>
            <w:r>
              <w:rPr>
                <w:rFonts w:hint="eastAsia" w:ascii="宋体" w:hAnsi="宋体" w:eastAsia="宋体" w:cs="Times New Roman"/>
                <w:color w:val="auto"/>
                <w:szCs w:val="21"/>
                <w:highlight w:val="none"/>
              </w:rPr>
              <w:t xml:space="preserve">                       年   月   日</w:t>
            </w:r>
          </w:p>
        </w:tc>
      </w:tr>
    </w:tbl>
    <w:p w14:paraId="1B6E9D00">
      <w:pPr>
        <w:shd w:val="clear"/>
        <w:rPr>
          <w:rFonts w:hint="eastAsia" w:ascii="Times New Roman" w:hAnsi="Times New Roman" w:eastAsia="宋体" w:cs="Times New Roman"/>
          <w:color w:val="auto"/>
          <w:highlight w:val="none"/>
          <w:lang w:val="en-US" w:eastAsia="zh-CN"/>
        </w:rPr>
      </w:pPr>
      <w:r>
        <w:rPr>
          <w:rFonts w:hint="eastAsia" w:ascii="宋体" w:hAnsi="宋体" w:eastAsia="宋体" w:cs="Times New Roman"/>
          <w:color w:val="auto"/>
          <w:szCs w:val="21"/>
          <w:highlight w:val="none"/>
        </w:rPr>
        <w:t>注：服务事项填不下时可另加附页</w:t>
      </w:r>
      <w:r>
        <w:rPr>
          <w:rFonts w:hint="eastAsia" w:ascii="宋体" w:hAnsi="宋体" w:eastAsia="宋体" w:cs="Times New Roman"/>
          <w:color w:val="auto"/>
          <w:szCs w:val="21"/>
          <w:highlight w:val="none"/>
          <w:lang w:eastAsia="zh-CN"/>
        </w:rPr>
        <w:t>。</w:t>
      </w:r>
    </w:p>
    <w:p w14:paraId="1C68D40D">
      <w:pPr>
        <w:shd w:val="clear"/>
        <w:rPr>
          <w:rFonts w:ascii="Times New Roman" w:hAnsi="Times New Roman" w:eastAsia="宋体" w:cs="Times New Roman"/>
          <w:color w:val="auto"/>
          <w:highlight w:val="none"/>
        </w:rPr>
      </w:pPr>
    </w:p>
    <w:p w14:paraId="26F19A30">
      <w:pPr>
        <w:shd w:val="clear"/>
        <w:rPr>
          <w:rFonts w:hint="eastAsia" w:ascii="宋体" w:hAnsi="宋体"/>
          <w:b/>
          <w:color w:val="auto"/>
          <w:sz w:val="36"/>
          <w:szCs w:val="36"/>
          <w:highlight w:val="none"/>
        </w:rPr>
      </w:pPr>
    </w:p>
    <w:p w14:paraId="588EF8DF">
      <w:pPr>
        <w:widowControl/>
        <w:shd w:val="clear"/>
        <w:spacing w:line="360" w:lineRule="auto"/>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合同附件</w:t>
      </w:r>
    </w:p>
    <w:p w14:paraId="57ADB883">
      <w:pPr>
        <w:widowControl/>
        <w:numPr>
          <w:ilvl w:val="0"/>
          <w:numId w:val="7"/>
        </w:numPr>
        <w:shd w:val="clear"/>
        <w:autoSpaceDE w:val="0"/>
        <w:autoSpaceDN w:val="0"/>
        <w:spacing w:line="360" w:lineRule="auto"/>
        <w:ind w:left="0"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成交通知书</w:t>
      </w:r>
    </w:p>
    <w:p w14:paraId="6CF63333">
      <w:pPr>
        <w:widowControl/>
        <w:numPr>
          <w:ilvl w:val="0"/>
          <w:numId w:val="7"/>
        </w:numPr>
        <w:shd w:val="clear"/>
        <w:autoSpaceDE w:val="0"/>
        <w:autoSpaceDN w:val="0"/>
        <w:spacing w:line="360" w:lineRule="auto"/>
        <w:ind w:left="0"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采购需求</w:t>
      </w:r>
    </w:p>
    <w:p w14:paraId="2FF4005A">
      <w:pPr>
        <w:widowControl/>
        <w:numPr>
          <w:ilvl w:val="0"/>
          <w:numId w:val="7"/>
        </w:numPr>
        <w:shd w:val="clear"/>
        <w:autoSpaceDE w:val="0"/>
        <w:autoSpaceDN w:val="0"/>
        <w:spacing w:line="360" w:lineRule="auto"/>
        <w:ind w:left="0"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响应报价表</w:t>
      </w:r>
    </w:p>
    <w:p w14:paraId="0BCB6248">
      <w:pPr>
        <w:widowControl/>
        <w:numPr>
          <w:ilvl w:val="0"/>
          <w:numId w:val="7"/>
        </w:numPr>
        <w:shd w:val="clear"/>
        <w:autoSpaceDE w:val="0"/>
        <w:autoSpaceDN w:val="0"/>
        <w:spacing w:line="360" w:lineRule="auto"/>
        <w:ind w:left="0"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磋商记录</w:t>
      </w:r>
    </w:p>
    <w:p w14:paraId="3399EE15">
      <w:pPr>
        <w:widowControl/>
        <w:numPr>
          <w:ilvl w:val="0"/>
          <w:numId w:val="7"/>
        </w:numPr>
        <w:shd w:val="clear"/>
        <w:autoSpaceDE w:val="0"/>
        <w:autoSpaceDN w:val="0"/>
        <w:spacing w:line="360" w:lineRule="auto"/>
        <w:ind w:left="0"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商务条款偏离表</w:t>
      </w:r>
    </w:p>
    <w:p w14:paraId="3974620F">
      <w:pPr>
        <w:widowControl/>
        <w:numPr>
          <w:ilvl w:val="0"/>
          <w:numId w:val="7"/>
        </w:numPr>
        <w:shd w:val="clear"/>
        <w:autoSpaceDE w:val="0"/>
        <w:autoSpaceDN w:val="0"/>
        <w:spacing w:line="360" w:lineRule="auto"/>
        <w:ind w:left="0"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服务需求偏离表</w:t>
      </w:r>
    </w:p>
    <w:p w14:paraId="39770565">
      <w:pPr>
        <w:widowControl/>
        <w:numPr>
          <w:ilvl w:val="0"/>
          <w:numId w:val="7"/>
        </w:numPr>
        <w:shd w:val="clear"/>
        <w:autoSpaceDE w:val="0"/>
        <w:autoSpaceDN w:val="0"/>
        <w:spacing w:line="360" w:lineRule="auto"/>
        <w:ind w:left="0"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法定代表人身份证明书及法定代表人有效身份证正反面复印件</w:t>
      </w:r>
    </w:p>
    <w:p w14:paraId="57932E9D">
      <w:pPr>
        <w:widowControl/>
        <w:numPr>
          <w:ilvl w:val="0"/>
          <w:numId w:val="7"/>
        </w:numPr>
        <w:shd w:val="clear"/>
        <w:autoSpaceDE w:val="0"/>
        <w:autoSpaceDN w:val="0"/>
        <w:spacing w:line="360" w:lineRule="auto"/>
        <w:ind w:left="0"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法定代表人授权委托书及委托代理人有效身份证正反面复印件</w:t>
      </w:r>
    </w:p>
    <w:p w14:paraId="101B81D3">
      <w:pPr>
        <w:widowControl/>
        <w:numPr>
          <w:ilvl w:val="0"/>
          <w:numId w:val="7"/>
        </w:numPr>
        <w:shd w:val="clear"/>
        <w:autoSpaceDE w:val="0"/>
        <w:autoSpaceDN w:val="0"/>
        <w:spacing w:line="360" w:lineRule="auto"/>
        <w:ind w:left="0"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其他</w:t>
      </w:r>
    </w:p>
    <w:p w14:paraId="58A93429">
      <w:pPr>
        <w:pStyle w:val="2"/>
        <w:rPr>
          <w:rFonts w:hint="eastAsia"/>
          <w:color w:val="auto"/>
          <w:highlight w:val="none"/>
        </w:rPr>
      </w:pPr>
    </w:p>
    <w:bookmarkEnd w:id="103"/>
    <w:sectPr>
      <w:pgSz w:w="11910" w:h="16840"/>
      <w:pgMar w:top="1418" w:right="1418" w:bottom="1418" w:left="141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E7E81A6D-1E77-4210-BC69-F7AFEA98C46A}"/>
  </w:font>
  <w:font w:name="黑体">
    <w:panose1 w:val="02010609060101010101"/>
    <w:charset w:val="86"/>
    <w:family w:val="auto"/>
    <w:pitch w:val="default"/>
    <w:sig w:usb0="800002BF" w:usb1="38CF7CFA" w:usb2="00000016" w:usb3="00000000" w:csb0="00040001" w:csb1="00000000"/>
    <w:embedRegular r:id="rId2" w:fontKey="{B41F09C4-99B9-4369-91B4-E646891EBE17}"/>
  </w:font>
  <w:font w:name="Courier New">
    <w:panose1 w:val="02070309020205020404"/>
    <w:charset w:val="01"/>
    <w:family w:val="modern"/>
    <w:pitch w:val="default"/>
    <w:sig w:usb0="E0002AFF" w:usb1="C0007843" w:usb2="00000009" w:usb3="00000000" w:csb0="400001FF" w:csb1="FFFF0000"/>
    <w:embedRegular r:id="rId3" w:fontKey="{DF91A106-A933-48B2-9CF9-5C60D3B7D59F}"/>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4" w:fontKey="{53D25B02-7663-46BE-B38C-B843A0E5100E}"/>
  </w:font>
  <w:font w:name="Cambria">
    <w:panose1 w:val="02040503050406030204"/>
    <w:charset w:val="00"/>
    <w:family w:val="roman"/>
    <w:pitch w:val="default"/>
    <w:sig w:usb0="E00002FF" w:usb1="400004FF" w:usb2="00000000" w:usb3="00000000" w:csb0="2000019F" w:csb1="00000000"/>
    <w:embedRegular r:id="rId5" w:fontKey="{27B42658-2D67-4782-A16E-6F958584FA16}"/>
  </w:font>
  <w:font w:name="仿宋_GB2312">
    <w:altName w:val="仿宋"/>
    <w:panose1 w:val="02010609030101010101"/>
    <w:charset w:val="86"/>
    <w:family w:val="modern"/>
    <w:pitch w:val="default"/>
    <w:sig w:usb0="00000000" w:usb1="00000000" w:usb2="00000000" w:usb3="00000000" w:csb0="00040000" w:csb1="00000000"/>
    <w:embedRegular r:id="rId6" w:fontKey="{BF22EF83-03E4-46C5-BCA6-9FDF790D06B3}"/>
  </w:font>
  <w:font w:name="仿宋">
    <w:panose1 w:val="02010609060101010101"/>
    <w:charset w:val="86"/>
    <w:family w:val="modern"/>
    <w:pitch w:val="default"/>
    <w:sig w:usb0="800002BF" w:usb1="38CF7CFA" w:usb2="00000016" w:usb3="00000000" w:csb0="00040001" w:csb1="00000000"/>
    <w:embedRegular r:id="rId7" w:fontKey="{C1C01985-07D5-42C0-9519-D02F8EF0A9EF}"/>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创艺简黑体">
    <w:altName w:val="黑体"/>
    <w:panose1 w:val="00000000000000000000"/>
    <w:charset w:val="86"/>
    <w:family w:val="auto"/>
    <w:pitch w:val="default"/>
    <w:sig w:usb0="00000000" w:usb1="00000000" w:usb2="00000010" w:usb3="00000000" w:csb0="00040000" w:csb1="00000000"/>
  </w:font>
  <w:font w:name="Century">
    <w:panose1 w:val="02040604050505020304"/>
    <w:charset w:val="00"/>
    <w:family w:val="roman"/>
    <w:pitch w:val="default"/>
    <w:sig w:usb0="00000287" w:usb1="00000000" w:usb2="00000000" w:usb3="00000000" w:csb0="2000009F" w:csb1="DFD70000"/>
  </w:font>
  <w:font w:name="等线 Light">
    <w:altName w:val="宋体"/>
    <w:panose1 w:val="02010600030101010101"/>
    <w:charset w:val="86"/>
    <w:family w:val="auto"/>
    <w:pitch w:val="default"/>
    <w:sig w:usb0="00000000" w:usb1="00000000" w:usb2="00000016" w:usb3="00000000" w:csb0="0004000F" w:csb1="00000000"/>
  </w:font>
  <w:font w:name="Microsoft YaHei UI">
    <w:altName w:val="宋体"/>
    <w:panose1 w:val="020B0503020204020204"/>
    <w:charset w:val="86"/>
    <w:family w:val="swiss"/>
    <w:pitch w:val="default"/>
    <w:sig w:usb0="00000000" w:usb1="00000000" w:usb2="00000016" w:usb3="00000000" w:csb0="0004001F" w:csb1="00000000"/>
  </w:font>
  <w:font w:name="MS Mincho">
    <w:panose1 w:val="02020609040205080304"/>
    <w:charset w:val="80"/>
    <w:family w:val="modern"/>
    <w:pitch w:val="default"/>
    <w:sig w:usb0="E00002FF" w:usb1="6AC7FDFB" w:usb2="00000012" w:usb3="00000000" w:csb0="4002009F" w:csb1="DFD70000"/>
    <w:embedRegular r:id="rId8" w:fontKey="{E87ED8DF-75F2-4202-B153-CE15050E2F9A}"/>
  </w:font>
  <w:font w:name="TimesNewRomanPSMT">
    <w:altName w:val="Times New Roman"/>
    <w:panose1 w:val="02020603050405020304"/>
    <w:charset w:val="00"/>
    <w:family w:val="roman"/>
    <w:pitch w:val="default"/>
    <w:sig w:usb0="00000000" w:usb1="00000000" w:usb2="00000009" w:usb3="00000000" w:csb0="400001FF" w:csb1="FFFF0000"/>
    <w:embedRegular r:id="rId9" w:fontKey="{46CCB7EA-EEF5-41E0-83A8-9893DEF22DB8}"/>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9B8AA">
    <w:pPr>
      <w:pStyle w:val="34"/>
      <w:tabs>
        <w:tab w:val="center" w:pos="4439"/>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53035"/>
              <wp:effectExtent l="0" t="0" r="0" b="0"/>
              <wp:wrapNone/>
              <wp:docPr id="1" name="文本框 5124"/>
              <wp:cNvGraphicFramePr/>
              <a:graphic xmlns:a="http://schemas.openxmlformats.org/drawingml/2006/main">
                <a:graphicData uri="http://schemas.microsoft.com/office/word/2010/wordprocessingShape">
                  <wps:wsp>
                    <wps:cNvSpPr txBox="1"/>
                    <wps:spPr>
                      <a:xfrm>
                        <a:off x="0" y="0"/>
                        <a:ext cx="114935" cy="153035"/>
                      </a:xfrm>
                      <a:prstGeom prst="rect">
                        <a:avLst/>
                      </a:prstGeom>
                      <a:noFill/>
                      <a:ln>
                        <a:noFill/>
                      </a:ln>
                    </wps:spPr>
                    <wps:txbx>
                      <w:txbxContent>
                        <w:p w14:paraId="7429E803"/>
                      </w:txbxContent>
                    </wps:txbx>
                    <wps:bodyPr wrap="none" lIns="0" tIns="0" rIns="0" bIns="0" upright="1">
                      <a:spAutoFit/>
                    </wps:bodyPr>
                  </wps:wsp>
                </a:graphicData>
              </a:graphic>
            </wp:anchor>
          </w:drawing>
        </mc:Choice>
        <mc:Fallback>
          <w:pict>
            <v:shape id="文本框 5124" o:spid="_x0000_s1026" o:spt="202" type="#_x0000_t202" style="position:absolute;left:0pt;margin-top:0pt;height:12.05pt;width:9.05pt;mso-position-horizontal:center;mso-position-horizontal-relative:margin;mso-wrap-style:none;z-index:251659264;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CQVPmtAAAAADAQAADwAAAAAAAAABACAAAAAiAAAAZHJzL2Rv&#10;d25yZXYueG1sUEsBAhQAFAAAAAgAh07iQM/3vYjQAQAAmgMAAA4AAAAAAAAAAQAgAAAAHwEAAGRy&#10;cy9lMm9Eb2MueG1sUEsFBgAAAAAGAAYAWQEAAGEFAAAAAA==&#10;">
              <v:fill on="f" focussize="0,0"/>
              <v:stroke on="f"/>
              <v:imagedata o:title=""/>
              <o:lock v:ext="edit" aspectratio="f"/>
              <v:textbox inset="0mm,0mm,0mm,0mm" style="mso-fit-shape-to-text:t;">
                <w:txbxContent>
                  <w:p w14:paraId="7429E803"/>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96785">
    <w:pPr>
      <w:pStyle w:val="3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A443B5">
                          <w:pPr>
                            <w:pStyle w:val="34"/>
                          </w:pPr>
                          <w:r>
                            <w:fldChar w:fldCharType="begin"/>
                          </w:r>
                          <w:r>
                            <w:instrText xml:space="preserve"> PAGE  \* MERGEFORMAT </w:instrText>
                          </w:r>
                          <w:r>
                            <w:fldChar w:fldCharType="separate"/>
                          </w:r>
                          <w:r>
                            <w:t>63</w:t>
                          </w:r>
                          <w:r>
                            <w:fldChar w:fldCharType="end"/>
                          </w:r>
                        </w:p>
                      </w:txbxContent>
                    </wps:txbx>
                    <wps:bodyPr wrap="none" lIns="0" tIns="0" rIns="0" bIns="0" upright="1">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rmqumzAEAAJwDAAAOAAAAAAAAAAEAIAAAAB4BAABkcnMvZTJv&#10;RG9jLnhtbFBLBQYAAAAABgAGAFkBAABcBQAAAAA=&#10;">
              <v:fill on="f" focussize="0,0"/>
              <v:stroke on="f"/>
              <v:imagedata o:title=""/>
              <o:lock v:ext="edit" aspectratio="f"/>
              <v:textbox inset="0mm,0mm,0mm,0mm" style="mso-fit-shape-to-text:t;">
                <w:txbxContent>
                  <w:p w14:paraId="06A443B5">
                    <w:pPr>
                      <w:pStyle w:val="34"/>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A80FC">
    <w:pPr>
      <w:pStyle w:val="3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3" name="文本框 2"/>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txbx>
                      <w:txbxContent>
                        <w:p w14:paraId="2FCBB0D3">
                          <w:pPr>
                            <w:pStyle w:val="3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rvABY0QAAAAIBAAAPAAAAAAAAAAEAIAAAACIAAABkcnMvZG93bnJldi54bWxQSwECFAAU&#10;AAAACACHTuJANjdd6jECAABSBAAADgAAAAAAAAABACAAAAAgAQAAZHJzL2Uyb0RvYy54bWxQSwUG&#10;AAAAAAYABgBZAQAAwwUAAAAA&#10;">
              <v:fill on="f" focussize="0,0"/>
              <v:stroke on="f" weight="0.5pt"/>
              <v:imagedata o:title=""/>
              <o:lock v:ext="edit" aspectratio="f"/>
              <v:textbox inset="0mm,0mm,0mm,0mm" style="mso-fit-shape-to-text:t;">
                <w:txbxContent>
                  <w:p w14:paraId="2FCBB0D3">
                    <w:pPr>
                      <w:pStyle w:val="3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BB8FD">
    <w:pPr>
      <w:pStyle w:val="3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E5AD7">
    <w:pPr>
      <w:pStyle w:val="3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A6300D"/>
    <w:multiLevelType w:val="multilevel"/>
    <w:tmpl w:val="9BA6300D"/>
    <w:lvl w:ilvl="0" w:tentative="0">
      <w:start w:val="1"/>
      <w:numFmt w:val="decimal"/>
      <w:suff w:val="space"/>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A61D3B81"/>
    <w:multiLevelType w:val="singleLevel"/>
    <w:tmpl w:val="A61D3B81"/>
    <w:lvl w:ilvl="0" w:tentative="0">
      <w:start w:val="1"/>
      <w:numFmt w:val="decimal"/>
      <w:suff w:val="nothing"/>
      <w:lvlText w:val="%1．"/>
      <w:lvlJc w:val="left"/>
      <w:pPr>
        <w:ind w:left="0" w:firstLine="400"/>
      </w:pPr>
      <w:rPr>
        <w:rFonts w:hint="default"/>
        <w:b w:val="0"/>
      </w:rPr>
    </w:lvl>
  </w:abstractNum>
  <w:abstractNum w:abstractNumId="2">
    <w:nsid w:val="C76E5BF7"/>
    <w:multiLevelType w:val="singleLevel"/>
    <w:tmpl w:val="C76E5BF7"/>
    <w:lvl w:ilvl="0" w:tentative="0">
      <w:start w:val="1"/>
      <w:numFmt w:val="decimal"/>
      <w:suff w:val="nothing"/>
      <w:lvlText w:val="%1．"/>
      <w:lvlJc w:val="left"/>
      <w:pPr>
        <w:ind w:left="0" w:firstLine="400"/>
      </w:pPr>
      <w:rPr>
        <w:rFonts w:hint="default"/>
        <w:b w:val="0"/>
      </w:rPr>
    </w:lvl>
  </w:abstractNum>
  <w:abstractNum w:abstractNumId="3">
    <w:nsid w:val="00000003"/>
    <w:multiLevelType w:val="multilevel"/>
    <w:tmpl w:val="00000003"/>
    <w:lvl w:ilvl="0" w:tentative="0">
      <w:start w:val="1"/>
      <w:numFmt w:val="decimal"/>
      <w:lvlText w:val="（%1）"/>
      <w:lvlJc w:val="left"/>
      <w:pPr>
        <w:tabs>
          <w:tab w:val="left" w:pos="1140"/>
        </w:tabs>
        <w:ind w:left="1140" w:hanging="7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B"/>
    <w:multiLevelType w:val="multilevel"/>
    <w:tmpl w:val="0000000B"/>
    <w:lvl w:ilvl="0" w:tentative="0">
      <w:start w:val="1"/>
      <w:numFmt w:val="decimal"/>
      <w:lvlText w:val="（%1）"/>
      <w:lvlJc w:val="left"/>
      <w:pPr>
        <w:tabs>
          <w:tab w:val="left" w:pos="1200"/>
        </w:tabs>
        <w:ind w:left="1200" w:hanging="72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5">
    <w:nsid w:val="114F4913"/>
    <w:multiLevelType w:val="singleLevel"/>
    <w:tmpl w:val="114F4913"/>
    <w:lvl w:ilvl="0" w:tentative="0">
      <w:start w:val="1"/>
      <w:numFmt w:val="decimal"/>
      <w:suff w:val="nothing"/>
      <w:lvlText w:val="%1．"/>
      <w:lvlJc w:val="left"/>
      <w:pPr>
        <w:ind w:left="0" w:firstLine="400"/>
      </w:pPr>
      <w:rPr>
        <w:rFonts w:hint="default" w:ascii="宋体" w:hAnsi="宋体" w:eastAsia="宋体"/>
      </w:rPr>
    </w:lvl>
  </w:abstractNum>
  <w:abstractNum w:abstractNumId="6">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6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6"/>
  </w:num>
  <w:num w:numId="2">
    <w:abstractNumId w:val="1"/>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4YjE3MGY2Mzg0MjJmYjBiOWRmMmE1ZTVmMTQ1ODAifQ=="/>
  </w:docVars>
  <w:rsids>
    <w:rsidRoot w:val="00F9008B"/>
    <w:rsid w:val="0000010C"/>
    <w:rsid w:val="00000499"/>
    <w:rsid w:val="00000FE0"/>
    <w:rsid w:val="00001068"/>
    <w:rsid w:val="0000114A"/>
    <w:rsid w:val="00001731"/>
    <w:rsid w:val="00001C2D"/>
    <w:rsid w:val="00001C55"/>
    <w:rsid w:val="00001CA8"/>
    <w:rsid w:val="00001FAE"/>
    <w:rsid w:val="00002291"/>
    <w:rsid w:val="00002644"/>
    <w:rsid w:val="00002964"/>
    <w:rsid w:val="00002DBF"/>
    <w:rsid w:val="00002EC0"/>
    <w:rsid w:val="00003224"/>
    <w:rsid w:val="000033F5"/>
    <w:rsid w:val="0000358C"/>
    <w:rsid w:val="0000383F"/>
    <w:rsid w:val="00003BEF"/>
    <w:rsid w:val="00004130"/>
    <w:rsid w:val="0000431F"/>
    <w:rsid w:val="00004634"/>
    <w:rsid w:val="00004D8B"/>
    <w:rsid w:val="000059E2"/>
    <w:rsid w:val="00005B98"/>
    <w:rsid w:val="00006AE7"/>
    <w:rsid w:val="00006B9B"/>
    <w:rsid w:val="00006C35"/>
    <w:rsid w:val="000072B1"/>
    <w:rsid w:val="00007329"/>
    <w:rsid w:val="00007E28"/>
    <w:rsid w:val="00007E84"/>
    <w:rsid w:val="00010401"/>
    <w:rsid w:val="000105A1"/>
    <w:rsid w:val="000107AD"/>
    <w:rsid w:val="00010835"/>
    <w:rsid w:val="00010F90"/>
    <w:rsid w:val="00011842"/>
    <w:rsid w:val="00012137"/>
    <w:rsid w:val="000121FF"/>
    <w:rsid w:val="00012479"/>
    <w:rsid w:val="000125B8"/>
    <w:rsid w:val="00012692"/>
    <w:rsid w:val="00013446"/>
    <w:rsid w:val="00013509"/>
    <w:rsid w:val="000135BC"/>
    <w:rsid w:val="000135DC"/>
    <w:rsid w:val="000136D6"/>
    <w:rsid w:val="00013EAD"/>
    <w:rsid w:val="00014085"/>
    <w:rsid w:val="0001445D"/>
    <w:rsid w:val="00014DD9"/>
    <w:rsid w:val="00014E59"/>
    <w:rsid w:val="000151E4"/>
    <w:rsid w:val="00015577"/>
    <w:rsid w:val="000156E4"/>
    <w:rsid w:val="000159A7"/>
    <w:rsid w:val="00015FB8"/>
    <w:rsid w:val="0001609F"/>
    <w:rsid w:val="0001635B"/>
    <w:rsid w:val="00016549"/>
    <w:rsid w:val="00016BF7"/>
    <w:rsid w:val="0001767E"/>
    <w:rsid w:val="0001776D"/>
    <w:rsid w:val="00017F31"/>
    <w:rsid w:val="00020607"/>
    <w:rsid w:val="00020A66"/>
    <w:rsid w:val="0002100A"/>
    <w:rsid w:val="0002103A"/>
    <w:rsid w:val="000217E4"/>
    <w:rsid w:val="00021852"/>
    <w:rsid w:val="00021A01"/>
    <w:rsid w:val="00021A12"/>
    <w:rsid w:val="00022622"/>
    <w:rsid w:val="00023363"/>
    <w:rsid w:val="000235F3"/>
    <w:rsid w:val="00023644"/>
    <w:rsid w:val="00023712"/>
    <w:rsid w:val="00024AFF"/>
    <w:rsid w:val="00024B57"/>
    <w:rsid w:val="00024E3C"/>
    <w:rsid w:val="00024EB0"/>
    <w:rsid w:val="0002646A"/>
    <w:rsid w:val="00026504"/>
    <w:rsid w:val="0002651D"/>
    <w:rsid w:val="00026B94"/>
    <w:rsid w:val="00026CFD"/>
    <w:rsid w:val="0002725E"/>
    <w:rsid w:val="00027A11"/>
    <w:rsid w:val="00027C8B"/>
    <w:rsid w:val="00027CD9"/>
    <w:rsid w:val="00030242"/>
    <w:rsid w:val="00030246"/>
    <w:rsid w:val="00030B06"/>
    <w:rsid w:val="0003163B"/>
    <w:rsid w:val="0003183A"/>
    <w:rsid w:val="00031CDC"/>
    <w:rsid w:val="0003263B"/>
    <w:rsid w:val="0003282C"/>
    <w:rsid w:val="0003304A"/>
    <w:rsid w:val="0003317E"/>
    <w:rsid w:val="00033268"/>
    <w:rsid w:val="00033413"/>
    <w:rsid w:val="000337F3"/>
    <w:rsid w:val="00033B90"/>
    <w:rsid w:val="00033C4F"/>
    <w:rsid w:val="00034C27"/>
    <w:rsid w:val="00034E2A"/>
    <w:rsid w:val="00034FDB"/>
    <w:rsid w:val="0003577F"/>
    <w:rsid w:val="00035965"/>
    <w:rsid w:val="00035E69"/>
    <w:rsid w:val="00036466"/>
    <w:rsid w:val="0003675E"/>
    <w:rsid w:val="000374DE"/>
    <w:rsid w:val="00037F87"/>
    <w:rsid w:val="00037FA2"/>
    <w:rsid w:val="000400D0"/>
    <w:rsid w:val="00041D1C"/>
    <w:rsid w:val="00042076"/>
    <w:rsid w:val="000425AC"/>
    <w:rsid w:val="00042ED1"/>
    <w:rsid w:val="00042F4A"/>
    <w:rsid w:val="000438E0"/>
    <w:rsid w:val="00043BE5"/>
    <w:rsid w:val="00044003"/>
    <w:rsid w:val="00044527"/>
    <w:rsid w:val="00044897"/>
    <w:rsid w:val="00044ACF"/>
    <w:rsid w:val="000454F4"/>
    <w:rsid w:val="00045A95"/>
    <w:rsid w:val="00045D1E"/>
    <w:rsid w:val="00045E26"/>
    <w:rsid w:val="00045E69"/>
    <w:rsid w:val="00045EF4"/>
    <w:rsid w:val="00045F36"/>
    <w:rsid w:val="00046547"/>
    <w:rsid w:val="000466D7"/>
    <w:rsid w:val="00046753"/>
    <w:rsid w:val="00047254"/>
    <w:rsid w:val="00050007"/>
    <w:rsid w:val="0005022B"/>
    <w:rsid w:val="00050771"/>
    <w:rsid w:val="000513F3"/>
    <w:rsid w:val="00052287"/>
    <w:rsid w:val="000522E0"/>
    <w:rsid w:val="00052587"/>
    <w:rsid w:val="000532F4"/>
    <w:rsid w:val="000536AE"/>
    <w:rsid w:val="00053D7F"/>
    <w:rsid w:val="0005404F"/>
    <w:rsid w:val="0005493E"/>
    <w:rsid w:val="00054974"/>
    <w:rsid w:val="00054CD5"/>
    <w:rsid w:val="00054D03"/>
    <w:rsid w:val="000550AC"/>
    <w:rsid w:val="000557F0"/>
    <w:rsid w:val="0005584D"/>
    <w:rsid w:val="000559C4"/>
    <w:rsid w:val="00055CC3"/>
    <w:rsid w:val="00055CEE"/>
    <w:rsid w:val="0005641D"/>
    <w:rsid w:val="000566FA"/>
    <w:rsid w:val="00056A2B"/>
    <w:rsid w:val="00056E37"/>
    <w:rsid w:val="00056EE2"/>
    <w:rsid w:val="00056FE2"/>
    <w:rsid w:val="000570FB"/>
    <w:rsid w:val="000575B6"/>
    <w:rsid w:val="000575B8"/>
    <w:rsid w:val="00060131"/>
    <w:rsid w:val="0006026B"/>
    <w:rsid w:val="00060293"/>
    <w:rsid w:val="00061BDA"/>
    <w:rsid w:val="000621FE"/>
    <w:rsid w:val="00062B90"/>
    <w:rsid w:val="00062C70"/>
    <w:rsid w:val="00062DD0"/>
    <w:rsid w:val="00062E6F"/>
    <w:rsid w:val="000630C7"/>
    <w:rsid w:val="0006400F"/>
    <w:rsid w:val="000645DD"/>
    <w:rsid w:val="00064D7E"/>
    <w:rsid w:val="00064F65"/>
    <w:rsid w:val="00064FD0"/>
    <w:rsid w:val="0006534A"/>
    <w:rsid w:val="00065A5D"/>
    <w:rsid w:val="00065BA2"/>
    <w:rsid w:val="000661CA"/>
    <w:rsid w:val="0006668D"/>
    <w:rsid w:val="000669B7"/>
    <w:rsid w:val="00067002"/>
    <w:rsid w:val="00067993"/>
    <w:rsid w:val="00067B1C"/>
    <w:rsid w:val="00067CED"/>
    <w:rsid w:val="00067F66"/>
    <w:rsid w:val="0007041A"/>
    <w:rsid w:val="00070634"/>
    <w:rsid w:val="00070883"/>
    <w:rsid w:val="00070C3F"/>
    <w:rsid w:val="0007102C"/>
    <w:rsid w:val="000712C8"/>
    <w:rsid w:val="00071D68"/>
    <w:rsid w:val="00071DE4"/>
    <w:rsid w:val="00071FCE"/>
    <w:rsid w:val="00072661"/>
    <w:rsid w:val="00072CCC"/>
    <w:rsid w:val="00073549"/>
    <w:rsid w:val="000743A5"/>
    <w:rsid w:val="0007483E"/>
    <w:rsid w:val="00074F37"/>
    <w:rsid w:val="000751DB"/>
    <w:rsid w:val="00075731"/>
    <w:rsid w:val="0007578F"/>
    <w:rsid w:val="00075E43"/>
    <w:rsid w:val="00077706"/>
    <w:rsid w:val="00077878"/>
    <w:rsid w:val="00080333"/>
    <w:rsid w:val="000804EF"/>
    <w:rsid w:val="00080558"/>
    <w:rsid w:val="00081230"/>
    <w:rsid w:val="000814E2"/>
    <w:rsid w:val="000818C9"/>
    <w:rsid w:val="00081CBB"/>
    <w:rsid w:val="00081D42"/>
    <w:rsid w:val="000822EF"/>
    <w:rsid w:val="0008241E"/>
    <w:rsid w:val="000826F5"/>
    <w:rsid w:val="000829B1"/>
    <w:rsid w:val="00082AAB"/>
    <w:rsid w:val="0008307D"/>
    <w:rsid w:val="000831E9"/>
    <w:rsid w:val="000833BB"/>
    <w:rsid w:val="0008452D"/>
    <w:rsid w:val="0008467B"/>
    <w:rsid w:val="000850FA"/>
    <w:rsid w:val="00085C12"/>
    <w:rsid w:val="00085CB1"/>
    <w:rsid w:val="00085DA0"/>
    <w:rsid w:val="00085F82"/>
    <w:rsid w:val="00086506"/>
    <w:rsid w:val="0008653B"/>
    <w:rsid w:val="00086B6E"/>
    <w:rsid w:val="00086C64"/>
    <w:rsid w:val="0008781A"/>
    <w:rsid w:val="00090951"/>
    <w:rsid w:val="00090A61"/>
    <w:rsid w:val="00091163"/>
    <w:rsid w:val="000918F5"/>
    <w:rsid w:val="000919B5"/>
    <w:rsid w:val="00091C1D"/>
    <w:rsid w:val="00091E08"/>
    <w:rsid w:val="000922D8"/>
    <w:rsid w:val="000930AD"/>
    <w:rsid w:val="000932E7"/>
    <w:rsid w:val="0009333A"/>
    <w:rsid w:val="00093459"/>
    <w:rsid w:val="00093862"/>
    <w:rsid w:val="00093B8B"/>
    <w:rsid w:val="00094B40"/>
    <w:rsid w:val="000951E7"/>
    <w:rsid w:val="00095B82"/>
    <w:rsid w:val="00095C82"/>
    <w:rsid w:val="00095D90"/>
    <w:rsid w:val="00095DBA"/>
    <w:rsid w:val="0009604B"/>
    <w:rsid w:val="00096098"/>
    <w:rsid w:val="000961C5"/>
    <w:rsid w:val="000969D9"/>
    <w:rsid w:val="00096F37"/>
    <w:rsid w:val="00097FE5"/>
    <w:rsid w:val="000A00F5"/>
    <w:rsid w:val="000A0354"/>
    <w:rsid w:val="000A091F"/>
    <w:rsid w:val="000A0958"/>
    <w:rsid w:val="000A0FCC"/>
    <w:rsid w:val="000A1033"/>
    <w:rsid w:val="000A2077"/>
    <w:rsid w:val="000A2712"/>
    <w:rsid w:val="000A2877"/>
    <w:rsid w:val="000A3124"/>
    <w:rsid w:val="000A355D"/>
    <w:rsid w:val="000A35DA"/>
    <w:rsid w:val="000A371E"/>
    <w:rsid w:val="000A3DE5"/>
    <w:rsid w:val="000A4011"/>
    <w:rsid w:val="000A45D5"/>
    <w:rsid w:val="000A48D0"/>
    <w:rsid w:val="000A490E"/>
    <w:rsid w:val="000A5B49"/>
    <w:rsid w:val="000A5FE5"/>
    <w:rsid w:val="000A68E8"/>
    <w:rsid w:val="000A7218"/>
    <w:rsid w:val="000A740A"/>
    <w:rsid w:val="000A7446"/>
    <w:rsid w:val="000A7A56"/>
    <w:rsid w:val="000A7E7F"/>
    <w:rsid w:val="000A7ECD"/>
    <w:rsid w:val="000B04CC"/>
    <w:rsid w:val="000B04DD"/>
    <w:rsid w:val="000B0F01"/>
    <w:rsid w:val="000B1346"/>
    <w:rsid w:val="000B1914"/>
    <w:rsid w:val="000B19DC"/>
    <w:rsid w:val="000B1CA2"/>
    <w:rsid w:val="000B202E"/>
    <w:rsid w:val="000B20DE"/>
    <w:rsid w:val="000B2293"/>
    <w:rsid w:val="000B24A4"/>
    <w:rsid w:val="000B255C"/>
    <w:rsid w:val="000B2C33"/>
    <w:rsid w:val="000B2E7A"/>
    <w:rsid w:val="000B3269"/>
    <w:rsid w:val="000B395E"/>
    <w:rsid w:val="000B39C3"/>
    <w:rsid w:val="000B3A00"/>
    <w:rsid w:val="000B4840"/>
    <w:rsid w:val="000B4D79"/>
    <w:rsid w:val="000B5627"/>
    <w:rsid w:val="000B5671"/>
    <w:rsid w:val="000B6BF0"/>
    <w:rsid w:val="000B6CE8"/>
    <w:rsid w:val="000B7629"/>
    <w:rsid w:val="000B7DAF"/>
    <w:rsid w:val="000B7E9D"/>
    <w:rsid w:val="000C071C"/>
    <w:rsid w:val="000C0BB4"/>
    <w:rsid w:val="000C0BEE"/>
    <w:rsid w:val="000C199F"/>
    <w:rsid w:val="000C1B1C"/>
    <w:rsid w:val="000C1CB9"/>
    <w:rsid w:val="000C2159"/>
    <w:rsid w:val="000C21BB"/>
    <w:rsid w:val="000C289B"/>
    <w:rsid w:val="000C3F01"/>
    <w:rsid w:val="000C420D"/>
    <w:rsid w:val="000C4773"/>
    <w:rsid w:val="000C4944"/>
    <w:rsid w:val="000C4E24"/>
    <w:rsid w:val="000C5387"/>
    <w:rsid w:val="000C5C4A"/>
    <w:rsid w:val="000C5F01"/>
    <w:rsid w:val="000C63C4"/>
    <w:rsid w:val="000C66C1"/>
    <w:rsid w:val="000C6F0B"/>
    <w:rsid w:val="000C6F32"/>
    <w:rsid w:val="000C778C"/>
    <w:rsid w:val="000C7833"/>
    <w:rsid w:val="000C7E1B"/>
    <w:rsid w:val="000C7E73"/>
    <w:rsid w:val="000C7F40"/>
    <w:rsid w:val="000D001B"/>
    <w:rsid w:val="000D0A45"/>
    <w:rsid w:val="000D136E"/>
    <w:rsid w:val="000D14A4"/>
    <w:rsid w:val="000D14AC"/>
    <w:rsid w:val="000D15BA"/>
    <w:rsid w:val="000D2216"/>
    <w:rsid w:val="000D2C9B"/>
    <w:rsid w:val="000D35FD"/>
    <w:rsid w:val="000D3D2D"/>
    <w:rsid w:val="000D3D99"/>
    <w:rsid w:val="000D4653"/>
    <w:rsid w:val="000D4696"/>
    <w:rsid w:val="000D4817"/>
    <w:rsid w:val="000D4FB9"/>
    <w:rsid w:val="000D54B4"/>
    <w:rsid w:val="000D584B"/>
    <w:rsid w:val="000D5F55"/>
    <w:rsid w:val="000D5FB0"/>
    <w:rsid w:val="000D6372"/>
    <w:rsid w:val="000D6979"/>
    <w:rsid w:val="000D6CE7"/>
    <w:rsid w:val="000D6E38"/>
    <w:rsid w:val="000D6E63"/>
    <w:rsid w:val="000D711C"/>
    <w:rsid w:val="000D7B6E"/>
    <w:rsid w:val="000E0644"/>
    <w:rsid w:val="000E06CA"/>
    <w:rsid w:val="000E076D"/>
    <w:rsid w:val="000E1095"/>
    <w:rsid w:val="000E187C"/>
    <w:rsid w:val="000E1AE1"/>
    <w:rsid w:val="000E1B28"/>
    <w:rsid w:val="000E1E8D"/>
    <w:rsid w:val="000E1EBC"/>
    <w:rsid w:val="000E2173"/>
    <w:rsid w:val="000E220B"/>
    <w:rsid w:val="000E2232"/>
    <w:rsid w:val="000E2A50"/>
    <w:rsid w:val="000E30F2"/>
    <w:rsid w:val="000E316B"/>
    <w:rsid w:val="000E3304"/>
    <w:rsid w:val="000E3D08"/>
    <w:rsid w:val="000E4728"/>
    <w:rsid w:val="000E4D1F"/>
    <w:rsid w:val="000E5658"/>
    <w:rsid w:val="000E5698"/>
    <w:rsid w:val="000E5723"/>
    <w:rsid w:val="000E581B"/>
    <w:rsid w:val="000E5DE1"/>
    <w:rsid w:val="000E65D2"/>
    <w:rsid w:val="000E6919"/>
    <w:rsid w:val="000E6B1B"/>
    <w:rsid w:val="000E6F0C"/>
    <w:rsid w:val="000E7098"/>
    <w:rsid w:val="000E732D"/>
    <w:rsid w:val="000F07ED"/>
    <w:rsid w:val="000F0CF2"/>
    <w:rsid w:val="000F1A32"/>
    <w:rsid w:val="000F1CC2"/>
    <w:rsid w:val="000F1D15"/>
    <w:rsid w:val="000F2132"/>
    <w:rsid w:val="000F270A"/>
    <w:rsid w:val="000F34C8"/>
    <w:rsid w:val="000F3614"/>
    <w:rsid w:val="000F38BC"/>
    <w:rsid w:val="000F3E2A"/>
    <w:rsid w:val="000F4D26"/>
    <w:rsid w:val="000F5639"/>
    <w:rsid w:val="000F565D"/>
    <w:rsid w:val="000F5692"/>
    <w:rsid w:val="000F58A4"/>
    <w:rsid w:val="000F58BC"/>
    <w:rsid w:val="000F6833"/>
    <w:rsid w:val="000F6A24"/>
    <w:rsid w:val="000F6A72"/>
    <w:rsid w:val="000F73DE"/>
    <w:rsid w:val="000F7498"/>
    <w:rsid w:val="000F7616"/>
    <w:rsid w:val="000F7D26"/>
    <w:rsid w:val="000F7DE9"/>
    <w:rsid w:val="000F7F7A"/>
    <w:rsid w:val="001002F4"/>
    <w:rsid w:val="001011FC"/>
    <w:rsid w:val="0010165F"/>
    <w:rsid w:val="001018C1"/>
    <w:rsid w:val="00101E7C"/>
    <w:rsid w:val="00101F1F"/>
    <w:rsid w:val="001023DC"/>
    <w:rsid w:val="0010256D"/>
    <w:rsid w:val="00102572"/>
    <w:rsid w:val="00102946"/>
    <w:rsid w:val="00102FBF"/>
    <w:rsid w:val="0010333D"/>
    <w:rsid w:val="0010372A"/>
    <w:rsid w:val="00103F41"/>
    <w:rsid w:val="00104F34"/>
    <w:rsid w:val="001053C5"/>
    <w:rsid w:val="001055AD"/>
    <w:rsid w:val="00105C14"/>
    <w:rsid w:val="001065A3"/>
    <w:rsid w:val="0010691D"/>
    <w:rsid w:val="00106B33"/>
    <w:rsid w:val="00106E69"/>
    <w:rsid w:val="00110AC5"/>
    <w:rsid w:val="00110F0B"/>
    <w:rsid w:val="0011108B"/>
    <w:rsid w:val="00111136"/>
    <w:rsid w:val="00111164"/>
    <w:rsid w:val="00111761"/>
    <w:rsid w:val="00112164"/>
    <w:rsid w:val="0011241F"/>
    <w:rsid w:val="001128BF"/>
    <w:rsid w:val="00112D09"/>
    <w:rsid w:val="00112F03"/>
    <w:rsid w:val="00112F38"/>
    <w:rsid w:val="0011358A"/>
    <w:rsid w:val="00113821"/>
    <w:rsid w:val="00114058"/>
    <w:rsid w:val="001141D5"/>
    <w:rsid w:val="00114342"/>
    <w:rsid w:val="0011449E"/>
    <w:rsid w:val="00114DCC"/>
    <w:rsid w:val="001153EF"/>
    <w:rsid w:val="0011553A"/>
    <w:rsid w:val="00115D55"/>
    <w:rsid w:val="00115E45"/>
    <w:rsid w:val="00115F85"/>
    <w:rsid w:val="001165CC"/>
    <w:rsid w:val="0011688E"/>
    <w:rsid w:val="00116ACD"/>
    <w:rsid w:val="00117B7D"/>
    <w:rsid w:val="0012008C"/>
    <w:rsid w:val="001205A8"/>
    <w:rsid w:val="001207EE"/>
    <w:rsid w:val="0012180B"/>
    <w:rsid w:val="00122A64"/>
    <w:rsid w:val="0012340C"/>
    <w:rsid w:val="0012388A"/>
    <w:rsid w:val="0012388C"/>
    <w:rsid w:val="00123AFA"/>
    <w:rsid w:val="00123C8C"/>
    <w:rsid w:val="00123E8B"/>
    <w:rsid w:val="001241DA"/>
    <w:rsid w:val="00124B43"/>
    <w:rsid w:val="00124DF8"/>
    <w:rsid w:val="001251F2"/>
    <w:rsid w:val="001253EA"/>
    <w:rsid w:val="00125B99"/>
    <w:rsid w:val="00126160"/>
    <w:rsid w:val="0012677D"/>
    <w:rsid w:val="00126CD1"/>
    <w:rsid w:val="00126DB5"/>
    <w:rsid w:val="00126EFB"/>
    <w:rsid w:val="00127178"/>
    <w:rsid w:val="00127820"/>
    <w:rsid w:val="00127F09"/>
    <w:rsid w:val="0013002A"/>
    <w:rsid w:val="00130310"/>
    <w:rsid w:val="0013085D"/>
    <w:rsid w:val="0013089C"/>
    <w:rsid w:val="00130A2D"/>
    <w:rsid w:val="00130B69"/>
    <w:rsid w:val="00130F54"/>
    <w:rsid w:val="00131888"/>
    <w:rsid w:val="00131F17"/>
    <w:rsid w:val="001323F9"/>
    <w:rsid w:val="0013251F"/>
    <w:rsid w:val="00132FA3"/>
    <w:rsid w:val="00133088"/>
    <w:rsid w:val="001330D0"/>
    <w:rsid w:val="00133346"/>
    <w:rsid w:val="001335B1"/>
    <w:rsid w:val="00133B4E"/>
    <w:rsid w:val="00134451"/>
    <w:rsid w:val="001346AF"/>
    <w:rsid w:val="00134990"/>
    <w:rsid w:val="00134B73"/>
    <w:rsid w:val="001354D1"/>
    <w:rsid w:val="00135A0A"/>
    <w:rsid w:val="00135BB9"/>
    <w:rsid w:val="0013621D"/>
    <w:rsid w:val="00136354"/>
    <w:rsid w:val="00136674"/>
    <w:rsid w:val="00136B0E"/>
    <w:rsid w:val="00136B6C"/>
    <w:rsid w:val="00136C3B"/>
    <w:rsid w:val="00137103"/>
    <w:rsid w:val="001376AB"/>
    <w:rsid w:val="0013777C"/>
    <w:rsid w:val="00137A3E"/>
    <w:rsid w:val="00137D5F"/>
    <w:rsid w:val="00140082"/>
    <w:rsid w:val="00140175"/>
    <w:rsid w:val="00140757"/>
    <w:rsid w:val="0014096B"/>
    <w:rsid w:val="00140D07"/>
    <w:rsid w:val="00141A3A"/>
    <w:rsid w:val="001422F4"/>
    <w:rsid w:val="001423FA"/>
    <w:rsid w:val="001427B5"/>
    <w:rsid w:val="001428CF"/>
    <w:rsid w:val="00142D0C"/>
    <w:rsid w:val="00142E3C"/>
    <w:rsid w:val="00142F3E"/>
    <w:rsid w:val="00144013"/>
    <w:rsid w:val="00144D73"/>
    <w:rsid w:val="001454B8"/>
    <w:rsid w:val="00145A17"/>
    <w:rsid w:val="00145BBE"/>
    <w:rsid w:val="00145D7F"/>
    <w:rsid w:val="001460B5"/>
    <w:rsid w:val="0014641F"/>
    <w:rsid w:val="001464A8"/>
    <w:rsid w:val="00146570"/>
    <w:rsid w:val="001467BB"/>
    <w:rsid w:val="00146CA8"/>
    <w:rsid w:val="001476AA"/>
    <w:rsid w:val="00147884"/>
    <w:rsid w:val="00147F4C"/>
    <w:rsid w:val="00150827"/>
    <w:rsid w:val="00150B0D"/>
    <w:rsid w:val="00151E31"/>
    <w:rsid w:val="00151F9B"/>
    <w:rsid w:val="00152289"/>
    <w:rsid w:val="00152425"/>
    <w:rsid w:val="00152BAD"/>
    <w:rsid w:val="00152CE3"/>
    <w:rsid w:val="00153652"/>
    <w:rsid w:val="00153697"/>
    <w:rsid w:val="00153956"/>
    <w:rsid w:val="00153B95"/>
    <w:rsid w:val="00153FD2"/>
    <w:rsid w:val="00154146"/>
    <w:rsid w:val="00154190"/>
    <w:rsid w:val="001545EA"/>
    <w:rsid w:val="00154749"/>
    <w:rsid w:val="001549BA"/>
    <w:rsid w:val="00155099"/>
    <w:rsid w:val="001553F5"/>
    <w:rsid w:val="00155C85"/>
    <w:rsid w:val="0015670B"/>
    <w:rsid w:val="00156A50"/>
    <w:rsid w:val="00156A6C"/>
    <w:rsid w:val="00156B10"/>
    <w:rsid w:val="00157688"/>
    <w:rsid w:val="00157823"/>
    <w:rsid w:val="0015790D"/>
    <w:rsid w:val="00157C5E"/>
    <w:rsid w:val="0016014C"/>
    <w:rsid w:val="0016015A"/>
    <w:rsid w:val="0016020E"/>
    <w:rsid w:val="00160503"/>
    <w:rsid w:val="00160D7C"/>
    <w:rsid w:val="00160E30"/>
    <w:rsid w:val="0016106D"/>
    <w:rsid w:val="001612E1"/>
    <w:rsid w:val="001614DB"/>
    <w:rsid w:val="0016194E"/>
    <w:rsid w:val="0016236C"/>
    <w:rsid w:val="00162625"/>
    <w:rsid w:val="00162924"/>
    <w:rsid w:val="001630A8"/>
    <w:rsid w:val="001634C7"/>
    <w:rsid w:val="00163826"/>
    <w:rsid w:val="00163943"/>
    <w:rsid w:val="00163BA1"/>
    <w:rsid w:val="00163F22"/>
    <w:rsid w:val="0016417B"/>
    <w:rsid w:val="0016470E"/>
    <w:rsid w:val="00164E0A"/>
    <w:rsid w:val="001652D7"/>
    <w:rsid w:val="00165A5F"/>
    <w:rsid w:val="0016615A"/>
    <w:rsid w:val="00166223"/>
    <w:rsid w:val="001670D8"/>
    <w:rsid w:val="0016793E"/>
    <w:rsid w:val="00167D4D"/>
    <w:rsid w:val="001703D0"/>
    <w:rsid w:val="00170635"/>
    <w:rsid w:val="0017070D"/>
    <w:rsid w:val="00170837"/>
    <w:rsid w:val="00171035"/>
    <w:rsid w:val="001713B7"/>
    <w:rsid w:val="00171A46"/>
    <w:rsid w:val="00171ADB"/>
    <w:rsid w:val="00172029"/>
    <w:rsid w:val="001733A4"/>
    <w:rsid w:val="00173AB9"/>
    <w:rsid w:val="00173EED"/>
    <w:rsid w:val="00174368"/>
    <w:rsid w:val="001744EA"/>
    <w:rsid w:val="001745D9"/>
    <w:rsid w:val="00174D82"/>
    <w:rsid w:val="00174E44"/>
    <w:rsid w:val="00175053"/>
    <w:rsid w:val="001753B7"/>
    <w:rsid w:val="001757E7"/>
    <w:rsid w:val="00175873"/>
    <w:rsid w:val="00175996"/>
    <w:rsid w:val="00175BB1"/>
    <w:rsid w:val="00175C59"/>
    <w:rsid w:val="00175E7E"/>
    <w:rsid w:val="001760BC"/>
    <w:rsid w:val="00176674"/>
    <w:rsid w:val="00176818"/>
    <w:rsid w:val="00176AB1"/>
    <w:rsid w:val="00176B82"/>
    <w:rsid w:val="00176E3B"/>
    <w:rsid w:val="00176ECB"/>
    <w:rsid w:val="00176F94"/>
    <w:rsid w:val="001770A9"/>
    <w:rsid w:val="00177428"/>
    <w:rsid w:val="0017752D"/>
    <w:rsid w:val="0017759F"/>
    <w:rsid w:val="00177832"/>
    <w:rsid w:val="00177D48"/>
    <w:rsid w:val="00181178"/>
    <w:rsid w:val="0018119E"/>
    <w:rsid w:val="00181EEF"/>
    <w:rsid w:val="00181F3E"/>
    <w:rsid w:val="00182486"/>
    <w:rsid w:val="00182FE0"/>
    <w:rsid w:val="00183911"/>
    <w:rsid w:val="00183AC9"/>
    <w:rsid w:val="001845FB"/>
    <w:rsid w:val="00184F66"/>
    <w:rsid w:val="0018527E"/>
    <w:rsid w:val="00185490"/>
    <w:rsid w:val="00185DA6"/>
    <w:rsid w:val="00185F64"/>
    <w:rsid w:val="00186096"/>
    <w:rsid w:val="0018772E"/>
    <w:rsid w:val="00187A94"/>
    <w:rsid w:val="0019029E"/>
    <w:rsid w:val="00190804"/>
    <w:rsid w:val="0019088F"/>
    <w:rsid w:val="00190C51"/>
    <w:rsid w:val="001915E6"/>
    <w:rsid w:val="001917B5"/>
    <w:rsid w:val="00192011"/>
    <w:rsid w:val="00193317"/>
    <w:rsid w:val="001933ED"/>
    <w:rsid w:val="00193ACC"/>
    <w:rsid w:val="00193BFE"/>
    <w:rsid w:val="00193DF8"/>
    <w:rsid w:val="001948F7"/>
    <w:rsid w:val="00194F7F"/>
    <w:rsid w:val="00195322"/>
    <w:rsid w:val="0019560E"/>
    <w:rsid w:val="001958E3"/>
    <w:rsid w:val="0019601B"/>
    <w:rsid w:val="00196048"/>
    <w:rsid w:val="00196A82"/>
    <w:rsid w:val="0019769B"/>
    <w:rsid w:val="00197A5F"/>
    <w:rsid w:val="00197FEC"/>
    <w:rsid w:val="00197FFE"/>
    <w:rsid w:val="001A0D25"/>
    <w:rsid w:val="001A1570"/>
    <w:rsid w:val="001A15EB"/>
    <w:rsid w:val="001A1917"/>
    <w:rsid w:val="001A1A68"/>
    <w:rsid w:val="001A1C64"/>
    <w:rsid w:val="001A1E7F"/>
    <w:rsid w:val="001A23F9"/>
    <w:rsid w:val="001A2918"/>
    <w:rsid w:val="001A2D02"/>
    <w:rsid w:val="001A2DFE"/>
    <w:rsid w:val="001A3076"/>
    <w:rsid w:val="001A31A5"/>
    <w:rsid w:val="001A3280"/>
    <w:rsid w:val="001A389C"/>
    <w:rsid w:val="001A3B75"/>
    <w:rsid w:val="001A3DE8"/>
    <w:rsid w:val="001A46FB"/>
    <w:rsid w:val="001A5944"/>
    <w:rsid w:val="001A5FB1"/>
    <w:rsid w:val="001A6157"/>
    <w:rsid w:val="001A698A"/>
    <w:rsid w:val="001A69D3"/>
    <w:rsid w:val="001A6CCC"/>
    <w:rsid w:val="001A70C8"/>
    <w:rsid w:val="001A71C9"/>
    <w:rsid w:val="001A7429"/>
    <w:rsid w:val="001A760C"/>
    <w:rsid w:val="001A799B"/>
    <w:rsid w:val="001A7AC7"/>
    <w:rsid w:val="001A7C38"/>
    <w:rsid w:val="001B02F8"/>
    <w:rsid w:val="001B13ED"/>
    <w:rsid w:val="001B2104"/>
    <w:rsid w:val="001B2279"/>
    <w:rsid w:val="001B2729"/>
    <w:rsid w:val="001B2866"/>
    <w:rsid w:val="001B2881"/>
    <w:rsid w:val="001B2B41"/>
    <w:rsid w:val="001B3675"/>
    <w:rsid w:val="001B37C8"/>
    <w:rsid w:val="001B4576"/>
    <w:rsid w:val="001B4B2C"/>
    <w:rsid w:val="001B4F10"/>
    <w:rsid w:val="001B5154"/>
    <w:rsid w:val="001B6E30"/>
    <w:rsid w:val="001B7C83"/>
    <w:rsid w:val="001B7F9E"/>
    <w:rsid w:val="001C01DC"/>
    <w:rsid w:val="001C0206"/>
    <w:rsid w:val="001C0246"/>
    <w:rsid w:val="001C04D4"/>
    <w:rsid w:val="001C0B34"/>
    <w:rsid w:val="001C12A3"/>
    <w:rsid w:val="001C1611"/>
    <w:rsid w:val="001C17BB"/>
    <w:rsid w:val="001C187E"/>
    <w:rsid w:val="001C1A37"/>
    <w:rsid w:val="001C1C49"/>
    <w:rsid w:val="001C286F"/>
    <w:rsid w:val="001C2B86"/>
    <w:rsid w:val="001C2C64"/>
    <w:rsid w:val="001C2F54"/>
    <w:rsid w:val="001C3308"/>
    <w:rsid w:val="001C3BBB"/>
    <w:rsid w:val="001C40D1"/>
    <w:rsid w:val="001C44F6"/>
    <w:rsid w:val="001C468A"/>
    <w:rsid w:val="001C48D0"/>
    <w:rsid w:val="001C4A38"/>
    <w:rsid w:val="001C4A9E"/>
    <w:rsid w:val="001C5001"/>
    <w:rsid w:val="001C5103"/>
    <w:rsid w:val="001C52A8"/>
    <w:rsid w:val="001C54C4"/>
    <w:rsid w:val="001C5ADF"/>
    <w:rsid w:val="001C5BC6"/>
    <w:rsid w:val="001C5E8E"/>
    <w:rsid w:val="001C6120"/>
    <w:rsid w:val="001C6516"/>
    <w:rsid w:val="001C6B49"/>
    <w:rsid w:val="001C6B5C"/>
    <w:rsid w:val="001C7155"/>
    <w:rsid w:val="001C7E48"/>
    <w:rsid w:val="001D0159"/>
    <w:rsid w:val="001D039B"/>
    <w:rsid w:val="001D067C"/>
    <w:rsid w:val="001D1258"/>
    <w:rsid w:val="001D18BB"/>
    <w:rsid w:val="001D1AB8"/>
    <w:rsid w:val="001D1BD7"/>
    <w:rsid w:val="001D20BF"/>
    <w:rsid w:val="001D286F"/>
    <w:rsid w:val="001D2C94"/>
    <w:rsid w:val="001D33D9"/>
    <w:rsid w:val="001D36F6"/>
    <w:rsid w:val="001D4099"/>
    <w:rsid w:val="001D4303"/>
    <w:rsid w:val="001D45E5"/>
    <w:rsid w:val="001D461A"/>
    <w:rsid w:val="001D4A9D"/>
    <w:rsid w:val="001D4AAD"/>
    <w:rsid w:val="001D4E67"/>
    <w:rsid w:val="001D4E7F"/>
    <w:rsid w:val="001D5AFA"/>
    <w:rsid w:val="001D6DFA"/>
    <w:rsid w:val="001D784A"/>
    <w:rsid w:val="001E00C7"/>
    <w:rsid w:val="001E0300"/>
    <w:rsid w:val="001E04A4"/>
    <w:rsid w:val="001E04EE"/>
    <w:rsid w:val="001E07C5"/>
    <w:rsid w:val="001E1485"/>
    <w:rsid w:val="001E176D"/>
    <w:rsid w:val="001E1BB6"/>
    <w:rsid w:val="001E1BCE"/>
    <w:rsid w:val="001E1E05"/>
    <w:rsid w:val="001E2086"/>
    <w:rsid w:val="001E2B2B"/>
    <w:rsid w:val="001E3000"/>
    <w:rsid w:val="001E339F"/>
    <w:rsid w:val="001E343E"/>
    <w:rsid w:val="001E3517"/>
    <w:rsid w:val="001E3629"/>
    <w:rsid w:val="001E398A"/>
    <w:rsid w:val="001E40F0"/>
    <w:rsid w:val="001E4172"/>
    <w:rsid w:val="001E5490"/>
    <w:rsid w:val="001E5730"/>
    <w:rsid w:val="001E5E2E"/>
    <w:rsid w:val="001E6352"/>
    <w:rsid w:val="001E70AD"/>
    <w:rsid w:val="001E7237"/>
    <w:rsid w:val="001E7713"/>
    <w:rsid w:val="001E7AF6"/>
    <w:rsid w:val="001F01B8"/>
    <w:rsid w:val="001F0E57"/>
    <w:rsid w:val="001F0FC3"/>
    <w:rsid w:val="001F1188"/>
    <w:rsid w:val="001F15C1"/>
    <w:rsid w:val="001F1B8D"/>
    <w:rsid w:val="001F1EBB"/>
    <w:rsid w:val="001F274F"/>
    <w:rsid w:val="001F289C"/>
    <w:rsid w:val="001F2BF9"/>
    <w:rsid w:val="001F3AF2"/>
    <w:rsid w:val="001F45DF"/>
    <w:rsid w:val="001F5803"/>
    <w:rsid w:val="001F6008"/>
    <w:rsid w:val="001F641B"/>
    <w:rsid w:val="001F6D4D"/>
    <w:rsid w:val="001F7F7E"/>
    <w:rsid w:val="00200505"/>
    <w:rsid w:val="002009A3"/>
    <w:rsid w:val="0020130D"/>
    <w:rsid w:val="0020139F"/>
    <w:rsid w:val="00201D06"/>
    <w:rsid w:val="00201E9F"/>
    <w:rsid w:val="002026CF"/>
    <w:rsid w:val="00202F25"/>
    <w:rsid w:val="00203594"/>
    <w:rsid w:val="002035B3"/>
    <w:rsid w:val="00203929"/>
    <w:rsid w:val="00203CD6"/>
    <w:rsid w:val="00203F0A"/>
    <w:rsid w:val="00204460"/>
    <w:rsid w:val="002051EA"/>
    <w:rsid w:val="00205CBC"/>
    <w:rsid w:val="00205E9E"/>
    <w:rsid w:val="00206259"/>
    <w:rsid w:val="002074B7"/>
    <w:rsid w:val="0020758D"/>
    <w:rsid w:val="00207C7B"/>
    <w:rsid w:val="002109D8"/>
    <w:rsid w:val="0021101A"/>
    <w:rsid w:val="00211470"/>
    <w:rsid w:val="00211922"/>
    <w:rsid w:val="0021213A"/>
    <w:rsid w:val="0021265F"/>
    <w:rsid w:val="002134A1"/>
    <w:rsid w:val="00213817"/>
    <w:rsid w:val="00214428"/>
    <w:rsid w:val="002145EB"/>
    <w:rsid w:val="00215834"/>
    <w:rsid w:val="00215AA4"/>
    <w:rsid w:val="00215CC2"/>
    <w:rsid w:val="00215ED8"/>
    <w:rsid w:val="00215F4B"/>
    <w:rsid w:val="0021635D"/>
    <w:rsid w:val="0021747A"/>
    <w:rsid w:val="00217700"/>
    <w:rsid w:val="002177E2"/>
    <w:rsid w:val="002200D9"/>
    <w:rsid w:val="00220503"/>
    <w:rsid w:val="002205F3"/>
    <w:rsid w:val="0022085B"/>
    <w:rsid w:val="00220E53"/>
    <w:rsid w:val="0022176C"/>
    <w:rsid w:val="002225D1"/>
    <w:rsid w:val="00222EE6"/>
    <w:rsid w:val="002230FA"/>
    <w:rsid w:val="00223552"/>
    <w:rsid w:val="00223DF2"/>
    <w:rsid w:val="00224737"/>
    <w:rsid w:val="00224C0C"/>
    <w:rsid w:val="002256C2"/>
    <w:rsid w:val="002256D0"/>
    <w:rsid w:val="00225C8E"/>
    <w:rsid w:val="00226428"/>
    <w:rsid w:val="002265A9"/>
    <w:rsid w:val="002266CB"/>
    <w:rsid w:val="00227052"/>
    <w:rsid w:val="002272D5"/>
    <w:rsid w:val="0022738E"/>
    <w:rsid w:val="00227906"/>
    <w:rsid w:val="00227934"/>
    <w:rsid w:val="00227C88"/>
    <w:rsid w:val="00227E21"/>
    <w:rsid w:val="00230178"/>
    <w:rsid w:val="00230A31"/>
    <w:rsid w:val="00231D05"/>
    <w:rsid w:val="002336E2"/>
    <w:rsid w:val="00233AC2"/>
    <w:rsid w:val="00233BAF"/>
    <w:rsid w:val="002347AA"/>
    <w:rsid w:val="00235420"/>
    <w:rsid w:val="00235DAA"/>
    <w:rsid w:val="00236987"/>
    <w:rsid w:val="00236C81"/>
    <w:rsid w:val="002400E9"/>
    <w:rsid w:val="0024065B"/>
    <w:rsid w:val="002409A6"/>
    <w:rsid w:val="00240EA5"/>
    <w:rsid w:val="00241132"/>
    <w:rsid w:val="00241205"/>
    <w:rsid w:val="002418C5"/>
    <w:rsid w:val="00242077"/>
    <w:rsid w:val="00242152"/>
    <w:rsid w:val="002422FD"/>
    <w:rsid w:val="0024261D"/>
    <w:rsid w:val="00242DFB"/>
    <w:rsid w:val="00243807"/>
    <w:rsid w:val="00243F8E"/>
    <w:rsid w:val="002440AC"/>
    <w:rsid w:val="00244365"/>
    <w:rsid w:val="0024459A"/>
    <w:rsid w:val="00244771"/>
    <w:rsid w:val="00244903"/>
    <w:rsid w:val="00244AFB"/>
    <w:rsid w:val="002453DF"/>
    <w:rsid w:val="00245A81"/>
    <w:rsid w:val="00245B7F"/>
    <w:rsid w:val="00246227"/>
    <w:rsid w:val="00246B86"/>
    <w:rsid w:val="00247335"/>
    <w:rsid w:val="002473EF"/>
    <w:rsid w:val="002477B9"/>
    <w:rsid w:val="00247CBE"/>
    <w:rsid w:val="00250739"/>
    <w:rsid w:val="00250A1F"/>
    <w:rsid w:val="00250ADA"/>
    <w:rsid w:val="00250F1D"/>
    <w:rsid w:val="00251FF1"/>
    <w:rsid w:val="002520BA"/>
    <w:rsid w:val="00252234"/>
    <w:rsid w:val="002527AF"/>
    <w:rsid w:val="002528E3"/>
    <w:rsid w:val="00252944"/>
    <w:rsid w:val="00252D55"/>
    <w:rsid w:val="00252D82"/>
    <w:rsid w:val="00253006"/>
    <w:rsid w:val="002533F5"/>
    <w:rsid w:val="00253865"/>
    <w:rsid w:val="00253C60"/>
    <w:rsid w:val="00253F21"/>
    <w:rsid w:val="0025429D"/>
    <w:rsid w:val="002549E9"/>
    <w:rsid w:val="00254FF6"/>
    <w:rsid w:val="00255099"/>
    <w:rsid w:val="00255129"/>
    <w:rsid w:val="002555C6"/>
    <w:rsid w:val="002557F0"/>
    <w:rsid w:val="002559BF"/>
    <w:rsid w:val="00255E14"/>
    <w:rsid w:val="00257059"/>
    <w:rsid w:val="0025712F"/>
    <w:rsid w:val="00257395"/>
    <w:rsid w:val="00257857"/>
    <w:rsid w:val="002578DA"/>
    <w:rsid w:val="00257CBC"/>
    <w:rsid w:val="002602C2"/>
    <w:rsid w:val="002602DA"/>
    <w:rsid w:val="0026040B"/>
    <w:rsid w:val="00260768"/>
    <w:rsid w:val="00260802"/>
    <w:rsid w:val="002609E3"/>
    <w:rsid w:val="00261223"/>
    <w:rsid w:val="002617AB"/>
    <w:rsid w:val="00261D08"/>
    <w:rsid w:val="00261DCC"/>
    <w:rsid w:val="002620E6"/>
    <w:rsid w:val="002624D0"/>
    <w:rsid w:val="00263741"/>
    <w:rsid w:val="00263AE7"/>
    <w:rsid w:val="00263EC7"/>
    <w:rsid w:val="002644FA"/>
    <w:rsid w:val="0026491B"/>
    <w:rsid w:val="00264A36"/>
    <w:rsid w:val="00264B06"/>
    <w:rsid w:val="00264C1B"/>
    <w:rsid w:val="00264E11"/>
    <w:rsid w:val="00265E2E"/>
    <w:rsid w:val="002661AB"/>
    <w:rsid w:val="00266EA1"/>
    <w:rsid w:val="0026742B"/>
    <w:rsid w:val="002674FE"/>
    <w:rsid w:val="00267C03"/>
    <w:rsid w:val="00270748"/>
    <w:rsid w:val="00270996"/>
    <w:rsid w:val="00270D0F"/>
    <w:rsid w:val="0027117F"/>
    <w:rsid w:val="002712DC"/>
    <w:rsid w:val="00271875"/>
    <w:rsid w:val="002718FF"/>
    <w:rsid w:val="00271955"/>
    <w:rsid w:val="00272278"/>
    <w:rsid w:val="00272432"/>
    <w:rsid w:val="00272633"/>
    <w:rsid w:val="00272FBF"/>
    <w:rsid w:val="00273A10"/>
    <w:rsid w:val="00273A58"/>
    <w:rsid w:val="00274CAB"/>
    <w:rsid w:val="00274E8A"/>
    <w:rsid w:val="002757C4"/>
    <w:rsid w:val="00275B6F"/>
    <w:rsid w:val="00275FCE"/>
    <w:rsid w:val="002766B8"/>
    <w:rsid w:val="0027680F"/>
    <w:rsid w:val="00280E86"/>
    <w:rsid w:val="00281006"/>
    <w:rsid w:val="00281468"/>
    <w:rsid w:val="002815B1"/>
    <w:rsid w:val="00281C1F"/>
    <w:rsid w:val="00281EEA"/>
    <w:rsid w:val="00281F88"/>
    <w:rsid w:val="0028253D"/>
    <w:rsid w:val="0028288D"/>
    <w:rsid w:val="002829B7"/>
    <w:rsid w:val="00282B82"/>
    <w:rsid w:val="00282C74"/>
    <w:rsid w:val="00282E5B"/>
    <w:rsid w:val="00283125"/>
    <w:rsid w:val="00283995"/>
    <w:rsid w:val="00283B11"/>
    <w:rsid w:val="00283EAD"/>
    <w:rsid w:val="002841A9"/>
    <w:rsid w:val="00284313"/>
    <w:rsid w:val="002848AD"/>
    <w:rsid w:val="002850C3"/>
    <w:rsid w:val="00285154"/>
    <w:rsid w:val="00285208"/>
    <w:rsid w:val="00285BF2"/>
    <w:rsid w:val="00285C78"/>
    <w:rsid w:val="002863CE"/>
    <w:rsid w:val="0028773B"/>
    <w:rsid w:val="00291035"/>
    <w:rsid w:val="00291492"/>
    <w:rsid w:val="00291527"/>
    <w:rsid w:val="0029167B"/>
    <w:rsid w:val="0029199A"/>
    <w:rsid w:val="00291BBE"/>
    <w:rsid w:val="00291EC2"/>
    <w:rsid w:val="00291FEB"/>
    <w:rsid w:val="00293146"/>
    <w:rsid w:val="00293353"/>
    <w:rsid w:val="0029361E"/>
    <w:rsid w:val="00293D68"/>
    <w:rsid w:val="00294352"/>
    <w:rsid w:val="002944A0"/>
    <w:rsid w:val="002946E4"/>
    <w:rsid w:val="0029495C"/>
    <w:rsid w:val="002957D9"/>
    <w:rsid w:val="00295B52"/>
    <w:rsid w:val="00295D8B"/>
    <w:rsid w:val="00296024"/>
    <w:rsid w:val="00296293"/>
    <w:rsid w:val="00296773"/>
    <w:rsid w:val="00296AF7"/>
    <w:rsid w:val="002972F9"/>
    <w:rsid w:val="002977CA"/>
    <w:rsid w:val="00297ED7"/>
    <w:rsid w:val="002A0007"/>
    <w:rsid w:val="002A00D7"/>
    <w:rsid w:val="002A03AA"/>
    <w:rsid w:val="002A056D"/>
    <w:rsid w:val="002A07FE"/>
    <w:rsid w:val="002A094D"/>
    <w:rsid w:val="002A0CAF"/>
    <w:rsid w:val="002A1565"/>
    <w:rsid w:val="002A16A9"/>
    <w:rsid w:val="002A24A4"/>
    <w:rsid w:val="002A2941"/>
    <w:rsid w:val="002A2DC4"/>
    <w:rsid w:val="002A3780"/>
    <w:rsid w:val="002A3E69"/>
    <w:rsid w:val="002A44F9"/>
    <w:rsid w:val="002A49EF"/>
    <w:rsid w:val="002A4B8B"/>
    <w:rsid w:val="002A5107"/>
    <w:rsid w:val="002A535E"/>
    <w:rsid w:val="002A54FF"/>
    <w:rsid w:val="002A6406"/>
    <w:rsid w:val="002A6724"/>
    <w:rsid w:val="002A6CF0"/>
    <w:rsid w:val="002A6FFC"/>
    <w:rsid w:val="002A7010"/>
    <w:rsid w:val="002A70BA"/>
    <w:rsid w:val="002A7A57"/>
    <w:rsid w:val="002A7BB2"/>
    <w:rsid w:val="002A7DCB"/>
    <w:rsid w:val="002B07DE"/>
    <w:rsid w:val="002B0B53"/>
    <w:rsid w:val="002B1617"/>
    <w:rsid w:val="002B1D11"/>
    <w:rsid w:val="002B1EDA"/>
    <w:rsid w:val="002B1F72"/>
    <w:rsid w:val="002B273B"/>
    <w:rsid w:val="002B29AA"/>
    <w:rsid w:val="002B2A7E"/>
    <w:rsid w:val="002B2BFC"/>
    <w:rsid w:val="002B2D39"/>
    <w:rsid w:val="002B2F1B"/>
    <w:rsid w:val="002B4FD1"/>
    <w:rsid w:val="002B5AFB"/>
    <w:rsid w:val="002B6320"/>
    <w:rsid w:val="002B66AC"/>
    <w:rsid w:val="002B6852"/>
    <w:rsid w:val="002B77E1"/>
    <w:rsid w:val="002B7FA0"/>
    <w:rsid w:val="002C0610"/>
    <w:rsid w:val="002C0714"/>
    <w:rsid w:val="002C0A96"/>
    <w:rsid w:val="002C10A8"/>
    <w:rsid w:val="002C1628"/>
    <w:rsid w:val="002C1BF4"/>
    <w:rsid w:val="002C1E0D"/>
    <w:rsid w:val="002C2266"/>
    <w:rsid w:val="002C2309"/>
    <w:rsid w:val="002C28EB"/>
    <w:rsid w:val="002C3265"/>
    <w:rsid w:val="002C32D3"/>
    <w:rsid w:val="002C3AED"/>
    <w:rsid w:val="002C3E56"/>
    <w:rsid w:val="002C414C"/>
    <w:rsid w:val="002C42E4"/>
    <w:rsid w:val="002C4C2F"/>
    <w:rsid w:val="002C539D"/>
    <w:rsid w:val="002C5776"/>
    <w:rsid w:val="002C5EED"/>
    <w:rsid w:val="002C66DE"/>
    <w:rsid w:val="002C7193"/>
    <w:rsid w:val="002C7699"/>
    <w:rsid w:val="002C7A49"/>
    <w:rsid w:val="002C7AE3"/>
    <w:rsid w:val="002D0128"/>
    <w:rsid w:val="002D0E85"/>
    <w:rsid w:val="002D0FA7"/>
    <w:rsid w:val="002D12FB"/>
    <w:rsid w:val="002D19D1"/>
    <w:rsid w:val="002D1F35"/>
    <w:rsid w:val="002D1FA3"/>
    <w:rsid w:val="002D20CD"/>
    <w:rsid w:val="002D23C6"/>
    <w:rsid w:val="002D24F0"/>
    <w:rsid w:val="002D25EB"/>
    <w:rsid w:val="002D29F3"/>
    <w:rsid w:val="002D3126"/>
    <w:rsid w:val="002D3529"/>
    <w:rsid w:val="002D3BCB"/>
    <w:rsid w:val="002D3D0A"/>
    <w:rsid w:val="002D478E"/>
    <w:rsid w:val="002D47AE"/>
    <w:rsid w:val="002D4A2E"/>
    <w:rsid w:val="002D4A94"/>
    <w:rsid w:val="002D51C0"/>
    <w:rsid w:val="002D5CBF"/>
    <w:rsid w:val="002D65FF"/>
    <w:rsid w:val="002D6D10"/>
    <w:rsid w:val="002D706B"/>
    <w:rsid w:val="002D71E2"/>
    <w:rsid w:val="002D7367"/>
    <w:rsid w:val="002D7628"/>
    <w:rsid w:val="002D78F4"/>
    <w:rsid w:val="002D7961"/>
    <w:rsid w:val="002D7B6A"/>
    <w:rsid w:val="002E0026"/>
    <w:rsid w:val="002E08E8"/>
    <w:rsid w:val="002E0918"/>
    <w:rsid w:val="002E0B72"/>
    <w:rsid w:val="002E0BAA"/>
    <w:rsid w:val="002E0D96"/>
    <w:rsid w:val="002E0EA5"/>
    <w:rsid w:val="002E1E19"/>
    <w:rsid w:val="002E283F"/>
    <w:rsid w:val="002E2854"/>
    <w:rsid w:val="002E2E74"/>
    <w:rsid w:val="002E32D2"/>
    <w:rsid w:val="002E361B"/>
    <w:rsid w:val="002E37AB"/>
    <w:rsid w:val="002E3A80"/>
    <w:rsid w:val="002E3E43"/>
    <w:rsid w:val="002E41C7"/>
    <w:rsid w:val="002E51DF"/>
    <w:rsid w:val="002E57B9"/>
    <w:rsid w:val="002E6127"/>
    <w:rsid w:val="002E6885"/>
    <w:rsid w:val="002E6C5E"/>
    <w:rsid w:val="002E72E4"/>
    <w:rsid w:val="002E739D"/>
    <w:rsid w:val="002E7A40"/>
    <w:rsid w:val="002F0665"/>
    <w:rsid w:val="002F0F36"/>
    <w:rsid w:val="002F1075"/>
    <w:rsid w:val="002F1276"/>
    <w:rsid w:val="002F1986"/>
    <w:rsid w:val="002F1E5F"/>
    <w:rsid w:val="002F262D"/>
    <w:rsid w:val="002F2A49"/>
    <w:rsid w:val="002F2C0E"/>
    <w:rsid w:val="002F3550"/>
    <w:rsid w:val="002F3B63"/>
    <w:rsid w:val="002F3C56"/>
    <w:rsid w:val="002F46B0"/>
    <w:rsid w:val="002F47EF"/>
    <w:rsid w:val="002F4B17"/>
    <w:rsid w:val="002F5150"/>
    <w:rsid w:val="002F5463"/>
    <w:rsid w:val="002F548C"/>
    <w:rsid w:val="002F58C2"/>
    <w:rsid w:val="002F5932"/>
    <w:rsid w:val="002F5C85"/>
    <w:rsid w:val="002F603B"/>
    <w:rsid w:val="002F6201"/>
    <w:rsid w:val="002F6886"/>
    <w:rsid w:val="002F6A2B"/>
    <w:rsid w:val="002F6ECF"/>
    <w:rsid w:val="002F724B"/>
    <w:rsid w:val="002F72BA"/>
    <w:rsid w:val="00300267"/>
    <w:rsid w:val="003004D2"/>
    <w:rsid w:val="00300C88"/>
    <w:rsid w:val="00300D6B"/>
    <w:rsid w:val="00301380"/>
    <w:rsid w:val="00301E89"/>
    <w:rsid w:val="00302052"/>
    <w:rsid w:val="00302142"/>
    <w:rsid w:val="00302169"/>
    <w:rsid w:val="00302612"/>
    <w:rsid w:val="00303254"/>
    <w:rsid w:val="003044D9"/>
    <w:rsid w:val="00304D8A"/>
    <w:rsid w:val="00305136"/>
    <w:rsid w:val="00305216"/>
    <w:rsid w:val="0030555B"/>
    <w:rsid w:val="003056DA"/>
    <w:rsid w:val="003061F5"/>
    <w:rsid w:val="00306D27"/>
    <w:rsid w:val="00306D79"/>
    <w:rsid w:val="0030739C"/>
    <w:rsid w:val="003077B9"/>
    <w:rsid w:val="00307CD4"/>
    <w:rsid w:val="00310D51"/>
    <w:rsid w:val="00311B36"/>
    <w:rsid w:val="00311B83"/>
    <w:rsid w:val="00311C92"/>
    <w:rsid w:val="00312717"/>
    <w:rsid w:val="003133AE"/>
    <w:rsid w:val="0031371B"/>
    <w:rsid w:val="00314156"/>
    <w:rsid w:val="00314384"/>
    <w:rsid w:val="00314E6D"/>
    <w:rsid w:val="0031535B"/>
    <w:rsid w:val="003170F4"/>
    <w:rsid w:val="0032035D"/>
    <w:rsid w:val="003205E9"/>
    <w:rsid w:val="00320B28"/>
    <w:rsid w:val="0032118B"/>
    <w:rsid w:val="0032123E"/>
    <w:rsid w:val="003216D5"/>
    <w:rsid w:val="003216FF"/>
    <w:rsid w:val="00321866"/>
    <w:rsid w:val="00321A83"/>
    <w:rsid w:val="00321C1A"/>
    <w:rsid w:val="00321F6B"/>
    <w:rsid w:val="00322389"/>
    <w:rsid w:val="00322BE5"/>
    <w:rsid w:val="00322E87"/>
    <w:rsid w:val="0032312D"/>
    <w:rsid w:val="00323AA5"/>
    <w:rsid w:val="003242E4"/>
    <w:rsid w:val="0032468D"/>
    <w:rsid w:val="00324926"/>
    <w:rsid w:val="00324B25"/>
    <w:rsid w:val="0032522F"/>
    <w:rsid w:val="003253C4"/>
    <w:rsid w:val="0032550F"/>
    <w:rsid w:val="00325992"/>
    <w:rsid w:val="00325B74"/>
    <w:rsid w:val="0032638F"/>
    <w:rsid w:val="00326B59"/>
    <w:rsid w:val="003272C6"/>
    <w:rsid w:val="00327752"/>
    <w:rsid w:val="00327C7C"/>
    <w:rsid w:val="00330009"/>
    <w:rsid w:val="003301E6"/>
    <w:rsid w:val="003310AB"/>
    <w:rsid w:val="003314D2"/>
    <w:rsid w:val="00331712"/>
    <w:rsid w:val="00331A3F"/>
    <w:rsid w:val="00332191"/>
    <w:rsid w:val="00332720"/>
    <w:rsid w:val="00332EED"/>
    <w:rsid w:val="00332EEE"/>
    <w:rsid w:val="003334A7"/>
    <w:rsid w:val="003337E8"/>
    <w:rsid w:val="00333A14"/>
    <w:rsid w:val="00333B2A"/>
    <w:rsid w:val="00333FD5"/>
    <w:rsid w:val="003350E9"/>
    <w:rsid w:val="003351BA"/>
    <w:rsid w:val="0033520F"/>
    <w:rsid w:val="00335847"/>
    <w:rsid w:val="0033596B"/>
    <w:rsid w:val="00335A93"/>
    <w:rsid w:val="0033650E"/>
    <w:rsid w:val="00336907"/>
    <w:rsid w:val="003369DF"/>
    <w:rsid w:val="00336C71"/>
    <w:rsid w:val="00336D96"/>
    <w:rsid w:val="00336DFC"/>
    <w:rsid w:val="00337230"/>
    <w:rsid w:val="003377D0"/>
    <w:rsid w:val="00337D75"/>
    <w:rsid w:val="00340020"/>
    <w:rsid w:val="00341162"/>
    <w:rsid w:val="00341866"/>
    <w:rsid w:val="0034194D"/>
    <w:rsid w:val="00341DAF"/>
    <w:rsid w:val="00342181"/>
    <w:rsid w:val="003428A2"/>
    <w:rsid w:val="00342D3F"/>
    <w:rsid w:val="00343560"/>
    <w:rsid w:val="00343A20"/>
    <w:rsid w:val="0034402B"/>
    <w:rsid w:val="0034449E"/>
    <w:rsid w:val="0034484F"/>
    <w:rsid w:val="00344D46"/>
    <w:rsid w:val="0034529D"/>
    <w:rsid w:val="00345423"/>
    <w:rsid w:val="00345ECD"/>
    <w:rsid w:val="003465A5"/>
    <w:rsid w:val="00346817"/>
    <w:rsid w:val="0034689B"/>
    <w:rsid w:val="00346F7F"/>
    <w:rsid w:val="003471D1"/>
    <w:rsid w:val="00347440"/>
    <w:rsid w:val="003475EA"/>
    <w:rsid w:val="00347A27"/>
    <w:rsid w:val="00347CA8"/>
    <w:rsid w:val="00347CD4"/>
    <w:rsid w:val="0035082E"/>
    <w:rsid w:val="00350A55"/>
    <w:rsid w:val="00350DF8"/>
    <w:rsid w:val="003512DD"/>
    <w:rsid w:val="00351A8A"/>
    <w:rsid w:val="0035266A"/>
    <w:rsid w:val="0035279C"/>
    <w:rsid w:val="003535D2"/>
    <w:rsid w:val="0035384D"/>
    <w:rsid w:val="00353BF0"/>
    <w:rsid w:val="00353C0B"/>
    <w:rsid w:val="00354AE4"/>
    <w:rsid w:val="00354B0A"/>
    <w:rsid w:val="0035551B"/>
    <w:rsid w:val="003555ED"/>
    <w:rsid w:val="00355692"/>
    <w:rsid w:val="00355911"/>
    <w:rsid w:val="00355A25"/>
    <w:rsid w:val="003560E3"/>
    <w:rsid w:val="0035636B"/>
    <w:rsid w:val="00356677"/>
    <w:rsid w:val="00357424"/>
    <w:rsid w:val="003579C4"/>
    <w:rsid w:val="00361789"/>
    <w:rsid w:val="0036196D"/>
    <w:rsid w:val="00361B2A"/>
    <w:rsid w:val="003627BD"/>
    <w:rsid w:val="00362997"/>
    <w:rsid w:val="00362C59"/>
    <w:rsid w:val="00363040"/>
    <w:rsid w:val="003630B7"/>
    <w:rsid w:val="00363786"/>
    <w:rsid w:val="003638A4"/>
    <w:rsid w:val="003639BF"/>
    <w:rsid w:val="00363E41"/>
    <w:rsid w:val="00363FD2"/>
    <w:rsid w:val="0036483F"/>
    <w:rsid w:val="0036572E"/>
    <w:rsid w:val="00365B78"/>
    <w:rsid w:val="003663D9"/>
    <w:rsid w:val="0036648B"/>
    <w:rsid w:val="003666BF"/>
    <w:rsid w:val="00366707"/>
    <w:rsid w:val="00366FA9"/>
    <w:rsid w:val="00367E49"/>
    <w:rsid w:val="003700E6"/>
    <w:rsid w:val="003709F1"/>
    <w:rsid w:val="003714F7"/>
    <w:rsid w:val="00371C86"/>
    <w:rsid w:val="0037236C"/>
    <w:rsid w:val="003729DE"/>
    <w:rsid w:val="003735D3"/>
    <w:rsid w:val="0037386D"/>
    <w:rsid w:val="00373956"/>
    <w:rsid w:val="00373FA5"/>
    <w:rsid w:val="00374153"/>
    <w:rsid w:val="00374BEE"/>
    <w:rsid w:val="003750E0"/>
    <w:rsid w:val="00375AF1"/>
    <w:rsid w:val="00375C2F"/>
    <w:rsid w:val="00375FC5"/>
    <w:rsid w:val="003769BA"/>
    <w:rsid w:val="00377871"/>
    <w:rsid w:val="003778B2"/>
    <w:rsid w:val="00377E58"/>
    <w:rsid w:val="003805E3"/>
    <w:rsid w:val="00380618"/>
    <w:rsid w:val="0038062E"/>
    <w:rsid w:val="003807F7"/>
    <w:rsid w:val="00380CA9"/>
    <w:rsid w:val="00381610"/>
    <w:rsid w:val="00382106"/>
    <w:rsid w:val="00382657"/>
    <w:rsid w:val="00382B82"/>
    <w:rsid w:val="0038368F"/>
    <w:rsid w:val="003844BF"/>
    <w:rsid w:val="003848C6"/>
    <w:rsid w:val="003854D5"/>
    <w:rsid w:val="0038552A"/>
    <w:rsid w:val="003859EA"/>
    <w:rsid w:val="0038709E"/>
    <w:rsid w:val="00387D30"/>
    <w:rsid w:val="00387DE1"/>
    <w:rsid w:val="00391753"/>
    <w:rsid w:val="00391C7F"/>
    <w:rsid w:val="0039218B"/>
    <w:rsid w:val="00392454"/>
    <w:rsid w:val="00392C85"/>
    <w:rsid w:val="00392FD8"/>
    <w:rsid w:val="003931CC"/>
    <w:rsid w:val="00393B98"/>
    <w:rsid w:val="00393E11"/>
    <w:rsid w:val="00394475"/>
    <w:rsid w:val="00395038"/>
    <w:rsid w:val="0039517A"/>
    <w:rsid w:val="003959E5"/>
    <w:rsid w:val="00395B51"/>
    <w:rsid w:val="00396796"/>
    <w:rsid w:val="00396CEE"/>
    <w:rsid w:val="00396EC6"/>
    <w:rsid w:val="00396F3C"/>
    <w:rsid w:val="003970BA"/>
    <w:rsid w:val="0039746C"/>
    <w:rsid w:val="00397783"/>
    <w:rsid w:val="0039783E"/>
    <w:rsid w:val="00397DC6"/>
    <w:rsid w:val="003A0E82"/>
    <w:rsid w:val="003A0FAC"/>
    <w:rsid w:val="003A184D"/>
    <w:rsid w:val="003A1C52"/>
    <w:rsid w:val="003A1FB7"/>
    <w:rsid w:val="003A24B4"/>
    <w:rsid w:val="003A26F3"/>
    <w:rsid w:val="003A371E"/>
    <w:rsid w:val="003A381B"/>
    <w:rsid w:val="003A462A"/>
    <w:rsid w:val="003A555C"/>
    <w:rsid w:val="003A595F"/>
    <w:rsid w:val="003A5EEC"/>
    <w:rsid w:val="003A702F"/>
    <w:rsid w:val="003A7411"/>
    <w:rsid w:val="003A79AE"/>
    <w:rsid w:val="003A7CA3"/>
    <w:rsid w:val="003A7E8E"/>
    <w:rsid w:val="003B00B6"/>
    <w:rsid w:val="003B01C4"/>
    <w:rsid w:val="003B0BB0"/>
    <w:rsid w:val="003B11EE"/>
    <w:rsid w:val="003B15DB"/>
    <w:rsid w:val="003B15F8"/>
    <w:rsid w:val="003B1FE3"/>
    <w:rsid w:val="003B230B"/>
    <w:rsid w:val="003B23BC"/>
    <w:rsid w:val="003B2DB5"/>
    <w:rsid w:val="003B2F05"/>
    <w:rsid w:val="003B37E1"/>
    <w:rsid w:val="003B3966"/>
    <w:rsid w:val="003B39B7"/>
    <w:rsid w:val="003B48BA"/>
    <w:rsid w:val="003B4EB0"/>
    <w:rsid w:val="003B58A1"/>
    <w:rsid w:val="003B5F6A"/>
    <w:rsid w:val="003B6B7F"/>
    <w:rsid w:val="003B7820"/>
    <w:rsid w:val="003B7BE1"/>
    <w:rsid w:val="003C01A4"/>
    <w:rsid w:val="003C0219"/>
    <w:rsid w:val="003C04DC"/>
    <w:rsid w:val="003C07EF"/>
    <w:rsid w:val="003C0C12"/>
    <w:rsid w:val="003C16EE"/>
    <w:rsid w:val="003C1C87"/>
    <w:rsid w:val="003C1E6E"/>
    <w:rsid w:val="003C2C85"/>
    <w:rsid w:val="003C2F61"/>
    <w:rsid w:val="003C345E"/>
    <w:rsid w:val="003C4409"/>
    <w:rsid w:val="003C4997"/>
    <w:rsid w:val="003C4DA5"/>
    <w:rsid w:val="003C5666"/>
    <w:rsid w:val="003C5788"/>
    <w:rsid w:val="003C5F00"/>
    <w:rsid w:val="003C64F4"/>
    <w:rsid w:val="003C68D3"/>
    <w:rsid w:val="003C724B"/>
    <w:rsid w:val="003C73DB"/>
    <w:rsid w:val="003C74D2"/>
    <w:rsid w:val="003D0185"/>
    <w:rsid w:val="003D02CB"/>
    <w:rsid w:val="003D0382"/>
    <w:rsid w:val="003D069C"/>
    <w:rsid w:val="003D06A4"/>
    <w:rsid w:val="003D191E"/>
    <w:rsid w:val="003D22A5"/>
    <w:rsid w:val="003D23A4"/>
    <w:rsid w:val="003D2EF6"/>
    <w:rsid w:val="003D3243"/>
    <w:rsid w:val="003D3414"/>
    <w:rsid w:val="003D3426"/>
    <w:rsid w:val="003D3721"/>
    <w:rsid w:val="003D3B15"/>
    <w:rsid w:val="003D4B03"/>
    <w:rsid w:val="003D4F64"/>
    <w:rsid w:val="003D5383"/>
    <w:rsid w:val="003D5537"/>
    <w:rsid w:val="003D6722"/>
    <w:rsid w:val="003D7006"/>
    <w:rsid w:val="003D7428"/>
    <w:rsid w:val="003D77F2"/>
    <w:rsid w:val="003D78CC"/>
    <w:rsid w:val="003D7901"/>
    <w:rsid w:val="003D797A"/>
    <w:rsid w:val="003D7D01"/>
    <w:rsid w:val="003D7ED8"/>
    <w:rsid w:val="003E0003"/>
    <w:rsid w:val="003E0099"/>
    <w:rsid w:val="003E074B"/>
    <w:rsid w:val="003E0825"/>
    <w:rsid w:val="003E08C7"/>
    <w:rsid w:val="003E1A72"/>
    <w:rsid w:val="003E1C80"/>
    <w:rsid w:val="003E2880"/>
    <w:rsid w:val="003E28FB"/>
    <w:rsid w:val="003E2A00"/>
    <w:rsid w:val="003E382C"/>
    <w:rsid w:val="003E3D00"/>
    <w:rsid w:val="003E4531"/>
    <w:rsid w:val="003E4771"/>
    <w:rsid w:val="003E54A8"/>
    <w:rsid w:val="003E5833"/>
    <w:rsid w:val="003E5DA8"/>
    <w:rsid w:val="003E68F5"/>
    <w:rsid w:val="003E6A8A"/>
    <w:rsid w:val="003E7109"/>
    <w:rsid w:val="003E77DC"/>
    <w:rsid w:val="003E7BC1"/>
    <w:rsid w:val="003E7DA6"/>
    <w:rsid w:val="003F0335"/>
    <w:rsid w:val="003F0453"/>
    <w:rsid w:val="003F0C9F"/>
    <w:rsid w:val="003F144A"/>
    <w:rsid w:val="003F1A9E"/>
    <w:rsid w:val="003F1B02"/>
    <w:rsid w:val="003F1EFE"/>
    <w:rsid w:val="003F2212"/>
    <w:rsid w:val="003F2240"/>
    <w:rsid w:val="003F2460"/>
    <w:rsid w:val="003F2E7B"/>
    <w:rsid w:val="003F3CD5"/>
    <w:rsid w:val="003F3D6C"/>
    <w:rsid w:val="003F4473"/>
    <w:rsid w:val="003F4A93"/>
    <w:rsid w:val="003F4CF5"/>
    <w:rsid w:val="003F4E31"/>
    <w:rsid w:val="003F5021"/>
    <w:rsid w:val="003F51EE"/>
    <w:rsid w:val="003F574E"/>
    <w:rsid w:val="003F60D6"/>
    <w:rsid w:val="003F68E9"/>
    <w:rsid w:val="003F6AED"/>
    <w:rsid w:val="003F78E5"/>
    <w:rsid w:val="003F7C72"/>
    <w:rsid w:val="003F7E15"/>
    <w:rsid w:val="003F7FDA"/>
    <w:rsid w:val="004000EE"/>
    <w:rsid w:val="004003A4"/>
    <w:rsid w:val="004013AD"/>
    <w:rsid w:val="00401ABE"/>
    <w:rsid w:val="004021C0"/>
    <w:rsid w:val="004028CE"/>
    <w:rsid w:val="00403087"/>
    <w:rsid w:val="0040313D"/>
    <w:rsid w:val="004043FA"/>
    <w:rsid w:val="00404970"/>
    <w:rsid w:val="00405104"/>
    <w:rsid w:val="00405181"/>
    <w:rsid w:val="0040567F"/>
    <w:rsid w:val="00405873"/>
    <w:rsid w:val="00405F09"/>
    <w:rsid w:val="004066F4"/>
    <w:rsid w:val="00406A32"/>
    <w:rsid w:val="0040735B"/>
    <w:rsid w:val="0040760B"/>
    <w:rsid w:val="004076E2"/>
    <w:rsid w:val="004076F1"/>
    <w:rsid w:val="0040786E"/>
    <w:rsid w:val="00410117"/>
    <w:rsid w:val="0041062A"/>
    <w:rsid w:val="00410C32"/>
    <w:rsid w:val="00410CF4"/>
    <w:rsid w:val="00410EAD"/>
    <w:rsid w:val="00410F41"/>
    <w:rsid w:val="00411237"/>
    <w:rsid w:val="00411557"/>
    <w:rsid w:val="00411994"/>
    <w:rsid w:val="00411CB3"/>
    <w:rsid w:val="00411D74"/>
    <w:rsid w:val="00411DDE"/>
    <w:rsid w:val="00411F84"/>
    <w:rsid w:val="00412069"/>
    <w:rsid w:val="004121A1"/>
    <w:rsid w:val="00412477"/>
    <w:rsid w:val="00412570"/>
    <w:rsid w:val="00412641"/>
    <w:rsid w:val="004127A2"/>
    <w:rsid w:val="0041280A"/>
    <w:rsid w:val="00412889"/>
    <w:rsid w:val="00412A9D"/>
    <w:rsid w:val="00412CB1"/>
    <w:rsid w:val="004133A5"/>
    <w:rsid w:val="00413D45"/>
    <w:rsid w:val="00414197"/>
    <w:rsid w:val="00414351"/>
    <w:rsid w:val="00414D68"/>
    <w:rsid w:val="00414FD9"/>
    <w:rsid w:val="00415773"/>
    <w:rsid w:val="00415CAE"/>
    <w:rsid w:val="00415EE7"/>
    <w:rsid w:val="004160FA"/>
    <w:rsid w:val="0041669E"/>
    <w:rsid w:val="00416ACA"/>
    <w:rsid w:val="00416C56"/>
    <w:rsid w:val="00417294"/>
    <w:rsid w:val="004175E4"/>
    <w:rsid w:val="004176B8"/>
    <w:rsid w:val="00417B99"/>
    <w:rsid w:val="00417CE0"/>
    <w:rsid w:val="004209D5"/>
    <w:rsid w:val="00420C7E"/>
    <w:rsid w:val="00420FAF"/>
    <w:rsid w:val="00421184"/>
    <w:rsid w:val="004212C1"/>
    <w:rsid w:val="004214B7"/>
    <w:rsid w:val="004217F6"/>
    <w:rsid w:val="00421FB5"/>
    <w:rsid w:val="004226ED"/>
    <w:rsid w:val="00422AF4"/>
    <w:rsid w:val="004235F4"/>
    <w:rsid w:val="004236C9"/>
    <w:rsid w:val="00423786"/>
    <w:rsid w:val="00423CF3"/>
    <w:rsid w:val="00423E18"/>
    <w:rsid w:val="0042473C"/>
    <w:rsid w:val="00424B7C"/>
    <w:rsid w:val="0042500C"/>
    <w:rsid w:val="00425514"/>
    <w:rsid w:val="004256BD"/>
    <w:rsid w:val="00425863"/>
    <w:rsid w:val="00425D02"/>
    <w:rsid w:val="00425EDC"/>
    <w:rsid w:val="0042661D"/>
    <w:rsid w:val="00426C3E"/>
    <w:rsid w:val="0042737E"/>
    <w:rsid w:val="004275CD"/>
    <w:rsid w:val="00427FEB"/>
    <w:rsid w:val="00427FF2"/>
    <w:rsid w:val="004305C0"/>
    <w:rsid w:val="00430B20"/>
    <w:rsid w:val="00430B6C"/>
    <w:rsid w:val="0043124D"/>
    <w:rsid w:val="0043227C"/>
    <w:rsid w:val="00432338"/>
    <w:rsid w:val="00432481"/>
    <w:rsid w:val="004324D9"/>
    <w:rsid w:val="004335C0"/>
    <w:rsid w:val="004343BE"/>
    <w:rsid w:val="00435068"/>
    <w:rsid w:val="00435715"/>
    <w:rsid w:val="0043571B"/>
    <w:rsid w:val="00435EA1"/>
    <w:rsid w:val="00435EE0"/>
    <w:rsid w:val="00435F29"/>
    <w:rsid w:val="0043610C"/>
    <w:rsid w:val="004366FF"/>
    <w:rsid w:val="00437D83"/>
    <w:rsid w:val="004401DD"/>
    <w:rsid w:val="00440344"/>
    <w:rsid w:val="00441264"/>
    <w:rsid w:val="00441B0F"/>
    <w:rsid w:val="004425C6"/>
    <w:rsid w:val="00443D5D"/>
    <w:rsid w:val="004448A2"/>
    <w:rsid w:val="004455DC"/>
    <w:rsid w:val="00445CBA"/>
    <w:rsid w:val="004463CB"/>
    <w:rsid w:val="004466F7"/>
    <w:rsid w:val="00446858"/>
    <w:rsid w:val="00446B68"/>
    <w:rsid w:val="0044710C"/>
    <w:rsid w:val="00447304"/>
    <w:rsid w:val="00447399"/>
    <w:rsid w:val="00450127"/>
    <w:rsid w:val="0045075F"/>
    <w:rsid w:val="004516AD"/>
    <w:rsid w:val="00451E84"/>
    <w:rsid w:val="00451EA3"/>
    <w:rsid w:val="00451F01"/>
    <w:rsid w:val="00452972"/>
    <w:rsid w:val="00454273"/>
    <w:rsid w:val="004546A7"/>
    <w:rsid w:val="00454831"/>
    <w:rsid w:val="004548DF"/>
    <w:rsid w:val="00455E25"/>
    <w:rsid w:val="004562E0"/>
    <w:rsid w:val="00456C72"/>
    <w:rsid w:val="00456CC0"/>
    <w:rsid w:val="00457933"/>
    <w:rsid w:val="00457C78"/>
    <w:rsid w:val="00457F92"/>
    <w:rsid w:val="00460735"/>
    <w:rsid w:val="00460AD5"/>
    <w:rsid w:val="00460EB8"/>
    <w:rsid w:val="00461090"/>
    <w:rsid w:val="004611D5"/>
    <w:rsid w:val="00461991"/>
    <w:rsid w:val="00461A6B"/>
    <w:rsid w:val="00461C43"/>
    <w:rsid w:val="00462125"/>
    <w:rsid w:val="00462472"/>
    <w:rsid w:val="004630B9"/>
    <w:rsid w:val="00463216"/>
    <w:rsid w:val="0046334D"/>
    <w:rsid w:val="00463848"/>
    <w:rsid w:val="00463C95"/>
    <w:rsid w:val="00463E1C"/>
    <w:rsid w:val="00464052"/>
    <w:rsid w:val="00464B1F"/>
    <w:rsid w:val="00465153"/>
    <w:rsid w:val="00465602"/>
    <w:rsid w:val="00466AFD"/>
    <w:rsid w:val="00466C56"/>
    <w:rsid w:val="0046724D"/>
    <w:rsid w:val="00467C36"/>
    <w:rsid w:val="00470696"/>
    <w:rsid w:val="004724C9"/>
    <w:rsid w:val="00472585"/>
    <w:rsid w:val="00473895"/>
    <w:rsid w:val="00474130"/>
    <w:rsid w:val="00474A28"/>
    <w:rsid w:val="00475A6C"/>
    <w:rsid w:val="004764AF"/>
    <w:rsid w:val="0047690D"/>
    <w:rsid w:val="00476D04"/>
    <w:rsid w:val="0047775E"/>
    <w:rsid w:val="00477AAE"/>
    <w:rsid w:val="00477AF6"/>
    <w:rsid w:val="00477B3B"/>
    <w:rsid w:val="00477BCB"/>
    <w:rsid w:val="00477CC9"/>
    <w:rsid w:val="004801A7"/>
    <w:rsid w:val="004807D7"/>
    <w:rsid w:val="00480D40"/>
    <w:rsid w:val="00480E47"/>
    <w:rsid w:val="00481666"/>
    <w:rsid w:val="0048181B"/>
    <w:rsid w:val="00481F2B"/>
    <w:rsid w:val="004820C5"/>
    <w:rsid w:val="00482198"/>
    <w:rsid w:val="004823D8"/>
    <w:rsid w:val="00482CBC"/>
    <w:rsid w:val="00482F20"/>
    <w:rsid w:val="00483196"/>
    <w:rsid w:val="0048340F"/>
    <w:rsid w:val="0048423C"/>
    <w:rsid w:val="00484449"/>
    <w:rsid w:val="004844D1"/>
    <w:rsid w:val="004845A6"/>
    <w:rsid w:val="004852CE"/>
    <w:rsid w:val="0048540C"/>
    <w:rsid w:val="00485EEE"/>
    <w:rsid w:val="00485F92"/>
    <w:rsid w:val="004860BD"/>
    <w:rsid w:val="004866E1"/>
    <w:rsid w:val="00486C72"/>
    <w:rsid w:val="00487315"/>
    <w:rsid w:val="00487998"/>
    <w:rsid w:val="00490954"/>
    <w:rsid w:val="004921DC"/>
    <w:rsid w:val="004926F2"/>
    <w:rsid w:val="0049277A"/>
    <w:rsid w:val="004927F6"/>
    <w:rsid w:val="00492B38"/>
    <w:rsid w:val="00492FE4"/>
    <w:rsid w:val="00493035"/>
    <w:rsid w:val="00493321"/>
    <w:rsid w:val="004936DE"/>
    <w:rsid w:val="004942E2"/>
    <w:rsid w:val="004949D9"/>
    <w:rsid w:val="0049544E"/>
    <w:rsid w:val="00495670"/>
    <w:rsid w:val="0049604B"/>
    <w:rsid w:val="004964C4"/>
    <w:rsid w:val="00496AC9"/>
    <w:rsid w:val="004A03AD"/>
    <w:rsid w:val="004A040E"/>
    <w:rsid w:val="004A042D"/>
    <w:rsid w:val="004A11E0"/>
    <w:rsid w:val="004A1DB3"/>
    <w:rsid w:val="004A1FC5"/>
    <w:rsid w:val="004A2158"/>
    <w:rsid w:val="004A29A5"/>
    <w:rsid w:val="004A3225"/>
    <w:rsid w:val="004A374A"/>
    <w:rsid w:val="004A395B"/>
    <w:rsid w:val="004A3C59"/>
    <w:rsid w:val="004A3FE2"/>
    <w:rsid w:val="004A480D"/>
    <w:rsid w:val="004A4D76"/>
    <w:rsid w:val="004A5851"/>
    <w:rsid w:val="004A5A91"/>
    <w:rsid w:val="004A5B0F"/>
    <w:rsid w:val="004A5CF1"/>
    <w:rsid w:val="004A662D"/>
    <w:rsid w:val="004A66E0"/>
    <w:rsid w:val="004A72E2"/>
    <w:rsid w:val="004A7AAE"/>
    <w:rsid w:val="004A7BA7"/>
    <w:rsid w:val="004A7D49"/>
    <w:rsid w:val="004A7F21"/>
    <w:rsid w:val="004B0009"/>
    <w:rsid w:val="004B08A9"/>
    <w:rsid w:val="004B08DB"/>
    <w:rsid w:val="004B1422"/>
    <w:rsid w:val="004B2008"/>
    <w:rsid w:val="004B24EB"/>
    <w:rsid w:val="004B264A"/>
    <w:rsid w:val="004B29AC"/>
    <w:rsid w:val="004B365B"/>
    <w:rsid w:val="004B3C8B"/>
    <w:rsid w:val="004B401B"/>
    <w:rsid w:val="004B44A9"/>
    <w:rsid w:val="004B4509"/>
    <w:rsid w:val="004B452A"/>
    <w:rsid w:val="004B4871"/>
    <w:rsid w:val="004B4ADF"/>
    <w:rsid w:val="004B4C00"/>
    <w:rsid w:val="004B4DAE"/>
    <w:rsid w:val="004B4E06"/>
    <w:rsid w:val="004B4E23"/>
    <w:rsid w:val="004B5493"/>
    <w:rsid w:val="004B5914"/>
    <w:rsid w:val="004B5A57"/>
    <w:rsid w:val="004B5AC2"/>
    <w:rsid w:val="004B6C77"/>
    <w:rsid w:val="004B6D0A"/>
    <w:rsid w:val="004B757F"/>
    <w:rsid w:val="004B7995"/>
    <w:rsid w:val="004C02B3"/>
    <w:rsid w:val="004C098E"/>
    <w:rsid w:val="004C0BBE"/>
    <w:rsid w:val="004C0E2F"/>
    <w:rsid w:val="004C222E"/>
    <w:rsid w:val="004C2561"/>
    <w:rsid w:val="004C2806"/>
    <w:rsid w:val="004C3ADD"/>
    <w:rsid w:val="004C3B5A"/>
    <w:rsid w:val="004C428E"/>
    <w:rsid w:val="004C4775"/>
    <w:rsid w:val="004C483D"/>
    <w:rsid w:val="004C48A9"/>
    <w:rsid w:val="004C540D"/>
    <w:rsid w:val="004C590B"/>
    <w:rsid w:val="004C6326"/>
    <w:rsid w:val="004C63C7"/>
    <w:rsid w:val="004C6D39"/>
    <w:rsid w:val="004C6D98"/>
    <w:rsid w:val="004C7217"/>
    <w:rsid w:val="004C7743"/>
    <w:rsid w:val="004C77A7"/>
    <w:rsid w:val="004D039E"/>
    <w:rsid w:val="004D04A3"/>
    <w:rsid w:val="004D0C9F"/>
    <w:rsid w:val="004D15FD"/>
    <w:rsid w:val="004D1F6A"/>
    <w:rsid w:val="004D2369"/>
    <w:rsid w:val="004D2485"/>
    <w:rsid w:val="004D304B"/>
    <w:rsid w:val="004D3A57"/>
    <w:rsid w:val="004D4345"/>
    <w:rsid w:val="004D47FF"/>
    <w:rsid w:val="004D4D35"/>
    <w:rsid w:val="004D518F"/>
    <w:rsid w:val="004D54D7"/>
    <w:rsid w:val="004D5BB7"/>
    <w:rsid w:val="004D6053"/>
    <w:rsid w:val="004D675B"/>
    <w:rsid w:val="004D6E3D"/>
    <w:rsid w:val="004D6FA4"/>
    <w:rsid w:val="004D78D7"/>
    <w:rsid w:val="004D7C23"/>
    <w:rsid w:val="004E01C6"/>
    <w:rsid w:val="004E0212"/>
    <w:rsid w:val="004E0442"/>
    <w:rsid w:val="004E073F"/>
    <w:rsid w:val="004E0ADC"/>
    <w:rsid w:val="004E0FB1"/>
    <w:rsid w:val="004E1043"/>
    <w:rsid w:val="004E12FF"/>
    <w:rsid w:val="004E1DCA"/>
    <w:rsid w:val="004E21B4"/>
    <w:rsid w:val="004E252B"/>
    <w:rsid w:val="004E2611"/>
    <w:rsid w:val="004E2861"/>
    <w:rsid w:val="004E2A85"/>
    <w:rsid w:val="004E2B77"/>
    <w:rsid w:val="004E3F72"/>
    <w:rsid w:val="004E4169"/>
    <w:rsid w:val="004E42E0"/>
    <w:rsid w:val="004E4A78"/>
    <w:rsid w:val="004E551E"/>
    <w:rsid w:val="004E58F6"/>
    <w:rsid w:val="004E5E37"/>
    <w:rsid w:val="004E5E4C"/>
    <w:rsid w:val="004E623E"/>
    <w:rsid w:val="004E688D"/>
    <w:rsid w:val="004E6CF9"/>
    <w:rsid w:val="004E734E"/>
    <w:rsid w:val="004E7EC0"/>
    <w:rsid w:val="004E7F48"/>
    <w:rsid w:val="004F002A"/>
    <w:rsid w:val="004F014E"/>
    <w:rsid w:val="004F0BC6"/>
    <w:rsid w:val="004F1123"/>
    <w:rsid w:val="004F1715"/>
    <w:rsid w:val="004F17DA"/>
    <w:rsid w:val="004F3BD2"/>
    <w:rsid w:val="004F4372"/>
    <w:rsid w:val="004F43E0"/>
    <w:rsid w:val="004F45EB"/>
    <w:rsid w:val="004F521B"/>
    <w:rsid w:val="004F52BB"/>
    <w:rsid w:val="004F5582"/>
    <w:rsid w:val="004F588D"/>
    <w:rsid w:val="004F59B8"/>
    <w:rsid w:val="004F62A7"/>
    <w:rsid w:val="004F62F9"/>
    <w:rsid w:val="004F66AF"/>
    <w:rsid w:val="004F66B3"/>
    <w:rsid w:val="004F6A08"/>
    <w:rsid w:val="004F7352"/>
    <w:rsid w:val="004F7EE2"/>
    <w:rsid w:val="0050015C"/>
    <w:rsid w:val="00500418"/>
    <w:rsid w:val="00500CCF"/>
    <w:rsid w:val="00500E62"/>
    <w:rsid w:val="005010DE"/>
    <w:rsid w:val="005011FD"/>
    <w:rsid w:val="00501433"/>
    <w:rsid w:val="0050164B"/>
    <w:rsid w:val="00502958"/>
    <w:rsid w:val="00502BD2"/>
    <w:rsid w:val="00502DA4"/>
    <w:rsid w:val="00503F83"/>
    <w:rsid w:val="0050421C"/>
    <w:rsid w:val="00504A9B"/>
    <w:rsid w:val="00504E9A"/>
    <w:rsid w:val="00504F83"/>
    <w:rsid w:val="005059B9"/>
    <w:rsid w:val="00505F64"/>
    <w:rsid w:val="00506DCD"/>
    <w:rsid w:val="00507325"/>
    <w:rsid w:val="0050742B"/>
    <w:rsid w:val="00507781"/>
    <w:rsid w:val="00507C56"/>
    <w:rsid w:val="00507F13"/>
    <w:rsid w:val="00507F54"/>
    <w:rsid w:val="005105F9"/>
    <w:rsid w:val="00510603"/>
    <w:rsid w:val="005109D4"/>
    <w:rsid w:val="00510CF4"/>
    <w:rsid w:val="00511142"/>
    <w:rsid w:val="005111B3"/>
    <w:rsid w:val="0051160A"/>
    <w:rsid w:val="005118BA"/>
    <w:rsid w:val="00511F0B"/>
    <w:rsid w:val="005127A6"/>
    <w:rsid w:val="00512D87"/>
    <w:rsid w:val="00512F7E"/>
    <w:rsid w:val="005130DA"/>
    <w:rsid w:val="00513BB0"/>
    <w:rsid w:val="00513DDA"/>
    <w:rsid w:val="00513E19"/>
    <w:rsid w:val="005148B4"/>
    <w:rsid w:val="00514B29"/>
    <w:rsid w:val="00514DA6"/>
    <w:rsid w:val="005152B1"/>
    <w:rsid w:val="005152F0"/>
    <w:rsid w:val="00515856"/>
    <w:rsid w:val="00516389"/>
    <w:rsid w:val="005163E6"/>
    <w:rsid w:val="005167B6"/>
    <w:rsid w:val="005172EC"/>
    <w:rsid w:val="0051740D"/>
    <w:rsid w:val="00517888"/>
    <w:rsid w:val="005178CE"/>
    <w:rsid w:val="00521CAB"/>
    <w:rsid w:val="005224EF"/>
    <w:rsid w:val="00522654"/>
    <w:rsid w:val="00522835"/>
    <w:rsid w:val="0052293D"/>
    <w:rsid w:val="00522AF4"/>
    <w:rsid w:val="00523499"/>
    <w:rsid w:val="005238E1"/>
    <w:rsid w:val="00523BC7"/>
    <w:rsid w:val="00523C08"/>
    <w:rsid w:val="00523C10"/>
    <w:rsid w:val="00523C1F"/>
    <w:rsid w:val="00523D80"/>
    <w:rsid w:val="005245D5"/>
    <w:rsid w:val="005247E7"/>
    <w:rsid w:val="00524889"/>
    <w:rsid w:val="0052575D"/>
    <w:rsid w:val="00525A53"/>
    <w:rsid w:val="00525A85"/>
    <w:rsid w:val="00525F02"/>
    <w:rsid w:val="00526569"/>
    <w:rsid w:val="00526665"/>
    <w:rsid w:val="00526726"/>
    <w:rsid w:val="00527256"/>
    <w:rsid w:val="00527972"/>
    <w:rsid w:val="00527B57"/>
    <w:rsid w:val="00527C8D"/>
    <w:rsid w:val="00530692"/>
    <w:rsid w:val="00530AC4"/>
    <w:rsid w:val="00533169"/>
    <w:rsid w:val="00533194"/>
    <w:rsid w:val="005332C8"/>
    <w:rsid w:val="0053464E"/>
    <w:rsid w:val="00534A1F"/>
    <w:rsid w:val="00534C37"/>
    <w:rsid w:val="005352C8"/>
    <w:rsid w:val="005354C1"/>
    <w:rsid w:val="00535838"/>
    <w:rsid w:val="00535F46"/>
    <w:rsid w:val="00535F99"/>
    <w:rsid w:val="00536356"/>
    <w:rsid w:val="00536643"/>
    <w:rsid w:val="00536CBB"/>
    <w:rsid w:val="00536DDD"/>
    <w:rsid w:val="00537033"/>
    <w:rsid w:val="00537085"/>
    <w:rsid w:val="005405DA"/>
    <w:rsid w:val="00540A37"/>
    <w:rsid w:val="00540B49"/>
    <w:rsid w:val="005418DB"/>
    <w:rsid w:val="005425F5"/>
    <w:rsid w:val="005434EA"/>
    <w:rsid w:val="005434F8"/>
    <w:rsid w:val="005447A9"/>
    <w:rsid w:val="00544FA9"/>
    <w:rsid w:val="00545D55"/>
    <w:rsid w:val="005461AB"/>
    <w:rsid w:val="0054622E"/>
    <w:rsid w:val="00546422"/>
    <w:rsid w:val="00546C6A"/>
    <w:rsid w:val="00546FBA"/>
    <w:rsid w:val="00547906"/>
    <w:rsid w:val="00547F04"/>
    <w:rsid w:val="005503DA"/>
    <w:rsid w:val="00550924"/>
    <w:rsid w:val="00550D63"/>
    <w:rsid w:val="00550EF1"/>
    <w:rsid w:val="00551075"/>
    <w:rsid w:val="005513C8"/>
    <w:rsid w:val="0055177B"/>
    <w:rsid w:val="00551D2A"/>
    <w:rsid w:val="0055352C"/>
    <w:rsid w:val="00553672"/>
    <w:rsid w:val="005538A6"/>
    <w:rsid w:val="00554F94"/>
    <w:rsid w:val="00555161"/>
    <w:rsid w:val="00555BB1"/>
    <w:rsid w:val="00555DE6"/>
    <w:rsid w:val="00555EB3"/>
    <w:rsid w:val="005567F6"/>
    <w:rsid w:val="00556DBF"/>
    <w:rsid w:val="00556E29"/>
    <w:rsid w:val="00556F94"/>
    <w:rsid w:val="00557474"/>
    <w:rsid w:val="00557DAA"/>
    <w:rsid w:val="00557DAD"/>
    <w:rsid w:val="00561138"/>
    <w:rsid w:val="00561699"/>
    <w:rsid w:val="00561847"/>
    <w:rsid w:val="0056194F"/>
    <w:rsid w:val="005619E1"/>
    <w:rsid w:val="00562341"/>
    <w:rsid w:val="005624DE"/>
    <w:rsid w:val="00562629"/>
    <w:rsid w:val="005628FE"/>
    <w:rsid w:val="0056364B"/>
    <w:rsid w:val="00564191"/>
    <w:rsid w:val="00564557"/>
    <w:rsid w:val="0056458C"/>
    <w:rsid w:val="00564628"/>
    <w:rsid w:val="005648B9"/>
    <w:rsid w:val="00564A3C"/>
    <w:rsid w:val="00564DF8"/>
    <w:rsid w:val="00564F82"/>
    <w:rsid w:val="005653AF"/>
    <w:rsid w:val="00565501"/>
    <w:rsid w:val="00565755"/>
    <w:rsid w:val="0056601E"/>
    <w:rsid w:val="00566406"/>
    <w:rsid w:val="00566538"/>
    <w:rsid w:val="00566D1D"/>
    <w:rsid w:val="0056725A"/>
    <w:rsid w:val="005673E7"/>
    <w:rsid w:val="0056741F"/>
    <w:rsid w:val="00567647"/>
    <w:rsid w:val="0056781B"/>
    <w:rsid w:val="00567BE2"/>
    <w:rsid w:val="00567D87"/>
    <w:rsid w:val="00570102"/>
    <w:rsid w:val="00570505"/>
    <w:rsid w:val="00571141"/>
    <w:rsid w:val="005712E6"/>
    <w:rsid w:val="005715B4"/>
    <w:rsid w:val="00572562"/>
    <w:rsid w:val="00572942"/>
    <w:rsid w:val="005730DB"/>
    <w:rsid w:val="00573251"/>
    <w:rsid w:val="005733A8"/>
    <w:rsid w:val="00573781"/>
    <w:rsid w:val="00573B5B"/>
    <w:rsid w:val="00573F55"/>
    <w:rsid w:val="0057540E"/>
    <w:rsid w:val="005757B6"/>
    <w:rsid w:val="005777CB"/>
    <w:rsid w:val="00577CF4"/>
    <w:rsid w:val="0058000F"/>
    <w:rsid w:val="00580557"/>
    <w:rsid w:val="0058074F"/>
    <w:rsid w:val="00580A76"/>
    <w:rsid w:val="00581042"/>
    <w:rsid w:val="00581703"/>
    <w:rsid w:val="00581B15"/>
    <w:rsid w:val="005821DD"/>
    <w:rsid w:val="00582760"/>
    <w:rsid w:val="00583908"/>
    <w:rsid w:val="00584757"/>
    <w:rsid w:val="00584E21"/>
    <w:rsid w:val="0058608B"/>
    <w:rsid w:val="00586273"/>
    <w:rsid w:val="005863C1"/>
    <w:rsid w:val="0058654D"/>
    <w:rsid w:val="00586786"/>
    <w:rsid w:val="00586A3A"/>
    <w:rsid w:val="0058714E"/>
    <w:rsid w:val="00587729"/>
    <w:rsid w:val="00587886"/>
    <w:rsid w:val="00587A66"/>
    <w:rsid w:val="00590147"/>
    <w:rsid w:val="00590BD1"/>
    <w:rsid w:val="00590D26"/>
    <w:rsid w:val="00591276"/>
    <w:rsid w:val="00591490"/>
    <w:rsid w:val="0059151A"/>
    <w:rsid w:val="005916C9"/>
    <w:rsid w:val="00591C7E"/>
    <w:rsid w:val="00591DCF"/>
    <w:rsid w:val="005929B4"/>
    <w:rsid w:val="00592A3C"/>
    <w:rsid w:val="0059367F"/>
    <w:rsid w:val="00593720"/>
    <w:rsid w:val="00593909"/>
    <w:rsid w:val="00593A71"/>
    <w:rsid w:val="005941E1"/>
    <w:rsid w:val="005943E2"/>
    <w:rsid w:val="0059466F"/>
    <w:rsid w:val="005946A0"/>
    <w:rsid w:val="00594725"/>
    <w:rsid w:val="00594B8A"/>
    <w:rsid w:val="00595009"/>
    <w:rsid w:val="005954B7"/>
    <w:rsid w:val="00595A05"/>
    <w:rsid w:val="00595A1C"/>
    <w:rsid w:val="00595BEA"/>
    <w:rsid w:val="00595D1B"/>
    <w:rsid w:val="00595F17"/>
    <w:rsid w:val="00595F3D"/>
    <w:rsid w:val="00595F89"/>
    <w:rsid w:val="00596873"/>
    <w:rsid w:val="00596A8E"/>
    <w:rsid w:val="00596B0C"/>
    <w:rsid w:val="00596BB3"/>
    <w:rsid w:val="00596BD4"/>
    <w:rsid w:val="00596FA8"/>
    <w:rsid w:val="005971A7"/>
    <w:rsid w:val="00597310"/>
    <w:rsid w:val="005977AB"/>
    <w:rsid w:val="005A01C5"/>
    <w:rsid w:val="005A0201"/>
    <w:rsid w:val="005A0252"/>
    <w:rsid w:val="005A0532"/>
    <w:rsid w:val="005A07E7"/>
    <w:rsid w:val="005A0A57"/>
    <w:rsid w:val="005A0B9F"/>
    <w:rsid w:val="005A0DBB"/>
    <w:rsid w:val="005A0EBD"/>
    <w:rsid w:val="005A1270"/>
    <w:rsid w:val="005A1295"/>
    <w:rsid w:val="005A152C"/>
    <w:rsid w:val="005A1A96"/>
    <w:rsid w:val="005A1FBF"/>
    <w:rsid w:val="005A2906"/>
    <w:rsid w:val="005A29B1"/>
    <w:rsid w:val="005A2EBF"/>
    <w:rsid w:val="005A380B"/>
    <w:rsid w:val="005A4890"/>
    <w:rsid w:val="005A49D4"/>
    <w:rsid w:val="005A4D7C"/>
    <w:rsid w:val="005A51C9"/>
    <w:rsid w:val="005A5DC0"/>
    <w:rsid w:val="005A6B6D"/>
    <w:rsid w:val="005A6BBA"/>
    <w:rsid w:val="005A6BFF"/>
    <w:rsid w:val="005A6F0E"/>
    <w:rsid w:val="005A6F57"/>
    <w:rsid w:val="005A7235"/>
    <w:rsid w:val="005A795B"/>
    <w:rsid w:val="005A7A6F"/>
    <w:rsid w:val="005A7BAF"/>
    <w:rsid w:val="005B0652"/>
    <w:rsid w:val="005B1213"/>
    <w:rsid w:val="005B1329"/>
    <w:rsid w:val="005B1512"/>
    <w:rsid w:val="005B1B55"/>
    <w:rsid w:val="005B1DBD"/>
    <w:rsid w:val="005B2CC0"/>
    <w:rsid w:val="005B3EBD"/>
    <w:rsid w:val="005B4069"/>
    <w:rsid w:val="005B43AC"/>
    <w:rsid w:val="005B48E8"/>
    <w:rsid w:val="005B4BA6"/>
    <w:rsid w:val="005B56D9"/>
    <w:rsid w:val="005B5BA3"/>
    <w:rsid w:val="005B5E62"/>
    <w:rsid w:val="005B66CA"/>
    <w:rsid w:val="005B778C"/>
    <w:rsid w:val="005B7E97"/>
    <w:rsid w:val="005B7F46"/>
    <w:rsid w:val="005C09A7"/>
    <w:rsid w:val="005C102D"/>
    <w:rsid w:val="005C132C"/>
    <w:rsid w:val="005C17FB"/>
    <w:rsid w:val="005C1833"/>
    <w:rsid w:val="005C1838"/>
    <w:rsid w:val="005C18C2"/>
    <w:rsid w:val="005C2063"/>
    <w:rsid w:val="005C244F"/>
    <w:rsid w:val="005C2767"/>
    <w:rsid w:val="005C2922"/>
    <w:rsid w:val="005C2F60"/>
    <w:rsid w:val="005C323D"/>
    <w:rsid w:val="005C3772"/>
    <w:rsid w:val="005C39C3"/>
    <w:rsid w:val="005C39FB"/>
    <w:rsid w:val="005C4229"/>
    <w:rsid w:val="005C4580"/>
    <w:rsid w:val="005C4EF6"/>
    <w:rsid w:val="005C5065"/>
    <w:rsid w:val="005C51C1"/>
    <w:rsid w:val="005C52F3"/>
    <w:rsid w:val="005C564C"/>
    <w:rsid w:val="005C6234"/>
    <w:rsid w:val="005C6605"/>
    <w:rsid w:val="005C667E"/>
    <w:rsid w:val="005C71A0"/>
    <w:rsid w:val="005C751C"/>
    <w:rsid w:val="005C7802"/>
    <w:rsid w:val="005C7B50"/>
    <w:rsid w:val="005D029E"/>
    <w:rsid w:val="005D0427"/>
    <w:rsid w:val="005D0776"/>
    <w:rsid w:val="005D07AE"/>
    <w:rsid w:val="005D0C83"/>
    <w:rsid w:val="005D0FC8"/>
    <w:rsid w:val="005D1115"/>
    <w:rsid w:val="005D113B"/>
    <w:rsid w:val="005D1732"/>
    <w:rsid w:val="005D2695"/>
    <w:rsid w:val="005D2D9A"/>
    <w:rsid w:val="005D3190"/>
    <w:rsid w:val="005D34EA"/>
    <w:rsid w:val="005D3A6E"/>
    <w:rsid w:val="005D3B21"/>
    <w:rsid w:val="005D4019"/>
    <w:rsid w:val="005D41DC"/>
    <w:rsid w:val="005D43C3"/>
    <w:rsid w:val="005D442C"/>
    <w:rsid w:val="005D460F"/>
    <w:rsid w:val="005D494A"/>
    <w:rsid w:val="005D4DC5"/>
    <w:rsid w:val="005D5C22"/>
    <w:rsid w:val="005D5E6C"/>
    <w:rsid w:val="005D63A9"/>
    <w:rsid w:val="005D65D5"/>
    <w:rsid w:val="005D6C56"/>
    <w:rsid w:val="005D6F49"/>
    <w:rsid w:val="005D7897"/>
    <w:rsid w:val="005D7E8A"/>
    <w:rsid w:val="005E06FA"/>
    <w:rsid w:val="005E09BF"/>
    <w:rsid w:val="005E11A5"/>
    <w:rsid w:val="005E13D4"/>
    <w:rsid w:val="005E1435"/>
    <w:rsid w:val="005E21F3"/>
    <w:rsid w:val="005E235C"/>
    <w:rsid w:val="005E3078"/>
    <w:rsid w:val="005E33BE"/>
    <w:rsid w:val="005E34C0"/>
    <w:rsid w:val="005E44F1"/>
    <w:rsid w:val="005E49CA"/>
    <w:rsid w:val="005E5413"/>
    <w:rsid w:val="005E5427"/>
    <w:rsid w:val="005E5428"/>
    <w:rsid w:val="005E58B2"/>
    <w:rsid w:val="005E5A7C"/>
    <w:rsid w:val="005E5C33"/>
    <w:rsid w:val="005E5F53"/>
    <w:rsid w:val="005E6976"/>
    <w:rsid w:val="005E6BB9"/>
    <w:rsid w:val="005E74EC"/>
    <w:rsid w:val="005E78E0"/>
    <w:rsid w:val="005E7AB6"/>
    <w:rsid w:val="005E7B1E"/>
    <w:rsid w:val="005E7CBC"/>
    <w:rsid w:val="005E7F75"/>
    <w:rsid w:val="005F06DE"/>
    <w:rsid w:val="005F0A62"/>
    <w:rsid w:val="005F0D3C"/>
    <w:rsid w:val="005F0FA8"/>
    <w:rsid w:val="005F1C5D"/>
    <w:rsid w:val="005F222B"/>
    <w:rsid w:val="005F2317"/>
    <w:rsid w:val="005F2550"/>
    <w:rsid w:val="005F272D"/>
    <w:rsid w:val="005F2B2D"/>
    <w:rsid w:val="005F2FD5"/>
    <w:rsid w:val="005F340A"/>
    <w:rsid w:val="005F3AE8"/>
    <w:rsid w:val="005F3B09"/>
    <w:rsid w:val="005F3B47"/>
    <w:rsid w:val="005F3F9F"/>
    <w:rsid w:val="005F47C1"/>
    <w:rsid w:val="005F4893"/>
    <w:rsid w:val="005F4926"/>
    <w:rsid w:val="005F4B6F"/>
    <w:rsid w:val="005F5009"/>
    <w:rsid w:val="005F5054"/>
    <w:rsid w:val="005F530F"/>
    <w:rsid w:val="005F5803"/>
    <w:rsid w:val="005F65D9"/>
    <w:rsid w:val="005F6768"/>
    <w:rsid w:val="005F69CF"/>
    <w:rsid w:val="005F6E39"/>
    <w:rsid w:val="005F6E58"/>
    <w:rsid w:val="005F704C"/>
    <w:rsid w:val="005F7A22"/>
    <w:rsid w:val="005F7B9D"/>
    <w:rsid w:val="006004E8"/>
    <w:rsid w:val="00600501"/>
    <w:rsid w:val="00600556"/>
    <w:rsid w:val="00600B0C"/>
    <w:rsid w:val="00601DA9"/>
    <w:rsid w:val="006023B0"/>
    <w:rsid w:val="00602DFA"/>
    <w:rsid w:val="00603004"/>
    <w:rsid w:val="006031D1"/>
    <w:rsid w:val="006033BF"/>
    <w:rsid w:val="00603702"/>
    <w:rsid w:val="00603B4B"/>
    <w:rsid w:val="00603F20"/>
    <w:rsid w:val="00604F37"/>
    <w:rsid w:val="0060508A"/>
    <w:rsid w:val="006055AF"/>
    <w:rsid w:val="00605942"/>
    <w:rsid w:val="00605C9F"/>
    <w:rsid w:val="0060670E"/>
    <w:rsid w:val="00606814"/>
    <w:rsid w:val="006068E8"/>
    <w:rsid w:val="00606ADB"/>
    <w:rsid w:val="00606FD6"/>
    <w:rsid w:val="006072DE"/>
    <w:rsid w:val="006075F4"/>
    <w:rsid w:val="006078A8"/>
    <w:rsid w:val="00607BAD"/>
    <w:rsid w:val="00607EC7"/>
    <w:rsid w:val="006100E3"/>
    <w:rsid w:val="0061048A"/>
    <w:rsid w:val="006104F8"/>
    <w:rsid w:val="00610AE7"/>
    <w:rsid w:val="00610E32"/>
    <w:rsid w:val="00611178"/>
    <w:rsid w:val="0061148D"/>
    <w:rsid w:val="006119B6"/>
    <w:rsid w:val="00611D01"/>
    <w:rsid w:val="006124B3"/>
    <w:rsid w:val="00612611"/>
    <w:rsid w:val="00612613"/>
    <w:rsid w:val="0061279A"/>
    <w:rsid w:val="00612DD0"/>
    <w:rsid w:val="00613009"/>
    <w:rsid w:val="006132EA"/>
    <w:rsid w:val="0061401C"/>
    <w:rsid w:val="0061420B"/>
    <w:rsid w:val="00614D33"/>
    <w:rsid w:val="0061537D"/>
    <w:rsid w:val="0061537F"/>
    <w:rsid w:val="00615DEA"/>
    <w:rsid w:val="00616A60"/>
    <w:rsid w:val="00616EE6"/>
    <w:rsid w:val="006171FB"/>
    <w:rsid w:val="00617A2A"/>
    <w:rsid w:val="006207F4"/>
    <w:rsid w:val="00620C67"/>
    <w:rsid w:val="00620CA2"/>
    <w:rsid w:val="00620EB5"/>
    <w:rsid w:val="00621646"/>
    <w:rsid w:val="00621803"/>
    <w:rsid w:val="00621EDC"/>
    <w:rsid w:val="006220F1"/>
    <w:rsid w:val="00622A1A"/>
    <w:rsid w:val="0062379C"/>
    <w:rsid w:val="00623E46"/>
    <w:rsid w:val="00624604"/>
    <w:rsid w:val="0062479C"/>
    <w:rsid w:val="00624D2C"/>
    <w:rsid w:val="00625145"/>
    <w:rsid w:val="00625498"/>
    <w:rsid w:val="00627402"/>
    <w:rsid w:val="00630480"/>
    <w:rsid w:val="0063058E"/>
    <w:rsid w:val="006305F8"/>
    <w:rsid w:val="00631B6A"/>
    <w:rsid w:val="00631DA7"/>
    <w:rsid w:val="00632947"/>
    <w:rsid w:val="00632B9C"/>
    <w:rsid w:val="00632F18"/>
    <w:rsid w:val="006332D7"/>
    <w:rsid w:val="0063333D"/>
    <w:rsid w:val="0063334A"/>
    <w:rsid w:val="00633477"/>
    <w:rsid w:val="006334BC"/>
    <w:rsid w:val="00634225"/>
    <w:rsid w:val="00635003"/>
    <w:rsid w:val="006351CE"/>
    <w:rsid w:val="006352FD"/>
    <w:rsid w:val="0063574B"/>
    <w:rsid w:val="00635B15"/>
    <w:rsid w:val="006362E1"/>
    <w:rsid w:val="006367DA"/>
    <w:rsid w:val="006370E1"/>
    <w:rsid w:val="006373BD"/>
    <w:rsid w:val="006375B2"/>
    <w:rsid w:val="006375BB"/>
    <w:rsid w:val="00640182"/>
    <w:rsid w:val="0064037F"/>
    <w:rsid w:val="006409EE"/>
    <w:rsid w:val="00640BF7"/>
    <w:rsid w:val="00640FFF"/>
    <w:rsid w:val="00641761"/>
    <w:rsid w:val="006425FC"/>
    <w:rsid w:val="00642631"/>
    <w:rsid w:val="00642DF5"/>
    <w:rsid w:val="0064304A"/>
    <w:rsid w:val="0064380B"/>
    <w:rsid w:val="00643A4F"/>
    <w:rsid w:val="00643FF5"/>
    <w:rsid w:val="006441FD"/>
    <w:rsid w:val="00644E5A"/>
    <w:rsid w:val="00644F2C"/>
    <w:rsid w:val="00645141"/>
    <w:rsid w:val="00645AEE"/>
    <w:rsid w:val="00646428"/>
    <w:rsid w:val="0064707F"/>
    <w:rsid w:val="006471E8"/>
    <w:rsid w:val="006474E0"/>
    <w:rsid w:val="00647971"/>
    <w:rsid w:val="00647E90"/>
    <w:rsid w:val="00647FA3"/>
    <w:rsid w:val="006500F7"/>
    <w:rsid w:val="00650769"/>
    <w:rsid w:val="006516B7"/>
    <w:rsid w:val="006518E4"/>
    <w:rsid w:val="00651FB8"/>
    <w:rsid w:val="00652BA0"/>
    <w:rsid w:val="00653045"/>
    <w:rsid w:val="006535C0"/>
    <w:rsid w:val="00653620"/>
    <w:rsid w:val="00653A25"/>
    <w:rsid w:val="00653D93"/>
    <w:rsid w:val="00653E7D"/>
    <w:rsid w:val="00653FDA"/>
    <w:rsid w:val="006541A0"/>
    <w:rsid w:val="00654E99"/>
    <w:rsid w:val="00655104"/>
    <w:rsid w:val="0065548F"/>
    <w:rsid w:val="00655633"/>
    <w:rsid w:val="006559BB"/>
    <w:rsid w:val="00655D93"/>
    <w:rsid w:val="00655E86"/>
    <w:rsid w:val="00656614"/>
    <w:rsid w:val="00656C4D"/>
    <w:rsid w:val="006577CD"/>
    <w:rsid w:val="00657847"/>
    <w:rsid w:val="00657CCC"/>
    <w:rsid w:val="00660162"/>
    <w:rsid w:val="0066036A"/>
    <w:rsid w:val="0066036D"/>
    <w:rsid w:val="006604FA"/>
    <w:rsid w:val="00660879"/>
    <w:rsid w:val="00660FE7"/>
    <w:rsid w:val="00661639"/>
    <w:rsid w:val="0066174D"/>
    <w:rsid w:val="00661887"/>
    <w:rsid w:val="00661E36"/>
    <w:rsid w:val="00662986"/>
    <w:rsid w:val="00662B23"/>
    <w:rsid w:val="006631D3"/>
    <w:rsid w:val="0066374F"/>
    <w:rsid w:val="00663C33"/>
    <w:rsid w:val="00663D0F"/>
    <w:rsid w:val="00664525"/>
    <w:rsid w:val="00664527"/>
    <w:rsid w:val="0066465B"/>
    <w:rsid w:val="00664C81"/>
    <w:rsid w:val="0066521A"/>
    <w:rsid w:val="0066540C"/>
    <w:rsid w:val="00665EAE"/>
    <w:rsid w:val="006661AA"/>
    <w:rsid w:val="006661EA"/>
    <w:rsid w:val="00666909"/>
    <w:rsid w:val="00666EBC"/>
    <w:rsid w:val="00667189"/>
    <w:rsid w:val="0066749E"/>
    <w:rsid w:val="00667CCB"/>
    <w:rsid w:val="00667EFD"/>
    <w:rsid w:val="00670475"/>
    <w:rsid w:val="00670B8C"/>
    <w:rsid w:val="00670C4A"/>
    <w:rsid w:val="00671340"/>
    <w:rsid w:val="00671A3E"/>
    <w:rsid w:val="00671F3E"/>
    <w:rsid w:val="00672482"/>
    <w:rsid w:val="006725C5"/>
    <w:rsid w:val="00672A18"/>
    <w:rsid w:val="00672C77"/>
    <w:rsid w:val="006735D0"/>
    <w:rsid w:val="006739E9"/>
    <w:rsid w:val="00673EB5"/>
    <w:rsid w:val="00673FAA"/>
    <w:rsid w:val="00673FB6"/>
    <w:rsid w:val="00674450"/>
    <w:rsid w:val="00674BE4"/>
    <w:rsid w:val="00674D52"/>
    <w:rsid w:val="00674F93"/>
    <w:rsid w:val="0067546F"/>
    <w:rsid w:val="00675A6E"/>
    <w:rsid w:val="00676655"/>
    <w:rsid w:val="00676CE4"/>
    <w:rsid w:val="00676EC2"/>
    <w:rsid w:val="00676FA5"/>
    <w:rsid w:val="006771A4"/>
    <w:rsid w:val="006771AD"/>
    <w:rsid w:val="006774A8"/>
    <w:rsid w:val="00677572"/>
    <w:rsid w:val="00677A27"/>
    <w:rsid w:val="00681229"/>
    <w:rsid w:val="0068185E"/>
    <w:rsid w:val="00681BE5"/>
    <w:rsid w:val="00681E30"/>
    <w:rsid w:val="0068379B"/>
    <w:rsid w:val="00683D98"/>
    <w:rsid w:val="00683D99"/>
    <w:rsid w:val="00684079"/>
    <w:rsid w:val="00684BCD"/>
    <w:rsid w:val="006850CD"/>
    <w:rsid w:val="00685283"/>
    <w:rsid w:val="0068629B"/>
    <w:rsid w:val="0068670E"/>
    <w:rsid w:val="00686C12"/>
    <w:rsid w:val="00686D75"/>
    <w:rsid w:val="0068736A"/>
    <w:rsid w:val="00687946"/>
    <w:rsid w:val="00687D17"/>
    <w:rsid w:val="00690024"/>
    <w:rsid w:val="006903A4"/>
    <w:rsid w:val="00690CAA"/>
    <w:rsid w:val="00690EFB"/>
    <w:rsid w:val="006912CB"/>
    <w:rsid w:val="0069137B"/>
    <w:rsid w:val="006913EC"/>
    <w:rsid w:val="006914B7"/>
    <w:rsid w:val="00691742"/>
    <w:rsid w:val="00691DEE"/>
    <w:rsid w:val="00692242"/>
    <w:rsid w:val="0069236E"/>
    <w:rsid w:val="00692704"/>
    <w:rsid w:val="00692E67"/>
    <w:rsid w:val="00693ACF"/>
    <w:rsid w:val="00693EE5"/>
    <w:rsid w:val="00693FBC"/>
    <w:rsid w:val="006944C5"/>
    <w:rsid w:val="00694A7E"/>
    <w:rsid w:val="00694B8D"/>
    <w:rsid w:val="00695502"/>
    <w:rsid w:val="0069561C"/>
    <w:rsid w:val="00695634"/>
    <w:rsid w:val="0069600D"/>
    <w:rsid w:val="00696143"/>
    <w:rsid w:val="006963AE"/>
    <w:rsid w:val="00696E5D"/>
    <w:rsid w:val="00697053"/>
    <w:rsid w:val="00697FC7"/>
    <w:rsid w:val="006A066A"/>
    <w:rsid w:val="006A06CA"/>
    <w:rsid w:val="006A083E"/>
    <w:rsid w:val="006A0AB0"/>
    <w:rsid w:val="006A0FFD"/>
    <w:rsid w:val="006A1170"/>
    <w:rsid w:val="006A14A3"/>
    <w:rsid w:val="006A159D"/>
    <w:rsid w:val="006A18BF"/>
    <w:rsid w:val="006A1AA8"/>
    <w:rsid w:val="006A1F58"/>
    <w:rsid w:val="006A242E"/>
    <w:rsid w:val="006A26AB"/>
    <w:rsid w:val="006A298D"/>
    <w:rsid w:val="006A2ABB"/>
    <w:rsid w:val="006A2F80"/>
    <w:rsid w:val="006A38D0"/>
    <w:rsid w:val="006A3FD6"/>
    <w:rsid w:val="006A4076"/>
    <w:rsid w:val="006A436F"/>
    <w:rsid w:val="006A4D56"/>
    <w:rsid w:val="006A4E5B"/>
    <w:rsid w:val="006A59D8"/>
    <w:rsid w:val="006A5A45"/>
    <w:rsid w:val="006A6B7B"/>
    <w:rsid w:val="006A78F8"/>
    <w:rsid w:val="006A7991"/>
    <w:rsid w:val="006A7C26"/>
    <w:rsid w:val="006A7E27"/>
    <w:rsid w:val="006B010E"/>
    <w:rsid w:val="006B0444"/>
    <w:rsid w:val="006B091F"/>
    <w:rsid w:val="006B0CAF"/>
    <w:rsid w:val="006B0ED0"/>
    <w:rsid w:val="006B0EED"/>
    <w:rsid w:val="006B1121"/>
    <w:rsid w:val="006B147E"/>
    <w:rsid w:val="006B1DC4"/>
    <w:rsid w:val="006B1DF6"/>
    <w:rsid w:val="006B233F"/>
    <w:rsid w:val="006B2454"/>
    <w:rsid w:val="006B275E"/>
    <w:rsid w:val="006B28EA"/>
    <w:rsid w:val="006B2DA3"/>
    <w:rsid w:val="006B2FBB"/>
    <w:rsid w:val="006B33AE"/>
    <w:rsid w:val="006B378A"/>
    <w:rsid w:val="006B3BD5"/>
    <w:rsid w:val="006B3C21"/>
    <w:rsid w:val="006B4185"/>
    <w:rsid w:val="006B4224"/>
    <w:rsid w:val="006B4493"/>
    <w:rsid w:val="006B4AB3"/>
    <w:rsid w:val="006B4B62"/>
    <w:rsid w:val="006B53DC"/>
    <w:rsid w:val="006B5423"/>
    <w:rsid w:val="006B5855"/>
    <w:rsid w:val="006B5928"/>
    <w:rsid w:val="006B5AB2"/>
    <w:rsid w:val="006B5C67"/>
    <w:rsid w:val="006B6034"/>
    <w:rsid w:val="006B6AB7"/>
    <w:rsid w:val="006B6B5D"/>
    <w:rsid w:val="006B6C0D"/>
    <w:rsid w:val="006B79EE"/>
    <w:rsid w:val="006C0176"/>
    <w:rsid w:val="006C0814"/>
    <w:rsid w:val="006C0922"/>
    <w:rsid w:val="006C0FEA"/>
    <w:rsid w:val="006C1818"/>
    <w:rsid w:val="006C1F8B"/>
    <w:rsid w:val="006C2721"/>
    <w:rsid w:val="006C3868"/>
    <w:rsid w:val="006C38FF"/>
    <w:rsid w:val="006C3E6E"/>
    <w:rsid w:val="006C3EEA"/>
    <w:rsid w:val="006C4224"/>
    <w:rsid w:val="006C4232"/>
    <w:rsid w:val="006C43A6"/>
    <w:rsid w:val="006C4A4A"/>
    <w:rsid w:val="006C53EB"/>
    <w:rsid w:val="006C5D29"/>
    <w:rsid w:val="006C650D"/>
    <w:rsid w:val="006C69A5"/>
    <w:rsid w:val="006C6A4D"/>
    <w:rsid w:val="006C6D64"/>
    <w:rsid w:val="006C7740"/>
    <w:rsid w:val="006C7857"/>
    <w:rsid w:val="006D0389"/>
    <w:rsid w:val="006D0848"/>
    <w:rsid w:val="006D0BA5"/>
    <w:rsid w:val="006D0C15"/>
    <w:rsid w:val="006D0D8B"/>
    <w:rsid w:val="006D0FBF"/>
    <w:rsid w:val="006D1081"/>
    <w:rsid w:val="006D10DC"/>
    <w:rsid w:val="006D1586"/>
    <w:rsid w:val="006D1929"/>
    <w:rsid w:val="006D19C1"/>
    <w:rsid w:val="006D2827"/>
    <w:rsid w:val="006D2848"/>
    <w:rsid w:val="006D2B19"/>
    <w:rsid w:val="006D2EC9"/>
    <w:rsid w:val="006D3004"/>
    <w:rsid w:val="006D3A05"/>
    <w:rsid w:val="006D3B62"/>
    <w:rsid w:val="006D3FDF"/>
    <w:rsid w:val="006D4116"/>
    <w:rsid w:val="006D4527"/>
    <w:rsid w:val="006D4B05"/>
    <w:rsid w:val="006D4C88"/>
    <w:rsid w:val="006D4F4E"/>
    <w:rsid w:val="006D4F86"/>
    <w:rsid w:val="006D5F98"/>
    <w:rsid w:val="006D6131"/>
    <w:rsid w:val="006D649A"/>
    <w:rsid w:val="006D6665"/>
    <w:rsid w:val="006D7098"/>
    <w:rsid w:val="006D740E"/>
    <w:rsid w:val="006D7F72"/>
    <w:rsid w:val="006E00B7"/>
    <w:rsid w:val="006E0E5B"/>
    <w:rsid w:val="006E3023"/>
    <w:rsid w:val="006E3369"/>
    <w:rsid w:val="006E3D12"/>
    <w:rsid w:val="006E449C"/>
    <w:rsid w:val="006E4726"/>
    <w:rsid w:val="006E4E72"/>
    <w:rsid w:val="006E50D0"/>
    <w:rsid w:val="006E5490"/>
    <w:rsid w:val="006E6607"/>
    <w:rsid w:val="006E663E"/>
    <w:rsid w:val="006E687F"/>
    <w:rsid w:val="006E6EDF"/>
    <w:rsid w:val="006E7397"/>
    <w:rsid w:val="006E7BA5"/>
    <w:rsid w:val="006E7E56"/>
    <w:rsid w:val="006F01E8"/>
    <w:rsid w:val="006F02D7"/>
    <w:rsid w:val="006F0EBB"/>
    <w:rsid w:val="006F1E96"/>
    <w:rsid w:val="006F2D24"/>
    <w:rsid w:val="006F37F7"/>
    <w:rsid w:val="006F38C3"/>
    <w:rsid w:val="006F3909"/>
    <w:rsid w:val="006F4036"/>
    <w:rsid w:val="006F428E"/>
    <w:rsid w:val="006F48E1"/>
    <w:rsid w:val="006F5160"/>
    <w:rsid w:val="006F5249"/>
    <w:rsid w:val="006F5374"/>
    <w:rsid w:val="006F60DF"/>
    <w:rsid w:val="006F61C2"/>
    <w:rsid w:val="006F68C1"/>
    <w:rsid w:val="006F6CE2"/>
    <w:rsid w:val="006F6E10"/>
    <w:rsid w:val="007009E9"/>
    <w:rsid w:val="00700E59"/>
    <w:rsid w:val="007014F8"/>
    <w:rsid w:val="0070150D"/>
    <w:rsid w:val="007016D2"/>
    <w:rsid w:val="007018D8"/>
    <w:rsid w:val="00702385"/>
    <w:rsid w:val="007026F7"/>
    <w:rsid w:val="007029E8"/>
    <w:rsid w:val="00702F2E"/>
    <w:rsid w:val="007030FC"/>
    <w:rsid w:val="00703107"/>
    <w:rsid w:val="00703138"/>
    <w:rsid w:val="00703277"/>
    <w:rsid w:val="0070356D"/>
    <w:rsid w:val="00703981"/>
    <w:rsid w:val="00703D7E"/>
    <w:rsid w:val="00703DE6"/>
    <w:rsid w:val="0070456F"/>
    <w:rsid w:val="0070495F"/>
    <w:rsid w:val="00704B6E"/>
    <w:rsid w:val="00704F73"/>
    <w:rsid w:val="0070508D"/>
    <w:rsid w:val="0070542E"/>
    <w:rsid w:val="00705E67"/>
    <w:rsid w:val="00706096"/>
    <w:rsid w:val="007060D4"/>
    <w:rsid w:val="0070624C"/>
    <w:rsid w:val="00706451"/>
    <w:rsid w:val="0070747C"/>
    <w:rsid w:val="00707E0F"/>
    <w:rsid w:val="0071068A"/>
    <w:rsid w:val="00710E19"/>
    <w:rsid w:val="00710E52"/>
    <w:rsid w:val="00710F3F"/>
    <w:rsid w:val="00710F7F"/>
    <w:rsid w:val="0071154B"/>
    <w:rsid w:val="0071174F"/>
    <w:rsid w:val="0071196A"/>
    <w:rsid w:val="007127B3"/>
    <w:rsid w:val="00712848"/>
    <w:rsid w:val="00712C28"/>
    <w:rsid w:val="007131CF"/>
    <w:rsid w:val="007133C0"/>
    <w:rsid w:val="00713613"/>
    <w:rsid w:val="007137C6"/>
    <w:rsid w:val="007138FC"/>
    <w:rsid w:val="0071393D"/>
    <w:rsid w:val="00713E79"/>
    <w:rsid w:val="00714245"/>
    <w:rsid w:val="00714706"/>
    <w:rsid w:val="00714EC1"/>
    <w:rsid w:val="00715441"/>
    <w:rsid w:val="00715739"/>
    <w:rsid w:val="0071576C"/>
    <w:rsid w:val="00715C94"/>
    <w:rsid w:val="00716A09"/>
    <w:rsid w:val="00716EF3"/>
    <w:rsid w:val="007170DB"/>
    <w:rsid w:val="007170E7"/>
    <w:rsid w:val="00717616"/>
    <w:rsid w:val="00717880"/>
    <w:rsid w:val="00717CA8"/>
    <w:rsid w:val="00717F08"/>
    <w:rsid w:val="00720538"/>
    <w:rsid w:val="007205E7"/>
    <w:rsid w:val="0072077F"/>
    <w:rsid w:val="007209C4"/>
    <w:rsid w:val="00720D8B"/>
    <w:rsid w:val="00721ACB"/>
    <w:rsid w:val="00721E9E"/>
    <w:rsid w:val="007227FE"/>
    <w:rsid w:val="007233C3"/>
    <w:rsid w:val="00723C95"/>
    <w:rsid w:val="00723EE8"/>
    <w:rsid w:val="007244E7"/>
    <w:rsid w:val="0072505F"/>
    <w:rsid w:val="00725B00"/>
    <w:rsid w:val="0072603E"/>
    <w:rsid w:val="0072680C"/>
    <w:rsid w:val="00726B3D"/>
    <w:rsid w:val="00726C64"/>
    <w:rsid w:val="007310B7"/>
    <w:rsid w:val="00731237"/>
    <w:rsid w:val="0073207E"/>
    <w:rsid w:val="00732664"/>
    <w:rsid w:val="00732BA7"/>
    <w:rsid w:val="007333EA"/>
    <w:rsid w:val="00733601"/>
    <w:rsid w:val="00733A57"/>
    <w:rsid w:val="00733F36"/>
    <w:rsid w:val="007340CE"/>
    <w:rsid w:val="00734781"/>
    <w:rsid w:val="007348C3"/>
    <w:rsid w:val="007349FC"/>
    <w:rsid w:val="00734B6F"/>
    <w:rsid w:val="00735293"/>
    <w:rsid w:val="00735376"/>
    <w:rsid w:val="00735640"/>
    <w:rsid w:val="007357FD"/>
    <w:rsid w:val="007362AD"/>
    <w:rsid w:val="007363EA"/>
    <w:rsid w:val="00736E06"/>
    <w:rsid w:val="00736E37"/>
    <w:rsid w:val="00737286"/>
    <w:rsid w:val="007373DB"/>
    <w:rsid w:val="007379C1"/>
    <w:rsid w:val="00737AE3"/>
    <w:rsid w:val="00737F27"/>
    <w:rsid w:val="00737FD3"/>
    <w:rsid w:val="007407DB"/>
    <w:rsid w:val="00740BFC"/>
    <w:rsid w:val="00740F76"/>
    <w:rsid w:val="00740F91"/>
    <w:rsid w:val="00741037"/>
    <w:rsid w:val="00741510"/>
    <w:rsid w:val="0074151B"/>
    <w:rsid w:val="0074198F"/>
    <w:rsid w:val="00741A9C"/>
    <w:rsid w:val="007420B2"/>
    <w:rsid w:val="00742103"/>
    <w:rsid w:val="007422B3"/>
    <w:rsid w:val="007424BF"/>
    <w:rsid w:val="007435F1"/>
    <w:rsid w:val="00743DDD"/>
    <w:rsid w:val="00744625"/>
    <w:rsid w:val="007446BB"/>
    <w:rsid w:val="00745882"/>
    <w:rsid w:val="00745A04"/>
    <w:rsid w:val="00745A0F"/>
    <w:rsid w:val="00745DFD"/>
    <w:rsid w:val="00746027"/>
    <w:rsid w:val="00746197"/>
    <w:rsid w:val="0074689C"/>
    <w:rsid w:val="00746B3F"/>
    <w:rsid w:val="00747117"/>
    <w:rsid w:val="007479C2"/>
    <w:rsid w:val="00747B0D"/>
    <w:rsid w:val="00751452"/>
    <w:rsid w:val="00751C84"/>
    <w:rsid w:val="00751D06"/>
    <w:rsid w:val="007521A5"/>
    <w:rsid w:val="00752243"/>
    <w:rsid w:val="007531BA"/>
    <w:rsid w:val="00753959"/>
    <w:rsid w:val="00753DD6"/>
    <w:rsid w:val="00754A4A"/>
    <w:rsid w:val="007567A8"/>
    <w:rsid w:val="00756D3B"/>
    <w:rsid w:val="00760F66"/>
    <w:rsid w:val="007611F8"/>
    <w:rsid w:val="00761200"/>
    <w:rsid w:val="007618E2"/>
    <w:rsid w:val="00761931"/>
    <w:rsid w:val="007619BE"/>
    <w:rsid w:val="00761BD1"/>
    <w:rsid w:val="00761E40"/>
    <w:rsid w:val="0076244C"/>
    <w:rsid w:val="007627BA"/>
    <w:rsid w:val="0076291E"/>
    <w:rsid w:val="00762D81"/>
    <w:rsid w:val="0076317B"/>
    <w:rsid w:val="00763673"/>
    <w:rsid w:val="00763CB9"/>
    <w:rsid w:val="007643D5"/>
    <w:rsid w:val="00765366"/>
    <w:rsid w:val="00765506"/>
    <w:rsid w:val="00765914"/>
    <w:rsid w:val="0076614D"/>
    <w:rsid w:val="0076624C"/>
    <w:rsid w:val="0076627D"/>
    <w:rsid w:val="00766304"/>
    <w:rsid w:val="00766CB1"/>
    <w:rsid w:val="00767620"/>
    <w:rsid w:val="007679E3"/>
    <w:rsid w:val="00767A28"/>
    <w:rsid w:val="00767DD2"/>
    <w:rsid w:val="0077082B"/>
    <w:rsid w:val="00770957"/>
    <w:rsid w:val="00770E60"/>
    <w:rsid w:val="00771538"/>
    <w:rsid w:val="007715BE"/>
    <w:rsid w:val="00771693"/>
    <w:rsid w:val="00771C8F"/>
    <w:rsid w:val="0077266E"/>
    <w:rsid w:val="0077292E"/>
    <w:rsid w:val="007737D8"/>
    <w:rsid w:val="0077391C"/>
    <w:rsid w:val="00773D24"/>
    <w:rsid w:val="00774477"/>
    <w:rsid w:val="00774576"/>
    <w:rsid w:val="0077508A"/>
    <w:rsid w:val="00775567"/>
    <w:rsid w:val="00775E0D"/>
    <w:rsid w:val="007761F1"/>
    <w:rsid w:val="00776343"/>
    <w:rsid w:val="00776416"/>
    <w:rsid w:val="00776C7B"/>
    <w:rsid w:val="00776CEF"/>
    <w:rsid w:val="00777E7E"/>
    <w:rsid w:val="0078011F"/>
    <w:rsid w:val="007804DD"/>
    <w:rsid w:val="0078095A"/>
    <w:rsid w:val="00780F3B"/>
    <w:rsid w:val="007816EE"/>
    <w:rsid w:val="00781F01"/>
    <w:rsid w:val="00782071"/>
    <w:rsid w:val="00782946"/>
    <w:rsid w:val="00782ECD"/>
    <w:rsid w:val="007834BB"/>
    <w:rsid w:val="0078363B"/>
    <w:rsid w:val="00783AAE"/>
    <w:rsid w:val="00783CCF"/>
    <w:rsid w:val="00783F5B"/>
    <w:rsid w:val="00784609"/>
    <w:rsid w:val="00784720"/>
    <w:rsid w:val="0078481D"/>
    <w:rsid w:val="007855A9"/>
    <w:rsid w:val="007859FC"/>
    <w:rsid w:val="00785BD1"/>
    <w:rsid w:val="00785F4C"/>
    <w:rsid w:val="0078609C"/>
    <w:rsid w:val="007862E6"/>
    <w:rsid w:val="00786355"/>
    <w:rsid w:val="00786865"/>
    <w:rsid w:val="00787370"/>
    <w:rsid w:val="007874AE"/>
    <w:rsid w:val="0078750B"/>
    <w:rsid w:val="00787F5E"/>
    <w:rsid w:val="0079024D"/>
    <w:rsid w:val="0079098A"/>
    <w:rsid w:val="00790E99"/>
    <w:rsid w:val="007911B8"/>
    <w:rsid w:val="00791DAE"/>
    <w:rsid w:val="007924B6"/>
    <w:rsid w:val="007926E1"/>
    <w:rsid w:val="00792B40"/>
    <w:rsid w:val="007930E8"/>
    <w:rsid w:val="007935F5"/>
    <w:rsid w:val="00793A3F"/>
    <w:rsid w:val="00793D04"/>
    <w:rsid w:val="00793F28"/>
    <w:rsid w:val="007944D2"/>
    <w:rsid w:val="00794B19"/>
    <w:rsid w:val="00795B8D"/>
    <w:rsid w:val="00795F0E"/>
    <w:rsid w:val="00797D8F"/>
    <w:rsid w:val="007A06A1"/>
    <w:rsid w:val="007A082A"/>
    <w:rsid w:val="007A0C00"/>
    <w:rsid w:val="007A0E15"/>
    <w:rsid w:val="007A176E"/>
    <w:rsid w:val="007A19BF"/>
    <w:rsid w:val="007A2A69"/>
    <w:rsid w:val="007A2CF1"/>
    <w:rsid w:val="007A41B5"/>
    <w:rsid w:val="007A4486"/>
    <w:rsid w:val="007A4682"/>
    <w:rsid w:val="007A4839"/>
    <w:rsid w:val="007A4AE6"/>
    <w:rsid w:val="007A5879"/>
    <w:rsid w:val="007A58A8"/>
    <w:rsid w:val="007A5BDC"/>
    <w:rsid w:val="007A5D64"/>
    <w:rsid w:val="007A629D"/>
    <w:rsid w:val="007A6610"/>
    <w:rsid w:val="007A6DD3"/>
    <w:rsid w:val="007A6FF3"/>
    <w:rsid w:val="007A71DC"/>
    <w:rsid w:val="007A7A04"/>
    <w:rsid w:val="007A7C4B"/>
    <w:rsid w:val="007B0394"/>
    <w:rsid w:val="007B04FF"/>
    <w:rsid w:val="007B0976"/>
    <w:rsid w:val="007B0CAC"/>
    <w:rsid w:val="007B0E40"/>
    <w:rsid w:val="007B1170"/>
    <w:rsid w:val="007B15F3"/>
    <w:rsid w:val="007B1701"/>
    <w:rsid w:val="007B17C0"/>
    <w:rsid w:val="007B1C32"/>
    <w:rsid w:val="007B1DBB"/>
    <w:rsid w:val="007B2319"/>
    <w:rsid w:val="007B2FBF"/>
    <w:rsid w:val="007B3E13"/>
    <w:rsid w:val="007B4046"/>
    <w:rsid w:val="007B4300"/>
    <w:rsid w:val="007B565C"/>
    <w:rsid w:val="007B595F"/>
    <w:rsid w:val="007B5D75"/>
    <w:rsid w:val="007B6388"/>
    <w:rsid w:val="007B6D5E"/>
    <w:rsid w:val="007B7115"/>
    <w:rsid w:val="007B736B"/>
    <w:rsid w:val="007C0853"/>
    <w:rsid w:val="007C0C90"/>
    <w:rsid w:val="007C0E07"/>
    <w:rsid w:val="007C0E86"/>
    <w:rsid w:val="007C155E"/>
    <w:rsid w:val="007C1DE6"/>
    <w:rsid w:val="007C249E"/>
    <w:rsid w:val="007C26CF"/>
    <w:rsid w:val="007C271B"/>
    <w:rsid w:val="007C2C14"/>
    <w:rsid w:val="007C2D50"/>
    <w:rsid w:val="007C2D62"/>
    <w:rsid w:val="007C3817"/>
    <w:rsid w:val="007C3A55"/>
    <w:rsid w:val="007C3F8A"/>
    <w:rsid w:val="007C4166"/>
    <w:rsid w:val="007C44E1"/>
    <w:rsid w:val="007C48DD"/>
    <w:rsid w:val="007C4A05"/>
    <w:rsid w:val="007C5711"/>
    <w:rsid w:val="007C57B9"/>
    <w:rsid w:val="007C6325"/>
    <w:rsid w:val="007C6703"/>
    <w:rsid w:val="007C6C53"/>
    <w:rsid w:val="007C73A3"/>
    <w:rsid w:val="007C7975"/>
    <w:rsid w:val="007C7EF5"/>
    <w:rsid w:val="007D06AC"/>
    <w:rsid w:val="007D0741"/>
    <w:rsid w:val="007D0A53"/>
    <w:rsid w:val="007D0FFC"/>
    <w:rsid w:val="007D1013"/>
    <w:rsid w:val="007D175C"/>
    <w:rsid w:val="007D19EC"/>
    <w:rsid w:val="007D2608"/>
    <w:rsid w:val="007D2765"/>
    <w:rsid w:val="007D30C3"/>
    <w:rsid w:val="007D3500"/>
    <w:rsid w:val="007D35AC"/>
    <w:rsid w:val="007D36B1"/>
    <w:rsid w:val="007D36D7"/>
    <w:rsid w:val="007D3BA1"/>
    <w:rsid w:val="007D3EC8"/>
    <w:rsid w:val="007D40AC"/>
    <w:rsid w:val="007D4317"/>
    <w:rsid w:val="007D4BE9"/>
    <w:rsid w:val="007D4C12"/>
    <w:rsid w:val="007D52CB"/>
    <w:rsid w:val="007D57E0"/>
    <w:rsid w:val="007D5962"/>
    <w:rsid w:val="007D63B2"/>
    <w:rsid w:val="007D651D"/>
    <w:rsid w:val="007D71B7"/>
    <w:rsid w:val="007D7C66"/>
    <w:rsid w:val="007D7CF3"/>
    <w:rsid w:val="007E0274"/>
    <w:rsid w:val="007E02A7"/>
    <w:rsid w:val="007E0415"/>
    <w:rsid w:val="007E0991"/>
    <w:rsid w:val="007E0B2C"/>
    <w:rsid w:val="007E107F"/>
    <w:rsid w:val="007E1C14"/>
    <w:rsid w:val="007E2FD7"/>
    <w:rsid w:val="007E310B"/>
    <w:rsid w:val="007E38DA"/>
    <w:rsid w:val="007E3D65"/>
    <w:rsid w:val="007E3EE2"/>
    <w:rsid w:val="007E4027"/>
    <w:rsid w:val="007E47E7"/>
    <w:rsid w:val="007E4A98"/>
    <w:rsid w:val="007E4EB6"/>
    <w:rsid w:val="007E5DD7"/>
    <w:rsid w:val="007E5F6B"/>
    <w:rsid w:val="007E684B"/>
    <w:rsid w:val="007E7139"/>
    <w:rsid w:val="007E7366"/>
    <w:rsid w:val="007E7EA1"/>
    <w:rsid w:val="007E7EA4"/>
    <w:rsid w:val="007F03CE"/>
    <w:rsid w:val="007F04D3"/>
    <w:rsid w:val="007F0E95"/>
    <w:rsid w:val="007F137D"/>
    <w:rsid w:val="007F2274"/>
    <w:rsid w:val="007F2D8D"/>
    <w:rsid w:val="007F2EBF"/>
    <w:rsid w:val="007F3044"/>
    <w:rsid w:val="007F3249"/>
    <w:rsid w:val="007F335D"/>
    <w:rsid w:val="007F4657"/>
    <w:rsid w:val="007F4B35"/>
    <w:rsid w:val="007F5609"/>
    <w:rsid w:val="007F5625"/>
    <w:rsid w:val="007F568A"/>
    <w:rsid w:val="007F59F7"/>
    <w:rsid w:val="007F5E21"/>
    <w:rsid w:val="007F6413"/>
    <w:rsid w:val="007F676E"/>
    <w:rsid w:val="007F6B11"/>
    <w:rsid w:val="007F6E2B"/>
    <w:rsid w:val="007F7D12"/>
    <w:rsid w:val="007F7F02"/>
    <w:rsid w:val="00800258"/>
    <w:rsid w:val="008005AF"/>
    <w:rsid w:val="00800709"/>
    <w:rsid w:val="00800C97"/>
    <w:rsid w:val="00801A5A"/>
    <w:rsid w:val="0080220F"/>
    <w:rsid w:val="0080222B"/>
    <w:rsid w:val="0080235F"/>
    <w:rsid w:val="00802735"/>
    <w:rsid w:val="00802861"/>
    <w:rsid w:val="008028C2"/>
    <w:rsid w:val="00802C3F"/>
    <w:rsid w:val="00802DDB"/>
    <w:rsid w:val="008037D8"/>
    <w:rsid w:val="00803B7E"/>
    <w:rsid w:val="00803DA6"/>
    <w:rsid w:val="008040D9"/>
    <w:rsid w:val="0080436E"/>
    <w:rsid w:val="00804937"/>
    <w:rsid w:val="00804E1E"/>
    <w:rsid w:val="00804E43"/>
    <w:rsid w:val="008050F5"/>
    <w:rsid w:val="0080519C"/>
    <w:rsid w:val="0080542E"/>
    <w:rsid w:val="00805A0C"/>
    <w:rsid w:val="00810B67"/>
    <w:rsid w:val="00810BC2"/>
    <w:rsid w:val="00810F44"/>
    <w:rsid w:val="00811683"/>
    <w:rsid w:val="00811AFF"/>
    <w:rsid w:val="00812373"/>
    <w:rsid w:val="00813F3A"/>
    <w:rsid w:val="00814024"/>
    <w:rsid w:val="008140E8"/>
    <w:rsid w:val="0081427D"/>
    <w:rsid w:val="00814941"/>
    <w:rsid w:val="00814A65"/>
    <w:rsid w:val="00814BD9"/>
    <w:rsid w:val="00814EE7"/>
    <w:rsid w:val="008158AC"/>
    <w:rsid w:val="00816805"/>
    <w:rsid w:val="00816AC1"/>
    <w:rsid w:val="00816BE8"/>
    <w:rsid w:val="00816CD5"/>
    <w:rsid w:val="00816DBD"/>
    <w:rsid w:val="00816F22"/>
    <w:rsid w:val="00816FE2"/>
    <w:rsid w:val="00817062"/>
    <w:rsid w:val="00817451"/>
    <w:rsid w:val="0081779F"/>
    <w:rsid w:val="00817991"/>
    <w:rsid w:val="00817F2A"/>
    <w:rsid w:val="00817F58"/>
    <w:rsid w:val="008203C5"/>
    <w:rsid w:val="008209F8"/>
    <w:rsid w:val="00820B84"/>
    <w:rsid w:val="0082199B"/>
    <w:rsid w:val="00821C2A"/>
    <w:rsid w:val="00822607"/>
    <w:rsid w:val="008227B7"/>
    <w:rsid w:val="008243A8"/>
    <w:rsid w:val="00824925"/>
    <w:rsid w:val="00824C8B"/>
    <w:rsid w:val="008252E8"/>
    <w:rsid w:val="008255AB"/>
    <w:rsid w:val="00825BA8"/>
    <w:rsid w:val="00825C14"/>
    <w:rsid w:val="008262C4"/>
    <w:rsid w:val="0082641D"/>
    <w:rsid w:val="008267CA"/>
    <w:rsid w:val="0082722B"/>
    <w:rsid w:val="00827C1B"/>
    <w:rsid w:val="0083016B"/>
    <w:rsid w:val="008301F1"/>
    <w:rsid w:val="00830C0E"/>
    <w:rsid w:val="008313E0"/>
    <w:rsid w:val="008317EC"/>
    <w:rsid w:val="0083195D"/>
    <w:rsid w:val="00831A62"/>
    <w:rsid w:val="00831B7B"/>
    <w:rsid w:val="00831D90"/>
    <w:rsid w:val="008324F3"/>
    <w:rsid w:val="00832691"/>
    <w:rsid w:val="0083293F"/>
    <w:rsid w:val="0083296B"/>
    <w:rsid w:val="00833547"/>
    <w:rsid w:val="00833852"/>
    <w:rsid w:val="00833AB9"/>
    <w:rsid w:val="00834820"/>
    <w:rsid w:val="00834C82"/>
    <w:rsid w:val="00834DB6"/>
    <w:rsid w:val="00834F93"/>
    <w:rsid w:val="008356A7"/>
    <w:rsid w:val="00836AE8"/>
    <w:rsid w:val="00840C4A"/>
    <w:rsid w:val="008411B9"/>
    <w:rsid w:val="0084122F"/>
    <w:rsid w:val="00841573"/>
    <w:rsid w:val="00841D08"/>
    <w:rsid w:val="00842D43"/>
    <w:rsid w:val="0084323E"/>
    <w:rsid w:val="00843D50"/>
    <w:rsid w:val="0084464E"/>
    <w:rsid w:val="008458BF"/>
    <w:rsid w:val="00846262"/>
    <w:rsid w:val="00846370"/>
    <w:rsid w:val="00847665"/>
    <w:rsid w:val="00847BC5"/>
    <w:rsid w:val="00847F11"/>
    <w:rsid w:val="00847F7F"/>
    <w:rsid w:val="00850010"/>
    <w:rsid w:val="008503F4"/>
    <w:rsid w:val="008504A0"/>
    <w:rsid w:val="008508AD"/>
    <w:rsid w:val="00850AC1"/>
    <w:rsid w:val="00850C2A"/>
    <w:rsid w:val="00850DFA"/>
    <w:rsid w:val="00851331"/>
    <w:rsid w:val="008516D1"/>
    <w:rsid w:val="00852003"/>
    <w:rsid w:val="0085212C"/>
    <w:rsid w:val="00852F9E"/>
    <w:rsid w:val="00854053"/>
    <w:rsid w:val="008540AC"/>
    <w:rsid w:val="008543AC"/>
    <w:rsid w:val="008548B8"/>
    <w:rsid w:val="00854965"/>
    <w:rsid w:val="008554D1"/>
    <w:rsid w:val="008558E0"/>
    <w:rsid w:val="00855DCC"/>
    <w:rsid w:val="00856091"/>
    <w:rsid w:val="00857AF7"/>
    <w:rsid w:val="00860109"/>
    <w:rsid w:val="008601BD"/>
    <w:rsid w:val="00860359"/>
    <w:rsid w:val="00860E43"/>
    <w:rsid w:val="00861252"/>
    <w:rsid w:val="0086171A"/>
    <w:rsid w:val="0086226C"/>
    <w:rsid w:val="00862C76"/>
    <w:rsid w:val="008644A4"/>
    <w:rsid w:val="00864A6C"/>
    <w:rsid w:val="00864BB1"/>
    <w:rsid w:val="00864DF7"/>
    <w:rsid w:val="00865278"/>
    <w:rsid w:val="008654F9"/>
    <w:rsid w:val="008656D8"/>
    <w:rsid w:val="008658C0"/>
    <w:rsid w:val="00866388"/>
    <w:rsid w:val="00866F76"/>
    <w:rsid w:val="00866FE3"/>
    <w:rsid w:val="0086722D"/>
    <w:rsid w:val="00867D56"/>
    <w:rsid w:val="00867FD2"/>
    <w:rsid w:val="00870BAA"/>
    <w:rsid w:val="00870D91"/>
    <w:rsid w:val="008716D1"/>
    <w:rsid w:val="008716ED"/>
    <w:rsid w:val="0087193F"/>
    <w:rsid w:val="008724E6"/>
    <w:rsid w:val="008728C8"/>
    <w:rsid w:val="00873205"/>
    <w:rsid w:val="008735E8"/>
    <w:rsid w:val="0087377E"/>
    <w:rsid w:val="00874043"/>
    <w:rsid w:val="0087425D"/>
    <w:rsid w:val="00874594"/>
    <w:rsid w:val="008745CE"/>
    <w:rsid w:val="00874776"/>
    <w:rsid w:val="0087487C"/>
    <w:rsid w:val="00874A07"/>
    <w:rsid w:val="00874B75"/>
    <w:rsid w:val="00875007"/>
    <w:rsid w:val="008750DB"/>
    <w:rsid w:val="008751B4"/>
    <w:rsid w:val="0087527F"/>
    <w:rsid w:val="008754B5"/>
    <w:rsid w:val="00875AF3"/>
    <w:rsid w:val="008764CB"/>
    <w:rsid w:val="008765E9"/>
    <w:rsid w:val="00876605"/>
    <w:rsid w:val="00876B13"/>
    <w:rsid w:val="00877362"/>
    <w:rsid w:val="008773D3"/>
    <w:rsid w:val="00877D2E"/>
    <w:rsid w:val="00877D73"/>
    <w:rsid w:val="00880017"/>
    <w:rsid w:val="00880305"/>
    <w:rsid w:val="00880516"/>
    <w:rsid w:val="0088088A"/>
    <w:rsid w:val="00880A3F"/>
    <w:rsid w:val="00880EE2"/>
    <w:rsid w:val="00881729"/>
    <w:rsid w:val="00881732"/>
    <w:rsid w:val="008818A2"/>
    <w:rsid w:val="008820FB"/>
    <w:rsid w:val="0088213D"/>
    <w:rsid w:val="008821C6"/>
    <w:rsid w:val="0088243D"/>
    <w:rsid w:val="0088251A"/>
    <w:rsid w:val="00882AA9"/>
    <w:rsid w:val="00882D28"/>
    <w:rsid w:val="00883A67"/>
    <w:rsid w:val="008848E9"/>
    <w:rsid w:val="00884D88"/>
    <w:rsid w:val="00884FB8"/>
    <w:rsid w:val="00884FD8"/>
    <w:rsid w:val="00885244"/>
    <w:rsid w:val="008857C7"/>
    <w:rsid w:val="008858B3"/>
    <w:rsid w:val="0088634F"/>
    <w:rsid w:val="008866CF"/>
    <w:rsid w:val="00886782"/>
    <w:rsid w:val="008869A1"/>
    <w:rsid w:val="00886B36"/>
    <w:rsid w:val="00886B3F"/>
    <w:rsid w:val="0089015D"/>
    <w:rsid w:val="0089021A"/>
    <w:rsid w:val="0089022E"/>
    <w:rsid w:val="00890475"/>
    <w:rsid w:val="00890A7C"/>
    <w:rsid w:val="00890D11"/>
    <w:rsid w:val="008910EE"/>
    <w:rsid w:val="00891A26"/>
    <w:rsid w:val="008923F8"/>
    <w:rsid w:val="008928F1"/>
    <w:rsid w:val="00892BBF"/>
    <w:rsid w:val="00892D09"/>
    <w:rsid w:val="00892DB5"/>
    <w:rsid w:val="00893256"/>
    <w:rsid w:val="00894263"/>
    <w:rsid w:val="008942BD"/>
    <w:rsid w:val="0089478A"/>
    <w:rsid w:val="0089480A"/>
    <w:rsid w:val="00894FE5"/>
    <w:rsid w:val="008952C6"/>
    <w:rsid w:val="00895414"/>
    <w:rsid w:val="00895658"/>
    <w:rsid w:val="008956DA"/>
    <w:rsid w:val="00895BA9"/>
    <w:rsid w:val="00895D79"/>
    <w:rsid w:val="0089601B"/>
    <w:rsid w:val="00896220"/>
    <w:rsid w:val="0089655D"/>
    <w:rsid w:val="00896784"/>
    <w:rsid w:val="0089768F"/>
    <w:rsid w:val="00897824"/>
    <w:rsid w:val="00897BCB"/>
    <w:rsid w:val="00897C07"/>
    <w:rsid w:val="00897DBA"/>
    <w:rsid w:val="008A0145"/>
    <w:rsid w:val="008A02FA"/>
    <w:rsid w:val="008A06A8"/>
    <w:rsid w:val="008A0D0B"/>
    <w:rsid w:val="008A1230"/>
    <w:rsid w:val="008A1268"/>
    <w:rsid w:val="008A1AAC"/>
    <w:rsid w:val="008A20CA"/>
    <w:rsid w:val="008A239B"/>
    <w:rsid w:val="008A2956"/>
    <w:rsid w:val="008A2EA1"/>
    <w:rsid w:val="008A2EF6"/>
    <w:rsid w:val="008A3480"/>
    <w:rsid w:val="008A425D"/>
    <w:rsid w:val="008A4B88"/>
    <w:rsid w:val="008A4DFA"/>
    <w:rsid w:val="008A4F3C"/>
    <w:rsid w:val="008A51AD"/>
    <w:rsid w:val="008A53BA"/>
    <w:rsid w:val="008A551D"/>
    <w:rsid w:val="008A56BA"/>
    <w:rsid w:val="008A570A"/>
    <w:rsid w:val="008A58E4"/>
    <w:rsid w:val="008A58E7"/>
    <w:rsid w:val="008A5C1D"/>
    <w:rsid w:val="008A5FE8"/>
    <w:rsid w:val="008A615A"/>
    <w:rsid w:val="008A6466"/>
    <w:rsid w:val="008A650C"/>
    <w:rsid w:val="008A6A36"/>
    <w:rsid w:val="008A6CB9"/>
    <w:rsid w:val="008A6DC1"/>
    <w:rsid w:val="008A7100"/>
    <w:rsid w:val="008A7139"/>
    <w:rsid w:val="008A776D"/>
    <w:rsid w:val="008A7C74"/>
    <w:rsid w:val="008B04C0"/>
    <w:rsid w:val="008B0A83"/>
    <w:rsid w:val="008B0E93"/>
    <w:rsid w:val="008B198D"/>
    <w:rsid w:val="008B2878"/>
    <w:rsid w:val="008B29A4"/>
    <w:rsid w:val="008B2BB4"/>
    <w:rsid w:val="008B2C30"/>
    <w:rsid w:val="008B3C2B"/>
    <w:rsid w:val="008B456D"/>
    <w:rsid w:val="008B4679"/>
    <w:rsid w:val="008B4D00"/>
    <w:rsid w:val="008B4D13"/>
    <w:rsid w:val="008B4E78"/>
    <w:rsid w:val="008B4FE2"/>
    <w:rsid w:val="008B5E0E"/>
    <w:rsid w:val="008B61A1"/>
    <w:rsid w:val="008B650D"/>
    <w:rsid w:val="008B66EE"/>
    <w:rsid w:val="008B6793"/>
    <w:rsid w:val="008B6E87"/>
    <w:rsid w:val="008B75C2"/>
    <w:rsid w:val="008B787A"/>
    <w:rsid w:val="008C09ED"/>
    <w:rsid w:val="008C0A89"/>
    <w:rsid w:val="008C0E71"/>
    <w:rsid w:val="008C1852"/>
    <w:rsid w:val="008C19EA"/>
    <w:rsid w:val="008C2986"/>
    <w:rsid w:val="008C2CFF"/>
    <w:rsid w:val="008C2E1E"/>
    <w:rsid w:val="008C2E22"/>
    <w:rsid w:val="008C2ED2"/>
    <w:rsid w:val="008C3D4D"/>
    <w:rsid w:val="008C3F6C"/>
    <w:rsid w:val="008C4026"/>
    <w:rsid w:val="008C417E"/>
    <w:rsid w:val="008C4663"/>
    <w:rsid w:val="008C5042"/>
    <w:rsid w:val="008C5B51"/>
    <w:rsid w:val="008C5F0A"/>
    <w:rsid w:val="008C5F71"/>
    <w:rsid w:val="008C6105"/>
    <w:rsid w:val="008C6124"/>
    <w:rsid w:val="008C6334"/>
    <w:rsid w:val="008C66BD"/>
    <w:rsid w:val="008C6968"/>
    <w:rsid w:val="008C742A"/>
    <w:rsid w:val="008C74C7"/>
    <w:rsid w:val="008C7714"/>
    <w:rsid w:val="008C7E4C"/>
    <w:rsid w:val="008C7F4F"/>
    <w:rsid w:val="008D0014"/>
    <w:rsid w:val="008D00F3"/>
    <w:rsid w:val="008D0F27"/>
    <w:rsid w:val="008D15A2"/>
    <w:rsid w:val="008D18CD"/>
    <w:rsid w:val="008D19C6"/>
    <w:rsid w:val="008D1F86"/>
    <w:rsid w:val="008D20E0"/>
    <w:rsid w:val="008D2B6E"/>
    <w:rsid w:val="008D2E06"/>
    <w:rsid w:val="008D335C"/>
    <w:rsid w:val="008D35B7"/>
    <w:rsid w:val="008D4007"/>
    <w:rsid w:val="008D4341"/>
    <w:rsid w:val="008D436A"/>
    <w:rsid w:val="008D4B1F"/>
    <w:rsid w:val="008D4C72"/>
    <w:rsid w:val="008D50BA"/>
    <w:rsid w:val="008D561B"/>
    <w:rsid w:val="008D582B"/>
    <w:rsid w:val="008D5968"/>
    <w:rsid w:val="008D5CF9"/>
    <w:rsid w:val="008D5D0A"/>
    <w:rsid w:val="008D6794"/>
    <w:rsid w:val="008D7F65"/>
    <w:rsid w:val="008D7FF0"/>
    <w:rsid w:val="008E0178"/>
    <w:rsid w:val="008E02D9"/>
    <w:rsid w:val="008E02F8"/>
    <w:rsid w:val="008E1033"/>
    <w:rsid w:val="008E104C"/>
    <w:rsid w:val="008E12AF"/>
    <w:rsid w:val="008E211C"/>
    <w:rsid w:val="008E23FC"/>
    <w:rsid w:val="008E2BB3"/>
    <w:rsid w:val="008E2BC5"/>
    <w:rsid w:val="008E2C79"/>
    <w:rsid w:val="008E3176"/>
    <w:rsid w:val="008E3564"/>
    <w:rsid w:val="008E3A0B"/>
    <w:rsid w:val="008E3A82"/>
    <w:rsid w:val="008E3A90"/>
    <w:rsid w:val="008E3AAB"/>
    <w:rsid w:val="008E4043"/>
    <w:rsid w:val="008E4520"/>
    <w:rsid w:val="008E54E8"/>
    <w:rsid w:val="008E5740"/>
    <w:rsid w:val="008E5868"/>
    <w:rsid w:val="008E5DC8"/>
    <w:rsid w:val="008E6465"/>
    <w:rsid w:val="008E6C57"/>
    <w:rsid w:val="008E7082"/>
    <w:rsid w:val="008E72AF"/>
    <w:rsid w:val="008F0010"/>
    <w:rsid w:val="008F0952"/>
    <w:rsid w:val="008F1154"/>
    <w:rsid w:val="008F1B84"/>
    <w:rsid w:val="008F1B9D"/>
    <w:rsid w:val="008F1DB6"/>
    <w:rsid w:val="008F39C0"/>
    <w:rsid w:val="008F3F45"/>
    <w:rsid w:val="008F57CD"/>
    <w:rsid w:val="008F5960"/>
    <w:rsid w:val="008F5CD0"/>
    <w:rsid w:val="008F6100"/>
    <w:rsid w:val="008F629A"/>
    <w:rsid w:val="008F6A9B"/>
    <w:rsid w:val="008F6F03"/>
    <w:rsid w:val="008F7603"/>
    <w:rsid w:val="008F769D"/>
    <w:rsid w:val="008F76DC"/>
    <w:rsid w:val="008F7A06"/>
    <w:rsid w:val="008F7D2F"/>
    <w:rsid w:val="009009F5"/>
    <w:rsid w:val="00900AE3"/>
    <w:rsid w:val="009013C5"/>
    <w:rsid w:val="0090147B"/>
    <w:rsid w:val="00901649"/>
    <w:rsid w:val="00901CBA"/>
    <w:rsid w:val="00901DC6"/>
    <w:rsid w:val="009021DC"/>
    <w:rsid w:val="00902B8A"/>
    <w:rsid w:val="00903026"/>
    <w:rsid w:val="0090357B"/>
    <w:rsid w:val="00903832"/>
    <w:rsid w:val="009044BE"/>
    <w:rsid w:val="009048EB"/>
    <w:rsid w:val="00904913"/>
    <w:rsid w:val="009050B3"/>
    <w:rsid w:val="00905945"/>
    <w:rsid w:val="00905FEB"/>
    <w:rsid w:val="00906252"/>
    <w:rsid w:val="00906432"/>
    <w:rsid w:val="0090672E"/>
    <w:rsid w:val="00906A4F"/>
    <w:rsid w:val="00906BD6"/>
    <w:rsid w:val="00907074"/>
    <w:rsid w:val="009073C7"/>
    <w:rsid w:val="009078BA"/>
    <w:rsid w:val="00907908"/>
    <w:rsid w:val="009079C7"/>
    <w:rsid w:val="009079F7"/>
    <w:rsid w:val="00907B44"/>
    <w:rsid w:val="00907C33"/>
    <w:rsid w:val="009108D2"/>
    <w:rsid w:val="00910C20"/>
    <w:rsid w:val="00910FE1"/>
    <w:rsid w:val="0091106A"/>
    <w:rsid w:val="00911C77"/>
    <w:rsid w:val="00911D1C"/>
    <w:rsid w:val="0091246B"/>
    <w:rsid w:val="00912E2C"/>
    <w:rsid w:val="00912F38"/>
    <w:rsid w:val="00913388"/>
    <w:rsid w:val="00913B9C"/>
    <w:rsid w:val="00913C58"/>
    <w:rsid w:val="009140B4"/>
    <w:rsid w:val="00914174"/>
    <w:rsid w:val="0091428A"/>
    <w:rsid w:val="00914733"/>
    <w:rsid w:val="00914AA5"/>
    <w:rsid w:val="009162DD"/>
    <w:rsid w:val="009163E7"/>
    <w:rsid w:val="0091671A"/>
    <w:rsid w:val="009169F6"/>
    <w:rsid w:val="00916CE2"/>
    <w:rsid w:val="0091715C"/>
    <w:rsid w:val="0091719D"/>
    <w:rsid w:val="00917903"/>
    <w:rsid w:val="00917C00"/>
    <w:rsid w:val="009206B1"/>
    <w:rsid w:val="00920997"/>
    <w:rsid w:val="00920B1E"/>
    <w:rsid w:val="00920DD5"/>
    <w:rsid w:val="00921073"/>
    <w:rsid w:val="00921161"/>
    <w:rsid w:val="00921466"/>
    <w:rsid w:val="00921632"/>
    <w:rsid w:val="00921A1A"/>
    <w:rsid w:val="00922492"/>
    <w:rsid w:val="009224EB"/>
    <w:rsid w:val="0092272F"/>
    <w:rsid w:val="00922950"/>
    <w:rsid w:val="00922BE2"/>
    <w:rsid w:val="00922EDE"/>
    <w:rsid w:val="0092337C"/>
    <w:rsid w:val="009237D9"/>
    <w:rsid w:val="0092406C"/>
    <w:rsid w:val="00924096"/>
    <w:rsid w:val="009243BC"/>
    <w:rsid w:val="009244D5"/>
    <w:rsid w:val="00924B47"/>
    <w:rsid w:val="009252F1"/>
    <w:rsid w:val="0092551D"/>
    <w:rsid w:val="00925588"/>
    <w:rsid w:val="00925AF5"/>
    <w:rsid w:val="00926268"/>
    <w:rsid w:val="009264A2"/>
    <w:rsid w:val="0092715D"/>
    <w:rsid w:val="00930632"/>
    <w:rsid w:val="009310BC"/>
    <w:rsid w:val="0093121B"/>
    <w:rsid w:val="00931D3F"/>
    <w:rsid w:val="009324C4"/>
    <w:rsid w:val="00932671"/>
    <w:rsid w:val="00932A7A"/>
    <w:rsid w:val="009330BF"/>
    <w:rsid w:val="009331FD"/>
    <w:rsid w:val="00933817"/>
    <w:rsid w:val="00934510"/>
    <w:rsid w:val="0093476C"/>
    <w:rsid w:val="009358C3"/>
    <w:rsid w:val="00935A1E"/>
    <w:rsid w:val="00935B7C"/>
    <w:rsid w:val="00935E3A"/>
    <w:rsid w:val="00935E8D"/>
    <w:rsid w:val="00936005"/>
    <w:rsid w:val="0093607C"/>
    <w:rsid w:val="00937F60"/>
    <w:rsid w:val="00940008"/>
    <w:rsid w:val="00940FFA"/>
    <w:rsid w:val="00941503"/>
    <w:rsid w:val="0094187D"/>
    <w:rsid w:val="00941DAA"/>
    <w:rsid w:val="00942637"/>
    <w:rsid w:val="00942C90"/>
    <w:rsid w:val="00942F29"/>
    <w:rsid w:val="00942FB6"/>
    <w:rsid w:val="009434EB"/>
    <w:rsid w:val="00943772"/>
    <w:rsid w:val="00943EA6"/>
    <w:rsid w:val="009446D5"/>
    <w:rsid w:val="009448F2"/>
    <w:rsid w:val="0094524B"/>
    <w:rsid w:val="009456E3"/>
    <w:rsid w:val="00945759"/>
    <w:rsid w:val="00945942"/>
    <w:rsid w:val="00945C2E"/>
    <w:rsid w:val="00946361"/>
    <w:rsid w:val="009466E9"/>
    <w:rsid w:val="00946CB3"/>
    <w:rsid w:val="00946D20"/>
    <w:rsid w:val="00946E51"/>
    <w:rsid w:val="00946F21"/>
    <w:rsid w:val="009473F4"/>
    <w:rsid w:val="0094767D"/>
    <w:rsid w:val="00950231"/>
    <w:rsid w:val="00950484"/>
    <w:rsid w:val="00950794"/>
    <w:rsid w:val="009507AA"/>
    <w:rsid w:val="009509EF"/>
    <w:rsid w:val="009515CA"/>
    <w:rsid w:val="00951691"/>
    <w:rsid w:val="00951FCE"/>
    <w:rsid w:val="009521CC"/>
    <w:rsid w:val="0095226C"/>
    <w:rsid w:val="00952319"/>
    <w:rsid w:val="00952C05"/>
    <w:rsid w:val="00952D52"/>
    <w:rsid w:val="00953148"/>
    <w:rsid w:val="009540B7"/>
    <w:rsid w:val="009543D0"/>
    <w:rsid w:val="009549EE"/>
    <w:rsid w:val="00954C31"/>
    <w:rsid w:val="00954DAE"/>
    <w:rsid w:val="00954EDA"/>
    <w:rsid w:val="00955410"/>
    <w:rsid w:val="0095555D"/>
    <w:rsid w:val="009558EE"/>
    <w:rsid w:val="009559D5"/>
    <w:rsid w:val="00955C17"/>
    <w:rsid w:val="00955DD4"/>
    <w:rsid w:val="00955FFA"/>
    <w:rsid w:val="00956170"/>
    <w:rsid w:val="00956493"/>
    <w:rsid w:val="00956BA1"/>
    <w:rsid w:val="00956D42"/>
    <w:rsid w:val="00956F0F"/>
    <w:rsid w:val="0095727F"/>
    <w:rsid w:val="009572AF"/>
    <w:rsid w:val="00957E41"/>
    <w:rsid w:val="0096023A"/>
    <w:rsid w:val="009607AB"/>
    <w:rsid w:val="009615DB"/>
    <w:rsid w:val="00962683"/>
    <w:rsid w:val="0096268C"/>
    <w:rsid w:val="00962E23"/>
    <w:rsid w:val="0096447F"/>
    <w:rsid w:val="0096487C"/>
    <w:rsid w:val="00964BC2"/>
    <w:rsid w:val="00964D4A"/>
    <w:rsid w:val="00964EAE"/>
    <w:rsid w:val="00965023"/>
    <w:rsid w:val="009650B7"/>
    <w:rsid w:val="0096515D"/>
    <w:rsid w:val="00965841"/>
    <w:rsid w:val="00965D7F"/>
    <w:rsid w:val="00966623"/>
    <w:rsid w:val="00966DB4"/>
    <w:rsid w:val="009678DB"/>
    <w:rsid w:val="009704DC"/>
    <w:rsid w:val="00970728"/>
    <w:rsid w:val="009707C9"/>
    <w:rsid w:val="00970AA0"/>
    <w:rsid w:val="0097118A"/>
    <w:rsid w:val="00971580"/>
    <w:rsid w:val="00971E0B"/>
    <w:rsid w:val="00972101"/>
    <w:rsid w:val="00972BE3"/>
    <w:rsid w:val="00972F0A"/>
    <w:rsid w:val="00972F9A"/>
    <w:rsid w:val="00972FB5"/>
    <w:rsid w:val="009736FE"/>
    <w:rsid w:val="00973B96"/>
    <w:rsid w:val="00973E3C"/>
    <w:rsid w:val="00974763"/>
    <w:rsid w:val="009757CA"/>
    <w:rsid w:val="00975C9D"/>
    <w:rsid w:val="00976E76"/>
    <w:rsid w:val="00977A14"/>
    <w:rsid w:val="00977E9B"/>
    <w:rsid w:val="00980324"/>
    <w:rsid w:val="009807BF"/>
    <w:rsid w:val="009809CE"/>
    <w:rsid w:val="0098131F"/>
    <w:rsid w:val="00981471"/>
    <w:rsid w:val="00981479"/>
    <w:rsid w:val="00982616"/>
    <w:rsid w:val="009829B3"/>
    <w:rsid w:val="00982C31"/>
    <w:rsid w:val="00982D45"/>
    <w:rsid w:val="00983165"/>
    <w:rsid w:val="00983343"/>
    <w:rsid w:val="009833C4"/>
    <w:rsid w:val="009833E1"/>
    <w:rsid w:val="009834E0"/>
    <w:rsid w:val="009838FF"/>
    <w:rsid w:val="00983D24"/>
    <w:rsid w:val="00984149"/>
    <w:rsid w:val="00984788"/>
    <w:rsid w:val="00984909"/>
    <w:rsid w:val="00984FF3"/>
    <w:rsid w:val="00984FF9"/>
    <w:rsid w:val="009850C5"/>
    <w:rsid w:val="009856E6"/>
    <w:rsid w:val="00986326"/>
    <w:rsid w:val="00986849"/>
    <w:rsid w:val="00986BB7"/>
    <w:rsid w:val="00986D4B"/>
    <w:rsid w:val="00986F6D"/>
    <w:rsid w:val="0098727C"/>
    <w:rsid w:val="00987708"/>
    <w:rsid w:val="00987DF0"/>
    <w:rsid w:val="00987E2E"/>
    <w:rsid w:val="0099008B"/>
    <w:rsid w:val="00990F85"/>
    <w:rsid w:val="0099177B"/>
    <w:rsid w:val="0099187B"/>
    <w:rsid w:val="00991B79"/>
    <w:rsid w:val="00992E1B"/>
    <w:rsid w:val="0099367E"/>
    <w:rsid w:val="00993FE4"/>
    <w:rsid w:val="0099425E"/>
    <w:rsid w:val="00994CDC"/>
    <w:rsid w:val="009953D1"/>
    <w:rsid w:val="00995553"/>
    <w:rsid w:val="009969CD"/>
    <w:rsid w:val="0099770A"/>
    <w:rsid w:val="00997769"/>
    <w:rsid w:val="00997A2E"/>
    <w:rsid w:val="00997E21"/>
    <w:rsid w:val="009A048E"/>
    <w:rsid w:val="009A119F"/>
    <w:rsid w:val="009A1609"/>
    <w:rsid w:val="009A1A7E"/>
    <w:rsid w:val="009A3480"/>
    <w:rsid w:val="009A3DB8"/>
    <w:rsid w:val="009A43B3"/>
    <w:rsid w:val="009A464D"/>
    <w:rsid w:val="009A496F"/>
    <w:rsid w:val="009A4B78"/>
    <w:rsid w:val="009A4D73"/>
    <w:rsid w:val="009A4E41"/>
    <w:rsid w:val="009A4E63"/>
    <w:rsid w:val="009A5297"/>
    <w:rsid w:val="009A5D40"/>
    <w:rsid w:val="009A5E10"/>
    <w:rsid w:val="009A5E9E"/>
    <w:rsid w:val="009A6665"/>
    <w:rsid w:val="009A743F"/>
    <w:rsid w:val="009A74F7"/>
    <w:rsid w:val="009B00F2"/>
    <w:rsid w:val="009B0FB2"/>
    <w:rsid w:val="009B1113"/>
    <w:rsid w:val="009B17E9"/>
    <w:rsid w:val="009B1C34"/>
    <w:rsid w:val="009B1D22"/>
    <w:rsid w:val="009B1E86"/>
    <w:rsid w:val="009B1EFE"/>
    <w:rsid w:val="009B27C4"/>
    <w:rsid w:val="009B2AC9"/>
    <w:rsid w:val="009B2D92"/>
    <w:rsid w:val="009B3250"/>
    <w:rsid w:val="009B42D2"/>
    <w:rsid w:val="009B4343"/>
    <w:rsid w:val="009B4A06"/>
    <w:rsid w:val="009B5381"/>
    <w:rsid w:val="009B5EC7"/>
    <w:rsid w:val="009B609E"/>
    <w:rsid w:val="009B70C8"/>
    <w:rsid w:val="009B737C"/>
    <w:rsid w:val="009B742E"/>
    <w:rsid w:val="009C00F2"/>
    <w:rsid w:val="009C0AC6"/>
    <w:rsid w:val="009C0E66"/>
    <w:rsid w:val="009C0FDD"/>
    <w:rsid w:val="009C11B2"/>
    <w:rsid w:val="009C1456"/>
    <w:rsid w:val="009C164F"/>
    <w:rsid w:val="009C1900"/>
    <w:rsid w:val="009C1C30"/>
    <w:rsid w:val="009C1E65"/>
    <w:rsid w:val="009C22DD"/>
    <w:rsid w:val="009C29D5"/>
    <w:rsid w:val="009C30A0"/>
    <w:rsid w:val="009C359E"/>
    <w:rsid w:val="009C37FE"/>
    <w:rsid w:val="009C4082"/>
    <w:rsid w:val="009C450F"/>
    <w:rsid w:val="009C4A38"/>
    <w:rsid w:val="009C4AD8"/>
    <w:rsid w:val="009C4D3D"/>
    <w:rsid w:val="009C55E2"/>
    <w:rsid w:val="009C5A4E"/>
    <w:rsid w:val="009C5B36"/>
    <w:rsid w:val="009C5C16"/>
    <w:rsid w:val="009C5EE5"/>
    <w:rsid w:val="009C61E3"/>
    <w:rsid w:val="009C6B56"/>
    <w:rsid w:val="009C76F9"/>
    <w:rsid w:val="009C7785"/>
    <w:rsid w:val="009C7DB8"/>
    <w:rsid w:val="009C7FF0"/>
    <w:rsid w:val="009D010D"/>
    <w:rsid w:val="009D0244"/>
    <w:rsid w:val="009D0F71"/>
    <w:rsid w:val="009D111C"/>
    <w:rsid w:val="009D17A0"/>
    <w:rsid w:val="009D1F7A"/>
    <w:rsid w:val="009D2873"/>
    <w:rsid w:val="009D2942"/>
    <w:rsid w:val="009D3A1A"/>
    <w:rsid w:val="009D426A"/>
    <w:rsid w:val="009D5467"/>
    <w:rsid w:val="009D5BDB"/>
    <w:rsid w:val="009D6B03"/>
    <w:rsid w:val="009D6B3D"/>
    <w:rsid w:val="009D7422"/>
    <w:rsid w:val="009D78E7"/>
    <w:rsid w:val="009E0712"/>
    <w:rsid w:val="009E0742"/>
    <w:rsid w:val="009E1291"/>
    <w:rsid w:val="009E12BC"/>
    <w:rsid w:val="009E224D"/>
    <w:rsid w:val="009E26D5"/>
    <w:rsid w:val="009E2A07"/>
    <w:rsid w:val="009E2B14"/>
    <w:rsid w:val="009E3398"/>
    <w:rsid w:val="009E3577"/>
    <w:rsid w:val="009E3C73"/>
    <w:rsid w:val="009E3D2B"/>
    <w:rsid w:val="009E3E84"/>
    <w:rsid w:val="009E4097"/>
    <w:rsid w:val="009E4664"/>
    <w:rsid w:val="009E4D8E"/>
    <w:rsid w:val="009E4E90"/>
    <w:rsid w:val="009E4EB7"/>
    <w:rsid w:val="009E57C1"/>
    <w:rsid w:val="009E59AE"/>
    <w:rsid w:val="009E624A"/>
    <w:rsid w:val="009E6B32"/>
    <w:rsid w:val="009E70F3"/>
    <w:rsid w:val="009E731F"/>
    <w:rsid w:val="009E7E98"/>
    <w:rsid w:val="009F00EE"/>
    <w:rsid w:val="009F0827"/>
    <w:rsid w:val="009F0BED"/>
    <w:rsid w:val="009F1673"/>
    <w:rsid w:val="009F17E7"/>
    <w:rsid w:val="009F3255"/>
    <w:rsid w:val="009F34AA"/>
    <w:rsid w:val="009F3DCE"/>
    <w:rsid w:val="009F44FF"/>
    <w:rsid w:val="009F46E8"/>
    <w:rsid w:val="009F472D"/>
    <w:rsid w:val="009F4CF0"/>
    <w:rsid w:val="009F4E88"/>
    <w:rsid w:val="009F50D1"/>
    <w:rsid w:val="009F540F"/>
    <w:rsid w:val="009F573B"/>
    <w:rsid w:val="009F5918"/>
    <w:rsid w:val="009F596D"/>
    <w:rsid w:val="009F676E"/>
    <w:rsid w:val="009F6A91"/>
    <w:rsid w:val="009F71A6"/>
    <w:rsid w:val="009F71AA"/>
    <w:rsid w:val="009F7326"/>
    <w:rsid w:val="009F754A"/>
    <w:rsid w:val="009F791F"/>
    <w:rsid w:val="009F7F86"/>
    <w:rsid w:val="00A0034D"/>
    <w:rsid w:val="00A00BFB"/>
    <w:rsid w:val="00A00DCF"/>
    <w:rsid w:val="00A01239"/>
    <w:rsid w:val="00A0126C"/>
    <w:rsid w:val="00A012DA"/>
    <w:rsid w:val="00A0187E"/>
    <w:rsid w:val="00A022D4"/>
    <w:rsid w:val="00A026F0"/>
    <w:rsid w:val="00A02F2D"/>
    <w:rsid w:val="00A02F61"/>
    <w:rsid w:val="00A03E0E"/>
    <w:rsid w:val="00A040D1"/>
    <w:rsid w:val="00A045E6"/>
    <w:rsid w:val="00A04A0A"/>
    <w:rsid w:val="00A050A8"/>
    <w:rsid w:val="00A0528A"/>
    <w:rsid w:val="00A056A3"/>
    <w:rsid w:val="00A05B51"/>
    <w:rsid w:val="00A06286"/>
    <w:rsid w:val="00A06318"/>
    <w:rsid w:val="00A063BC"/>
    <w:rsid w:val="00A068E1"/>
    <w:rsid w:val="00A06A80"/>
    <w:rsid w:val="00A06D8A"/>
    <w:rsid w:val="00A0711F"/>
    <w:rsid w:val="00A078F1"/>
    <w:rsid w:val="00A07B0B"/>
    <w:rsid w:val="00A102A0"/>
    <w:rsid w:val="00A108C2"/>
    <w:rsid w:val="00A10BA3"/>
    <w:rsid w:val="00A114FA"/>
    <w:rsid w:val="00A11AF3"/>
    <w:rsid w:val="00A12C09"/>
    <w:rsid w:val="00A13084"/>
    <w:rsid w:val="00A1327F"/>
    <w:rsid w:val="00A13817"/>
    <w:rsid w:val="00A138D3"/>
    <w:rsid w:val="00A13E0F"/>
    <w:rsid w:val="00A144B7"/>
    <w:rsid w:val="00A149B4"/>
    <w:rsid w:val="00A14A99"/>
    <w:rsid w:val="00A15F4F"/>
    <w:rsid w:val="00A160AB"/>
    <w:rsid w:val="00A160F0"/>
    <w:rsid w:val="00A16745"/>
    <w:rsid w:val="00A16747"/>
    <w:rsid w:val="00A17A2A"/>
    <w:rsid w:val="00A20013"/>
    <w:rsid w:val="00A203E6"/>
    <w:rsid w:val="00A20582"/>
    <w:rsid w:val="00A20C65"/>
    <w:rsid w:val="00A21556"/>
    <w:rsid w:val="00A21767"/>
    <w:rsid w:val="00A21FD5"/>
    <w:rsid w:val="00A22751"/>
    <w:rsid w:val="00A22940"/>
    <w:rsid w:val="00A229BD"/>
    <w:rsid w:val="00A22B2A"/>
    <w:rsid w:val="00A23102"/>
    <w:rsid w:val="00A232E2"/>
    <w:rsid w:val="00A2343F"/>
    <w:rsid w:val="00A23505"/>
    <w:rsid w:val="00A2428B"/>
    <w:rsid w:val="00A2476B"/>
    <w:rsid w:val="00A247E5"/>
    <w:rsid w:val="00A24D81"/>
    <w:rsid w:val="00A24EA5"/>
    <w:rsid w:val="00A25173"/>
    <w:rsid w:val="00A252F0"/>
    <w:rsid w:val="00A259F2"/>
    <w:rsid w:val="00A25EAF"/>
    <w:rsid w:val="00A26081"/>
    <w:rsid w:val="00A26463"/>
    <w:rsid w:val="00A2660E"/>
    <w:rsid w:val="00A26916"/>
    <w:rsid w:val="00A26B47"/>
    <w:rsid w:val="00A26FF1"/>
    <w:rsid w:val="00A27366"/>
    <w:rsid w:val="00A27806"/>
    <w:rsid w:val="00A3068C"/>
    <w:rsid w:val="00A3127F"/>
    <w:rsid w:val="00A31922"/>
    <w:rsid w:val="00A31BCC"/>
    <w:rsid w:val="00A31C70"/>
    <w:rsid w:val="00A325BB"/>
    <w:rsid w:val="00A3297A"/>
    <w:rsid w:val="00A32A58"/>
    <w:rsid w:val="00A32EEC"/>
    <w:rsid w:val="00A336C5"/>
    <w:rsid w:val="00A33D32"/>
    <w:rsid w:val="00A3470B"/>
    <w:rsid w:val="00A3510A"/>
    <w:rsid w:val="00A3515F"/>
    <w:rsid w:val="00A354B4"/>
    <w:rsid w:val="00A35751"/>
    <w:rsid w:val="00A3577F"/>
    <w:rsid w:val="00A35BBC"/>
    <w:rsid w:val="00A35DAB"/>
    <w:rsid w:val="00A36724"/>
    <w:rsid w:val="00A367AF"/>
    <w:rsid w:val="00A36C13"/>
    <w:rsid w:val="00A371E9"/>
    <w:rsid w:val="00A377C2"/>
    <w:rsid w:val="00A37A31"/>
    <w:rsid w:val="00A37C91"/>
    <w:rsid w:val="00A37E2F"/>
    <w:rsid w:val="00A400C4"/>
    <w:rsid w:val="00A401D5"/>
    <w:rsid w:val="00A40B1F"/>
    <w:rsid w:val="00A40B4D"/>
    <w:rsid w:val="00A40ED0"/>
    <w:rsid w:val="00A411E2"/>
    <w:rsid w:val="00A41373"/>
    <w:rsid w:val="00A41638"/>
    <w:rsid w:val="00A41B15"/>
    <w:rsid w:val="00A4224E"/>
    <w:rsid w:val="00A4229F"/>
    <w:rsid w:val="00A428A9"/>
    <w:rsid w:val="00A42ACA"/>
    <w:rsid w:val="00A43AAB"/>
    <w:rsid w:val="00A43AFE"/>
    <w:rsid w:val="00A4479A"/>
    <w:rsid w:val="00A44AAD"/>
    <w:rsid w:val="00A44F2C"/>
    <w:rsid w:val="00A45047"/>
    <w:rsid w:val="00A45280"/>
    <w:rsid w:val="00A453A0"/>
    <w:rsid w:val="00A45A23"/>
    <w:rsid w:val="00A45BF7"/>
    <w:rsid w:val="00A463B5"/>
    <w:rsid w:val="00A463BA"/>
    <w:rsid w:val="00A46654"/>
    <w:rsid w:val="00A46675"/>
    <w:rsid w:val="00A46DCD"/>
    <w:rsid w:val="00A471A3"/>
    <w:rsid w:val="00A47597"/>
    <w:rsid w:val="00A47E44"/>
    <w:rsid w:val="00A47F91"/>
    <w:rsid w:val="00A507D7"/>
    <w:rsid w:val="00A50A5C"/>
    <w:rsid w:val="00A50BE2"/>
    <w:rsid w:val="00A50CC6"/>
    <w:rsid w:val="00A50E40"/>
    <w:rsid w:val="00A51462"/>
    <w:rsid w:val="00A51946"/>
    <w:rsid w:val="00A51C1F"/>
    <w:rsid w:val="00A51FF7"/>
    <w:rsid w:val="00A52079"/>
    <w:rsid w:val="00A52143"/>
    <w:rsid w:val="00A521E9"/>
    <w:rsid w:val="00A5266D"/>
    <w:rsid w:val="00A5298E"/>
    <w:rsid w:val="00A52B3E"/>
    <w:rsid w:val="00A530D9"/>
    <w:rsid w:val="00A5313B"/>
    <w:rsid w:val="00A5320E"/>
    <w:rsid w:val="00A53F7B"/>
    <w:rsid w:val="00A54090"/>
    <w:rsid w:val="00A54126"/>
    <w:rsid w:val="00A54282"/>
    <w:rsid w:val="00A549D3"/>
    <w:rsid w:val="00A54B57"/>
    <w:rsid w:val="00A54DF0"/>
    <w:rsid w:val="00A551D6"/>
    <w:rsid w:val="00A5748E"/>
    <w:rsid w:val="00A57E98"/>
    <w:rsid w:val="00A60344"/>
    <w:rsid w:val="00A60849"/>
    <w:rsid w:val="00A608EB"/>
    <w:rsid w:val="00A6105B"/>
    <w:rsid w:val="00A61355"/>
    <w:rsid w:val="00A6148C"/>
    <w:rsid w:val="00A61668"/>
    <w:rsid w:val="00A621D3"/>
    <w:rsid w:val="00A62405"/>
    <w:rsid w:val="00A628F8"/>
    <w:rsid w:val="00A62B7A"/>
    <w:rsid w:val="00A632EA"/>
    <w:rsid w:val="00A634BE"/>
    <w:rsid w:val="00A63503"/>
    <w:rsid w:val="00A63AD7"/>
    <w:rsid w:val="00A63BFD"/>
    <w:rsid w:val="00A63E83"/>
    <w:rsid w:val="00A6444A"/>
    <w:rsid w:val="00A6491F"/>
    <w:rsid w:val="00A64C72"/>
    <w:rsid w:val="00A64D1A"/>
    <w:rsid w:val="00A65320"/>
    <w:rsid w:val="00A65BA5"/>
    <w:rsid w:val="00A66152"/>
    <w:rsid w:val="00A66354"/>
    <w:rsid w:val="00A66BD5"/>
    <w:rsid w:val="00A66E37"/>
    <w:rsid w:val="00A66ECF"/>
    <w:rsid w:val="00A67E38"/>
    <w:rsid w:val="00A703E4"/>
    <w:rsid w:val="00A70DC6"/>
    <w:rsid w:val="00A70DE0"/>
    <w:rsid w:val="00A71080"/>
    <w:rsid w:val="00A71986"/>
    <w:rsid w:val="00A71D48"/>
    <w:rsid w:val="00A71E73"/>
    <w:rsid w:val="00A72740"/>
    <w:rsid w:val="00A73A64"/>
    <w:rsid w:val="00A742AD"/>
    <w:rsid w:val="00A746D7"/>
    <w:rsid w:val="00A74AB2"/>
    <w:rsid w:val="00A75A46"/>
    <w:rsid w:val="00A75B36"/>
    <w:rsid w:val="00A75D5F"/>
    <w:rsid w:val="00A7663A"/>
    <w:rsid w:val="00A7696B"/>
    <w:rsid w:val="00A769D4"/>
    <w:rsid w:val="00A7701C"/>
    <w:rsid w:val="00A77835"/>
    <w:rsid w:val="00A77DBA"/>
    <w:rsid w:val="00A80314"/>
    <w:rsid w:val="00A804C7"/>
    <w:rsid w:val="00A807DB"/>
    <w:rsid w:val="00A80857"/>
    <w:rsid w:val="00A80A39"/>
    <w:rsid w:val="00A80DC7"/>
    <w:rsid w:val="00A80DF0"/>
    <w:rsid w:val="00A80E64"/>
    <w:rsid w:val="00A81A16"/>
    <w:rsid w:val="00A823A7"/>
    <w:rsid w:val="00A825C8"/>
    <w:rsid w:val="00A82742"/>
    <w:rsid w:val="00A82EC3"/>
    <w:rsid w:val="00A8319D"/>
    <w:rsid w:val="00A83984"/>
    <w:rsid w:val="00A83A1E"/>
    <w:rsid w:val="00A84198"/>
    <w:rsid w:val="00A841AB"/>
    <w:rsid w:val="00A8446C"/>
    <w:rsid w:val="00A84929"/>
    <w:rsid w:val="00A84CDD"/>
    <w:rsid w:val="00A84FFD"/>
    <w:rsid w:val="00A86104"/>
    <w:rsid w:val="00A8655A"/>
    <w:rsid w:val="00A86B28"/>
    <w:rsid w:val="00A87203"/>
    <w:rsid w:val="00A87744"/>
    <w:rsid w:val="00A87AE6"/>
    <w:rsid w:val="00A87B09"/>
    <w:rsid w:val="00A87C22"/>
    <w:rsid w:val="00A901E4"/>
    <w:rsid w:val="00A90590"/>
    <w:rsid w:val="00A90A97"/>
    <w:rsid w:val="00A90CB4"/>
    <w:rsid w:val="00A910DA"/>
    <w:rsid w:val="00A918D4"/>
    <w:rsid w:val="00A920E1"/>
    <w:rsid w:val="00A933AE"/>
    <w:rsid w:val="00A93591"/>
    <w:rsid w:val="00A93863"/>
    <w:rsid w:val="00A9415E"/>
    <w:rsid w:val="00A9423F"/>
    <w:rsid w:val="00A94EBD"/>
    <w:rsid w:val="00A9510D"/>
    <w:rsid w:val="00A956AC"/>
    <w:rsid w:val="00A95D2A"/>
    <w:rsid w:val="00A96214"/>
    <w:rsid w:val="00A967E8"/>
    <w:rsid w:val="00A96F69"/>
    <w:rsid w:val="00A97F4B"/>
    <w:rsid w:val="00AA0235"/>
    <w:rsid w:val="00AA04C5"/>
    <w:rsid w:val="00AA10B1"/>
    <w:rsid w:val="00AA1D48"/>
    <w:rsid w:val="00AA2803"/>
    <w:rsid w:val="00AA2BF2"/>
    <w:rsid w:val="00AA2D68"/>
    <w:rsid w:val="00AA2D6F"/>
    <w:rsid w:val="00AA314E"/>
    <w:rsid w:val="00AA327C"/>
    <w:rsid w:val="00AA3474"/>
    <w:rsid w:val="00AA3987"/>
    <w:rsid w:val="00AA3B68"/>
    <w:rsid w:val="00AA3E79"/>
    <w:rsid w:val="00AA447C"/>
    <w:rsid w:val="00AA4FB4"/>
    <w:rsid w:val="00AA5C0B"/>
    <w:rsid w:val="00AA5E3B"/>
    <w:rsid w:val="00AA63AD"/>
    <w:rsid w:val="00AA65B4"/>
    <w:rsid w:val="00AA745E"/>
    <w:rsid w:val="00AA7514"/>
    <w:rsid w:val="00AA767A"/>
    <w:rsid w:val="00AB04AB"/>
    <w:rsid w:val="00AB0733"/>
    <w:rsid w:val="00AB09D2"/>
    <w:rsid w:val="00AB0B24"/>
    <w:rsid w:val="00AB0B64"/>
    <w:rsid w:val="00AB0C30"/>
    <w:rsid w:val="00AB176B"/>
    <w:rsid w:val="00AB1A37"/>
    <w:rsid w:val="00AB1C00"/>
    <w:rsid w:val="00AB28DB"/>
    <w:rsid w:val="00AB37E6"/>
    <w:rsid w:val="00AB3D6F"/>
    <w:rsid w:val="00AB3DBA"/>
    <w:rsid w:val="00AB401B"/>
    <w:rsid w:val="00AB431C"/>
    <w:rsid w:val="00AB470E"/>
    <w:rsid w:val="00AB57F3"/>
    <w:rsid w:val="00AB5A7E"/>
    <w:rsid w:val="00AB6A16"/>
    <w:rsid w:val="00AB7538"/>
    <w:rsid w:val="00AB77F3"/>
    <w:rsid w:val="00AB7C4F"/>
    <w:rsid w:val="00AB7D2C"/>
    <w:rsid w:val="00AC0AAD"/>
    <w:rsid w:val="00AC1231"/>
    <w:rsid w:val="00AC15CE"/>
    <w:rsid w:val="00AC1992"/>
    <w:rsid w:val="00AC1E14"/>
    <w:rsid w:val="00AC25B5"/>
    <w:rsid w:val="00AC2CFA"/>
    <w:rsid w:val="00AC2F27"/>
    <w:rsid w:val="00AC3263"/>
    <w:rsid w:val="00AC32FF"/>
    <w:rsid w:val="00AC3E12"/>
    <w:rsid w:val="00AC3E5E"/>
    <w:rsid w:val="00AC406E"/>
    <w:rsid w:val="00AC4203"/>
    <w:rsid w:val="00AC430C"/>
    <w:rsid w:val="00AC4A6B"/>
    <w:rsid w:val="00AC5C19"/>
    <w:rsid w:val="00AC60F0"/>
    <w:rsid w:val="00AC6657"/>
    <w:rsid w:val="00AC6D7A"/>
    <w:rsid w:val="00AC72B0"/>
    <w:rsid w:val="00AC7363"/>
    <w:rsid w:val="00AC7401"/>
    <w:rsid w:val="00AC7901"/>
    <w:rsid w:val="00AC79F3"/>
    <w:rsid w:val="00AC7FDD"/>
    <w:rsid w:val="00AD0949"/>
    <w:rsid w:val="00AD0993"/>
    <w:rsid w:val="00AD0F1D"/>
    <w:rsid w:val="00AD1037"/>
    <w:rsid w:val="00AD1179"/>
    <w:rsid w:val="00AD1359"/>
    <w:rsid w:val="00AD14F9"/>
    <w:rsid w:val="00AD19F0"/>
    <w:rsid w:val="00AD1FCE"/>
    <w:rsid w:val="00AD26E1"/>
    <w:rsid w:val="00AD29CC"/>
    <w:rsid w:val="00AD3268"/>
    <w:rsid w:val="00AD3DE2"/>
    <w:rsid w:val="00AD4261"/>
    <w:rsid w:val="00AD42D2"/>
    <w:rsid w:val="00AD46F5"/>
    <w:rsid w:val="00AD4A34"/>
    <w:rsid w:val="00AD51A3"/>
    <w:rsid w:val="00AD551A"/>
    <w:rsid w:val="00AD598B"/>
    <w:rsid w:val="00AD7154"/>
    <w:rsid w:val="00AD797D"/>
    <w:rsid w:val="00AD7E02"/>
    <w:rsid w:val="00AE014A"/>
    <w:rsid w:val="00AE0483"/>
    <w:rsid w:val="00AE08DD"/>
    <w:rsid w:val="00AE13BD"/>
    <w:rsid w:val="00AE1AF9"/>
    <w:rsid w:val="00AE1D59"/>
    <w:rsid w:val="00AE1E60"/>
    <w:rsid w:val="00AE2068"/>
    <w:rsid w:val="00AE2258"/>
    <w:rsid w:val="00AE277E"/>
    <w:rsid w:val="00AE2A36"/>
    <w:rsid w:val="00AE2BC6"/>
    <w:rsid w:val="00AE3251"/>
    <w:rsid w:val="00AE3FE0"/>
    <w:rsid w:val="00AE4025"/>
    <w:rsid w:val="00AE41AB"/>
    <w:rsid w:val="00AE44A2"/>
    <w:rsid w:val="00AE44FA"/>
    <w:rsid w:val="00AE4F0E"/>
    <w:rsid w:val="00AE5058"/>
    <w:rsid w:val="00AE51CD"/>
    <w:rsid w:val="00AE5471"/>
    <w:rsid w:val="00AE54AA"/>
    <w:rsid w:val="00AE599E"/>
    <w:rsid w:val="00AE60E4"/>
    <w:rsid w:val="00AE6872"/>
    <w:rsid w:val="00AE6C58"/>
    <w:rsid w:val="00AE72C4"/>
    <w:rsid w:val="00AE7F05"/>
    <w:rsid w:val="00AE7F38"/>
    <w:rsid w:val="00AF054D"/>
    <w:rsid w:val="00AF0939"/>
    <w:rsid w:val="00AF0F26"/>
    <w:rsid w:val="00AF1302"/>
    <w:rsid w:val="00AF1813"/>
    <w:rsid w:val="00AF24E7"/>
    <w:rsid w:val="00AF272B"/>
    <w:rsid w:val="00AF291B"/>
    <w:rsid w:val="00AF2DAA"/>
    <w:rsid w:val="00AF2EBD"/>
    <w:rsid w:val="00AF33AE"/>
    <w:rsid w:val="00AF33D7"/>
    <w:rsid w:val="00AF44B1"/>
    <w:rsid w:val="00AF5800"/>
    <w:rsid w:val="00AF6986"/>
    <w:rsid w:val="00AF6D1B"/>
    <w:rsid w:val="00AF73ED"/>
    <w:rsid w:val="00AF796B"/>
    <w:rsid w:val="00AF7D69"/>
    <w:rsid w:val="00AF7ED2"/>
    <w:rsid w:val="00B004D8"/>
    <w:rsid w:val="00B00830"/>
    <w:rsid w:val="00B00AD5"/>
    <w:rsid w:val="00B00CC5"/>
    <w:rsid w:val="00B016D2"/>
    <w:rsid w:val="00B02091"/>
    <w:rsid w:val="00B02B43"/>
    <w:rsid w:val="00B02BCB"/>
    <w:rsid w:val="00B03D36"/>
    <w:rsid w:val="00B04540"/>
    <w:rsid w:val="00B05116"/>
    <w:rsid w:val="00B051A7"/>
    <w:rsid w:val="00B05F03"/>
    <w:rsid w:val="00B05F1A"/>
    <w:rsid w:val="00B0785E"/>
    <w:rsid w:val="00B07B33"/>
    <w:rsid w:val="00B07FA2"/>
    <w:rsid w:val="00B100CF"/>
    <w:rsid w:val="00B10E82"/>
    <w:rsid w:val="00B111A6"/>
    <w:rsid w:val="00B115E5"/>
    <w:rsid w:val="00B118EE"/>
    <w:rsid w:val="00B11B03"/>
    <w:rsid w:val="00B11C5B"/>
    <w:rsid w:val="00B121CD"/>
    <w:rsid w:val="00B12343"/>
    <w:rsid w:val="00B12529"/>
    <w:rsid w:val="00B128C5"/>
    <w:rsid w:val="00B12ABC"/>
    <w:rsid w:val="00B12B11"/>
    <w:rsid w:val="00B12C94"/>
    <w:rsid w:val="00B135AB"/>
    <w:rsid w:val="00B137BF"/>
    <w:rsid w:val="00B13A1B"/>
    <w:rsid w:val="00B142D9"/>
    <w:rsid w:val="00B14AE9"/>
    <w:rsid w:val="00B14BC4"/>
    <w:rsid w:val="00B15001"/>
    <w:rsid w:val="00B15309"/>
    <w:rsid w:val="00B1586E"/>
    <w:rsid w:val="00B158A3"/>
    <w:rsid w:val="00B15B25"/>
    <w:rsid w:val="00B15EA0"/>
    <w:rsid w:val="00B16467"/>
    <w:rsid w:val="00B165B0"/>
    <w:rsid w:val="00B171C1"/>
    <w:rsid w:val="00B17315"/>
    <w:rsid w:val="00B17A4E"/>
    <w:rsid w:val="00B17B30"/>
    <w:rsid w:val="00B17C2F"/>
    <w:rsid w:val="00B2153E"/>
    <w:rsid w:val="00B21FA7"/>
    <w:rsid w:val="00B22022"/>
    <w:rsid w:val="00B225E4"/>
    <w:rsid w:val="00B23F7A"/>
    <w:rsid w:val="00B240B1"/>
    <w:rsid w:val="00B241AC"/>
    <w:rsid w:val="00B24208"/>
    <w:rsid w:val="00B24728"/>
    <w:rsid w:val="00B248A9"/>
    <w:rsid w:val="00B24D28"/>
    <w:rsid w:val="00B24F1C"/>
    <w:rsid w:val="00B24FA0"/>
    <w:rsid w:val="00B25890"/>
    <w:rsid w:val="00B25D76"/>
    <w:rsid w:val="00B2662B"/>
    <w:rsid w:val="00B27032"/>
    <w:rsid w:val="00B27344"/>
    <w:rsid w:val="00B30003"/>
    <w:rsid w:val="00B31201"/>
    <w:rsid w:val="00B31622"/>
    <w:rsid w:val="00B31B4B"/>
    <w:rsid w:val="00B31CD5"/>
    <w:rsid w:val="00B31E36"/>
    <w:rsid w:val="00B32E26"/>
    <w:rsid w:val="00B338B7"/>
    <w:rsid w:val="00B34061"/>
    <w:rsid w:val="00B3440A"/>
    <w:rsid w:val="00B34441"/>
    <w:rsid w:val="00B349DC"/>
    <w:rsid w:val="00B3535B"/>
    <w:rsid w:val="00B35534"/>
    <w:rsid w:val="00B35A87"/>
    <w:rsid w:val="00B35AFD"/>
    <w:rsid w:val="00B35F9A"/>
    <w:rsid w:val="00B36236"/>
    <w:rsid w:val="00B3639B"/>
    <w:rsid w:val="00B3662E"/>
    <w:rsid w:val="00B366D2"/>
    <w:rsid w:val="00B366FA"/>
    <w:rsid w:val="00B36E86"/>
    <w:rsid w:val="00B379BA"/>
    <w:rsid w:val="00B412FD"/>
    <w:rsid w:val="00B42098"/>
    <w:rsid w:val="00B422BE"/>
    <w:rsid w:val="00B4241D"/>
    <w:rsid w:val="00B4252D"/>
    <w:rsid w:val="00B426BB"/>
    <w:rsid w:val="00B42EB9"/>
    <w:rsid w:val="00B434E9"/>
    <w:rsid w:val="00B441FE"/>
    <w:rsid w:val="00B442AD"/>
    <w:rsid w:val="00B44821"/>
    <w:rsid w:val="00B44AD3"/>
    <w:rsid w:val="00B45152"/>
    <w:rsid w:val="00B45E54"/>
    <w:rsid w:val="00B464E4"/>
    <w:rsid w:val="00B465E8"/>
    <w:rsid w:val="00B4682E"/>
    <w:rsid w:val="00B4689A"/>
    <w:rsid w:val="00B46986"/>
    <w:rsid w:val="00B46C24"/>
    <w:rsid w:val="00B46D5F"/>
    <w:rsid w:val="00B46E7B"/>
    <w:rsid w:val="00B47DC5"/>
    <w:rsid w:val="00B505B3"/>
    <w:rsid w:val="00B50A74"/>
    <w:rsid w:val="00B520A0"/>
    <w:rsid w:val="00B5257E"/>
    <w:rsid w:val="00B525CE"/>
    <w:rsid w:val="00B52CFD"/>
    <w:rsid w:val="00B52F7F"/>
    <w:rsid w:val="00B53EBA"/>
    <w:rsid w:val="00B545A8"/>
    <w:rsid w:val="00B54A73"/>
    <w:rsid w:val="00B556C2"/>
    <w:rsid w:val="00B56527"/>
    <w:rsid w:val="00B56E88"/>
    <w:rsid w:val="00B576DA"/>
    <w:rsid w:val="00B57710"/>
    <w:rsid w:val="00B57ABF"/>
    <w:rsid w:val="00B601C9"/>
    <w:rsid w:val="00B60D04"/>
    <w:rsid w:val="00B6136D"/>
    <w:rsid w:val="00B61464"/>
    <w:rsid w:val="00B6189C"/>
    <w:rsid w:val="00B61EE8"/>
    <w:rsid w:val="00B6280C"/>
    <w:rsid w:val="00B62F8D"/>
    <w:rsid w:val="00B631F0"/>
    <w:rsid w:val="00B633A3"/>
    <w:rsid w:val="00B63533"/>
    <w:rsid w:val="00B63AD7"/>
    <w:rsid w:val="00B63BDB"/>
    <w:rsid w:val="00B645D9"/>
    <w:rsid w:val="00B6479E"/>
    <w:rsid w:val="00B64A0E"/>
    <w:rsid w:val="00B64CC6"/>
    <w:rsid w:val="00B64DDF"/>
    <w:rsid w:val="00B65728"/>
    <w:rsid w:val="00B6601E"/>
    <w:rsid w:val="00B663AA"/>
    <w:rsid w:val="00B66DD5"/>
    <w:rsid w:val="00B67B97"/>
    <w:rsid w:val="00B67F01"/>
    <w:rsid w:val="00B711AB"/>
    <w:rsid w:val="00B714F0"/>
    <w:rsid w:val="00B71A40"/>
    <w:rsid w:val="00B71C8C"/>
    <w:rsid w:val="00B71CB4"/>
    <w:rsid w:val="00B71FD7"/>
    <w:rsid w:val="00B7210F"/>
    <w:rsid w:val="00B725E7"/>
    <w:rsid w:val="00B72C07"/>
    <w:rsid w:val="00B72DF7"/>
    <w:rsid w:val="00B72F42"/>
    <w:rsid w:val="00B73627"/>
    <w:rsid w:val="00B73E44"/>
    <w:rsid w:val="00B74290"/>
    <w:rsid w:val="00B74510"/>
    <w:rsid w:val="00B74BD4"/>
    <w:rsid w:val="00B74BF7"/>
    <w:rsid w:val="00B74E30"/>
    <w:rsid w:val="00B74EDB"/>
    <w:rsid w:val="00B76185"/>
    <w:rsid w:val="00B76428"/>
    <w:rsid w:val="00B7676C"/>
    <w:rsid w:val="00B76BCD"/>
    <w:rsid w:val="00B76FBC"/>
    <w:rsid w:val="00B7782B"/>
    <w:rsid w:val="00B77894"/>
    <w:rsid w:val="00B779E6"/>
    <w:rsid w:val="00B804E2"/>
    <w:rsid w:val="00B811B2"/>
    <w:rsid w:val="00B81D52"/>
    <w:rsid w:val="00B82024"/>
    <w:rsid w:val="00B8276E"/>
    <w:rsid w:val="00B82FA2"/>
    <w:rsid w:val="00B83997"/>
    <w:rsid w:val="00B83A62"/>
    <w:rsid w:val="00B83B59"/>
    <w:rsid w:val="00B84252"/>
    <w:rsid w:val="00B8468F"/>
    <w:rsid w:val="00B84FC6"/>
    <w:rsid w:val="00B850AA"/>
    <w:rsid w:val="00B857F5"/>
    <w:rsid w:val="00B86D6C"/>
    <w:rsid w:val="00B86F47"/>
    <w:rsid w:val="00B874B4"/>
    <w:rsid w:val="00B875E9"/>
    <w:rsid w:val="00B8787A"/>
    <w:rsid w:val="00B87887"/>
    <w:rsid w:val="00B90123"/>
    <w:rsid w:val="00B90196"/>
    <w:rsid w:val="00B9057E"/>
    <w:rsid w:val="00B911C1"/>
    <w:rsid w:val="00B91EA5"/>
    <w:rsid w:val="00B92008"/>
    <w:rsid w:val="00B922C3"/>
    <w:rsid w:val="00B9272E"/>
    <w:rsid w:val="00B927A7"/>
    <w:rsid w:val="00B92B9E"/>
    <w:rsid w:val="00B93315"/>
    <w:rsid w:val="00B93519"/>
    <w:rsid w:val="00B9372A"/>
    <w:rsid w:val="00B9425C"/>
    <w:rsid w:val="00B94AAF"/>
    <w:rsid w:val="00B953FF"/>
    <w:rsid w:val="00B9622D"/>
    <w:rsid w:val="00B96263"/>
    <w:rsid w:val="00B968A5"/>
    <w:rsid w:val="00B972CD"/>
    <w:rsid w:val="00B97B07"/>
    <w:rsid w:val="00B97D02"/>
    <w:rsid w:val="00BA0304"/>
    <w:rsid w:val="00BA0557"/>
    <w:rsid w:val="00BA083F"/>
    <w:rsid w:val="00BA2022"/>
    <w:rsid w:val="00BA3038"/>
    <w:rsid w:val="00BA370A"/>
    <w:rsid w:val="00BA4712"/>
    <w:rsid w:val="00BA48BC"/>
    <w:rsid w:val="00BA4A29"/>
    <w:rsid w:val="00BA4BE7"/>
    <w:rsid w:val="00BA592B"/>
    <w:rsid w:val="00BA5F20"/>
    <w:rsid w:val="00BA5FCF"/>
    <w:rsid w:val="00BA61BC"/>
    <w:rsid w:val="00BA68D9"/>
    <w:rsid w:val="00BA7172"/>
    <w:rsid w:val="00BA7B01"/>
    <w:rsid w:val="00BB02D7"/>
    <w:rsid w:val="00BB05A4"/>
    <w:rsid w:val="00BB0A29"/>
    <w:rsid w:val="00BB0D9F"/>
    <w:rsid w:val="00BB0DEE"/>
    <w:rsid w:val="00BB1031"/>
    <w:rsid w:val="00BB1120"/>
    <w:rsid w:val="00BB1B33"/>
    <w:rsid w:val="00BB2402"/>
    <w:rsid w:val="00BB2480"/>
    <w:rsid w:val="00BB25E9"/>
    <w:rsid w:val="00BB2C4E"/>
    <w:rsid w:val="00BB2E29"/>
    <w:rsid w:val="00BB2F74"/>
    <w:rsid w:val="00BB3206"/>
    <w:rsid w:val="00BB32C2"/>
    <w:rsid w:val="00BB3B0D"/>
    <w:rsid w:val="00BB4545"/>
    <w:rsid w:val="00BB524C"/>
    <w:rsid w:val="00BB548E"/>
    <w:rsid w:val="00BB5DAB"/>
    <w:rsid w:val="00BB6195"/>
    <w:rsid w:val="00BB61A3"/>
    <w:rsid w:val="00BB707E"/>
    <w:rsid w:val="00BB7568"/>
    <w:rsid w:val="00BB7C90"/>
    <w:rsid w:val="00BB7F82"/>
    <w:rsid w:val="00BC007C"/>
    <w:rsid w:val="00BC0949"/>
    <w:rsid w:val="00BC0AB2"/>
    <w:rsid w:val="00BC0B4A"/>
    <w:rsid w:val="00BC119D"/>
    <w:rsid w:val="00BC1236"/>
    <w:rsid w:val="00BC1308"/>
    <w:rsid w:val="00BC138D"/>
    <w:rsid w:val="00BC1BF4"/>
    <w:rsid w:val="00BC2600"/>
    <w:rsid w:val="00BC2F24"/>
    <w:rsid w:val="00BC32E1"/>
    <w:rsid w:val="00BC33BE"/>
    <w:rsid w:val="00BC3A47"/>
    <w:rsid w:val="00BC3EEB"/>
    <w:rsid w:val="00BC4780"/>
    <w:rsid w:val="00BC4F46"/>
    <w:rsid w:val="00BC52C8"/>
    <w:rsid w:val="00BC5485"/>
    <w:rsid w:val="00BC549C"/>
    <w:rsid w:val="00BC570E"/>
    <w:rsid w:val="00BC5A6C"/>
    <w:rsid w:val="00BC5AF6"/>
    <w:rsid w:val="00BC5B4B"/>
    <w:rsid w:val="00BC5EDB"/>
    <w:rsid w:val="00BC69A2"/>
    <w:rsid w:val="00BC6ED6"/>
    <w:rsid w:val="00BC6F03"/>
    <w:rsid w:val="00BC6FA1"/>
    <w:rsid w:val="00BC7339"/>
    <w:rsid w:val="00BD0570"/>
    <w:rsid w:val="00BD0853"/>
    <w:rsid w:val="00BD10F2"/>
    <w:rsid w:val="00BD112D"/>
    <w:rsid w:val="00BD214E"/>
    <w:rsid w:val="00BD2395"/>
    <w:rsid w:val="00BD25B8"/>
    <w:rsid w:val="00BD2725"/>
    <w:rsid w:val="00BD2842"/>
    <w:rsid w:val="00BD3120"/>
    <w:rsid w:val="00BD3354"/>
    <w:rsid w:val="00BD384E"/>
    <w:rsid w:val="00BD38BF"/>
    <w:rsid w:val="00BD3E76"/>
    <w:rsid w:val="00BD3EE2"/>
    <w:rsid w:val="00BD3FCF"/>
    <w:rsid w:val="00BD42D2"/>
    <w:rsid w:val="00BD42D5"/>
    <w:rsid w:val="00BD47D7"/>
    <w:rsid w:val="00BD4BF4"/>
    <w:rsid w:val="00BD4EFB"/>
    <w:rsid w:val="00BD5076"/>
    <w:rsid w:val="00BD5551"/>
    <w:rsid w:val="00BD6D43"/>
    <w:rsid w:val="00BD7090"/>
    <w:rsid w:val="00BD7490"/>
    <w:rsid w:val="00BD767F"/>
    <w:rsid w:val="00BD772A"/>
    <w:rsid w:val="00BD79B3"/>
    <w:rsid w:val="00BD7D1B"/>
    <w:rsid w:val="00BE09C3"/>
    <w:rsid w:val="00BE0C27"/>
    <w:rsid w:val="00BE15BB"/>
    <w:rsid w:val="00BE198F"/>
    <w:rsid w:val="00BE2D1B"/>
    <w:rsid w:val="00BE2E7C"/>
    <w:rsid w:val="00BE473E"/>
    <w:rsid w:val="00BE5964"/>
    <w:rsid w:val="00BE59A7"/>
    <w:rsid w:val="00BE5BD0"/>
    <w:rsid w:val="00BE660B"/>
    <w:rsid w:val="00BE6AFE"/>
    <w:rsid w:val="00BE6BBE"/>
    <w:rsid w:val="00BE7021"/>
    <w:rsid w:val="00BE7141"/>
    <w:rsid w:val="00BE7300"/>
    <w:rsid w:val="00BE784F"/>
    <w:rsid w:val="00BE796E"/>
    <w:rsid w:val="00BF0238"/>
    <w:rsid w:val="00BF0717"/>
    <w:rsid w:val="00BF071D"/>
    <w:rsid w:val="00BF1750"/>
    <w:rsid w:val="00BF178E"/>
    <w:rsid w:val="00BF189F"/>
    <w:rsid w:val="00BF1B44"/>
    <w:rsid w:val="00BF1F01"/>
    <w:rsid w:val="00BF23CC"/>
    <w:rsid w:val="00BF243F"/>
    <w:rsid w:val="00BF4488"/>
    <w:rsid w:val="00BF4BE7"/>
    <w:rsid w:val="00BF4C2B"/>
    <w:rsid w:val="00BF507A"/>
    <w:rsid w:val="00BF53F1"/>
    <w:rsid w:val="00BF5717"/>
    <w:rsid w:val="00BF5B9D"/>
    <w:rsid w:val="00BF5FA3"/>
    <w:rsid w:val="00BF62F2"/>
    <w:rsid w:val="00BF63A5"/>
    <w:rsid w:val="00BF72A7"/>
    <w:rsid w:val="00BF7558"/>
    <w:rsid w:val="00BF7BF4"/>
    <w:rsid w:val="00C002BD"/>
    <w:rsid w:val="00C0111E"/>
    <w:rsid w:val="00C02676"/>
    <w:rsid w:val="00C029AB"/>
    <w:rsid w:val="00C03BD5"/>
    <w:rsid w:val="00C03C8B"/>
    <w:rsid w:val="00C03F3C"/>
    <w:rsid w:val="00C049BE"/>
    <w:rsid w:val="00C04A71"/>
    <w:rsid w:val="00C04DF0"/>
    <w:rsid w:val="00C05A4C"/>
    <w:rsid w:val="00C05A67"/>
    <w:rsid w:val="00C06726"/>
    <w:rsid w:val="00C073E0"/>
    <w:rsid w:val="00C0754A"/>
    <w:rsid w:val="00C10A43"/>
    <w:rsid w:val="00C11113"/>
    <w:rsid w:val="00C11687"/>
    <w:rsid w:val="00C11E28"/>
    <w:rsid w:val="00C120B3"/>
    <w:rsid w:val="00C1225B"/>
    <w:rsid w:val="00C122F9"/>
    <w:rsid w:val="00C1253A"/>
    <w:rsid w:val="00C128C9"/>
    <w:rsid w:val="00C12CF3"/>
    <w:rsid w:val="00C12F88"/>
    <w:rsid w:val="00C131A8"/>
    <w:rsid w:val="00C1322D"/>
    <w:rsid w:val="00C1331C"/>
    <w:rsid w:val="00C135A3"/>
    <w:rsid w:val="00C14110"/>
    <w:rsid w:val="00C1477A"/>
    <w:rsid w:val="00C14A62"/>
    <w:rsid w:val="00C158EB"/>
    <w:rsid w:val="00C159B1"/>
    <w:rsid w:val="00C161F5"/>
    <w:rsid w:val="00C16724"/>
    <w:rsid w:val="00C16C92"/>
    <w:rsid w:val="00C1706B"/>
    <w:rsid w:val="00C170C6"/>
    <w:rsid w:val="00C17648"/>
    <w:rsid w:val="00C17709"/>
    <w:rsid w:val="00C17DB7"/>
    <w:rsid w:val="00C17E48"/>
    <w:rsid w:val="00C17FF5"/>
    <w:rsid w:val="00C201E7"/>
    <w:rsid w:val="00C20694"/>
    <w:rsid w:val="00C20AA2"/>
    <w:rsid w:val="00C20B91"/>
    <w:rsid w:val="00C21155"/>
    <w:rsid w:val="00C2146C"/>
    <w:rsid w:val="00C214D7"/>
    <w:rsid w:val="00C2155D"/>
    <w:rsid w:val="00C21561"/>
    <w:rsid w:val="00C217EE"/>
    <w:rsid w:val="00C21DAA"/>
    <w:rsid w:val="00C22784"/>
    <w:rsid w:val="00C227D6"/>
    <w:rsid w:val="00C23A4C"/>
    <w:rsid w:val="00C23DAC"/>
    <w:rsid w:val="00C2419D"/>
    <w:rsid w:val="00C24225"/>
    <w:rsid w:val="00C243A4"/>
    <w:rsid w:val="00C24416"/>
    <w:rsid w:val="00C248DB"/>
    <w:rsid w:val="00C26168"/>
    <w:rsid w:val="00C26170"/>
    <w:rsid w:val="00C26B5A"/>
    <w:rsid w:val="00C26D52"/>
    <w:rsid w:val="00C303E4"/>
    <w:rsid w:val="00C30775"/>
    <w:rsid w:val="00C30B8D"/>
    <w:rsid w:val="00C3134E"/>
    <w:rsid w:val="00C315D8"/>
    <w:rsid w:val="00C31C4A"/>
    <w:rsid w:val="00C31D2D"/>
    <w:rsid w:val="00C32639"/>
    <w:rsid w:val="00C32AD2"/>
    <w:rsid w:val="00C32EBD"/>
    <w:rsid w:val="00C34193"/>
    <w:rsid w:val="00C3460C"/>
    <w:rsid w:val="00C347FD"/>
    <w:rsid w:val="00C34C30"/>
    <w:rsid w:val="00C34DAE"/>
    <w:rsid w:val="00C34E1E"/>
    <w:rsid w:val="00C34E5A"/>
    <w:rsid w:val="00C36219"/>
    <w:rsid w:val="00C3698E"/>
    <w:rsid w:val="00C36CCA"/>
    <w:rsid w:val="00C36E1C"/>
    <w:rsid w:val="00C36F42"/>
    <w:rsid w:val="00C3718A"/>
    <w:rsid w:val="00C379C5"/>
    <w:rsid w:val="00C37CF6"/>
    <w:rsid w:val="00C37EEE"/>
    <w:rsid w:val="00C40453"/>
    <w:rsid w:val="00C40E71"/>
    <w:rsid w:val="00C41879"/>
    <w:rsid w:val="00C41A7C"/>
    <w:rsid w:val="00C42839"/>
    <w:rsid w:val="00C42CEF"/>
    <w:rsid w:val="00C42D55"/>
    <w:rsid w:val="00C42EFE"/>
    <w:rsid w:val="00C43080"/>
    <w:rsid w:val="00C4337B"/>
    <w:rsid w:val="00C4370E"/>
    <w:rsid w:val="00C43823"/>
    <w:rsid w:val="00C4384B"/>
    <w:rsid w:val="00C4393C"/>
    <w:rsid w:val="00C44063"/>
    <w:rsid w:val="00C44068"/>
    <w:rsid w:val="00C442AE"/>
    <w:rsid w:val="00C4518B"/>
    <w:rsid w:val="00C45780"/>
    <w:rsid w:val="00C458D6"/>
    <w:rsid w:val="00C46268"/>
    <w:rsid w:val="00C4655A"/>
    <w:rsid w:val="00C466BF"/>
    <w:rsid w:val="00C46E40"/>
    <w:rsid w:val="00C47385"/>
    <w:rsid w:val="00C47555"/>
    <w:rsid w:val="00C476AC"/>
    <w:rsid w:val="00C47ACC"/>
    <w:rsid w:val="00C47E67"/>
    <w:rsid w:val="00C47FD9"/>
    <w:rsid w:val="00C5090D"/>
    <w:rsid w:val="00C50C1A"/>
    <w:rsid w:val="00C51508"/>
    <w:rsid w:val="00C51D73"/>
    <w:rsid w:val="00C52A05"/>
    <w:rsid w:val="00C52E10"/>
    <w:rsid w:val="00C52E97"/>
    <w:rsid w:val="00C52EAF"/>
    <w:rsid w:val="00C53189"/>
    <w:rsid w:val="00C534E5"/>
    <w:rsid w:val="00C534F4"/>
    <w:rsid w:val="00C5375B"/>
    <w:rsid w:val="00C53B15"/>
    <w:rsid w:val="00C53DA9"/>
    <w:rsid w:val="00C53EF7"/>
    <w:rsid w:val="00C540FB"/>
    <w:rsid w:val="00C54280"/>
    <w:rsid w:val="00C54929"/>
    <w:rsid w:val="00C54979"/>
    <w:rsid w:val="00C54C25"/>
    <w:rsid w:val="00C54E72"/>
    <w:rsid w:val="00C55261"/>
    <w:rsid w:val="00C556B1"/>
    <w:rsid w:val="00C55A05"/>
    <w:rsid w:val="00C56101"/>
    <w:rsid w:val="00C5659A"/>
    <w:rsid w:val="00C565F2"/>
    <w:rsid w:val="00C56C45"/>
    <w:rsid w:val="00C56C98"/>
    <w:rsid w:val="00C573CC"/>
    <w:rsid w:val="00C57A00"/>
    <w:rsid w:val="00C57B81"/>
    <w:rsid w:val="00C57FB9"/>
    <w:rsid w:val="00C6077B"/>
    <w:rsid w:val="00C60950"/>
    <w:rsid w:val="00C60DD1"/>
    <w:rsid w:val="00C60F7A"/>
    <w:rsid w:val="00C61565"/>
    <w:rsid w:val="00C61574"/>
    <w:rsid w:val="00C615B4"/>
    <w:rsid w:val="00C61765"/>
    <w:rsid w:val="00C6211D"/>
    <w:rsid w:val="00C62B32"/>
    <w:rsid w:val="00C63DED"/>
    <w:rsid w:val="00C63E88"/>
    <w:rsid w:val="00C64F97"/>
    <w:rsid w:val="00C65585"/>
    <w:rsid w:val="00C656EB"/>
    <w:rsid w:val="00C65B57"/>
    <w:rsid w:val="00C65C5A"/>
    <w:rsid w:val="00C65D7B"/>
    <w:rsid w:val="00C65DF4"/>
    <w:rsid w:val="00C65EE6"/>
    <w:rsid w:val="00C6704F"/>
    <w:rsid w:val="00C67B49"/>
    <w:rsid w:val="00C711F5"/>
    <w:rsid w:val="00C713A1"/>
    <w:rsid w:val="00C71828"/>
    <w:rsid w:val="00C72105"/>
    <w:rsid w:val="00C72BCE"/>
    <w:rsid w:val="00C74954"/>
    <w:rsid w:val="00C76028"/>
    <w:rsid w:val="00C76184"/>
    <w:rsid w:val="00C7673D"/>
    <w:rsid w:val="00C76A80"/>
    <w:rsid w:val="00C76C27"/>
    <w:rsid w:val="00C76E08"/>
    <w:rsid w:val="00C76E44"/>
    <w:rsid w:val="00C76F07"/>
    <w:rsid w:val="00C77EF6"/>
    <w:rsid w:val="00C8058E"/>
    <w:rsid w:val="00C80B4B"/>
    <w:rsid w:val="00C80D63"/>
    <w:rsid w:val="00C8102E"/>
    <w:rsid w:val="00C812D5"/>
    <w:rsid w:val="00C81BEA"/>
    <w:rsid w:val="00C81DF5"/>
    <w:rsid w:val="00C82188"/>
    <w:rsid w:val="00C8242B"/>
    <w:rsid w:val="00C82A50"/>
    <w:rsid w:val="00C82F41"/>
    <w:rsid w:val="00C83240"/>
    <w:rsid w:val="00C832E7"/>
    <w:rsid w:val="00C83381"/>
    <w:rsid w:val="00C83607"/>
    <w:rsid w:val="00C83768"/>
    <w:rsid w:val="00C83B18"/>
    <w:rsid w:val="00C840C3"/>
    <w:rsid w:val="00C841B4"/>
    <w:rsid w:val="00C84266"/>
    <w:rsid w:val="00C849E0"/>
    <w:rsid w:val="00C84B74"/>
    <w:rsid w:val="00C8512A"/>
    <w:rsid w:val="00C85970"/>
    <w:rsid w:val="00C85E9B"/>
    <w:rsid w:val="00C871F8"/>
    <w:rsid w:val="00C874C8"/>
    <w:rsid w:val="00C90165"/>
    <w:rsid w:val="00C90733"/>
    <w:rsid w:val="00C921C4"/>
    <w:rsid w:val="00C9235F"/>
    <w:rsid w:val="00C9257F"/>
    <w:rsid w:val="00C9319C"/>
    <w:rsid w:val="00C934F6"/>
    <w:rsid w:val="00C93874"/>
    <w:rsid w:val="00C93A4C"/>
    <w:rsid w:val="00C94219"/>
    <w:rsid w:val="00C94FD2"/>
    <w:rsid w:val="00C95341"/>
    <w:rsid w:val="00C95633"/>
    <w:rsid w:val="00C95B76"/>
    <w:rsid w:val="00C95D50"/>
    <w:rsid w:val="00C962D5"/>
    <w:rsid w:val="00C963F5"/>
    <w:rsid w:val="00C964C3"/>
    <w:rsid w:val="00C96635"/>
    <w:rsid w:val="00C966B7"/>
    <w:rsid w:val="00C969DB"/>
    <w:rsid w:val="00C97A4A"/>
    <w:rsid w:val="00C97DC9"/>
    <w:rsid w:val="00C97EE3"/>
    <w:rsid w:val="00CA12BA"/>
    <w:rsid w:val="00CA165C"/>
    <w:rsid w:val="00CA1B4C"/>
    <w:rsid w:val="00CA1C0D"/>
    <w:rsid w:val="00CA1DAE"/>
    <w:rsid w:val="00CA2267"/>
    <w:rsid w:val="00CA38AD"/>
    <w:rsid w:val="00CA5098"/>
    <w:rsid w:val="00CA5503"/>
    <w:rsid w:val="00CA55C3"/>
    <w:rsid w:val="00CA58F1"/>
    <w:rsid w:val="00CA66C3"/>
    <w:rsid w:val="00CA6CAD"/>
    <w:rsid w:val="00CA70A8"/>
    <w:rsid w:val="00CA70D0"/>
    <w:rsid w:val="00CA74A4"/>
    <w:rsid w:val="00CA7683"/>
    <w:rsid w:val="00CA7EA1"/>
    <w:rsid w:val="00CA7EEB"/>
    <w:rsid w:val="00CB009B"/>
    <w:rsid w:val="00CB0231"/>
    <w:rsid w:val="00CB0838"/>
    <w:rsid w:val="00CB13E4"/>
    <w:rsid w:val="00CB168D"/>
    <w:rsid w:val="00CB1AFD"/>
    <w:rsid w:val="00CB1EB3"/>
    <w:rsid w:val="00CB2126"/>
    <w:rsid w:val="00CB24AD"/>
    <w:rsid w:val="00CB2C59"/>
    <w:rsid w:val="00CB2D9C"/>
    <w:rsid w:val="00CB34AB"/>
    <w:rsid w:val="00CB3529"/>
    <w:rsid w:val="00CB38A9"/>
    <w:rsid w:val="00CB4157"/>
    <w:rsid w:val="00CB4728"/>
    <w:rsid w:val="00CB4C62"/>
    <w:rsid w:val="00CB59E7"/>
    <w:rsid w:val="00CB5E4A"/>
    <w:rsid w:val="00CB6978"/>
    <w:rsid w:val="00CB6FCA"/>
    <w:rsid w:val="00CB724D"/>
    <w:rsid w:val="00CB7277"/>
    <w:rsid w:val="00CB73EA"/>
    <w:rsid w:val="00CB7D4E"/>
    <w:rsid w:val="00CC002B"/>
    <w:rsid w:val="00CC07E5"/>
    <w:rsid w:val="00CC09F0"/>
    <w:rsid w:val="00CC0C11"/>
    <w:rsid w:val="00CC0DBE"/>
    <w:rsid w:val="00CC1C1D"/>
    <w:rsid w:val="00CC1F52"/>
    <w:rsid w:val="00CC2132"/>
    <w:rsid w:val="00CC233F"/>
    <w:rsid w:val="00CC27FD"/>
    <w:rsid w:val="00CC2B24"/>
    <w:rsid w:val="00CC31E8"/>
    <w:rsid w:val="00CC3AB9"/>
    <w:rsid w:val="00CC3C9E"/>
    <w:rsid w:val="00CC45E0"/>
    <w:rsid w:val="00CC460C"/>
    <w:rsid w:val="00CC49B6"/>
    <w:rsid w:val="00CC4BBE"/>
    <w:rsid w:val="00CC4BC3"/>
    <w:rsid w:val="00CC50C7"/>
    <w:rsid w:val="00CC55AC"/>
    <w:rsid w:val="00CC5859"/>
    <w:rsid w:val="00CC6066"/>
    <w:rsid w:val="00CC65AA"/>
    <w:rsid w:val="00CC71F3"/>
    <w:rsid w:val="00CC72C0"/>
    <w:rsid w:val="00CC757D"/>
    <w:rsid w:val="00CC764F"/>
    <w:rsid w:val="00CC77A7"/>
    <w:rsid w:val="00CC7C74"/>
    <w:rsid w:val="00CD00DB"/>
    <w:rsid w:val="00CD0119"/>
    <w:rsid w:val="00CD066A"/>
    <w:rsid w:val="00CD07FD"/>
    <w:rsid w:val="00CD0866"/>
    <w:rsid w:val="00CD1128"/>
    <w:rsid w:val="00CD1169"/>
    <w:rsid w:val="00CD16C7"/>
    <w:rsid w:val="00CD1A40"/>
    <w:rsid w:val="00CD1B33"/>
    <w:rsid w:val="00CD1E1C"/>
    <w:rsid w:val="00CD25F3"/>
    <w:rsid w:val="00CD27FF"/>
    <w:rsid w:val="00CD305C"/>
    <w:rsid w:val="00CD3A6D"/>
    <w:rsid w:val="00CD3E5A"/>
    <w:rsid w:val="00CD3E63"/>
    <w:rsid w:val="00CD40A3"/>
    <w:rsid w:val="00CD4A3F"/>
    <w:rsid w:val="00CD4CD3"/>
    <w:rsid w:val="00CD5205"/>
    <w:rsid w:val="00CD589F"/>
    <w:rsid w:val="00CD60C9"/>
    <w:rsid w:val="00CD6345"/>
    <w:rsid w:val="00CD6BBB"/>
    <w:rsid w:val="00CD7482"/>
    <w:rsid w:val="00CE0434"/>
    <w:rsid w:val="00CE07C1"/>
    <w:rsid w:val="00CE1107"/>
    <w:rsid w:val="00CE1567"/>
    <w:rsid w:val="00CE186F"/>
    <w:rsid w:val="00CE1C09"/>
    <w:rsid w:val="00CE20E3"/>
    <w:rsid w:val="00CE273A"/>
    <w:rsid w:val="00CE31D2"/>
    <w:rsid w:val="00CE321C"/>
    <w:rsid w:val="00CE32E8"/>
    <w:rsid w:val="00CE3700"/>
    <w:rsid w:val="00CE3B69"/>
    <w:rsid w:val="00CE3DD8"/>
    <w:rsid w:val="00CE3F93"/>
    <w:rsid w:val="00CE4016"/>
    <w:rsid w:val="00CE4559"/>
    <w:rsid w:val="00CE5118"/>
    <w:rsid w:val="00CE5487"/>
    <w:rsid w:val="00CE55D4"/>
    <w:rsid w:val="00CE59B5"/>
    <w:rsid w:val="00CE59DB"/>
    <w:rsid w:val="00CE5D3A"/>
    <w:rsid w:val="00CE6AD0"/>
    <w:rsid w:val="00CE7381"/>
    <w:rsid w:val="00CE7447"/>
    <w:rsid w:val="00CE74CE"/>
    <w:rsid w:val="00CF0829"/>
    <w:rsid w:val="00CF08B4"/>
    <w:rsid w:val="00CF0E74"/>
    <w:rsid w:val="00CF1517"/>
    <w:rsid w:val="00CF1833"/>
    <w:rsid w:val="00CF1AEA"/>
    <w:rsid w:val="00CF2091"/>
    <w:rsid w:val="00CF21F6"/>
    <w:rsid w:val="00CF2278"/>
    <w:rsid w:val="00CF2C62"/>
    <w:rsid w:val="00CF2F66"/>
    <w:rsid w:val="00CF337B"/>
    <w:rsid w:val="00CF39A4"/>
    <w:rsid w:val="00CF3FE7"/>
    <w:rsid w:val="00CF4008"/>
    <w:rsid w:val="00CF4140"/>
    <w:rsid w:val="00CF4416"/>
    <w:rsid w:val="00CF49AC"/>
    <w:rsid w:val="00CF5762"/>
    <w:rsid w:val="00CF65B4"/>
    <w:rsid w:val="00CF69B0"/>
    <w:rsid w:val="00CF6BCC"/>
    <w:rsid w:val="00CF6C05"/>
    <w:rsid w:val="00CF6E38"/>
    <w:rsid w:val="00CF7104"/>
    <w:rsid w:val="00CF7485"/>
    <w:rsid w:val="00CF7E56"/>
    <w:rsid w:val="00D00EBB"/>
    <w:rsid w:val="00D01598"/>
    <w:rsid w:val="00D01744"/>
    <w:rsid w:val="00D025CE"/>
    <w:rsid w:val="00D02A0F"/>
    <w:rsid w:val="00D02DF3"/>
    <w:rsid w:val="00D03181"/>
    <w:rsid w:val="00D037DC"/>
    <w:rsid w:val="00D0383B"/>
    <w:rsid w:val="00D03A8A"/>
    <w:rsid w:val="00D03DA5"/>
    <w:rsid w:val="00D03F27"/>
    <w:rsid w:val="00D043EE"/>
    <w:rsid w:val="00D0470D"/>
    <w:rsid w:val="00D05249"/>
    <w:rsid w:val="00D055CA"/>
    <w:rsid w:val="00D059FC"/>
    <w:rsid w:val="00D05DEF"/>
    <w:rsid w:val="00D06861"/>
    <w:rsid w:val="00D0688A"/>
    <w:rsid w:val="00D06A5A"/>
    <w:rsid w:val="00D06F22"/>
    <w:rsid w:val="00D07662"/>
    <w:rsid w:val="00D07A9C"/>
    <w:rsid w:val="00D10076"/>
    <w:rsid w:val="00D1033B"/>
    <w:rsid w:val="00D10477"/>
    <w:rsid w:val="00D107E2"/>
    <w:rsid w:val="00D11D76"/>
    <w:rsid w:val="00D12059"/>
    <w:rsid w:val="00D121F5"/>
    <w:rsid w:val="00D126E4"/>
    <w:rsid w:val="00D1273B"/>
    <w:rsid w:val="00D131BF"/>
    <w:rsid w:val="00D1344A"/>
    <w:rsid w:val="00D140E6"/>
    <w:rsid w:val="00D155C4"/>
    <w:rsid w:val="00D156D6"/>
    <w:rsid w:val="00D158EF"/>
    <w:rsid w:val="00D15C14"/>
    <w:rsid w:val="00D15E74"/>
    <w:rsid w:val="00D15FAA"/>
    <w:rsid w:val="00D16ECB"/>
    <w:rsid w:val="00D16EEE"/>
    <w:rsid w:val="00D17167"/>
    <w:rsid w:val="00D17644"/>
    <w:rsid w:val="00D17BA5"/>
    <w:rsid w:val="00D2058D"/>
    <w:rsid w:val="00D2176E"/>
    <w:rsid w:val="00D2182A"/>
    <w:rsid w:val="00D22105"/>
    <w:rsid w:val="00D2211C"/>
    <w:rsid w:val="00D2277E"/>
    <w:rsid w:val="00D22B55"/>
    <w:rsid w:val="00D23055"/>
    <w:rsid w:val="00D230AD"/>
    <w:rsid w:val="00D23753"/>
    <w:rsid w:val="00D23D70"/>
    <w:rsid w:val="00D251AB"/>
    <w:rsid w:val="00D25AC6"/>
    <w:rsid w:val="00D261D3"/>
    <w:rsid w:val="00D26CDF"/>
    <w:rsid w:val="00D2788C"/>
    <w:rsid w:val="00D27EAC"/>
    <w:rsid w:val="00D3028F"/>
    <w:rsid w:val="00D307BE"/>
    <w:rsid w:val="00D30C10"/>
    <w:rsid w:val="00D3115D"/>
    <w:rsid w:val="00D319DF"/>
    <w:rsid w:val="00D3225E"/>
    <w:rsid w:val="00D324BC"/>
    <w:rsid w:val="00D33565"/>
    <w:rsid w:val="00D33762"/>
    <w:rsid w:val="00D34025"/>
    <w:rsid w:val="00D34BD1"/>
    <w:rsid w:val="00D34E79"/>
    <w:rsid w:val="00D35177"/>
    <w:rsid w:val="00D356E1"/>
    <w:rsid w:val="00D35E5C"/>
    <w:rsid w:val="00D373C1"/>
    <w:rsid w:val="00D40609"/>
    <w:rsid w:val="00D4086F"/>
    <w:rsid w:val="00D40983"/>
    <w:rsid w:val="00D41188"/>
    <w:rsid w:val="00D417D3"/>
    <w:rsid w:val="00D418D5"/>
    <w:rsid w:val="00D41A6B"/>
    <w:rsid w:val="00D41DB1"/>
    <w:rsid w:val="00D4249A"/>
    <w:rsid w:val="00D4276D"/>
    <w:rsid w:val="00D42798"/>
    <w:rsid w:val="00D42970"/>
    <w:rsid w:val="00D42FFB"/>
    <w:rsid w:val="00D435EF"/>
    <w:rsid w:val="00D43AED"/>
    <w:rsid w:val="00D43B2A"/>
    <w:rsid w:val="00D4489A"/>
    <w:rsid w:val="00D44916"/>
    <w:rsid w:val="00D45CA4"/>
    <w:rsid w:val="00D45EA7"/>
    <w:rsid w:val="00D45F22"/>
    <w:rsid w:val="00D47178"/>
    <w:rsid w:val="00D4752E"/>
    <w:rsid w:val="00D476E0"/>
    <w:rsid w:val="00D47749"/>
    <w:rsid w:val="00D47842"/>
    <w:rsid w:val="00D47BEF"/>
    <w:rsid w:val="00D50826"/>
    <w:rsid w:val="00D50B9E"/>
    <w:rsid w:val="00D50CFB"/>
    <w:rsid w:val="00D50E02"/>
    <w:rsid w:val="00D51675"/>
    <w:rsid w:val="00D51A75"/>
    <w:rsid w:val="00D51F73"/>
    <w:rsid w:val="00D52827"/>
    <w:rsid w:val="00D529BE"/>
    <w:rsid w:val="00D52CF6"/>
    <w:rsid w:val="00D53B26"/>
    <w:rsid w:val="00D53D3E"/>
    <w:rsid w:val="00D547E0"/>
    <w:rsid w:val="00D548C9"/>
    <w:rsid w:val="00D54992"/>
    <w:rsid w:val="00D55291"/>
    <w:rsid w:val="00D55C48"/>
    <w:rsid w:val="00D55E47"/>
    <w:rsid w:val="00D565B1"/>
    <w:rsid w:val="00D56997"/>
    <w:rsid w:val="00D570E6"/>
    <w:rsid w:val="00D5710D"/>
    <w:rsid w:val="00D5730F"/>
    <w:rsid w:val="00D5774F"/>
    <w:rsid w:val="00D57A52"/>
    <w:rsid w:val="00D60809"/>
    <w:rsid w:val="00D60D7F"/>
    <w:rsid w:val="00D61C9C"/>
    <w:rsid w:val="00D62111"/>
    <w:rsid w:val="00D62229"/>
    <w:rsid w:val="00D625B8"/>
    <w:rsid w:val="00D626F8"/>
    <w:rsid w:val="00D6366C"/>
    <w:rsid w:val="00D636DC"/>
    <w:rsid w:val="00D63AC2"/>
    <w:rsid w:val="00D63F4C"/>
    <w:rsid w:val="00D64613"/>
    <w:rsid w:val="00D64702"/>
    <w:rsid w:val="00D66BFD"/>
    <w:rsid w:val="00D66C91"/>
    <w:rsid w:val="00D674EE"/>
    <w:rsid w:val="00D67535"/>
    <w:rsid w:val="00D67BC9"/>
    <w:rsid w:val="00D67DBC"/>
    <w:rsid w:val="00D704D9"/>
    <w:rsid w:val="00D705C8"/>
    <w:rsid w:val="00D70BD2"/>
    <w:rsid w:val="00D713F2"/>
    <w:rsid w:val="00D72705"/>
    <w:rsid w:val="00D738BF"/>
    <w:rsid w:val="00D73B93"/>
    <w:rsid w:val="00D73C95"/>
    <w:rsid w:val="00D745C1"/>
    <w:rsid w:val="00D7482F"/>
    <w:rsid w:val="00D75676"/>
    <w:rsid w:val="00D75731"/>
    <w:rsid w:val="00D75B45"/>
    <w:rsid w:val="00D75B5C"/>
    <w:rsid w:val="00D75F8C"/>
    <w:rsid w:val="00D76050"/>
    <w:rsid w:val="00D76309"/>
    <w:rsid w:val="00D76423"/>
    <w:rsid w:val="00D765F3"/>
    <w:rsid w:val="00D767BF"/>
    <w:rsid w:val="00D77278"/>
    <w:rsid w:val="00D775B5"/>
    <w:rsid w:val="00D77961"/>
    <w:rsid w:val="00D77B20"/>
    <w:rsid w:val="00D77B3B"/>
    <w:rsid w:val="00D77E9D"/>
    <w:rsid w:val="00D8007C"/>
    <w:rsid w:val="00D8079F"/>
    <w:rsid w:val="00D8103B"/>
    <w:rsid w:val="00D8111B"/>
    <w:rsid w:val="00D81242"/>
    <w:rsid w:val="00D812D2"/>
    <w:rsid w:val="00D81A08"/>
    <w:rsid w:val="00D829DE"/>
    <w:rsid w:val="00D82D02"/>
    <w:rsid w:val="00D82D0F"/>
    <w:rsid w:val="00D83A5A"/>
    <w:rsid w:val="00D84157"/>
    <w:rsid w:val="00D84BD7"/>
    <w:rsid w:val="00D84DCA"/>
    <w:rsid w:val="00D85114"/>
    <w:rsid w:val="00D857BC"/>
    <w:rsid w:val="00D871B6"/>
    <w:rsid w:val="00D875E1"/>
    <w:rsid w:val="00D87D10"/>
    <w:rsid w:val="00D90007"/>
    <w:rsid w:val="00D90275"/>
    <w:rsid w:val="00D902F5"/>
    <w:rsid w:val="00D9075D"/>
    <w:rsid w:val="00D90959"/>
    <w:rsid w:val="00D91385"/>
    <w:rsid w:val="00D91410"/>
    <w:rsid w:val="00D91438"/>
    <w:rsid w:val="00D91594"/>
    <w:rsid w:val="00D91ABE"/>
    <w:rsid w:val="00D91AD6"/>
    <w:rsid w:val="00D91DFB"/>
    <w:rsid w:val="00D9207F"/>
    <w:rsid w:val="00D921DA"/>
    <w:rsid w:val="00D92B46"/>
    <w:rsid w:val="00D92C2F"/>
    <w:rsid w:val="00D92F7F"/>
    <w:rsid w:val="00D94286"/>
    <w:rsid w:val="00D9459D"/>
    <w:rsid w:val="00D94730"/>
    <w:rsid w:val="00D94738"/>
    <w:rsid w:val="00D94858"/>
    <w:rsid w:val="00D94972"/>
    <w:rsid w:val="00D94AFA"/>
    <w:rsid w:val="00D954A1"/>
    <w:rsid w:val="00D95519"/>
    <w:rsid w:val="00D95744"/>
    <w:rsid w:val="00D958FC"/>
    <w:rsid w:val="00D959AE"/>
    <w:rsid w:val="00D95DC2"/>
    <w:rsid w:val="00D96678"/>
    <w:rsid w:val="00D96C73"/>
    <w:rsid w:val="00D96D46"/>
    <w:rsid w:val="00D97885"/>
    <w:rsid w:val="00D97C27"/>
    <w:rsid w:val="00DA0526"/>
    <w:rsid w:val="00DA0639"/>
    <w:rsid w:val="00DA0CF7"/>
    <w:rsid w:val="00DA0E96"/>
    <w:rsid w:val="00DA1203"/>
    <w:rsid w:val="00DA18DA"/>
    <w:rsid w:val="00DA1F0C"/>
    <w:rsid w:val="00DA3274"/>
    <w:rsid w:val="00DA3565"/>
    <w:rsid w:val="00DA3A5B"/>
    <w:rsid w:val="00DA3D0B"/>
    <w:rsid w:val="00DA3F51"/>
    <w:rsid w:val="00DA3F52"/>
    <w:rsid w:val="00DA43C9"/>
    <w:rsid w:val="00DA45DB"/>
    <w:rsid w:val="00DA48D9"/>
    <w:rsid w:val="00DA49F8"/>
    <w:rsid w:val="00DA4AAE"/>
    <w:rsid w:val="00DA4DF6"/>
    <w:rsid w:val="00DA5572"/>
    <w:rsid w:val="00DA5664"/>
    <w:rsid w:val="00DA62A7"/>
    <w:rsid w:val="00DA63DD"/>
    <w:rsid w:val="00DA6A15"/>
    <w:rsid w:val="00DA6CC2"/>
    <w:rsid w:val="00DA7029"/>
    <w:rsid w:val="00DA75C0"/>
    <w:rsid w:val="00DA77A0"/>
    <w:rsid w:val="00DB09A2"/>
    <w:rsid w:val="00DB103D"/>
    <w:rsid w:val="00DB1448"/>
    <w:rsid w:val="00DB1998"/>
    <w:rsid w:val="00DB1FC4"/>
    <w:rsid w:val="00DB21F0"/>
    <w:rsid w:val="00DB2722"/>
    <w:rsid w:val="00DB2C5F"/>
    <w:rsid w:val="00DB3A58"/>
    <w:rsid w:val="00DB3BDF"/>
    <w:rsid w:val="00DB3C58"/>
    <w:rsid w:val="00DB3D46"/>
    <w:rsid w:val="00DB401C"/>
    <w:rsid w:val="00DB46C8"/>
    <w:rsid w:val="00DB540E"/>
    <w:rsid w:val="00DB5A63"/>
    <w:rsid w:val="00DB6166"/>
    <w:rsid w:val="00DB656B"/>
    <w:rsid w:val="00DB691E"/>
    <w:rsid w:val="00DB6C81"/>
    <w:rsid w:val="00DB75A3"/>
    <w:rsid w:val="00DB799D"/>
    <w:rsid w:val="00DB7F64"/>
    <w:rsid w:val="00DC0574"/>
    <w:rsid w:val="00DC0B93"/>
    <w:rsid w:val="00DC0C65"/>
    <w:rsid w:val="00DC16BF"/>
    <w:rsid w:val="00DC16E1"/>
    <w:rsid w:val="00DC16FC"/>
    <w:rsid w:val="00DC1881"/>
    <w:rsid w:val="00DC1ED7"/>
    <w:rsid w:val="00DC3A6F"/>
    <w:rsid w:val="00DC3D1C"/>
    <w:rsid w:val="00DC43E1"/>
    <w:rsid w:val="00DC5199"/>
    <w:rsid w:val="00DC5A32"/>
    <w:rsid w:val="00DC5E4E"/>
    <w:rsid w:val="00DC5F42"/>
    <w:rsid w:val="00DC651B"/>
    <w:rsid w:val="00DC662F"/>
    <w:rsid w:val="00DC6670"/>
    <w:rsid w:val="00DC6E78"/>
    <w:rsid w:val="00DC729A"/>
    <w:rsid w:val="00DC73B1"/>
    <w:rsid w:val="00DC7519"/>
    <w:rsid w:val="00DC75C6"/>
    <w:rsid w:val="00DC7630"/>
    <w:rsid w:val="00DC7EB5"/>
    <w:rsid w:val="00DD04AC"/>
    <w:rsid w:val="00DD04DD"/>
    <w:rsid w:val="00DD074E"/>
    <w:rsid w:val="00DD0891"/>
    <w:rsid w:val="00DD0B35"/>
    <w:rsid w:val="00DD0F9F"/>
    <w:rsid w:val="00DD11A7"/>
    <w:rsid w:val="00DD1298"/>
    <w:rsid w:val="00DD2300"/>
    <w:rsid w:val="00DD2309"/>
    <w:rsid w:val="00DD28B3"/>
    <w:rsid w:val="00DD2DE3"/>
    <w:rsid w:val="00DD2DE8"/>
    <w:rsid w:val="00DD316F"/>
    <w:rsid w:val="00DD357C"/>
    <w:rsid w:val="00DD37CA"/>
    <w:rsid w:val="00DD3A52"/>
    <w:rsid w:val="00DD3D55"/>
    <w:rsid w:val="00DD3DF7"/>
    <w:rsid w:val="00DD4AE2"/>
    <w:rsid w:val="00DD4BFA"/>
    <w:rsid w:val="00DD51F8"/>
    <w:rsid w:val="00DD6388"/>
    <w:rsid w:val="00DD6C53"/>
    <w:rsid w:val="00DD6EA2"/>
    <w:rsid w:val="00DD7198"/>
    <w:rsid w:val="00DD7CB6"/>
    <w:rsid w:val="00DE0077"/>
    <w:rsid w:val="00DE0137"/>
    <w:rsid w:val="00DE01BA"/>
    <w:rsid w:val="00DE0DCF"/>
    <w:rsid w:val="00DE137B"/>
    <w:rsid w:val="00DE19D9"/>
    <w:rsid w:val="00DE1DC6"/>
    <w:rsid w:val="00DE1F77"/>
    <w:rsid w:val="00DE21C6"/>
    <w:rsid w:val="00DE22AA"/>
    <w:rsid w:val="00DE22F9"/>
    <w:rsid w:val="00DE288F"/>
    <w:rsid w:val="00DE2D49"/>
    <w:rsid w:val="00DE3A6A"/>
    <w:rsid w:val="00DE3E66"/>
    <w:rsid w:val="00DE3F75"/>
    <w:rsid w:val="00DE3FB6"/>
    <w:rsid w:val="00DE45F5"/>
    <w:rsid w:val="00DE4A11"/>
    <w:rsid w:val="00DE4AAD"/>
    <w:rsid w:val="00DE4C0C"/>
    <w:rsid w:val="00DE4FC8"/>
    <w:rsid w:val="00DE53B5"/>
    <w:rsid w:val="00DE5A50"/>
    <w:rsid w:val="00DE60C5"/>
    <w:rsid w:val="00DE6988"/>
    <w:rsid w:val="00DE6B8B"/>
    <w:rsid w:val="00DE7323"/>
    <w:rsid w:val="00DE75F0"/>
    <w:rsid w:val="00DE77CB"/>
    <w:rsid w:val="00DE7EBA"/>
    <w:rsid w:val="00DF04BD"/>
    <w:rsid w:val="00DF068D"/>
    <w:rsid w:val="00DF0D3A"/>
    <w:rsid w:val="00DF15F2"/>
    <w:rsid w:val="00DF1A9A"/>
    <w:rsid w:val="00DF1C2D"/>
    <w:rsid w:val="00DF1DB6"/>
    <w:rsid w:val="00DF1F8A"/>
    <w:rsid w:val="00DF248E"/>
    <w:rsid w:val="00DF3577"/>
    <w:rsid w:val="00DF4063"/>
    <w:rsid w:val="00DF410E"/>
    <w:rsid w:val="00DF5F13"/>
    <w:rsid w:val="00DF63DD"/>
    <w:rsid w:val="00DF6B62"/>
    <w:rsid w:val="00DF6CDC"/>
    <w:rsid w:val="00DF6D63"/>
    <w:rsid w:val="00DF7BD0"/>
    <w:rsid w:val="00DF7BDF"/>
    <w:rsid w:val="00E00303"/>
    <w:rsid w:val="00E0099B"/>
    <w:rsid w:val="00E00A62"/>
    <w:rsid w:val="00E010A0"/>
    <w:rsid w:val="00E0125E"/>
    <w:rsid w:val="00E014C9"/>
    <w:rsid w:val="00E01668"/>
    <w:rsid w:val="00E0173A"/>
    <w:rsid w:val="00E01849"/>
    <w:rsid w:val="00E020D1"/>
    <w:rsid w:val="00E02AE7"/>
    <w:rsid w:val="00E02B64"/>
    <w:rsid w:val="00E02EAD"/>
    <w:rsid w:val="00E03D3F"/>
    <w:rsid w:val="00E0437C"/>
    <w:rsid w:val="00E0452C"/>
    <w:rsid w:val="00E04D61"/>
    <w:rsid w:val="00E0504C"/>
    <w:rsid w:val="00E05074"/>
    <w:rsid w:val="00E05489"/>
    <w:rsid w:val="00E05741"/>
    <w:rsid w:val="00E05F7F"/>
    <w:rsid w:val="00E063FA"/>
    <w:rsid w:val="00E0641F"/>
    <w:rsid w:val="00E06930"/>
    <w:rsid w:val="00E06971"/>
    <w:rsid w:val="00E105B3"/>
    <w:rsid w:val="00E10846"/>
    <w:rsid w:val="00E108F4"/>
    <w:rsid w:val="00E10D4E"/>
    <w:rsid w:val="00E1100C"/>
    <w:rsid w:val="00E11489"/>
    <w:rsid w:val="00E11711"/>
    <w:rsid w:val="00E11E63"/>
    <w:rsid w:val="00E12108"/>
    <w:rsid w:val="00E12537"/>
    <w:rsid w:val="00E12696"/>
    <w:rsid w:val="00E1310D"/>
    <w:rsid w:val="00E13359"/>
    <w:rsid w:val="00E138BF"/>
    <w:rsid w:val="00E14EFA"/>
    <w:rsid w:val="00E14F37"/>
    <w:rsid w:val="00E151B9"/>
    <w:rsid w:val="00E158C4"/>
    <w:rsid w:val="00E161E6"/>
    <w:rsid w:val="00E167C9"/>
    <w:rsid w:val="00E1698C"/>
    <w:rsid w:val="00E16A9E"/>
    <w:rsid w:val="00E16D0B"/>
    <w:rsid w:val="00E172BE"/>
    <w:rsid w:val="00E17CF7"/>
    <w:rsid w:val="00E205D6"/>
    <w:rsid w:val="00E216EC"/>
    <w:rsid w:val="00E2189A"/>
    <w:rsid w:val="00E218B5"/>
    <w:rsid w:val="00E220C7"/>
    <w:rsid w:val="00E22B5A"/>
    <w:rsid w:val="00E22B68"/>
    <w:rsid w:val="00E231C9"/>
    <w:rsid w:val="00E239FD"/>
    <w:rsid w:val="00E23EBF"/>
    <w:rsid w:val="00E23FD5"/>
    <w:rsid w:val="00E24065"/>
    <w:rsid w:val="00E24669"/>
    <w:rsid w:val="00E24C48"/>
    <w:rsid w:val="00E25981"/>
    <w:rsid w:val="00E26141"/>
    <w:rsid w:val="00E266F5"/>
    <w:rsid w:val="00E270D3"/>
    <w:rsid w:val="00E271E4"/>
    <w:rsid w:val="00E27371"/>
    <w:rsid w:val="00E27463"/>
    <w:rsid w:val="00E27FC7"/>
    <w:rsid w:val="00E30700"/>
    <w:rsid w:val="00E31360"/>
    <w:rsid w:val="00E31401"/>
    <w:rsid w:val="00E3199F"/>
    <w:rsid w:val="00E31D28"/>
    <w:rsid w:val="00E325FF"/>
    <w:rsid w:val="00E32CB8"/>
    <w:rsid w:val="00E3440F"/>
    <w:rsid w:val="00E34EB4"/>
    <w:rsid w:val="00E34F3A"/>
    <w:rsid w:val="00E35F86"/>
    <w:rsid w:val="00E35F99"/>
    <w:rsid w:val="00E35F9A"/>
    <w:rsid w:val="00E3637F"/>
    <w:rsid w:val="00E364B6"/>
    <w:rsid w:val="00E36723"/>
    <w:rsid w:val="00E3713C"/>
    <w:rsid w:val="00E37352"/>
    <w:rsid w:val="00E3767B"/>
    <w:rsid w:val="00E37E1C"/>
    <w:rsid w:val="00E40126"/>
    <w:rsid w:val="00E40AE9"/>
    <w:rsid w:val="00E40CBF"/>
    <w:rsid w:val="00E40E7D"/>
    <w:rsid w:val="00E40EE4"/>
    <w:rsid w:val="00E413C6"/>
    <w:rsid w:val="00E420D5"/>
    <w:rsid w:val="00E42517"/>
    <w:rsid w:val="00E42D55"/>
    <w:rsid w:val="00E42FFE"/>
    <w:rsid w:val="00E4316E"/>
    <w:rsid w:val="00E43246"/>
    <w:rsid w:val="00E43590"/>
    <w:rsid w:val="00E435AB"/>
    <w:rsid w:val="00E43E90"/>
    <w:rsid w:val="00E44275"/>
    <w:rsid w:val="00E44777"/>
    <w:rsid w:val="00E4535F"/>
    <w:rsid w:val="00E466BC"/>
    <w:rsid w:val="00E4686A"/>
    <w:rsid w:val="00E46CC5"/>
    <w:rsid w:val="00E4736B"/>
    <w:rsid w:val="00E479FD"/>
    <w:rsid w:val="00E50012"/>
    <w:rsid w:val="00E504D6"/>
    <w:rsid w:val="00E50B6F"/>
    <w:rsid w:val="00E50EBE"/>
    <w:rsid w:val="00E50F69"/>
    <w:rsid w:val="00E50FC6"/>
    <w:rsid w:val="00E517CD"/>
    <w:rsid w:val="00E52372"/>
    <w:rsid w:val="00E52786"/>
    <w:rsid w:val="00E52DBC"/>
    <w:rsid w:val="00E52F05"/>
    <w:rsid w:val="00E540CA"/>
    <w:rsid w:val="00E55666"/>
    <w:rsid w:val="00E55B28"/>
    <w:rsid w:val="00E56681"/>
    <w:rsid w:val="00E56D4A"/>
    <w:rsid w:val="00E57119"/>
    <w:rsid w:val="00E5719E"/>
    <w:rsid w:val="00E57D7B"/>
    <w:rsid w:val="00E57F4B"/>
    <w:rsid w:val="00E602E5"/>
    <w:rsid w:val="00E602F8"/>
    <w:rsid w:val="00E603CC"/>
    <w:rsid w:val="00E60476"/>
    <w:rsid w:val="00E6085B"/>
    <w:rsid w:val="00E60FBA"/>
    <w:rsid w:val="00E60FBF"/>
    <w:rsid w:val="00E616F9"/>
    <w:rsid w:val="00E61852"/>
    <w:rsid w:val="00E61A0C"/>
    <w:rsid w:val="00E61D22"/>
    <w:rsid w:val="00E61D96"/>
    <w:rsid w:val="00E61E4B"/>
    <w:rsid w:val="00E6342F"/>
    <w:rsid w:val="00E63DA2"/>
    <w:rsid w:val="00E642AF"/>
    <w:rsid w:val="00E644C6"/>
    <w:rsid w:val="00E64555"/>
    <w:rsid w:val="00E64595"/>
    <w:rsid w:val="00E646BB"/>
    <w:rsid w:val="00E64D24"/>
    <w:rsid w:val="00E6549C"/>
    <w:rsid w:val="00E654B9"/>
    <w:rsid w:val="00E6589D"/>
    <w:rsid w:val="00E6592C"/>
    <w:rsid w:val="00E65E8C"/>
    <w:rsid w:val="00E665C2"/>
    <w:rsid w:val="00E665E7"/>
    <w:rsid w:val="00E665F1"/>
    <w:rsid w:val="00E66C96"/>
    <w:rsid w:val="00E6718F"/>
    <w:rsid w:val="00E70130"/>
    <w:rsid w:val="00E70910"/>
    <w:rsid w:val="00E70933"/>
    <w:rsid w:val="00E715FC"/>
    <w:rsid w:val="00E71A45"/>
    <w:rsid w:val="00E71C21"/>
    <w:rsid w:val="00E72EC4"/>
    <w:rsid w:val="00E730FC"/>
    <w:rsid w:val="00E7385A"/>
    <w:rsid w:val="00E73CE6"/>
    <w:rsid w:val="00E74780"/>
    <w:rsid w:val="00E74956"/>
    <w:rsid w:val="00E752F7"/>
    <w:rsid w:val="00E7531A"/>
    <w:rsid w:val="00E75848"/>
    <w:rsid w:val="00E759D4"/>
    <w:rsid w:val="00E7694B"/>
    <w:rsid w:val="00E76A3C"/>
    <w:rsid w:val="00E76F9B"/>
    <w:rsid w:val="00E771FC"/>
    <w:rsid w:val="00E773E5"/>
    <w:rsid w:val="00E77BDD"/>
    <w:rsid w:val="00E806D3"/>
    <w:rsid w:val="00E81210"/>
    <w:rsid w:val="00E81C34"/>
    <w:rsid w:val="00E81D83"/>
    <w:rsid w:val="00E821BB"/>
    <w:rsid w:val="00E822E9"/>
    <w:rsid w:val="00E826FE"/>
    <w:rsid w:val="00E8275E"/>
    <w:rsid w:val="00E827AF"/>
    <w:rsid w:val="00E82A74"/>
    <w:rsid w:val="00E82DE9"/>
    <w:rsid w:val="00E83253"/>
    <w:rsid w:val="00E837CC"/>
    <w:rsid w:val="00E844AB"/>
    <w:rsid w:val="00E84C97"/>
    <w:rsid w:val="00E85005"/>
    <w:rsid w:val="00E85296"/>
    <w:rsid w:val="00E8533B"/>
    <w:rsid w:val="00E8555B"/>
    <w:rsid w:val="00E85E4E"/>
    <w:rsid w:val="00E86327"/>
    <w:rsid w:val="00E86DF0"/>
    <w:rsid w:val="00E87BD2"/>
    <w:rsid w:val="00E87CDC"/>
    <w:rsid w:val="00E87F47"/>
    <w:rsid w:val="00E90A01"/>
    <w:rsid w:val="00E90B33"/>
    <w:rsid w:val="00E911E0"/>
    <w:rsid w:val="00E91411"/>
    <w:rsid w:val="00E92C2A"/>
    <w:rsid w:val="00E92CA1"/>
    <w:rsid w:val="00E93407"/>
    <w:rsid w:val="00E93DAA"/>
    <w:rsid w:val="00E940A8"/>
    <w:rsid w:val="00E947E8"/>
    <w:rsid w:val="00E94B0F"/>
    <w:rsid w:val="00E9503F"/>
    <w:rsid w:val="00E966B1"/>
    <w:rsid w:val="00E96E68"/>
    <w:rsid w:val="00E97EA1"/>
    <w:rsid w:val="00E97F08"/>
    <w:rsid w:val="00EA0BBE"/>
    <w:rsid w:val="00EA1C67"/>
    <w:rsid w:val="00EA1FBC"/>
    <w:rsid w:val="00EA20A1"/>
    <w:rsid w:val="00EA212B"/>
    <w:rsid w:val="00EA24FB"/>
    <w:rsid w:val="00EA2D44"/>
    <w:rsid w:val="00EA2F7E"/>
    <w:rsid w:val="00EA3A1D"/>
    <w:rsid w:val="00EA3CD7"/>
    <w:rsid w:val="00EA3E2D"/>
    <w:rsid w:val="00EA429D"/>
    <w:rsid w:val="00EA43AF"/>
    <w:rsid w:val="00EA4676"/>
    <w:rsid w:val="00EA4C7C"/>
    <w:rsid w:val="00EA4D4C"/>
    <w:rsid w:val="00EA554F"/>
    <w:rsid w:val="00EA6250"/>
    <w:rsid w:val="00EA66A4"/>
    <w:rsid w:val="00EA6819"/>
    <w:rsid w:val="00EA6A1E"/>
    <w:rsid w:val="00EA75BD"/>
    <w:rsid w:val="00EA7C47"/>
    <w:rsid w:val="00EB0F0F"/>
    <w:rsid w:val="00EB11CB"/>
    <w:rsid w:val="00EB12A5"/>
    <w:rsid w:val="00EB24D8"/>
    <w:rsid w:val="00EB277B"/>
    <w:rsid w:val="00EB286F"/>
    <w:rsid w:val="00EB2F20"/>
    <w:rsid w:val="00EB2F35"/>
    <w:rsid w:val="00EB31DB"/>
    <w:rsid w:val="00EB3422"/>
    <w:rsid w:val="00EB3963"/>
    <w:rsid w:val="00EB3A31"/>
    <w:rsid w:val="00EB4358"/>
    <w:rsid w:val="00EB4BA9"/>
    <w:rsid w:val="00EB4EAF"/>
    <w:rsid w:val="00EB548E"/>
    <w:rsid w:val="00EB5C41"/>
    <w:rsid w:val="00EB5F5A"/>
    <w:rsid w:val="00EB657E"/>
    <w:rsid w:val="00EB6939"/>
    <w:rsid w:val="00EB695E"/>
    <w:rsid w:val="00EB6975"/>
    <w:rsid w:val="00EB69D1"/>
    <w:rsid w:val="00EB6B78"/>
    <w:rsid w:val="00EB6FE9"/>
    <w:rsid w:val="00EB72FF"/>
    <w:rsid w:val="00EB73FE"/>
    <w:rsid w:val="00EB756F"/>
    <w:rsid w:val="00EB79C8"/>
    <w:rsid w:val="00EB7E78"/>
    <w:rsid w:val="00EB7FBF"/>
    <w:rsid w:val="00EC0013"/>
    <w:rsid w:val="00EC0301"/>
    <w:rsid w:val="00EC09C6"/>
    <w:rsid w:val="00EC0EA5"/>
    <w:rsid w:val="00EC1053"/>
    <w:rsid w:val="00EC1056"/>
    <w:rsid w:val="00EC1470"/>
    <w:rsid w:val="00EC17A6"/>
    <w:rsid w:val="00EC222E"/>
    <w:rsid w:val="00EC2716"/>
    <w:rsid w:val="00EC27CB"/>
    <w:rsid w:val="00EC2DBB"/>
    <w:rsid w:val="00EC358E"/>
    <w:rsid w:val="00EC3FD2"/>
    <w:rsid w:val="00EC400F"/>
    <w:rsid w:val="00EC4095"/>
    <w:rsid w:val="00EC43B5"/>
    <w:rsid w:val="00EC4537"/>
    <w:rsid w:val="00EC4960"/>
    <w:rsid w:val="00EC4AE3"/>
    <w:rsid w:val="00EC4D07"/>
    <w:rsid w:val="00EC54EE"/>
    <w:rsid w:val="00EC59B2"/>
    <w:rsid w:val="00EC5A3B"/>
    <w:rsid w:val="00EC6441"/>
    <w:rsid w:val="00EC6AA0"/>
    <w:rsid w:val="00EC6DF1"/>
    <w:rsid w:val="00EC6E14"/>
    <w:rsid w:val="00EC786C"/>
    <w:rsid w:val="00EC7ADD"/>
    <w:rsid w:val="00ED024F"/>
    <w:rsid w:val="00ED0440"/>
    <w:rsid w:val="00ED04FE"/>
    <w:rsid w:val="00ED0DD0"/>
    <w:rsid w:val="00ED1989"/>
    <w:rsid w:val="00ED2866"/>
    <w:rsid w:val="00ED28F2"/>
    <w:rsid w:val="00ED2FB9"/>
    <w:rsid w:val="00ED3145"/>
    <w:rsid w:val="00ED3309"/>
    <w:rsid w:val="00ED356E"/>
    <w:rsid w:val="00ED3BDA"/>
    <w:rsid w:val="00ED499D"/>
    <w:rsid w:val="00ED4B67"/>
    <w:rsid w:val="00ED5857"/>
    <w:rsid w:val="00ED5A3B"/>
    <w:rsid w:val="00ED5C30"/>
    <w:rsid w:val="00ED5E02"/>
    <w:rsid w:val="00ED5EED"/>
    <w:rsid w:val="00ED6B1C"/>
    <w:rsid w:val="00ED6CF7"/>
    <w:rsid w:val="00ED6F33"/>
    <w:rsid w:val="00ED6FF8"/>
    <w:rsid w:val="00ED741E"/>
    <w:rsid w:val="00ED7497"/>
    <w:rsid w:val="00ED7716"/>
    <w:rsid w:val="00ED7737"/>
    <w:rsid w:val="00ED7747"/>
    <w:rsid w:val="00ED7CF4"/>
    <w:rsid w:val="00EE065E"/>
    <w:rsid w:val="00EE1458"/>
    <w:rsid w:val="00EE1586"/>
    <w:rsid w:val="00EE1B0E"/>
    <w:rsid w:val="00EE1E9B"/>
    <w:rsid w:val="00EE22FB"/>
    <w:rsid w:val="00EE2407"/>
    <w:rsid w:val="00EE26AE"/>
    <w:rsid w:val="00EE29C8"/>
    <w:rsid w:val="00EE2A54"/>
    <w:rsid w:val="00EE2FC2"/>
    <w:rsid w:val="00EE3754"/>
    <w:rsid w:val="00EE3990"/>
    <w:rsid w:val="00EE3B88"/>
    <w:rsid w:val="00EE3F61"/>
    <w:rsid w:val="00EE4175"/>
    <w:rsid w:val="00EE4B75"/>
    <w:rsid w:val="00EE4DBD"/>
    <w:rsid w:val="00EE56E5"/>
    <w:rsid w:val="00EE5A36"/>
    <w:rsid w:val="00EE6AC6"/>
    <w:rsid w:val="00EE6E26"/>
    <w:rsid w:val="00EE784F"/>
    <w:rsid w:val="00EE7A1D"/>
    <w:rsid w:val="00EE7A3D"/>
    <w:rsid w:val="00EF0500"/>
    <w:rsid w:val="00EF1002"/>
    <w:rsid w:val="00EF143F"/>
    <w:rsid w:val="00EF1A17"/>
    <w:rsid w:val="00EF1DF2"/>
    <w:rsid w:val="00EF23D8"/>
    <w:rsid w:val="00EF2A5A"/>
    <w:rsid w:val="00EF2A87"/>
    <w:rsid w:val="00EF3841"/>
    <w:rsid w:val="00EF3A74"/>
    <w:rsid w:val="00EF3AE9"/>
    <w:rsid w:val="00EF3EA5"/>
    <w:rsid w:val="00EF44C6"/>
    <w:rsid w:val="00EF46CD"/>
    <w:rsid w:val="00EF49FB"/>
    <w:rsid w:val="00EF55D6"/>
    <w:rsid w:val="00EF5A21"/>
    <w:rsid w:val="00EF5F15"/>
    <w:rsid w:val="00EF644D"/>
    <w:rsid w:val="00EF6C1E"/>
    <w:rsid w:val="00EF6D29"/>
    <w:rsid w:val="00EF7138"/>
    <w:rsid w:val="00EF74E7"/>
    <w:rsid w:val="00EF7596"/>
    <w:rsid w:val="00F003F2"/>
    <w:rsid w:val="00F00881"/>
    <w:rsid w:val="00F00917"/>
    <w:rsid w:val="00F010BB"/>
    <w:rsid w:val="00F012C1"/>
    <w:rsid w:val="00F0175F"/>
    <w:rsid w:val="00F022E9"/>
    <w:rsid w:val="00F03280"/>
    <w:rsid w:val="00F0362A"/>
    <w:rsid w:val="00F036ED"/>
    <w:rsid w:val="00F0385C"/>
    <w:rsid w:val="00F03ABE"/>
    <w:rsid w:val="00F04197"/>
    <w:rsid w:val="00F04345"/>
    <w:rsid w:val="00F0435B"/>
    <w:rsid w:val="00F047A4"/>
    <w:rsid w:val="00F047DB"/>
    <w:rsid w:val="00F04F52"/>
    <w:rsid w:val="00F0510F"/>
    <w:rsid w:val="00F053CA"/>
    <w:rsid w:val="00F0563F"/>
    <w:rsid w:val="00F05A6E"/>
    <w:rsid w:val="00F064EF"/>
    <w:rsid w:val="00F06558"/>
    <w:rsid w:val="00F06F42"/>
    <w:rsid w:val="00F07122"/>
    <w:rsid w:val="00F074C9"/>
    <w:rsid w:val="00F07C08"/>
    <w:rsid w:val="00F07C82"/>
    <w:rsid w:val="00F07F5E"/>
    <w:rsid w:val="00F1001E"/>
    <w:rsid w:val="00F1034B"/>
    <w:rsid w:val="00F106BB"/>
    <w:rsid w:val="00F11027"/>
    <w:rsid w:val="00F111BA"/>
    <w:rsid w:val="00F116DD"/>
    <w:rsid w:val="00F11D9F"/>
    <w:rsid w:val="00F11E31"/>
    <w:rsid w:val="00F13AA1"/>
    <w:rsid w:val="00F13F2A"/>
    <w:rsid w:val="00F1505D"/>
    <w:rsid w:val="00F15097"/>
    <w:rsid w:val="00F15382"/>
    <w:rsid w:val="00F15671"/>
    <w:rsid w:val="00F16695"/>
    <w:rsid w:val="00F202E3"/>
    <w:rsid w:val="00F20C6E"/>
    <w:rsid w:val="00F20D6C"/>
    <w:rsid w:val="00F21AEC"/>
    <w:rsid w:val="00F2255F"/>
    <w:rsid w:val="00F225CF"/>
    <w:rsid w:val="00F22882"/>
    <w:rsid w:val="00F22985"/>
    <w:rsid w:val="00F22AEF"/>
    <w:rsid w:val="00F22F7A"/>
    <w:rsid w:val="00F2322E"/>
    <w:rsid w:val="00F2343C"/>
    <w:rsid w:val="00F23CFC"/>
    <w:rsid w:val="00F24076"/>
    <w:rsid w:val="00F240CB"/>
    <w:rsid w:val="00F24621"/>
    <w:rsid w:val="00F2492F"/>
    <w:rsid w:val="00F24ADC"/>
    <w:rsid w:val="00F2500D"/>
    <w:rsid w:val="00F2596D"/>
    <w:rsid w:val="00F25CAA"/>
    <w:rsid w:val="00F26AD6"/>
    <w:rsid w:val="00F2711C"/>
    <w:rsid w:val="00F274C6"/>
    <w:rsid w:val="00F277E8"/>
    <w:rsid w:val="00F27B04"/>
    <w:rsid w:val="00F27E3D"/>
    <w:rsid w:val="00F301D0"/>
    <w:rsid w:val="00F3069F"/>
    <w:rsid w:val="00F30C3F"/>
    <w:rsid w:val="00F30C60"/>
    <w:rsid w:val="00F30EFB"/>
    <w:rsid w:val="00F30F38"/>
    <w:rsid w:val="00F311D1"/>
    <w:rsid w:val="00F3136D"/>
    <w:rsid w:val="00F3158A"/>
    <w:rsid w:val="00F318DB"/>
    <w:rsid w:val="00F3199C"/>
    <w:rsid w:val="00F31F7D"/>
    <w:rsid w:val="00F32AFF"/>
    <w:rsid w:val="00F33825"/>
    <w:rsid w:val="00F33A8B"/>
    <w:rsid w:val="00F33D3B"/>
    <w:rsid w:val="00F33ED9"/>
    <w:rsid w:val="00F341D4"/>
    <w:rsid w:val="00F34A96"/>
    <w:rsid w:val="00F34EBF"/>
    <w:rsid w:val="00F34F05"/>
    <w:rsid w:val="00F34F85"/>
    <w:rsid w:val="00F356D5"/>
    <w:rsid w:val="00F361AE"/>
    <w:rsid w:val="00F36240"/>
    <w:rsid w:val="00F363EB"/>
    <w:rsid w:val="00F365DE"/>
    <w:rsid w:val="00F36764"/>
    <w:rsid w:val="00F367CF"/>
    <w:rsid w:val="00F36D37"/>
    <w:rsid w:val="00F3719A"/>
    <w:rsid w:val="00F379BF"/>
    <w:rsid w:val="00F37EA7"/>
    <w:rsid w:val="00F40805"/>
    <w:rsid w:val="00F40C5E"/>
    <w:rsid w:val="00F40DEB"/>
    <w:rsid w:val="00F40E3E"/>
    <w:rsid w:val="00F4163A"/>
    <w:rsid w:val="00F41873"/>
    <w:rsid w:val="00F419C3"/>
    <w:rsid w:val="00F41D91"/>
    <w:rsid w:val="00F41E2B"/>
    <w:rsid w:val="00F423BE"/>
    <w:rsid w:val="00F424A5"/>
    <w:rsid w:val="00F425EF"/>
    <w:rsid w:val="00F428AC"/>
    <w:rsid w:val="00F42AC2"/>
    <w:rsid w:val="00F42EE3"/>
    <w:rsid w:val="00F43660"/>
    <w:rsid w:val="00F436E8"/>
    <w:rsid w:val="00F44542"/>
    <w:rsid w:val="00F448DD"/>
    <w:rsid w:val="00F44C5F"/>
    <w:rsid w:val="00F44DB8"/>
    <w:rsid w:val="00F45441"/>
    <w:rsid w:val="00F45760"/>
    <w:rsid w:val="00F45925"/>
    <w:rsid w:val="00F46AE6"/>
    <w:rsid w:val="00F46B5A"/>
    <w:rsid w:val="00F46BA6"/>
    <w:rsid w:val="00F46C97"/>
    <w:rsid w:val="00F4703E"/>
    <w:rsid w:val="00F4712B"/>
    <w:rsid w:val="00F50781"/>
    <w:rsid w:val="00F50CA3"/>
    <w:rsid w:val="00F517ED"/>
    <w:rsid w:val="00F519BB"/>
    <w:rsid w:val="00F51F3F"/>
    <w:rsid w:val="00F528B5"/>
    <w:rsid w:val="00F528E7"/>
    <w:rsid w:val="00F52A52"/>
    <w:rsid w:val="00F52C8A"/>
    <w:rsid w:val="00F5337E"/>
    <w:rsid w:val="00F53615"/>
    <w:rsid w:val="00F53A91"/>
    <w:rsid w:val="00F53CEC"/>
    <w:rsid w:val="00F54783"/>
    <w:rsid w:val="00F547E9"/>
    <w:rsid w:val="00F5494E"/>
    <w:rsid w:val="00F54ABE"/>
    <w:rsid w:val="00F556DD"/>
    <w:rsid w:val="00F55804"/>
    <w:rsid w:val="00F55F18"/>
    <w:rsid w:val="00F55F1A"/>
    <w:rsid w:val="00F55FD5"/>
    <w:rsid w:val="00F56310"/>
    <w:rsid w:val="00F5684C"/>
    <w:rsid w:val="00F569E9"/>
    <w:rsid w:val="00F57210"/>
    <w:rsid w:val="00F577A0"/>
    <w:rsid w:val="00F577FC"/>
    <w:rsid w:val="00F602F0"/>
    <w:rsid w:val="00F60C90"/>
    <w:rsid w:val="00F619EE"/>
    <w:rsid w:val="00F61CF5"/>
    <w:rsid w:val="00F61FF9"/>
    <w:rsid w:val="00F62069"/>
    <w:rsid w:val="00F62159"/>
    <w:rsid w:val="00F62A7C"/>
    <w:rsid w:val="00F62B93"/>
    <w:rsid w:val="00F62DC7"/>
    <w:rsid w:val="00F633E5"/>
    <w:rsid w:val="00F63C89"/>
    <w:rsid w:val="00F647EC"/>
    <w:rsid w:val="00F64FAB"/>
    <w:rsid w:val="00F65CEA"/>
    <w:rsid w:val="00F65F15"/>
    <w:rsid w:val="00F66443"/>
    <w:rsid w:val="00F675EA"/>
    <w:rsid w:val="00F7074A"/>
    <w:rsid w:val="00F71687"/>
    <w:rsid w:val="00F71708"/>
    <w:rsid w:val="00F717C1"/>
    <w:rsid w:val="00F71AB3"/>
    <w:rsid w:val="00F71F8F"/>
    <w:rsid w:val="00F725D3"/>
    <w:rsid w:val="00F7281E"/>
    <w:rsid w:val="00F72C1A"/>
    <w:rsid w:val="00F72C3D"/>
    <w:rsid w:val="00F73269"/>
    <w:rsid w:val="00F7374A"/>
    <w:rsid w:val="00F737AB"/>
    <w:rsid w:val="00F73808"/>
    <w:rsid w:val="00F74216"/>
    <w:rsid w:val="00F742E1"/>
    <w:rsid w:val="00F7494B"/>
    <w:rsid w:val="00F74F0F"/>
    <w:rsid w:val="00F7523B"/>
    <w:rsid w:val="00F75731"/>
    <w:rsid w:val="00F75841"/>
    <w:rsid w:val="00F76333"/>
    <w:rsid w:val="00F76422"/>
    <w:rsid w:val="00F77100"/>
    <w:rsid w:val="00F77C29"/>
    <w:rsid w:val="00F77C84"/>
    <w:rsid w:val="00F8038F"/>
    <w:rsid w:val="00F8090F"/>
    <w:rsid w:val="00F8139A"/>
    <w:rsid w:val="00F82AAE"/>
    <w:rsid w:val="00F833A4"/>
    <w:rsid w:val="00F834BE"/>
    <w:rsid w:val="00F838A9"/>
    <w:rsid w:val="00F84421"/>
    <w:rsid w:val="00F849E3"/>
    <w:rsid w:val="00F84B4E"/>
    <w:rsid w:val="00F84C44"/>
    <w:rsid w:val="00F851B7"/>
    <w:rsid w:val="00F8524B"/>
    <w:rsid w:val="00F8566C"/>
    <w:rsid w:val="00F858D4"/>
    <w:rsid w:val="00F85C65"/>
    <w:rsid w:val="00F85D49"/>
    <w:rsid w:val="00F860EB"/>
    <w:rsid w:val="00F868B6"/>
    <w:rsid w:val="00F86968"/>
    <w:rsid w:val="00F86E42"/>
    <w:rsid w:val="00F876E6"/>
    <w:rsid w:val="00F87825"/>
    <w:rsid w:val="00F87838"/>
    <w:rsid w:val="00F878D1"/>
    <w:rsid w:val="00F879E8"/>
    <w:rsid w:val="00F87FCE"/>
    <w:rsid w:val="00F9008B"/>
    <w:rsid w:val="00F90794"/>
    <w:rsid w:val="00F90E75"/>
    <w:rsid w:val="00F91669"/>
    <w:rsid w:val="00F9184F"/>
    <w:rsid w:val="00F91880"/>
    <w:rsid w:val="00F91943"/>
    <w:rsid w:val="00F92A66"/>
    <w:rsid w:val="00F931CF"/>
    <w:rsid w:val="00F93A31"/>
    <w:rsid w:val="00F93D6E"/>
    <w:rsid w:val="00F9423D"/>
    <w:rsid w:val="00F94609"/>
    <w:rsid w:val="00F95182"/>
    <w:rsid w:val="00F957D2"/>
    <w:rsid w:val="00F95D94"/>
    <w:rsid w:val="00F96F86"/>
    <w:rsid w:val="00F97E51"/>
    <w:rsid w:val="00FA02B8"/>
    <w:rsid w:val="00FA0980"/>
    <w:rsid w:val="00FA1028"/>
    <w:rsid w:val="00FA157E"/>
    <w:rsid w:val="00FA181F"/>
    <w:rsid w:val="00FA1C1F"/>
    <w:rsid w:val="00FA1E82"/>
    <w:rsid w:val="00FA2137"/>
    <w:rsid w:val="00FA272D"/>
    <w:rsid w:val="00FA279F"/>
    <w:rsid w:val="00FA2C40"/>
    <w:rsid w:val="00FA338D"/>
    <w:rsid w:val="00FA34A2"/>
    <w:rsid w:val="00FA3742"/>
    <w:rsid w:val="00FA3837"/>
    <w:rsid w:val="00FA39FC"/>
    <w:rsid w:val="00FA44B4"/>
    <w:rsid w:val="00FA4538"/>
    <w:rsid w:val="00FA4998"/>
    <w:rsid w:val="00FA4DC2"/>
    <w:rsid w:val="00FA5275"/>
    <w:rsid w:val="00FA627E"/>
    <w:rsid w:val="00FA67E3"/>
    <w:rsid w:val="00FA713A"/>
    <w:rsid w:val="00FA7157"/>
    <w:rsid w:val="00FA73A6"/>
    <w:rsid w:val="00FA7698"/>
    <w:rsid w:val="00FA78C2"/>
    <w:rsid w:val="00FA7A2D"/>
    <w:rsid w:val="00FA7B4F"/>
    <w:rsid w:val="00FA7E87"/>
    <w:rsid w:val="00FB06E7"/>
    <w:rsid w:val="00FB0822"/>
    <w:rsid w:val="00FB1093"/>
    <w:rsid w:val="00FB13A0"/>
    <w:rsid w:val="00FB227E"/>
    <w:rsid w:val="00FB267D"/>
    <w:rsid w:val="00FB2A18"/>
    <w:rsid w:val="00FB2BF4"/>
    <w:rsid w:val="00FB2C8D"/>
    <w:rsid w:val="00FB2DC6"/>
    <w:rsid w:val="00FB3E1A"/>
    <w:rsid w:val="00FB5E81"/>
    <w:rsid w:val="00FB6E6C"/>
    <w:rsid w:val="00FB71B0"/>
    <w:rsid w:val="00FB7575"/>
    <w:rsid w:val="00FB7ABA"/>
    <w:rsid w:val="00FB7C21"/>
    <w:rsid w:val="00FB7C46"/>
    <w:rsid w:val="00FB7CCD"/>
    <w:rsid w:val="00FC04E0"/>
    <w:rsid w:val="00FC0D98"/>
    <w:rsid w:val="00FC1042"/>
    <w:rsid w:val="00FC11C6"/>
    <w:rsid w:val="00FC17D8"/>
    <w:rsid w:val="00FC279A"/>
    <w:rsid w:val="00FC324D"/>
    <w:rsid w:val="00FC39A1"/>
    <w:rsid w:val="00FC3BC3"/>
    <w:rsid w:val="00FC3E47"/>
    <w:rsid w:val="00FC4B53"/>
    <w:rsid w:val="00FC4BAE"/>
    <w:rsid w:val="00FC5160"/>
    <w:rsid w:val="00FC5A36"/>
    <w:rsid w:val="00FC654F"/>
    <w:rsid w:val="00FC69CF"/>
    <w:rsid w:val="00FC6B0B"/>
    <w:rsid w:val="00FC713B"/>
    <w:rsid w:val="00FC7862"/>
    <w:rsid w:val="00FC79D5"/>
    <w:rsid w:val="00FC7B35"/>
    <w:rsid w:val="00FC7B53"/>
    <w:rsid w:val="00FD0177"/>
    <w:rsid w:val="00FD0AE7"/>
    <w:rsid w:val="00FD0B44"/>
    <w:rsid w:val="00FD0F70"/>
    <w:rsid w:val="00FD2315"/>
    <w:rsid w:val="00FD2614"/>
    <w:rsid w:val="00FD29A7"/>
    <w:rsid w:val="00FD2B15"/>
    <w:rsid w:val="00FD3092"/>
    <w:rsid w:val="00FD40FC"/>
    <w:rsid w:val="00FD412E"/>
    <w:rsid w:val="00FD420F"/>
    <w:rsid w:val="00FD4F2F"/>
    <w:rsid w:val="00FD51F7"/>
    <w:rsid w:val="00FD5258"/>
    <w:rsid w:val="00FD5602"/>
    <w:rsid w:val="00FD5A2A"/>
    <w:rsid w:val="00FD5AE2"/>
    <w:rsid w:val="00FD62B4"/>
    <w:rsid w:val="00FD7142"/>
    <w:rsid w:val="00FD750F"/>
    <w:rsid w:val="00FE011C"/>
    <w:rsid w:val="00FE07DC"/>
    <w:rsid w:val="00FE1116"/>
    <w:rsid w:val="00FE2075"/>
    <w:rsid w:val="00FE2080"/>
    <w:rsid w:val="00FE24E8"/>
    <w:rsid w:val="00FE27B9"/>
    <w:rsid w:val="00FE2E37"/>
    <w:rsid w:val="00FE3640"/>
    <w:rsid w:val="00FE3780"/>
    <w:rsid w:val="00FE3954"/>
    <w:rsid w:val="00FE3962"/>
    <w:rsid w:val="00FE3CF7"/>
    <w:rsid w:val="00FE4071"/>
    <w:rsid w:val="00FE42E3"/>
    <w:rsid w:val="00FE4C11"/>
    <w:rsid w:val="00FE4ECD"/>
    <w:rsid w:val="00FE52B7"/>
    <w:rsid w:val="00FE53C5"/>
    <w:rsid w:val="00FE5807"/>
    <w:rsid w:val="00FE5C39"/>
    <w:rsid w:val="00FE5C57"/>
    <w:rsid w:val="00FE624E"/>
    <w:rsid w:val="00FE6415"/>
    <w:rsid w:val="00FE65BE"/>
    <w:rsid w:val="00FE69E7"/>
    <w:rsid w:val="00FE6BB8"/>
    <w:rsid w:val="00FE6E76"/>
    <w:rsid w:val="00FF027B"/>
    <w:rsid w:val="00FF0434"/>
    <w:rsid w:val="00FF1174"/>
    <w:rsid w:val="00FF165A"/>
    <w:rsid w:val="00FF1B72"/>
    <w:rsid w:val="00FF1CF1"/>
    <w:rsid w:val="00FF1F4C"/>
    <w:rsid w:val="00FF302D"/>
    <w:rsid w:val="00FF35DC"/>
    <w:rsid w:val="00FF3A6A"/>
    <w:rsid w:val="00FF3C7A"/>
    <w:rsid w:val="00FF3E09"/>
    <w:rsid w:val="00FF409E"/>
    <w:rsid w:val="00FF411C"/>
    <w:rsid w:val="00FF4B2E"/>
    <w:rsid w:val="00FF4C1A"/>
    <w:rsid w:val="00FF4E4B"/>
    <w:rsid w:val="00FF4E4E"/>
    <w:rsid w:val="00FF5049"/>
    <w:rsid w:val="00FF5D1F"/>
    <w:rsid w:val="00FF5F95"/>
    <w:rsid w:val="00FF60F8"/>
    <w:rsid w:val="00FF6126"/>
    <w:rsid w:val="00FF61F5"/>
    <w:rsid w:val="00FF62AA"/>
    <w:rsid w:val="00FF63EC"/>
    <w:rsid w:val="00FF64D7"/>
    <w:rsid w:val="00FF6B6C"/>
    <w:rsid w:val="00FF7096"/>
    <w:rsid w:val="01034108"/>
    <w:rsid w:val="010C6081"/>
    <w:rsid w:val="010D6FCA"/>
    <w:rsid w:val="01176277"/>
    <w:rsid w:val="011C5AC1"/>
    <w:rsid w:val="012C5903"/>
    <w:rsid w:val="0139550E"/>
    <w:rsid w:val="013A3C06"/>
    <w:rsid w:val="014D2841"/>
    <w:rsid w:val="015552D8"/>
    <w:rsid w:val="0163455F"/>
    <w:rsid w:val="0166112A"/>
    <w:rsid w:val="017E4CC6"/>
    <w:rsid w:val="01910C67"/>
    <w:rsid w:val="019674DF"/>
    <w:rsid w:val="01A80D17"/>
    <w:rsid w:val="01AA2C10"/>
    <w:rsid w:val="01AB5F71"/>
    <w:rsid w:val="01BA427D"/>
    <w:rsid w:val="01C36F91"/>
    <w:rsid w:val="01C9470B"/>
    <w:rsid w:val="01D152A8"/>
    <w:rsid w:val="01D93FD5"/>
    <w:rsid w:val="01E65A1C"/>
    <w:rsid w:val="01E9644E"/>
    <w:rsid w:val="01EA65AA"/>
    <w:rsid w:val="020800EB"/>
    <w:rsid w:val="020E5F93"/>
    <w:rsid w:val="02226D24"/>
    <w:rsid w:val="023717FF"/>
    <w:rsid w:val="02411281"/>
    <w:rsid w:val="024E02E4"/>
    <w:rsid w:val="02564175"/>
    <w:rsid w:val="025C3749"/>
    <w:rsid w:val="02746F67"/>
    <w:rsid w:val="02780B3C"/>
    <w:rsid w:val="027B0291"/>
    <w:rsid w:val="02854023"/>
    <w:rsid w:val="02856A7B"/>
    <w:rsid w:val="028B2BD0"/>
    <w:rsid w:val="029126DA"/>
    <w:rsid w:val="029A10AB"/>
    <w:rsid w:val="029D217C"/>
    <w:rsid w:val="029E6AE8"/>
    <w:rsid w:val="02AC4167"/>
    <w:rsid w:val="02AE4114"/>
    <w:rsid w:val="02B47B04"/>
    <w:rsid w:val="02C258CD"/>
    <w:rsid w:val="02E00324"/>
    <w:rsid w:val="02EC38AE"/>
    <w:rsid w:val="02EF2586"/>
    <w:rsid w:val="02F07C02"/>
    <w:rsid w:val="02F166C3"/>
    <w:rsid w:val="03011116"/>
    <w:rsid w:val="030874B4"/>
    <w:rsid w:val="03106A59"/>
    <w:rsid w:val="0314634C"/>
    <w:rsid w:val="0322186A"/>
    <w:rsid w:val="032954D1"/>
    <w:rsid w:val="0332123A"/>
    <w:rsid w:val="03363D5E"/>
    <w:rsid w:val="033677A8"/>
    <w:rsid w:val="03501B44"/>
    <w:rsid w:val="035811E5"/>
    <w:rsid w:val="035B1660"/>
    <w:rsid w:val="035E0516"/>
    <w:rsid w:val="036C55B2"/>
    <w:rsid w:val="036C6CC5"/>
    <w:rsid w:val="0375457C"/>
    <w:rsid w:val="037738D8"/>
    <w:rsid w:val="037B2D5D"/>
    <w:rsid w:val="037C7B94"/>
    <w:rsid w:val="03827D70"/>
    <w:rsid w:val="03873FC6"/>
    <w:rsid w:val="038B77B2"/>
    <w:rsid w:val="03923BBD"/>
    <w:rsid w:val="039A2CDC"/>
    <w:rsid w:val="039F746D"/>
    <w:rsid w:val="03A26EF0"/>
    <w:rsid w:val="03BE6451"/>
    <w:rsid w:val="03C2752E"/>
    <w:rsid w:val="03C91E88"/>
    <w:rsid w:val="03D2110F"/>
    <w:rsid w:val="03D243E2"/>
    <w:rsid w:val="03D2718E"/>
    <w:rsid w:val="03DB75D8"/>
    <w:rsid w:val="03E87938"/>
    <w:rsid w:val="03E922CC"/>
    <w:rsid w:val="03EE579D"/>
    <w:rsid w:val="04060228"/>
    <w:rsid w:val="041417F6"/>
    <w:rsid w:val="04244AC2"/>
    <w:rsid w:val="042B7A79"/>
    <w:rsid w:val="04346AFF"/>
    <w:rsid w:val="04357325"/>
    <w:rsid w:val="04421E87"/>
    <w:rsid w:val="044C3F59"/>
    <w:rsid w:val="04513810"/>
    <w:rsid w:val="04545564"/>
    <w:rsid w:val="04547F14"/>
    <w:rsid w:val="04563927"/>
    <w:rsid w:val="04602913"/>
    <w:rsid w:val="047056ED"/>
    <w:rsid w:val="0481345B"/>
    <w:rsid w:val="04824572"/>
    <w:rsid w:val="048275B9"/>
    <w:rsid w:val="0498035F"/>
    <w:rsid w:val="04AC2BE6"/>
    <w:rsid w:val="04AC68D0"/>
    <w:rsid w:val="04AD29EB"/>
    <w:rsid w:val="04AE2EED"/>
    <w:rsid w:val="04B07A79"/>
    <w:rsid w:val="04B903AE"/>
    <w:rsid w:val="04C05AD2"/>
    <w:rsid w:val="04C20298"/>
    <w:rsid w:val="04CE3CD6"/>
    <w:rsid w:val="04D679F6"/>
    <w:rsid w:val="04DA135C"/>
    <w:rsid w:val="04DB1DAE"/>
    <w:rsid w:val="04DB3785"/>
    <w:rsid w:val="04DF0BD8"/>
    <w:rsid w:val="04E06176"/>
    <w:rsid w:val="04E07D8C"/>
    <w:rsid w:val="04F405E4"/>
    <w:rsid w:val="04F936CC"/>
    <w:rsid w:val="0509387B"/>
    <w:rsid w:val="0514062F"/>
    <w:rsid w:val="05164F0C"/>
    <w:rsid w:val="052F0B1A"/>
    <w:rsid w:val="05303928"/>
    <w:rsid w:val="0531074A"/>
    <w:rsid w:val="055F4F93"/>
    <w:rsid w:val="05665518"/>
    <w:rsid w:val="05870883"/>
    <w:rsid w:val="05887541"/>
    <w:rsid w:val="058A6DFF"/>
    <w:rsid w:val="059305D6"/>
    <w:rsid w:val="05A137E9"/>
    <w:rsid w:val="05A96137"/>
    <w:rsid w:val="05B66036"/>
    <w:rsid w:val="05B932EF"/>
    <w:rsid w:val="05C56FE7"/>
    <w:rsid w:val="05CA494E"/>
    <w:rsid w:val="05D5029C"/>
    <w:rsid w:val="05D6354A"/>
    <w:rsid w:val="05D915BF"/>
    <w:rsid w:val="05DB207A"/>
    <w:rsid w:val="05E461DB"/>
    <w:rsid w:val="05F70062"/>
    <w:rsid w:val="06050128"/>
    <w:rsid w:val="061623DD"/>
    <w:rsid w:val="0621683D"/>
    <w:rsid w:val="062201B3"/>
    <w:rsid w:val="06225569"/>
    <w:rsid w:val="062672BC"/>
    <w:rsid w:val="062856CA"/>
    <w:rsid w:val="062A49D2"/>
    <w:rsid w:val="06335167"/>
    <w:rsid w:val="06341954"/>
    <w:rsid w:val="0635519F"/>
    <w:rsid w:val="065C4B0E"/>
    <w:rsid w:val="06607C4C"/>
    <w:rsid w:val="066566CC"/>
    <w:rsid w:val="066B0764"/>
    <w:rsid w:val="066D46BA"/>
    <w:rsid w:val="06803639"/>
    <w:rsid w:val="06846541"/>
    <w:rsid w:val="068E0A24"/>
    <w:rsid w:val="068F4943"/>
    <w:rsid w:val="06931072"/>
    <w:rsid w:val="06AF1048"/>
    <w:rsid w:val="06B543D8"/>
    <w:rsid w:val="06CB2662"/>
    <w:rsid w:val="06EB65BF"/>
    <w:rsid w:val="06F95E3E"/>
    <w:rsid w:val="06FC5922"/>
    <w:rsid w:val="07113AFA"/>
    <w:rsid w:val="071709E2"/>
    <w:rsid w:val="071877BD"/>
    <w:rsid w:val="075F0692"/>
    <w:rsid w:val="0760755B"/>
    <w:rsid w:val="077B1B3F"/>
    <w:rsid w:val="07827685"/>
    <w:rsid w:val="078F35DA"/>
    <w:rsid w:val="079323CA"/>
    <w:rsid w:val="079D2218"/>
    <w:rsid w:val="07AB531D"/>
    <w:rsid w:val="07B70B7B"/>
    <w:rsid w:val="07B76CEE"/>
    <w:rsid w:val="07CB1BC0"/>
    <w:rsid w:val="07D30E86"/>
    <w:rsid w:val="07E73A9D"/>
    <w:rsid w:val="07E93ACC"/>
    <w:rsid w:val="080D5584"/>
    <w:rsid w:val="080F2C5B"/>
    <w:rsid w:val="08124707"/>
    <w:rsid w:val="083626CD"/>
    <w:rsid w:val="083E25AB"/>
    <w:rsid w:val="08412C00"/>
    <w:rsid w:val="084A6C12"/>
    <w:rsid w:val="084F0FF3"/>
    <w:rsid w:val="086216FC"/>
    <w:rsid w:val="08684C42"/>
    <w:rsid w:val="0872382C"/>
    <w:rsid w:val="08842525"/>
    <w:rsid w:val="08966AD9"/>
    <w:rsid w:val="08980725"/>
    <w:rsid w:val="08B5504C"/>
    <w:rsid w:val="08B577E5"/>
    <w:rsid w:val="08BD1054"/>
    <w:rsid w:val="08BF5D29"/>
    <w:rsid w:val="08D31906"/>
    <w:rsid w:val="08D6513A"/>
    <w:rsid w:val="08DD1F68"/>
    <w:rsid w:val="08E34CAB"/>
    <w:rsid w:val="08ED73BD"/>
    <w:rsid w:val="08EE243C"/>
    <w:rsid w:val="08F03D11"/>
    <w:rsid w:val="08F53B23"/>
    <w:rsid w:val="090A3F1A"/>
    <w:rsid w:val="090F0F4E"/>
    <w:rsid w:val="091D39C8"/>
    <w:rsid w:val="0923113F"/>
    <w:rsid w:val="09421B42"/>
    <w:rsid w:val="094909CD"/>
    <w:rsid w:val="094B759A"/>
    <w:rsid w:val="094C3260"/>
    <w:rsid w:val="095B2C36"/>
    <w:rsid w:val="09641F4F"/>
    <w:rsid w:val="097F4D99"/>
    <w:rsid w:val="0981027F"/>
    <w:rsid w:val="098675A1"/>
    <w:rsid w:val="09886B94"/>
    <w:rsid w:val="098B2CD5"/>
    <w:rsid w:val="099F25B0"/>
    <w:rsid w:val="09B20933"/>
    <w:rsid w:val="09B223A4"/>
    <w:rsid w:val="09B41737"/>
    <w:rsid w:val="09B879EE"/>
    <w:rsid w:val="09CB4CD3"/>
    <w:rsid w:val="09D4100C"/>
    <w:rsid w:val="09DA325B"/>
    <w:rsid w:val="09E561EC"/>
    <w:rsid w:val="09E746A0"/>
    <w:rsid w:val="09EE3952"/>
    <w:rsid w:val="0A061891"/>
    <w:rsid w:val="0A070656"/>
    <w:rsid w:val="0A0C087B"/>
    <w:rsid w:val="0A11474F"/>
    <w:rsid w:val="0A1B17B2"/>
    <w:rsid w:val="0A1B5E6B"/>
    <w:rsid w:val="0A1D7A67"/>
    <w:rsid w:val="0A2E57CA"/>
    <w:rsid w:val="0A382368"/>
    <w:rsid w:val="0A3B6641"/>
    <w:rsid w:val="0A4D28C4"/>
    <w:rsid w:val="0A4F713E"/>
    <w:rsid w:val="0A56508E"/>
    <w:rsid w:val="0A5C6B64"/>
    <w:rsid w:val="0A661DAB"/>
    <w:rsid w:val="0A703AA8"/>
    <w:rsid w:val="0A742AB5"/>
    <w:rsid w:val="0A7C090B"/>
    <w:rsid w:val="0A7E3CBF"/>
    <w:rsid w:val="0A804DF2"/>
    <w:rsid w:val="0A8701E4"/>
    <w:rsid w:val="0A913ED8"/>
    <w:rsid w:val="0AA006D5"/>
    <w:rsid w:val="0AC24FE9"/>
    <w:rsid w:val="0AC31E38"/>
    <w:rsid w:val="0ACD2D84"/>
    <w:rsid w:val="0AD73565"/>
    <w:rsid w:val="0AE15D7C"/>
    <w:rsid w:val="0AE325DA"/>
    <w:rsid w:val="0AE4436C"/>
    <w:rsid w:val="0AEA20C6"/>
    <w:rsid w:val="0B0072AF"/>
    <w:rsid w:val="0B062B5F"/>
    <w:rsid w:val="0B1000E3"/>
    <w:rsid w:val="0B1052F5"/>
    <w:rsid w:val="0B14772C"/>
    <w:rsid w:val="0B24171E"/>
    <w:rsid w:val="0B2B6A8F"/>
    <w:rsid w:val="0B2F0A72"/>
    <w:rsid w:val="0B38572B"/>
    <w:rsid w:val="0B490298"/>
    <w:rsid w:val="0B5157C8"/>
    <w:rsid w:val="0B5C5F49"/>
    <w:rsid w:val="0B616FF0"/>
    <w:rsid w:val="0B6D5818"/>
    <w:rsid w:val="0B6E5911"/>
    <w:rsid w:val="0B6F66C5"/>
    <w:rsid w:val="0B983851"/>
    <w:rsid w:val="0BA13F3D"/>
    <w:rsid w:val="0BC02426"/>
    <w:rsid w:val="0BCE1A33"/>
    <w:rsid w:val="0BE35EB6"/>
    <w:rsid w:val="0BF21956"/>
    <w:rsid w:val="0BFE23F8"/>
    <w:rsid w:val="0C046409"/>
    <w:rsid w:val="0C1C4C12"/>
    <w:rsid w:val="0C285A31"/>
    <w:rsid w:val="0C326F9B"/>
    <w:rsid w:val="0C456F4A"/>
    <w:rsid w:val="0C703982"/>
    <w:rsid w:val="0C874EE1"/>
    <w:rsid w:val="0C8C747D"/>
    <w:rsid w:val="0C9A065E"/>
    <w:rsid w:val="0C9B1363"/>
    <w:rsid w:val="0CA16408"/>
    <w:rsid w:val="0CA95CBD"/>
    <w:rsid w:val="0CBC5FD8"/>
    <w:rsid w:val="0CC776FF"/>
    <w:rsid w:val="0CC852D2"/>
    <w:rsid w:val="0CD21ED4"/>
    <w:rsid w:val="0CDF5385"/>
    <w:rsid w:val="0CE46695"/>
    <w:rsid w:val="0CF70A35"/>
    <w:rsid w:val="0CF74B7F"/>
    <w:rsid w:val="0D08650C"/>
    <w:rsid w:val="0D0916D6"/>
    <w:rsid w:val="0D1764A1"/>
    <w:rsid w:val="0D17780C"/>
    <w:rsid w:val="0D1C3F8B"/>
    <w:rsid w:val="0D2029BC"/>
    <w:rsid w:val="0D400607"/>
    <w:rsid w:val="0D462015"/>
    <w:rsid w:val="0D4C512D"/>
    <w:rsid w:val="0D4E1D51"/>
    <w:rsid w:val="0D584403"/>
    <w:rsid w:val="0D6945C5"/>
    <w:rsid w:val="0D6F1C23"/>
    <w:rsid w:val="0D770C6A"/>
    <w:rsid w:val="0D811859"/>
    <w:rsid w:val="0D8238FA"/>
    <w:rsid w:val="0D865514"/>
    <w:rsid w:val="0D882AF1"/>
    <w:rsid w:val="0DB31D06"/>
    <w:rsid w:val="0DBC0BF9"/>
    <w:rsid w:val="0DC31978"/>
    <w:rsid w:val="0DC9512C"/>
    <w:rsid w:val="0DCD372C"/>
    <w:rsid w:val="0DE62E89"/>
    <w:rsid w:val="0DE71974"/>
    <w:rsid w:val="0DE9705D"/>
    <w:rsid w:val="0DF20FFD"/>
    <w:rsid w:val="0E0554CB"/>
    <w:rsid w:val="0E0D28F1"/>
    <w:rsid w:val="0E2B78C0"/>
    <w:rsid w:val="0E2E05D5"/>
    <w:rsid w:val="0E321390"/>
    <w:rsid w:val="0E3262D8"/>
    <w:rsid w:val="0E4170EA"/>
    <w:rsid w:val="0E45684A"/>
    <w:rsid w:val="0E4C676C"/>
    <w:rsid w:val="0E534034"/>
    <w:rsid w:val="0E5E43A1"/>
    <w:rsid w:val="0E631B21"/>
    <w:rsid w:val="0E73309E"/>
    <w:rsid w:val="0E8B41D0"/>
    <w:rsid w:val="0E8D52F5"/>
    <w:rsid w:val="0E8F5422"/>
    <w:rsid w:val="0E961623"/>
    <w:rsid w:val="0EA43809"/>
    <w:rsid w:val="0EA71D4C"/>
    <w:rsid w:val="0EB21234"/>
    <w:rsid w:val="0ED71A24"/>
    <w:rsid w:val="0EDE71DE"/>
    <w:rsid w:val="0EDF3AAF"/>
    <w:rsid w:val="0EF41AF1"/>
    <w:rsid w:val="0F04781F"/>
    <w:rsid w:val="0F0C7957"/>
    <w:rsid w:val="0F102C31"/>
    <w:rsid w:val="0F1A620D"/>
    <w:rsid w:val="0F28132C"/>
    <w:rsid w:val="0F2A5365"/>
    <w:rsid w:val="0F2D50E4"/>
    <w:rsid w:val="0F401727"/>
    <w:rsid w:val="0F503BCA"/>
    <w:rsid w:val="0F5E530A"/>
    <w:rsid w:val="0F616A87"/>
    <w:rsid w:val="0F64775C"/>
    <w:rsid w:val="0F657030"/>
    <w:rsid w:val="0F7400A8"/>
    <w:rsid w:val="0F79684A"/>
    <w:rsid w:val="0F7A33AF"/>
    <w:rsid w:val="0F7F4EF8"/>
    <w:rsid w:val="0F855BBA"/>
    <w:rsid w:val="0F8C6CB2"/>
    <w:rsid w:val="0FA24CF1"/>
    <w:rsid w:val="0FAC5860"/>
    <w:rsid w:val="0FBA737B"/>
    <w:rsid w:val="0FBB6905"/>
    <w:rsid w:val="0FBC6906"/>
    <w:rsid w:val="0FC65603"/>
    <w:rsid w:val="0FCD27ED"/>
    <w:rsid w:val="0FD14A29"/>
    <w:rsid w:val="0FD51F37"/>
    <w:rsid w:val="0FDA030E"/>
    <w:rsid w:val="0FDD106D"/>
    <w:rsid w:val="0FDD1BAD"/>
    <w:rsid w:val="0FDD5CCF"/>
    <w:rsid w:val="0FEF1866"/>
    <w:rsid w:val="100663F8"/>
    <w:rsid w:val="10093493"/>
    <w:rsid w:val="10152F60"/>
    <w:rsid w:val="101A32A5"/>
    <w:rsid w:val="101C0A97"/>
    <w:rsid w:val="102777FF"/>
    <w:rsid w:val="103D78DE"/>
    <w:rsid w:val="10437371"/>
    <w:rsid w:val="104555A7"/>
    <w:rsid w:val="10517C3D"/>
    <w:rsid w:val="10580ABA"/>
    <w:rsid w:val="1059713D"/>
    <w:rsid w:val="105C2AD5"/>
    <w:rsid w:val="106166F8"/>
    <w:rsid w:val="1065174F"/>
    <w:rsid w:val="10692381"/>
    <w:rsid w:val="106A4C39"/>
    <w:rsid w:val="10780FD8"/>
    <w:rsid w:val="10785D09"/>
    <w:rsid w:val="107B789C"/>
    <w:rsid w:val="108D2D19"/>
    <w:rsid w:val="109A2F8E"/>
    <w:rsid w:val="10AA28B3"/>
    <w:rsid w:val="10AB3125"/>
    <w:rsid w:val="10AB5C1E"/>
    <w:rsid w:val="10CC62A6"/>
    <w:rsid w:val="10D10EE0"/>
    <w:rsid w:val="10DE2A3C"/>
    <w:rsid w:val="10F638E1"/>
    <w:rsid w:val="10F67974"/>
    <w:rsid w:val="11097F45"/>
    <w:rsid w:val="111706A3"/>
    <w:rsid w:val="11452F49"/>
    <w:rsid w:val="11537397"/>
    <w:rsid w:val="115C2BCB"/>
    <w:rsid w:val="11630626"/>
    <w:rsid w:val="116C3197"/>
    <w:rsid w:val="116C70C2"/>
    <w:rsid w:val="117224F8"/>
    <w:rsid w:val="11741796"/>
    <w:rsid w:val="11760150"/>
    <w:rsid w:val="11771182"/>
    <w:rsid w:val="1190464A"/>
    <w:rsid w:val="11910A9F"/>
    <w:rsid w:val="11924216"/>
    <w:rsid w:val="11991941"/>
    <w:rsid w:val="119B16ED"/>
    <w:rsid w:val="119D1DC6"/>
    <w:rsid w:val="11B26D5A"/>
    <w:rsid w:val="11B2734A"/>
    <w:rsid w:val="11B31879"/>
    <w:rsid w:val="11CB0965"/>
    <w:rsid w:val="11CD2769"/>
    <w:rsid w:val="11CE1F57"/>
    <w:rsid w:val="11E120A8"/>
    <w:rsid w:val="11FC0BC0"/>
    <w:rsid w:val="12043EDC"/>
    <w:rsid w:val="12046FD4"/>
    <w:rsid w:val="120E4356"/>
    <w:rsid w:val="12137103"/>
    <w:rsid w:val="12166728"/>
    <w:rsid w:val="121F52C1"/>
    <w:rsid w:val="122970EE"/>
    <w:rsid w:val="122D44E4"/>
    <w:rsid w:val="12346A6B"/>
    <w:rsid w:val="1235401B"/>
    <w:rsid w:val="12355512"/>
    <w:rsid w:val="123757C5"/>
    <w:rsid w:val="123F000C"/>
    <w:rsid w:val="1261011B"/>
    <w:rsid w:val="12673EBD"/>
    <w:rsid w:val="12726700"/>
    <w:rsid w:val="1283273A"/>
    <w:rsid w:val="1285157E"/>
    <w:rsid w:val="128D7EBC"/>
    <w:rsid w:val="129733ED"/>
    <w:rsid w:val="12A03736"/>
    <w:rsid w:val="12A118FB"/>
    <w:rsid w:val="12B15E6D"/>
    <w:rsid w:val="12BA0F11"/>
    <w:rsid w:val="12C1660B"/>
    <w:rsid w:val="12C6573B"/>
    <w:rsid w:val="12DB58BA"/>
    <w:rsid w:val="12E20CFB"/>
    <w:rsid w:val="12E34E3B"/>
    <w:rsid w:val="130B3C4E"/>
    <w:rsid w:val="131A0FFF"/>
    <w:rsid w:val="131D659F"/>
    <w:rsid w:val="1328004F"/>
    <w:rsid w:val="13347E7B"/>
    <w:rsid w:val="133574DA"/>
    <w:rsid w:val="1336306E"/>
    <w:rsid w:val="13382206"/>
    <w:rsid w:val="133923AC"/>
    <w:rsid w:val="133D2F0D"/>
    <w:rsid w:val="135801A2"/>
    <w:rsid w:val="13656A0E"/>
    <w:rsid w:val="13692E14"/>
    <w:rsid w:val="13697BA7"/>
    <w:rsid w:val="138048C9"/>
    <w:rsid w:val="138E6D8B"/>
    <w:rsid w:val="13977E74"/>
    <w:rsid w:val="13A27DB1"/>
    <w:rsid w:val="13A87C47"/>
    <w:rsid w:val="13B01929"/>
    <w:rsid w:val="13B41096"/>
    <w:rsid w:val="13B72DA9"/>
    <w:rsid w:val="13C15063"/>
    <w:rsid w:val="13C763B4"/>
    <w:rsid w:val="13DF6B08"/>
    <w:rsid w:val="13EC5662"/>
    <w:rsid w:val="13EE2CF7"/>
    <w:rsid w:val="13F13087"/>
    <w:rsid w:val="13F94522"/>
    <w:rsid w:val="13FD58CB"/>
    <w:rsid w:val="13FE593D"/>
    <w:rsid w:val="14040280"/>
    <w:rsid w:val="140B7581"/>
    <w:rsid w:val="140C0DE6"/>
    <w:rsid w:val="14327E66"/>
    <w:rsid w:val="143768F3"/>
    <w:rsid w:val="143F74AE"/>
    <w:rsid w:val="14456D19"/>
    <w:rsid w:val="14553C9A"/>
    <w:rsid w:val="14666FBD"/>
    <w:rsid w:val="1467328B"/>
    <w:rsid w:val="146F2C7A"/>
    <w:rsid w:val="14740CA0"/>
    <w:rsid w:val="147E5C70"/>
    <w:rsid w:val="148E4F4B"/>
    <w:rsid w:val="148F5DB4"/>
    <w:rsid w:val="149439F2"/>
    <w:rsid w:val="14966349"/>
    <w:rsid w:val="149E4992"/>
    <w:rsid w:val="149F6004"/>
    <w:rsid w:val="14A7517E"/>
    <w:rsid w:val="14A80E11"/>
    <w:rsid w:val="14AA59A2"/>
    <w:rsid w:val="14B02906"/>
    <w:rsid w:val="14B7167C"/>
    <w:rsid w:val="14CF67F7"/>
    <w:rsid w:val="14D24762"/>
    <w:rsid w:val="14E93FA7"/>
    <w:rsid w:val="14EE1E1D"/>
    <w:rsid w:val="14EF13EF"/>
    <w:rsid w:val="14F72B49"/>
    <w:rsid w:val="150162F0"/>
    <w:rsid w:val="150D43F1"/>
    <w:rsid w:val="1513105A"/>
    <w:rsid w:val="15165A56"/>
    <w:rsid w:val="151B4D60"/>
    <w:rsid w:val="15230610"/>
    <w:rsid w:val="15353CAC"/>
    <w:rsid w:val="15606196"/>
    <w:rsid w:val="156328B7"/>
    <w:rsid w:val="15642C57"/>
    <w:rsid w:val="1575054D"/>
    <w:rsid w:val="15800C4D"/>
    <w:rsid w:val="158122B2"/>
    <w:rsid w:val="15911AA7"/>
    <w:rsid w:val="1592161E"/>
    <w:rsid w:val="159E4BEF"/>
    <w:rsid w:val="15A5511C"/>
    <w:rsid w:val="15A87FCF"/>
    <w:rsid w:val="15AE1730"/>
    <w:rsid w:val="15B11650"/>
    <w:rsid w:val="15CD4793"/>
    <w:rsid w:val="15CE646D"/>
    <w:rsid w:val="15D83BFD"/>
    <w:rsid w:val="15EE1363"/>
    <w:rsid w:val="16040312"/>
    <w:rsid w:val="160A1357"/>
    <w:rsid w:val="16110ABA"/>
    <w:rsid w:val="16162A99"/>
    <w:rsid w:val="162175C6"/>
    <w:rsid w:val="165A3666"/>
    <w:rsid w:val="166E1DDF"/>
    <w:rsid w:val="166E6ED6"/>
    <w:rsid w:val="16750545"/>
    <w:rsid w:val="169C0A2C"/>
    <w:rsid w:val="16A073D6"/>
    <w:rsid w:val="16A71E71"/>
    <w:rsid w:val="16B21EC5"/>
    <w:rsid w:val="16C105F3"/>
    <w:rsid w:val="16C674B5"/>
    <w:rsid w:val="16D209E6"/>
    <w:rsid w:val="16D91E1C"/>
    <w:rsid w:val="16DD7AF2"/>
    <w:rsid w:val="16F36825"/>
    <w:rsid w:val="16F46966"/>
    <w:rsid w:val="16FE3AA9"/>
    <w:rsid w:val="16FE7A9C"/>
    <w:rsid w:val="170278C7"/>
    <w:rsid w:val="17041735"/>
    <w:rsid w:val="17061020"/>
    <w:rsid w:val="17136BEC"/>
    <w:rsid w:val="17256640"/>
    <w:rsid w:val="1731315C"/>
    <w:rsid w:val="17343447"/>
    <w:rsid w:val="17363C8E"/>
    <w:rsid w:val="173E74AA"/>
    <w:rsid w:val="1741572F"/>
    <w:rsid w:val="174D38A9"/>
    <w:rsid w:val="175D3898"/>
    <w:rsid w:val="17A720DB"/>
    <w:rsid w:val="17BF1FF6"/>
    <w:rsid w:val="17C17D2D"/>
    <w:rsid w:val="17CD4744"/>
    <w:rsid w:val="17F34C87"/>
    <w:rsid w:val="18046211"/>
    <w:rsid w:val="18061963"/>
    <w:rsid w:val="180A06E1"/>
    <w:rsid w:val="180B5CE4"/>
    <w:rsid w:val="1812676C"/>
    <w:rsid w:val="181607A6"/>
    <w:rsid w:val="181B21B1"/>
    <w:rsid w:val="181B6A66"/>
    <w:rsid w:val="18236E56"/>
    <w:rsid w:val="1836094B"/>
    <w:rsid w:val="18370AF1"/>
    <w:rsid w:val="183F15E8"/>
    <w:rsid w:val="185357FC"/>
    <w:rsid w:val="18542982"/>
    <w:rsid w:val="18552EBE"/>
    <w:rsid w:val="185D6055"/>
    <w:rsid w:val="18655DF2"/>
    <w:rsid w:val="186F3812"/>
    <w:rsid w:val="18732ADD"/>
    <w:rsid w:val="18735649"/>
    <w:rsid w:val="189439F5"/>
    <w:rsid w:val="18990A5A"/>
    <w:rsid w:val="189B2319"/>
    <w:rsid w:val="189F3044"/>
    <w:rsid w:val="18CC05A0"/>
    <w:rsid w:val="18D170C4"/>
    <w:rsid w:val="18DC5E12"/>
    <w:rsid w:val="18E00D39"/>
    <w:rsid w:val="18E9353F"/>
    <w:rsid w:val="18EB0266"/>
    <w:rsid w:val="190C7E79"/>
    <w:rsid w:val="191F39CA"/>
    <w:rsid w:val="19367A7C"/>
    <w:rsid w:val="194927FE"/>
    <w:rsid w:val="19594254"/>
    <w:rsid w:val="196713F3"/>
    <w:rsid w:val="1975767F"/>
    <w:rsid w:val="19950B6D"/>
    <w:rsid w:val="19A31619"/>
    <w:rsid w:val="19B24614"/>
    <w:rsid w:val="19B71285"/>
    <w:rsid w:val="19B71B6A"/>
    <w:rsid w:val="19BB137D"/>
    <w:rsid w:val="19BF1D56"/>
    <w:rsid w:val="19C21CEC"/>
    <w:rsid w:val="19CA07E2"/>
    <w:rsid w:val="19D21A45"/>
    <w:rsid w:val="19DB7068"/>
    <w:rsid w:val="19DF5EA5"/>
    <w:rsid w:val="19EA5F78"/>
    <w:rsid w:val="19F075F2"/>
    <w:rsid w:val="19F87060"/>
    <w:rsid w:val="1A014CAA"/>
    <w:rsid w:val="1A0164A6"/>
    <w:rsid w:val="1A032F9B"/>
    <w:rsid w:val="1A09575E"/>
    <w:rsid w:val="1A2D20A3"/>
    <w:rsid w:val="1A2E10F0"/>
    <w:rsid w:val="1A3B4A76"/>
    <w:rsid w:val="1A442DE9"/>
    <w:rsid w:val="1A4B2090"/>
    <w:rsid w:val="1A6E45F8"/>
    <w:rsid w:val="1A6F22C5"/>
    <w:rsid w:val="1A863B1A"/>
    <w:rsid w:val="1A9C331E"/>
    <w:rsid w:val="1AA36F72"/>
    <w:rsid w:val="1AA72C1C"/>
    <w:rsid w:val="1ABF572D"/>
    <w:rsid w:val="1ACC4FC2"/>
    <w:rsid w:val="1ADE73E9"/>
    <w:rsid w:val="1AE1296A"/>
    <w:rsid w:val="1AE978A5"/>
    <w:rsid w:val="1AEE5B82"/>
    <w:rsid w:val="1AF11532"/>
    <w:rsid w:val="1B04658F"/>
    <w:rsid w:val="1B1617CA"/>
    <w:rsid w:val="1B1D6758"/>
    <w:rsid w:val="1B3E6445"/>
    <w:rsid w:val="1B4139CA"/>
    <w:rsid w:val="1B5A72B8"/>
    <w:rsid w:val="1B5D7840"/>
    <w:rsid w:val="1B60159D"/>
    <w:rsid w:val="1B657A15"/>
    <w:rsid w:val="1B6E2F51"/>
    <w:rsid w:val="1B7235B5"/>
    <w:rsid w:val="1B7A6ED9"/>
    <w:rsid w:val="1B7C7BCE"/>
    <w:rsid w:val="1B80487E"/>
    <w:rsid w:val="1B804C3A"/>
    <w:rsid w:val="1B853315"/>
    <w:rsid w:val="1B99078D"/>
    <w:rsid w:val="1BA03F5D"/>
    <w:rsid w:val="1BA66073"/>
    <w:rsid w:val="1BC13203"/>
    <w:rsid w:val="1BC363A9"/>
    <w:rsid w:val="1BC96F52"/>
    <w:rsid w:val="1BD823CC"/>
    <w:rsid w:val="1BE04C8B"/>
    <w:rsid w:val="1BE17DE8"/>
    <w:rsid w:val="1BE208DA"/>
    <w:rsid w:val="1C2C676F"/>
    <w:rsid w:val="1C301FEC"/>
    <w:rsid w:val="1C307ED6"/>
    <w:rsid w:val="1C31288F"/>
    <w:rsid w:val="1C64144F"/>
    <w:rsid w:val="1C76127E"/>
    <w:rsid w:val="1C921905"/>
    <w:rsid w:val="1C9268E8"/>
    <w:rsid w:val="1C9507F0"/>
    <w:rsid w:val="1C976A9C"/>
    <w:rsid w:val="1C9A5EBD"/>
    <w:rsid w:val="1CAD1C87"/>
    <w:rsid w:val="1CBA605C"/>
    <w:rsid w:val="1CCE2676"/>
    <w:rsid w:val="1CD15671"/>
    <w:rsid w:val="1CE45045"/>
    <w:rsid w:val="1CE916C5"/>
    <w:rsid w:val="1D1A1D7D"/>
    <w:rsid w:val="1D23083F"/>
    <w:rsid w:val="1D2C2F89"/>
    <w:rsid w:val="1D321E13"/>
    <w:rsid w:val="1D3D3B36"/>
    <w:rsid w:val="1D427040"/>
    <w:rsid w:val="1D491482"/>
    <w:rsid w:val="1D4D5CD3"/>
    <w:rsid w:val="1D623AEA"/>
    <w:rsid w:val="1D661CDF"/>
    <w:rsid w:val="1D662222"/>
    <w:rsid w:val="1D666FB0"/>
    <w:rsid w:val="1D6907CB"/>
    <w:rsid w:val="1D6C189F"/>
    <w:rsid w:val="1D6D3179"/>
    <w:rsid w:val="1D7177B2"/>
    <w:rsid w:val="1D85655B"/>
    <w:rsid w:val="1D9365F3"/>
    <w:rsid w:val="1DA61042"/>
    <w:rsid w:val="1DA91E4B"/>
    <w:rsid w:val="1DB07084"/>
    <w:rsid w:val="1DB27D97"/>
    <w:rsid w:val="1DC9431C"/>
    <w:rsid w:val="1DD2442A"/>
    <w:rsid w:val="1DDE740E"/>
    <w:rsid w:val="1DEB772D"/>
    <w:rsid w:val="1DF35DC4"/>
    <w:rsid w:val="1DFB74DD"/>
    <w:rsid w:val="1E030A2F"/>
    <w:rsid w:val="1E0313EE"/>
    <w:rsid w:val="1E1A16A3"/>
    <w:rsid w:val="1E1A5EB9"/>
    <w:rsid w:val="1E283464"/>
    <w:rsid w:val="1E366767"/>
    <w:rsid w:val="1E5159A0"/>
    <w:rsid w:val="1E591215"/>
    <w:rsid w:val="1E621C03"/>
    <w:rsid w:val="1E635802"/>
    <w:rsid w:val="1E677980"/>
    <w:rsid w:val="1EA877CA"/>
    <w:rsid w:val="1EB0353F"/>
    <w:rsid w:val="1EB15DEE"/>
    <w:rsid w:val="1EB45DCE"/>
    <w:rsid w:val="1EB904D1"/>
    <w:rsid w:val="1ECF23FF"/>
    <w:rsid w:val="1ED62770"/>
    <w:rsid w:val="1EDA6BA6"/>
    <w:rsid w:val="1EDD0208"/>
    <w:rsid w:val="1EE13D60"/>
    <w:rsid w:val="1EE2244B"/>
    <w:rsid w:val="1F070DBD"/>
    <w:rsid w:val="1F1B1195"/>
    <w:rsid w:val="1F1D4EB4"/>
    <w:rsid w:val="1F20701C"/>
    <w:rsid w:val="1F240E2A"/>
    <w:rsid w:val="1F403975"/>
    <w:rsid w:val="1F4A30CA"/>
    <w:rsid w:val="1F4F3659"/>
    <w:rsid w:val="1F5B2DF9"/>
    <w:rsid w:val="1F5C03C8"/>
    <w:rsid w:val="1F750145"/>
    <w:rsid w:val="1F774690"/>
    <w:rsid w:val="1F7B040D"/>
    <w:rsid w:val="1F8B5771"/>
    <w:rsid w:val="1F8F3228"/>
    <w:rsid w:val="1F913503"/>
    <w:rsid w:val="1F974471"/>
    <w:rsid w:val="1F9C6235"/>
    <w:rsid w:val="1F9E0FB1"/>
    <w:rsid w:val="1FAD2EC1"/>
    <w:rsid w:val="1FAD52C6"/>
    <w:rsid w:val="1FB925AA"/>
    <w:rsid w:val="1FDB7302"/>
    <w:rsid w:val="1FEAEBF9"/>
    <w:rsid w:val="1FF5130A"/>
    <w:rsid w:val="1FF62FE7"/>
    <w:rsid w:val="20016A23"/>
    <w:rsid w:val="20123429"/>
    <w:rsid w:val="20210BED"/>
    <w:rsid w:val="202D4E94"/>
    <w:rsid w:val="20366D9F"/>
    <w:rsid w:val="203D076F"/>
    <w:rsid w:val="20431785"/>
    <w:rsid w:val="20446B2F"/>
    <w:rsid w:val="204D18A1"/>
    <w:rsid w:val="205B40EE"/>
    <w:rsid w:val="20735C86"/>
    <w:rsid w:val="207D24F8"/>
    <w:rsid w:val="208D1718"/>
    <w:rsid w:val="20921898"/>
    <w:rsid w:val="20940F4E"/>
    <w:rsid w:val="20AD39C3"/>
    <w:rsid w:val="20B36BAB"/>
    <w:rsid w:val="20B91DA7"/>
    <w:rsid w:val="20BE6C95"/>
    <w:rsid w:val="20D054CD"/>
    <w:rsid w:val="20FE507C"/>
    <w:rsid w:val="20FE58CD"/>
    <w:rsid w:val="21015060"/>
    <w:rsid w:val="21071BA9"/>
    <w:rsid w:val="21163AD3"/>
    <w:rsid w:val="21166388"/>
    <w:rsid w:val="21182CDA"/>
    <w:rsid w:val="212009A3"/>
    <w:rsid w:val="21303E9E"/>
    <w:rsid w:val="21314AC4"/>
    <w:rsid w:val="21423675"/>
    <w:rsid w:val="21455F84"/>
    <w:rsid w:val="214967B1"/>
    <w:rsid w:val="214F3920"/>
    <w:rsid w:val="21563D14"/>
    <w:rsid w:val="215B3D28"/>
    <w:rsid w:val="215D20B3"/>
    <w:rsid w:val="216E4EA1"/>
    <w:rsid w:val="21767F5F"/>
    <w:rsid w:val="217E172B"/>
    <w:rsid w:val="21846FCD"/>
    <w:rsid w:val="2187744F"/>
    <w:rsid w:val="21997739"/>
    <w:rsid w:val="21A7689B"/>
    <w:rsid w:val="21AF45FF"/>
    <w:rsid w:val="21B51F9F"/>
    <w:rsid w:val="21CB5418"/>
    <w:rsid w:val="21CD3442"/>
    <w:rsid w:val="21DA1AFF"/>
    <w:rsid w:val="21DC7625"/>
    <w:rsid w:val="21E214B4"/>
    <w:rsid w:val="21E8049D"/>
    <w:rsid w:val="21F70BEA"/>
    <w:rsid w:val="220A7473"/>
    <w:rsid w:val="220B40C7"/>
    <w:rsid w:val="220D4691"/>
    <w:rsid w:val="22180FED"/>
    <w:rsid w:val="222039B6"/>
    <w:rsid w:val="22236DB6"/>
    <w:rsid w:val="222818BB"/>
    <w:rsid w:val="222965DC"/>
    <w:rsid w:val="223053CE"/>
    <w:rsid w:val="22496E2C"/>
    <w:rsid w:val="224A045F"/>
    <w:rsid w:val="224F2712"/>
    <w:rsid w:val="22554A33"/>
    <w:rsid w:val="22617B2B"/>
    <w:rsid w:val="22647B55"/>
    <w:rsid w:val="22885D4F"/>
    <w:rsid w:val="229935A6"/>
    <w:rsid w:val="22A6780D"/>
    <w:rsid w:val="22AC04B1"/>
    <w:rsid w:val="22C11743"/>
    <w:rsid w:val="22D61C18"/>
    <w:rsid w:val="22D82796"/>
    <w:rsid w:val="22E01D6E"/>
    <w:rsid w:val="22F34E83"/>
    <w:rsid w:val="22F95D81"/>
    <w:rsid w:val="22FB0ABF"/>
    <w:rsid w:val="230A6631"/>
    <w:rsid w:val="23196A90"/>
    <w:rsid w:val="231C4CF1"/>
    <w:rsid w:val="2322782D"/>
    <w:rsid w:val="232E3EB1"/>
    <w:rsid w:val="233B7FE1"/>
    <w:rsid w:val="23493992"/>
    <w:rsid w:val="234C51DA"/>
    <w:rsid w:val="23545115"/>
    <w:rsid w:val="235B3BF2"/>
    <w:rsid w:val="235D6282"/>
    <w:rsid w:val="237D7816"/>
    <w:rsid w:val="238213AF"/>
    <w:rsid w:val="23865909"/>
    <w:rsid w:val="23882CE8"/>
    <w:rsid w:val="238F717E"/>
    <w:rsid w:val="23972B99"/>
    <w:rsid w:val="23BA2F75"/>
    <w:rsid w:val="23BF5807"/>
    <w:rsid w:val="23C81313"/>
    <w:rsid w:val="23C91D7F"/>
    <w:rsid w:val="23CC6262"/>
    <w:rsid w:val="23D7111E"/>
    <w:rsid w:val="23F10308"/>
    <w:rsid w:val="23F1555F"/>
    <w:rsid w:val="24067297"/>
    <w:rsid w:val="241071C0"/>
    <w:rsid w:val="244513B4"/>
    <w:rsid w:val="24494812"/>
    <w:rsid w:val="24582C7C"/>
    <w:rsid w:val="2458723F"/>
    <w:rsid w:val="245B6CE1"/>
    <w:rsid w:val="246F472A"/>
    <w:rsid w:val="247E48F7"/>
    <w:rsid w:val="24822706"/>
    <w:rsid w:val="2485704A"/>
    <w:rsid w:val="248C02AF"/>
    <w:rsid w:val="24977600"/>
    <w:rsid w:val="24A12ABE"/>
    <w:rsid w:val="24C32D1F"/>
    <w:rsid w:val="24F55AB1"/>
    <w:rsid w:val="250806A3"/>
    <w:rsid w:val="25140E84"/>
    <w:rsid w:val="251464C9"/>
    <w:rsid w:val="25152D4E"/>
    <w:rsid w:val="252E4584"/>
    <w:rsid w:val="252E4BA6"/>
    <w:rsid w:val="25301274"/>
    <w:rsid w:val="25365355"/>
    <w:rsid w:val="253F5EC8"/>
    <w:rsid w:val="25527338"/>
    <w:rsid w:val="255C5047"/>
    <w:rsid w:val="255E67B6"/>
    <w:rsid w:val="256D66EC"/>
    <w:rsid w:val="25761DE3"/>
    <w:rsid w:val="258119A8"/>
    <w:rsid w:val="25934C84"/>
    <w:rsid w:val="25A80F5B"/>
    <w:rsid w:val="25B551C4"/>
    <w:rsid w:val="25B67AEA"/>
    <w:rsid w:val="25C445CB"/>
    <w:rsid w:val="25D45847"/>
    <w:rsid w:val="25E95F98"/>
    <w:rsid w:val="25F72072"/>
    <w:rsid w:val="260E2982"/>
    <w:rsid w:val="262C7B50"/>
    <w:rsid w:val="263A15DC"/>
    <w:rsid w:val="263A37F6"/>
    <w:rsid w:val="263E7600"/>
    <w:rsid w:val="263F286D"/>
    <w:rsid w:val="26485532"/>
    <w:rsid w:val="26681572"/>
    <w:rsid w:val="267A4D80"/>
    <w:rsid w:val="267B4C7B"/>
    <w:rsid w:val="26814A4D"/>
    <w:rsid w:val="268916CC"/>
    <w:rsid w:val="26A40B50"/>
    <w:rsid w:val="26AC33FB"/>
    <w:rsid w:val="26AC6B02"/>
    <w:rsid w:val="26BE35D2"/>
    <w:rsid w:val="26C169F1"/>
    <w:rsid w:val="26C22702"/>
    <w:rsid w:val="26C42A01"/>
    <w:rsid w:val="26DB21E6"/>
    <w:rsid w:val="26F30948"/>
    <w:rsid w:val="26F5299E"/>
    <w:rsid w:val="26F950D7"/>
    <w:rsid w:val="26FC663C"/>
    <w:rsid w:val="2719573C"/>
    <w:rsid w:val="272F1A96"/>
    <w:rsid w:val="273E2CE2"/>
    <w:rsid w:val="274739A4"/>
    <w:rsid w:val="274829A5"/>
    <w:rsid w:val="275F284F"/>
    <w:rsid w:val="276951E4"/>
    <w:rsid w:val="276D652E"/>
    <w:rsid w:val="27761423"/>
    <w:rsid w:val="27A92D1C"/>
    <w:rsid w:val="27B612FD"/>
    <w:rsid w:val="27C822C5"/>
    <w:rsid w:val="27CC438C"/>
    <w:rsid w:val="27D62E1B"/>
    <w:rsid w:val="27E4583C"/>
    <w:rsid w:val="27E51BF2"/>
    <w:rsid w:val="27F92589"/>
    <w:rsid w:val="28047F9F"/>
    <w:rsid w:val="2810264B"/>
    <w:rsid w:val="28175A21"/>
    <w:rsid w:val="281C7DE2"/>
    <w:rsid w:val="282F3E2B"/>
    <w:rsid w:val="283E182C"/>
    <w:rsid w:val="28473658"/>
    <w:rsid w:val="285717B4"/>
    <w:rsid w:val="285A7EC6"/>
    <w:rsid w:val="2873361C"/>
    <w:rsid w:val="287F632D"/>
    <w:rsid w:val="28A75213"/>
    <w:rsid w:val="28DC520A"/>
    <w:rsid w:val="28E378EF"/>
    <w:rsid w:val="28ED6D26"/>
    <w:rsid w:val="28FF49CD"/>
    <w:rsid w:val="290D6BD2"/>
    <w:rsid w:val="291543F7"/>
    <w:rsid w:val="29321CE2"/>
    <w:rsid w:val="29465A3F"/>
    <w:rsid w:val="29565F0F"/>
    <w:rsid w:val="29683F62"/>
    <w:rsid w:val="297909CA"/>
    <w:rsid w:val="297B0CF7"/>
    <w:rsid w:val="29A0718A"/>
    <w:rsid w:val="29A0789B"/>
    <w:rsid w:val="29A34F29"/>
    <w:rsid w:val="29B13630"/>
    <w:rsid w:val="29B24931"/>
    <w:rsid w:val="29BA0599"/>
    <w:rsid w:val="29C06030"/>
    <w:rsid w:val="29C972FF"/>
    <w:rsid w:val="29DE3E92"/>
    <w:rsid w:val="29E82D7B"/>
    <w:rsid w:val="29F07EC3"/>
    <w:rsid w:val="2A07105B"/>
    <w:rsid w:val="2A171475"/>
    <w:rsid w:val="2A1B0D2A"/>
    <w:rsid w:val="2A2658E2"/>
    <w:rsid w:val="2A2C1EC0"/>
    <w:rsid w:val="2A3B6772"/>
    <w:rsid w:val="2A421D2D"/>
    <w:rsid w:val="2A467631"/>
    <w:rsid w:val="2A51423E"/>
    <w:rsid w:val="2A64423D"/>
    <w:rsid w:val="2A6834B4"/>
    <w:rsid w:val="2A7A3B23"/>
    <w:rsid w:val="2A7B4596"/>
    <w:rsid w:val="2A8613E1"/>
    <w:rsid w:val="2A870B13"/>
    <w:rsid w:val="2A9A1F7D"/>
    <w:rsid w:val="2AAB2DC2"/>
    <w:rsid w:val="2AAB723F"/>
    <w:rsid w:val="2AAF5D83"/>
    <w:rsid w:val="2AB18CC9"/>
    <w:rsid w:val="2AB93010"/>
    <w:rsid w:val="2AC21DB7"/>
    <w:rsid w:val="2AC82C46"/>
    <w:rsid w:val="2AD24C6A"/>
    <w:rsid w:val="2ADC41F2"/>
    <w:rsid w:val="2AE31A25"/>
    <w:rsid w:val="2AE53E7F"/>
    <w:rsid w:val="2AF84DD3"/>
    <w:rsid w:val="2B0D2C02"/>
    <w:rsid w:val="2B0E1878"/>
    <w:rsid w:val="2B13303D"/>
    <w:rsid w:val="2B1B6824"/>
    <w:rsid w:val="2B1B7AB1"/>
    <w:rsid w:val="2B2823EB"/>
    <w:rsid w:val="2B2945BE"/>
    <w:rsid w:val="2B37571E"/>
    <w:rsid w:val="2B3757DF"/>
    <w:rsid w:val="2B3A3CDC"/>
    <w:rsid w:val="2B3C7E4B"/>
    <w:rsid w:val="2B4A75CB"/>
    <w:rsid w:val="2B56532D"/>
    <w:rsid w:val="2B690BD6"/>
    <w:rsid w:val="2B724B56"/>
    <w:rsid w:val="2B854B65"/>
    <w:rsid w:val="2B941814"/>
    <w:rsid w:val="2B9A34F6"/>
    <w:rsid w:val="2BA74312"/>
    <w:rsid w:val="2BB766E5"/>
    <w:rsid w:val="2BB859A7"/>
    <w:rsid w:val="2BBA1CAE"/>
    <w:rsid w:val="2BC52ED8"/>
    <w:rsid w:val="2BE02C6E"/>
    <w:rsid w:val="2C027720"/>
    <w:rsid w:val="2C043A01"/>
    <w:rsid w:val="2C153703"/>
    <w:rsid w:val="2C2673ED"/>
    <w:rsid w:val="2C296ED9"/>
    <w:rsid w:val="2C3D3687"/>
    <w:rsid w:val="2C3E3998"/>
    <w:rsid w:val="2C4E236D"/>
    <w:rsid w:val="2C522321"/>
    <w:rsid w:val="2C555061"/>
    <w:rsid w:val="2C5E7FDA"/>
    <w:rsid w:val="2C603A8B"/>
    <w:rsid w:val="2C7521C6"/>
    <w:rsid w:val="2C7E6B18"/>
    <w:rsid w:val="2C9255A0"/>
    <w:rsid w:val="2CA451E4"/>
    <w:rsid w:val="2CCD64E8"/>
    <w:rsid w:val="2CD61A94"/>
    <w:rsid w:val="2CDC0643"/>
    <w:rsid w:val="2CFC2E4F"/>
    <w:rsid w:val="2D040371"/>
    <w:rsid w:val="2D173223"/>
    <w:rsid w:val="2D1B30C5"/>
    <w:rsid w:val="2D35408E"/>
    <w:rsid w:val="2D4635FE"/>
    <w:rsid w:val="2D5859F5"/>
    <w:rsid w:val="2D697350"/>
    <w:rsid w:val="2D6B421A"/>
    <w:rsid w:val="2D8E7BAD"/>
    <w:rsid w:val="2D932503"/>
    <w:rsid w:val="2D9843B2"/>
    <w:rsid w:val="2D9E5864"/>
    <w:rsid w:val="2DA12E47"/>
    <w:rsid w:val="2DBA65E1"/>
    <w:rsid w:val="2DCE3FED"/>
    <w:rsid w:val="2DE01CEC"/>
    <w:rsid w:val="2DF42AE9"/>
    <w:rsid w:val="2DF779F0"/>
    <w:rsid w:val="2DF85957"/>
    <w:rsid w:val="2E1A6114"/>
    <w:rsid w:val="2E201DD7"/>
    <w:rsid w:val="2E2977C0"/>
    <w:rsid w:val="2E2D049C"/>
    <w:rsid w:val="2E4C168F"/>
    <w:rsid w:val="2E4C5BA3"/>
    <w:rsid w:val="2E572FB3"/>
    <w:rsid w:val="2E58270B"/>
    <w:rsid w:val="2E601B6F"/>
    <w:rsid w:val="2E601D3B"/>
    <w:rsid w:val="2E6609A2"/>
    <w:rsid w:val="2E6A42A3"/>
    <w:rsid w:val="2E706249"/>
    <w:rsid w:val="2E7C7E5C"/>
    <w:rsid w:val="2E8868B7"/>
    <w:rsid w:val="2E8A5885"/>
    <w:rsid w:val="2E90678D"/>
    <w:rsid w:val="2E945C26"/>
    <w:rsid w:val="2E9512F3"/>
    <w:rsid w:val="2E9A7EC6"/>
    <w:rsid w:val="2ED02E96"/>
    <w:rsid w:val="2EDA5D2F"/>
    <w:rsid w:val="2EDB2B3A"/>
    <w:rsid w:val="2EDD2DD9"/>
    <w:rsid w:val="2EE6463E"/>
    <w:rsid w:val="2EF55495"/>
    <w:rsid w:val="2EFD7B91"/>
    <w:rsid w:val="2F132BA0"/>
    <w:rsid w:val="2F2303A5"/>
    <w:rsid w:val="2F2A0D9A"/>
    <w:rsid w:val="2F2B4F04"/>
    <w:rsid w:val="2F2F4190"/>
    <w:rsid w:val="2F4A312B"/>
    <w:rsid w:val="2F506B2F"/>
    <w:rsid w:val="2F723467"/>
    <w:rsid w:val="2F8440AA"/>
    <w:rsid w:val="2FAA2B11"/>
    <w:rsid w:val="2FBD4DFA"/>
    <w:rsid w:val="2FC23B1A"/>
    <w:rsid w:val="2FC26398"/>
    <w:rsid w:val="2FCC12CB"/>
    <w:rsid w:val="2FD90878"/>
    <w:rsid w:val="2FDD7BBE"/>
    <w:rsid w:val="2FEF0580"/>
    <w:rsid w:val="2FFB59F4"/>
    <w:rsid w:val="2FFC1F70"/>
    <w:rsid w:val="300154B8"/>
    <w:rsid w:val="3004456F"/>
    <w:rsid w:val="3041304E"/>
    <w:rsid w:val="30416B7D"/>
    <w:rsid w:val="304746D8"/>
    <w:rsid w:val="304B11E4"/>
    <w:rsid w:val="304B6E2A"/>
    <w:rsid w:val="304B73FA"/>
    <w:rsid w:val="30774926"/>
    <w:rsid w:val="308B242E"/>
    <w:rsid w:val="309D5899"/>
    <w:rsid w:val="30A656FE"/>
    <w:rsid w:val="30A85CE5"/>
    <w:rsid w:val="30AB5DB4"/>
    <w:rsid w:val="30C573B3"/>
    <w:rsid w:val="30C97804"/>
    <w:rsid w:val="30DF2FAF"/>
    <w:rsid w:val="30E06E45"/>
    <w:rsid w:val="30E45352"/>
    <w:rsid w:val="30E500E1"/>
    <w:rsid w:val="30E65AB8"/>
    <w:rsid w:val="30EC5630"/>
    <w:rsid w:val="30F527F0"/>
    <w:rsid w:val="30F54159"/>
    <w:rsid w:val="310674F0"/>
    <w:rsid w:val="31150DF1"/>
    <w:rsid w:val="311B1CCD"/>
    <w:rsid w:val="312E23DE"/>
    <w:rsid w:val="313E1763"/>
    <w:rsid w:val="31426D37"/>
    <w:rsid w:val="31550B99"/>
    <w:rsid w:val="3159485B"/>
    <w:rsid w:val="316248E0"/>
    <w:rsid w:val="31816B5B"/>
    <w:rsid w:val="31820634"/>
    <w:rsid w:val="318B6006"/>
    <w:rsid w:val="319A12D3"/>
    <w:rsid w:val="319B3903"/>
    <w:rsid w:val="31AD2D5B"/>
    <w:rsid w:val="31D82191"/>
    <w:rsid w:val="31DB4B51"/>
    <w:rsid w:val="31DF0A74"/>
    <w:rsid w:val="31E126FD"/>
    <w:rsid w:val="31E333D3"/>
    <w:rsid w:val="31E557ED"/>
    <w:rsid w:val="31E763A6"/>
    <w:rsid w:val="31FD009F"/>
    <w:rsid w:val="32102608"/>
    <w:rsid w:val="3210673C"/>
    <w:rsid w:val="32180CAB"/>
    <w:rsid w:val="321D7089"/>
    <w:rsid w:val="32241076"/>
    <w:rsid w:val="322A58B3"/>
    <w:rsid w:val="32310FA4"/>
    <w:rsid w:val="32373863"/>
    <w:rsid w:val="323808A8"/>
    <w:rsid w:val="3247155D"/>
    <w:rsid w:val="324902AC"/>
    <w:rsid w:val="324A0867"/>
    <w:rsid w:val="324C6101"/>
    <w:rsid w:val="32543409"/>
    <w:rsid w:val="325F06A1"/>
    <w:rsid w:val="327138F6"/>
    <w:rsid w:val="329126EC"/>
    <w:rsid w:val="329D2EAF"/>
    <w:rsid w:val="32A02B99"/>
    <w:rsid w:val="32A73694"/>
    <w:rsid w:val="32AB56FB"/>
    <w:rsid w:val="32B62FD1"/>
    <w:rsid w:val="32B67D8E"/>
    <w:rsid w:val="32BE0A44"/>
    <w:rsid w:val="32C3755E"/>
    <w:rsid w:val="32D014A6"/>
    <w:rsid w:val="32D85EF4"/>
    <w:rsid w:val="32DA77DA"/>
    <w:rsid w:val="32E1726B"/>
    <w:rsid w:val="32F02F31"/>
    <w:rsid w:val="32F26497"/>
    <w:rsid w:val="32F463F6"/>
    <w:rsid w:val="330F17E8"/>
    <w:rsid w:val="33221A0D"/>
    <w:rsid w:val="332F3483"/>
    <w:rsid w:val="33361883"/>
    <w:rsid w:val="33413FD2"/>
    <w:rsid w:val="335B7D82"/>
    <w:rsid w:val="335D4929"/>
    <w:rsid w:val="33720115"/>
    <w:rsid w:val="33745F6F"/>
    <w:rsid w:val="33773385"/>
    <w:rsid w:val="338272E7"/>
    <w:rsid w:val="338442BB"/>
    <w:rsid w:val="33886638"/>
    <w:rsid w:val="339A1A6B"/>
    <w:rsid w:val="339C2235"/>
    <w:rsid w:val="339F4D14"/>
    <w:rsid w:val="33A92E20"/>
    <w:rsid w:val="33B27845"/>
    <w:rsid w:val="33B81188"/>
    <w:rsid w:val="33B91539"/>
    <w:rsid w:val="33D414D0"/>
    <w:rsid w:val="33DC6D64"/>
    <w:rsid w:val="33FF6B09"/>
    <w:rsid w:val="3406655E"/>
    <w:rsid w:val="340F7C50"/>
    <w:rsid w:val="34163CA1"/>
    <w:rsid w:val="341644E3"/>
    <w:rsid w:val="3428494C"/>
    <w:rsid w:val="342E2733"/>
    <w:rsid w:val="34354D1B"/>
    <w:rsid w:val="3436542E"/>
    <w:rsid w:val="344A041F"/>
    <w:rsid w:val="344B0226"/>
    <w:rsid w:val="344D029A"/>
    <w:rsid w:val="345B43A2"/>
    <w:rsid w:val="345F65E5"/>
    <w:rsid w:val="346B6C90"/>
    <w:rsid w:val="347C6740"/>
    <w:rsid w:val="348002E4"/>
    <w:rsid w:val="34812180"/>
    <w:rsid w:val="34921C96"/>
    <w:rsid w:val="349D6EBA"/>
    <w:rsid w:val="34A168E3"/>
    <w:rsid w:val="34A516B4"/>
    <w:rsid w:val="34A536B6"/>
    <w:rsid w:val="34AD37B8"/>
    <w:rsid w:val="34AE7229"/>
    <w:rsid w:val="34B1121B"/>
    <w:rsid w:val="34B228A4"/>
    <w:rsid w:val="34B23BC6"/>
    <w:rsid w:val="34B709E0"/>
    <w:rsid w:val="34C70259"/>
    <w:rsid w:val="34C760C9"/>
    <w:rsid w:val="34D044EB"/>
    <w:rsid w:val="34E41C9D"/>
    <w:rsid w:val="34F67930"/>
    <w:rsid w:val="34FF0289"/>
    <w:rsid w:val="35097648"/>
    <w:rsid w:val="3515368D"/>
    <w:rsid w:val="35167716"/>
    <w:rsid w:val="3519399D"/>
    <w:rsid w:val="35264A6F"/>
    <w:rsid w:val="35280A61"/>
    <w:rsid w:val="352A280B"/>
    <w:rsid w:val="35387DA6"/>
    <w:rsid w:val="35406977"/>
    <w:rsid w:val="35532397"/>
    <w:rsid w:val="35555D20"/>
    <w:rsid w:val="35567E3E"/>
    <w:rsid w:val="355F0627"/>
    <w:rsid w:val="35671AAD"/>
    <w:rsid w:val="35717215"/>
    <w:rsid w:val="35756E19"/>
    <w:rsid w:val="357F0C0D"/>
    <w:rsid w:val="35804756"/>
    <w:rsid w:val="35825D28"/>
    <w:rsid w:val="359A78BF"/>
    <w:rsid w:val="359A7B38"/>
    <w:rsid w:val="35B05007"/>
    <w:rsid w:val="35B110C7"/>
    <w:rsid w:val="35C403F2"/>
    <w:rsid w:val="35C8191C"/>
    <w:rsid w:val="35CD358A"/>
    <w:rsid w:val="35D42F9A"/>
    <w:rsid w:val="35DB21F4"/>
    <w:rsid w:val="35DB7EC8"/>
    <w:rsid w:val="35F3598C"/>
    <w:rsid w:val="35F60BC4"/>
    <w:rsid w:val="36056F4A"/>
    <w:rsid w:val="36107B1D"/>
    <w:rsid w:val="361723F7"/>
    <w:rsid w:val="361C6E3F"/>
    <w:rsid w:val="361E62A2"/>
    <w:rsid w:val="362A0508"/>
    <w:rsid w:val="362C6F1C"/>
    <w:rsid w:val="36390507"/>
    <w:rsid w:val="364063C9"/>
    <w:rsid w:val="36482CCD"/>
    <w:rsid w:val="364D2BA1"/>
    <w:rsid w:val="365240B2"/>
    <w:rsid w:val="36661D08"/>
    <w:rsid w:val="367137D5"/>
    <w:rsid w:val="36740AAF"/>
    <w:rsid w:val="3675168A"/>
    <w:rsid w:val="367936F0"/>
    <w:rsid w:val="36863D4B"/>
    <w:rsid w:val="3690733C"/>
    <w:rsid w:val="3692641B"/>
    <w:rsid w:val="36955A61"/>
    <w:rsid w:val="369D2D57"/>
    <w:rsid w:val="36A25174"/>
    <w:rsid w:val="36A67E1D"/>
    <w:rsid w:val="36B92172"/>
    <w:rsid w:val="36C05533"/>
    <w:rsid w:val="36C66E7F"/>
    <w:rsid w:val="36CC0917"/>
    <w:rsid w:val="36D570E5"/>
    <w:rsid w:val="36D97016"/>
    <w:rsid w:val="36E54012"/>
    <w:rsid w:val="36EF0F53"/>
    <w:rsid w:val="370B2F1A"/>
    <w:rsid w:val="37100D12"/>
    <w:rsid w:val="3724226C"/>
    <w:rsid w:val="37260C39"/>
    <w:rsid w:val="372A00C1"/>
    <w:rsid w:val="374469AB"/>
    <w:rsid w:val="374970B3"/>
    <w:rsid w:val="374D73D2"/>
    <w:rsid w:val="375F64B2"/>
    <w:rsid w:val="376517D4"/>
    <w:rsid w:val="376A1FC0"/>
    <w:rsid w:val="377F7409"/>
    <w:rsid w:val="379E476C"/>
    <w:rsid w:val="37AB5A9D"/>
    <w:rsid w:val="37B12084"/>
    <w:rsid w:val="37B138D4"/>
    <w:rsid w:val="37B73A33"/>
    <w:rsid w:val="37CA5DAF"/>
    <w:rsid w:val="37CF3913"/>
    <w:rsid w:val="37E478DA"/>
    <w:rsid w:val="37E76B93"/>
    <w:rsid w:val="3806798E"/>
    <w:rsid w:val="38076E90"/>
    <w:rsid w:val="380B4369"/>
    <w:rsid w:val="38105F53"/>
    <w:rsid w:val="38143F3E"/>
    <w:rsid w:val="38207E14"/>
    <w:rsid w:val="38210D36"/>
    <w:rsid w:val="38235A6C"/>
    <w:rsid w:val="38237646"/>
    <w:rsid w:val="38294CE7"/>
    <w:rsid w:val="383B26C3"/>
    <w:rsid w:val="38405B5F"/>
    <w:rsid w:val="384243BB"/>
    <w:rsid w:val="38584F71"/>
    <w:rsid w:val="385B208A"/>
    <w:rsid w:val="385D52BE"/>
    <w:rsid w:val="385D6D37"/>
    <w:rsid w:val="385F359C"/>
    <w:rsid w:val="3865088E"/>
    <w:rsid w:val="38663F99"/>
    <w:rsid w:val="38817122"/>
    <w:rsid w:val="3885134C"/>
    <w:rsid w:val="38872772"/>
    <w:rsid w:val="389157D4"/>
    <w:rsid w:val="389E4D58"/>
    <w:rsid w:val="38DF0564"/>
    <w:rsid w:val="38E92242"/>
    <w:rsid w:val="38E9406E"/>
    <w:rsid w:val="38F765E2"/>
    <w:rsid w:val="39214ADA"/>
    <w:rsid w:val="392A33AD"/>
    <w:rsid w:val="392C0134"/>
    <w:rsid w:val="39364043"/>
    <w:rsid w:val="394717E2"/>
    <w:rsid w:val="39476B69"/>
    <w:rsid w:val="394E1B28"/>
    <w:rsid w:val="39546C14"/>
    <w:rsid w:val="39573C5B"/>
    <w:rsid w:val="396475C6"/>
    <w:rsid w:val="39667654"/>
    <w:rsid w:val="396D0E2B"/>
    <w:rsid w:val="39824EC9"/>
    <w:rsid w:val="39876781"/>
    <w:rsid w:val="398B67A6"/>
    <w:rsid w:val="39941A37"/>
    <w:rsid w:val="399C4D5D"/>
    <w:rsid w:val="39B16A2A"/>
    <w:rsid w:val="39B55579"/>
    <w:rsid w:val="39C5496C"/>
    <w:rsid w:val="39DF5948"/>
    <w:rsid w:val="39E04279"/>
    <w:rsid w:val="39EE5215"/>
    <w:rsid w:val="39F0548D"/>
    <w:rsid w:val="39F072E2"/>
    <w:rsid w:val="39F61C62"/>
    <w:rsid w:val="39FA5FB9"/>
    <w:rsid w:val="3A04784E"/>
    <w:rsid w:val="3A0A6083"/>
    <w:rsid w:val="3A0B1A1C"/>
    <w:rsid w:val="3A1B3E15"/>
    <w:rsid w:val="3A202AD3"/>
    <w:rsid w:val="3A203B51"/>
    <w:rsid w:val="3A225A89"/>
    <w:rsid w:val="3A2B253A"/>
    <w:rsid w:val="3A334A76"/>
    <w:rsid w:val="3A410EE1"/>
    <w:rsid w:val="3A465B2C"/>
    <w:rsid w:val="3A4F4180"/>
    <w:rsid w:val="3A8C5565"/>
    <w:rsid w:val="3A8F74D3"/>
    <w:rsid w:val="3A995C5C"/>
    <w:rsid w:val="3A9B2AEA"/>
    <w:rsid w:val="3AA52163"/>
    <w:rsid w:val="3AB27AD1"/>
    <w:rsid w:val="3AB526C1"/>
    <w:rsid w:val="3AC429B9"/>
    <w:rsid w:val="3AC52EF5"/>
    <w:rsid w:val="3AD53A47"/>
    <w:rsid w:val="3AF609DF"/>
    <w:rsid w:val="3AF82DFF"/>
    <w:rsid w:val="3AFA75DA"/>
    <w:rsid w:val="3AFC79E9"/>
    <w:rsid w:val="3B2A0FAA"/>
    <w:rsid w:val="3B373A40"/>
    <w:rsid w:val="3B423A0E"/>
    <w:rsid w:val="3B4C5ADF"/>
    <w:rsid w:val="3B5223FD"/>
    <w:rsid w:val="3B5A533B"/>
    <w:rsid w:val="3B5F4DA6"/>
    <w:rsid w:val="3B675D5A"/>
    <w:rsid w:val="3B70EA08"/>
    <w:rsid w:val="3B740991"/>
    <w:rsid w:val="3B7D44A9"/>
    <w:rsid w:val="3B90114B"/>
    <w:rsid w:val="3B96520C"/>
    <w:rsid w:val="3B976916"/>
    <w:rsid w:val="3B994A6F"/>
    <w:rsid w:val="3B9B501E"/>
    <w:rsid w:val="3BA4274C"/>
    <w:rsid w:val="3BA7139E"/>
    <w:rsid w:val="3BA80B19"/>
    <w:rsid w:val="3BAD5C41"/>
    <w:rsid w:val="3BC27E87"/>
    <w:rsid w:val="3BCC5AF7"/>
    <w:rsid w:val="3BD76554"/>
    <w:rsid w:val="3BE133EA"/>
    <w:rsid w:val="3BE56D6F"/>
    <w:rsid w:val="3BEE4EF1"/>
    <w:rsid w:val="3BF167AA"/>
    <w:rsid w:val="3BF73E9B"/>
    <w:rsid w:val="3BFA097C"/>
    <w:rsid w:val="3BFD6657"/>
    <w:rsid w:val="3BFE27CD"/>
    <w:rsid w:val="3C016FBD"/>
    <w:rsid w:val="3C0C743F"/>
    <w:rsid w:val="3C3063D1"/>
    <w:rsid w:val="3C327B72"/>
    <w:rsid w:val="3C3420E0"/>
    <w:rsid w:val="3C361890"/>
    <w:rsid w:val="3C380A17"/>
    <w:rsid w:val="3C386E70"/>
    <w:rsid w:val="3C3C2E41"/>
    <w:rsid w:val="3C4240EC"/>
    <w:rsid w:val="3C5F2ED5"/>
    <w:rsid w:val="3C5F551D"/>
    <w:rsid w:val="3C6C3297"/>
    <w:rsid w:val="3C7321A7"/>
    <w:rsid w:val="3C7B5067"/>
    <w:rsid w:val="3C7C2837"/>
    <w:rsid w:val="3C7F2123"/>
    <w:rsid w:val="3C81332B"/>
    <w:rsid w:val="3C923ACE"/>
    <w:rsid w:val="3CA5DB2E"/>
    <w:rsid w:val="3CD1481E"/>
    <w:rsid w:val="3CD64F45"/>
    <w:rsid w:val="3CDD692A"/>
    <w:rsid w:val="3CF94FBD"/>
    <w:rsid w:val="3CFE5061"/>
    <w:rsid w:val="3D0634E3"/>
    <w:rsid w:val="3D090C15"/>
    <w:rsid w:val="3D1300B2"/>
    <w:rsid w:val="3D3A034C"/>
    <w:rsid w:val="3D413BE3"/>
    <w:rsid w:val="3D473C94"/>
    <w:rsid w:val="3D5347E8"/>
    <w:rsid w:val="3D6F0715"/>
    <w:rsid w:val="3D784711"/>
    <w:rsid w:val="3D787056"/>
    <w:rsid w:val="3D864AC5"/>
    <w:rsid w:val="3D9B1703"/>
    <w:rsid w:val="3DA30DC2"/>
    <w:rsid w:val="3DB171A6"/>
    <w:rsid w:val="3DB36A9D"/>
    <w:rsid w:val="3DB63E3C"/>
    <w:rsid w:val="3DC30C0D"/>
    <w:rsid w:val="3DC661AE"/>
    <w:rsid w:val="3DD669F9"/>
    <w:rsid w:val="3DDD076E"/>
    <w:rsid w:val="3DE374DB"/>
    <w:rsid w:val="3DE97E13"/>
    <w:rsid w:val="3DEC2488"/>
    <w:rsid w:val="3DEE2762"/>
    <w:rsid w:val="3DF07950"/>
    <w:rsid w:val="3DF16F1E"/>
    <w:rsid w:val="3DF34F67"/>
    <w:rsid w:val="3DF466EF"/>
    <w:rsid w:val="3E1C36C3"/>
    <w:rsid w:val="3E2156FD"/>
    <w:rsid w:val="3E225FAB"/>
    <w:rsid w:val="3E2E445D"/>
    <w:rsid w:val="3E3D6C99"/>
    <w:rsid w:val="3E4100C2"/>
    <w:rsid w:val="3E466B2C"/>
    <w:rsid w:val="3E4C7830"/>
    <w:rsid w:val="3E526C6D"/>
    <w:rsid w:val="3E537955"/>
    <w:rsid w:val="3E5A2D1F"/>
    <w:rsid w:val="3E5C0270"/>
    <w:rsid w:val="3E6818BC"/>
    <w:rsid w:val="3E7607A7"/>
    <w:rsid w:val="3E860D2D"/>
    <w:rsid w:val="3E896367"/>
    <w:rsid w:val="3E8D2E58"/>
    <w:rsid w:val="3E996235"/>
    <w:rsid w:val="3ECA4F65"/>
    <w:rsid w:val="3ED233ED"/>
    <w:rsid w:val="3ED74AEB"/>
    <w:rsid w:val="3EE15E2D"/>
    <w:rsid w:val="3EE871B2"/>
    <w:rsid w:val="3F091FA9"/>
    <w:rsid w:val="3F0B02A7"/>
    <w:rsid w:val="3F0E2FB0"/>
    <w:rsid w:val="3F2313E5"/>
    <w:rsid w:val="3F2C25B9"/>
    <w:rsid w:val="3F3845E1"/>
    <w:rsid w:val="3F3A1FEB"/>
    <w:rsid w:val="3F491B54"/>
    <w:rsid w:val="3F4B375D"/>
    <w:rsid w:val="3F4D0B57"/>
    <w:rsid w:val="3F547E11"/>
    <w:rsid w:val="3F692F86"/>
    <w:rsid w:val="3F7846D1"/>
    <w:rsid w:val="3F7D1E47"/>
    <w:rsid w:val="3F873EDC"/>
    <w:rsid w:val="3FA24C4F"/>
    <w:rsid w:val="3FA31F2C"/>
    <w:rsid w:val="3FB60610"/>
    <w:rsid w:val="3FC15446"/>
    <w:rsid w:val="3FD96F05"/>
    <w:rsid w:val="3FE90BD6"/>
    <w:rsid w:val="3FED6B68"/>
    <w:rsid w:val="3FEE0246"/>
    <w:rsid w:val="3FEE166B"/>
    <w:rsid w:val="3FF24DAB"/>
    <w:rsid w:val="3FFEC602"/>
    <w:rsid w:val="400E3105"/>
    <w:rsid w:val="401A1730"/>
    <w:rsid w:val="401F4E55"/>
    <w:rsid w:val="40266AB9"/>
    <w:rsid w:val="40382411"/>
    <w:rsid w:val="4039626E"/>
    <w:rsid w:val="403C4DF6"/>
    <w:rsid w:val="403D6D09"/>
    <w:rsid w:val="4040216F"/>
    <w:rsid w:val="40441BEA"/>
    <w:rsid w:val="405B3B34"/>
    <w:rsid w:val="405C46FD"/>
    <w:rsid w:val="406004D8"/>
    <w:rsid w:val="406F6F29"/>
    <w:rsid w:val="40722E37"/>
    <w:rsid w:val="40785630"/>
    <w:rsid w:val="40816498"/>
    <w:rsid w:val="40976347"/>
    <w:rsid w:val="409C5010"/>
    <w:rsid w:val="40A42AC4"/>
    <w:rsid w:val="40A53861"/>
    <w:rsid w:val="40B5754D"/>
    <w:rsid w:val="40CF0DE7"/>
    <w:rsid w:val="40D34F11"/>
    <w:rsid w:val="40E1696B"/>
    <w:rsid w:val="40E7552C"/>
    <w:rsid w:val="410F6C78"/>
    <w:rsid w:val="41102386"/>
    <w:rsid w:val="41195BC2"/>
    <w:rsid w:val="41324A68"/>
    <w:rsid w:val="413B204D"/>
    <w:rsid w:val="41440EFC"/>
    <w:rsid w:val="414A3F27"/>
    <w:rsid w:val="415441DA"/>
    <w:rsid w:val="4159680B"/>
    <w:rsid w:val="41652CC9"/>
    <w:rsid w:val="41717932"/>
    <w:rsid w:val="41811CF1"/>
    <w:rsid w:val="41847666"/>
    <w:rsid w:val="418517C6"/>
    <w:rsid w:val="418E00D5"/>
    <w:rsid w:val="41921D8A"/>
    <w:rsid w:val="419F36A1"/>
    <w:rsid w:val="41B63597"/>
    <w:rsid w:val="41B705C5"/>
    <w:rsid w:val="41BF3165"/>
    <w:rsid w:val="41C73476"/>
    <w:rsid w:val="41CF04A3"/>
    <w:rsid w:val="41D91B4D"/>
    <w:rsid w:val="41DF4782"/>
    <w:rsid w:val="41E51539"/>
    <w:rsid w:val="41E61D2E"/>
    <w:rsid w:val="41E714BF"/>
    <w:rsid w:val="41F224DE"/>
    <w:rsid w:val="41FD7B87"/>
    <w:rsid w:val="41FF0669"/>
    <w:rsid w:val="41FF5972"/>
    <w:rsid w:val="42022BCF"/>
    <w:rsid w:val="420E32BC"/>
    <w:rsid w:val="42143F78"/>
    <w:rsid w:val="42157D6A"/>
    <w:rsid w:val="42253D73"/>
    <w:rsid w:val="42407E64"/>
    <w:rsid w:val="42461953"/>
    <w:rsid w:val="425719F8"/>
    <w:rsid w:val="4269215D"/>
    <w:rsid w:val="42797DB0"/>
    <w:rsid w:val="427D229B"/>
    <w:rsid w:val="42871EF6"/>
    <w:rsid w:val="428F6B15"/>
    <w:rsid w:val="42904B56"/>
    <w:rsid w:val="42935333"/>
    <w:rsid w:val="42A653BA"/>
    <w:rsid w:val="42B058FF"/>
    <w:rsid w:val="42B7205F"/>
    <w:rsid w:val="42BD411A"/>
    <w:rsid w:val="42BF13A8"/>
    <w:rsid w:val="42C23A7D"/>
    <w:rsid w:val="42C944C3"/>
    <w:rsid w:val="42CA73E4"/>
    <w:rsid w:val="42DE0EAB"/>
    <w:rsid w:val="42E15B20"/>
    <w:rsid w:val="42E33046"/>
    <w:rsid w:val="42F41A3C"/>
    <w:rsid w:val="42FF37DF"/>
    <w:rsid w:val="43043A62"/>
    <w:rsid w:val="430B33EF"/>
    <w:rsid w:val="43184F6C"/>
    <w:rsid w:val="431C0C27"/>
    <w:rsid w:val="432434A8"/>
    <w:rsid w:val="43275918"/>
    <w:rsid w:val="432E3C1A"/>
    <w:rsid w:val="43373A7D"/>
    <w:rsid w:val="43394480"/>
    <w:rsid w:val="433E1FFA"/>
    <w:rsid w:val="43404C6E"/>
    <w:rsid w:val="434A28BF"/>
    <w:rsid w:val="43564840"/>
    <w:rsid w:val="4370488D"/>
    <w:rsid w:val="43714E67"/>
    <w:rsid w:val="43762EA5"/>
    <w:rsid w:val="43971785"/>
    <w:rsid w:val="43AB650F"/>
    <w:rsid w:val="43B504D0"/>
    <w:rsid w:val="43BC1913"/>
    <w:rsid w:val="43BD67A1"/>
    <w:rsid w:val="43CF297A"/>
    <w:rsid w:val="43D07E7F"/>
    <w:rsid w:val="43D21847"/>
    <w:rsid w:val="43E35A3F"/>
    <w:rsid w:val="43E821A5"/>
    <w:rsid w:val="44155DAF"/>
    <w:rsid w:val="441D68B0"/>
    <w:rsid w:val="442852C9"/>
    <w:rsid w:val="44286CC4"/>
    <w:rsid w:val="44460444"/>
    <w:rsid w:val="444D4448"/>
    <w:rsid w:val="445175A7"/>
    <w:rsid w:val="447B1167"/>
    <w:rsid w:val="4480505D"/>
    <w:rsid w:val="44810D43"/>
    <w:rsid w:val="448862B0"/>
    <w:rsid w:val="44982BC6"/>
    <w:rsid w:val="44A26055"/>
    <w:rsid w:val="44A327E5"/>
    <w:rsid w:val="44A37CD6"/>
    <w:rsid w:val="44B03397"/>
    <w:rsid w:val="44B22E48"/>
    <w:rsid w:val="44BC1B54"/>
    <w:rsid w:val="44CF6341"/>
    <w:rsid w:val="44D65658"/>
    <w:rsid w:val="44EA6027"/>
    <w:rsid w:val="44EC713D"/>
    <w:rsid w:val="44F10FCC"/>
    <w:rsid w:val="44F15A48"/>
    <w:rsid w:val="44F47E1D"/>
    <w:rsid w:val="450665E4"/>
    <w:rsid w:val="45127AB0"/>
    <w:rsid w:val="45132BBD"/>
    <w:rsid w:val="451609F0"/>
    <w:rsid w:val="451D03B3"/>
    <w:rsid w:val="452016AB"/>
    <w:rsid w:val="45211BCD"/>
    <w:rsid w:val="452440E6"/>
    <w:rsid w:val="45284CB5"/>
    <w:rsid w:val="452A0524"/>
    <w:rsid w:val="453173EB"/>
    <w:rsid w:val="45434D3B"/>
    <w:rsid w:val="454517A9"/>
    <w:rsid w:val="4545265A"/>
    <w:rsid w:val="4552512F"/>
    <w:rsid w:val="455540D7"/>
    <w:rsid w:val="45605E90"/>
    <w:rsid w:val="456E44EF"/>
    <w:rsid w:val="45745A12"/>
    <w:rsid w:val="45836633"/>
    <w:rsid w:val="45845DCB"/>
    <w:rsid w:val="45903585"/>
    <w:rsid w:val="45991FF3"/>
    <w:rsid w:val="45A17105"/>
    <w:rsid w:val="45A91A1D"/>
    <w:rsid w:val="45B01125"/>
    <w:rsid w:val="45B2030B"/>
    <w:rsid w:val="45D34F8F"/>
    <w:rsid w:val="45D466E2"/>
    <w:rsid w:val="45DE41B3"/>
    <w:rsid w:val="45DE63E3"/>
    <w:rsid w:val="45EA759A"/>
    <w:rsid w:val="45FA6C94"/>
    <w:rsid w:val="45FB2EB4"/>
    <w:rsid w:val="460F0592"/>
    <w:rsid w:val="461F30AC"/>
    <w:rsid w:val="46404E84"/>
    <w:rsid w:val="46436CFF"/>
    <w:rsid w:val="46570B7B"/>
    <w:rsid w:val="465C024E"/>
    <w:rsid w:val="465D4A91"/>
    <w:rsid w:val="46645B65"/>
    <w:rsid w:val="466E10E5"/>
    <w:rsid w:val="466F7EF1"/>
    <w:rsid w:val="46715891"/>
    <w:rsid w:val="467A774D"/>
    <w:rsid w:val="467B6D99"/>
    <w:rsid w:val="467E2794"/>
    <w:rsid w:val="46844BE7"/>
    <w:rsid w:val="46954391"/>
    <w:rsid w:val="469647EF"/>
    <w:rsid w:val="46971BE9"/>
    <w:rsid w:val="46976102"/>
    <w:rsid w:val="46BD7176"/>
    <w:rsid w:val="46BF4632"/>
    <w:rsid w:val="46D70178"/>
    <w:rsid w:val="46D95EF7"/>
    <w:rsid w:val="46DB7BB8"/>
    <w:rsid w:val="46E07DC0"/>
    <w:rsid w:val="46ED1C40"/>
    <w:rsid w:val="46F52773"/>
    <w:rsid w:val="47004115"/>
    <w:rsid w:val="47303C05"/>
    <w:rsid w:val="47341AC2"/>
    <w:rsid w:val="473647FB"/>
    <w:rsid w:val="473D6A05"/>
    <w:rsid w:val="473F6CC5"/>
    <w:rsid w:val="474305A8"/>
    <w:rsid w:val="474C5379"/>
    <w:rsid w:val="47643FAB"/>
    <w:rsid w:val="47664558"/>
    <w:rsid w:val="477E50A4"/>
    <w:rsid w:val="4787143E"/>
    <w:rsid w:val="478D5C4A"/>
    <w:rsid w:val="47917754"/>
    <w:rsid w:val="47922BCC"/>
    <w:rsid w:val="47A1009B"/>
    <w:rsid w:val="47A13A5A"/>
    <w:rsid w:val="47AD4D39"/>
    <w:rsid w:val="47AE3BEA"/>
    <w:rsid w:val="47AF3DAD"/>
    <w:rsid w:val="47B01446"/>
    <w:rsid w:val="47BA48CE"/>
    <w:rsid w:val="47C82538"/>
    <w:rsid w:val="47D0552D"/>
    <w:rsid w:val="47DD160F"/>
    <w:rsid w:val="47F6649C"/>
    <w:rsid w:val="47FE4F94"/>
    <w:rsid w:val="48035136"/>
    <w:rsid w:val="480F58FB"/>
    <w:rsid w:val="481073F2"/>
    <w:rsid w:val="481A01E0"/>
    <w:rsid w:val="48227E8E"/>
    <w:rsid w:val="482B3A74"/>
    <w:rsid w:val="48342479"/>
    <w:rsid w:val="4836121B"/>
    <w:rsid w:val="483769E4"/>
    <w:rsid w:val="483B47F6"/>
    <w:rsid w:val="484D7B48"/>
    <w:rsid w:val="484F02DE"/>
    <w:rsid w:val="48592708"/>
    <w:rsid w:val="485E5353"/>
    <w:rsid w:val="486722D6"/>
    <w:rsid w:val="48675A3D"/>
    <w:rsid w:val="486E0728"/>
    <w:rsid w:val="48793623"/>
    <w:rsid w:val="488E28EE"/>
    <w:rsid w:val="48932709"/>
    <w:rsid w:val="4893579A"/>
    <w:rsid w:val="48A142E8"/>
    <w:rsid w:val="48A5022B"/>
    <w:rsid w:val="48AC06DB"/>
    <w:rsid w:val="48AC6965"/>
    <w:rsid w:val="48B82799"/>
    <w:rsid w:val="48B8356C"/>
    <w:rsid w:val="48BC196F"/>
    <w:rsid w:val="48C12870"/>
    <w:rsid w:val="48C318E1"/>
    <w:rsid w:val="48C93D83"/>
    <w:rsid w:val="48D218D8"/>
    <w:rsid w:val="48DD58AD"/>
    <w:rsid w:val="48FD7001"/>
    <w:rsid w:val="49033B93"/>
    <w:rsid w:val="49074211"/>
    <w:rsid w:val="49137A2A"/>
    <w:rsid w:val="4929777F"/>
    <w:rsid w:val="494722B5"/>
    <w:rsid w:val="49570A3A"/>
    <w:rsid w:val="496B780F"/>
    <w:rsid w:val="498A4707"/>
    <w:rsid w:val="498A6BE2"/>
    <w:rsid w:val="49A64536"/>
    <w:rsid w:val="49AA610F"/>
    <w:rsid w:val="49AF4876"/>
    <w:rsid w:val="49D11962"/>
    <w:rsid w:val="49DE531A"/>
    <w:rsid w:val="49E46FBC"/>
    <w:rsid w:val="49EF41B9"/>
    <w:rsid w:val="4A027527"/>
    <w:rsid w:val="4A0C1AE5"/>
    <w:rsid w:val="4A0C6DF4"/>
    <w:rsid w:val="4A0F7EF5"/>
    <w:rsid w:val="4A235C9F"/>
    <w:rsid w:val="4A254669"/>
    <w:rsid w:val="4A263B0B"/>
    <w:rsid w:val="4A29739B"/>
    <w:rsid w:val="4A2D4613"/>
    <w:rsid w:val="4A482276"/>
    <w:rsid w:val="4A535DA8"/>
    <w:rsid w:val="4A5C4739"/>
    <w:rsid w:val="4A61283B"/>
    <w:rsid w:val="4A654EC9"/>
    <w:rsid w:val="4A7639FC"/>
    <w:rsid w:val="4A7C3E1F"/>
    <w:rsid w:val="4A99375D"/>
    <w:rsid w:val="4AA637BF"/>
    <w:rsid w:val="4AAA579F"/>
    <w:rsid w:val="4AC6544F"/>
    <w:rsid w:val="4AD85D63"/>
    <w:rsid w:val="4AE300E2"/>
    <w:rsid w:val="4AE978E4"/>
    <w:rsid w:val="4AEE5B8A"/>
    <w:rsid w:val="4B090BDC"/>
    <w:rsid w:val="4B0D7C6E"/>
    <w:rsid w:val="4B191DCC"/>
    <w:rsid w:val="4B261853"/>
    <w:rsid w:val="4B2D58D5"/>
    <w:rsid w:val="4B3D311B"/>
    <w:rsid w:val="4B3F6816"/>
    <w:rsid w:val="4B412B52"/>
    <w:rsid w:val="4B42783A"/>
    <w:rsid w:val="4B49547C"/>
    <w:rsid w:val="4B4E4AED"/>
    <w:rsid w:val="4B510F30"/>
    <w:rsid w:val="4B551F51"/>
    <w:rsid w:val="4B644064"/>
    <w:rsid w:val="4B707A1C"/>
    <w:rsid w:val="4B715366"/>
    <w:rsid w:val="4B763FD9"/>
    <w:rsid w:val="4BA70393"/>
    <w:rsid w:val="4BAF3531"/>
    <w:rsid w:val="4BAF554E"/>
    <w:rsid w:val="4BAF6A70"/>
    <w:rsid w:val="4BBA2153"/>
    <w:rsid w:val="4BBD472B"/>
    <w:rsid w:val="4BCE2D1A"/>
    <w:rsid w:val="4C0063A0"/>
    <w:rsid w:val="4C166999"/>
    <w:rsid w:val="4C220BFF"/>
    <w:rsid w:val="4C2C5208"/>
    <w:rsid w:val="4C4932DB"/>
    <w:rsid w:val="4C784707"/>
    <w:rsid w:val="4C82117A"/>
    <w:rsid w:val="4CA50FEA"/>
    <w:rsid w:val="4CAB56E2"/>
    <w:rsid w:val="4CB15FFC"/>
    <w:rsid w:val="4CBF4190"/>
    <w:rsid w:val="4CC17FD6"/>
    <w:rsid w:val="4CC707AA"/>
    <w:rsid w:val="4CD87420"/>
    <w:rsid w:val="4CDA2F46"/>
    <w:rsid w:val="4CEA0BEB"/>
    <w:rsid w:val="4D111FCA"/>
    <w:rsid w:val="4D2F6B39"/>
    <w:rsid w:val="4D330DD2"/>
    <w:rsid w:val="4D35715C"/>
    <w:rsid w:val="4D361522"/>
    <w:rsid w:val="4D4008F4"/>
    <w:rsid w:val="4D48618E"/>
    <w:rsid w:val="4D624C52"/>
    <w:rsid w:val="4D6464F3"/>
    <w:rsid w:val="4D6C183E"/>
    <w:rsid w:val="4D6C7FB8"/>
    <w:rsid w:val="4D757A71"/>
    <w:rsid w:val="4D8415D2"/>
    <w:rsid w:val="4D9014DF"/>
    <w:rsid w:val="4D9D15CF"/>
    <w:rsid w:val="4DB06CBF"/>
    <w:rsid w:val="4DB80C61"/>
    <w:rsid w:val="4DCD6B46"/>
    <w:rsid w:val="4DD7234E"/>
    <w:rsid w:val="4DD77F3B"/>
    <w:rsid w:val="4DE02ABE"/>
    <w:rsid w:val="4DEC1AA6"/>
    <w:rsid w:val="4DF05C00"/>
    <w:rsid w:val="4DF79137"/>
    <w:rsid w:val="4DFD6EA5"/>
    <w:rsid w:val="4E006B47"/>
    <w:rsid w:val="4E030526"/>
    <w:rsid w:val="4E095E0D"/>
    <w:rsid w:val="4E13300A"/>
    <w:rsid w:val="4E1D0DFF"/>
    <w:rsid w:val="4E1D6A76"/>
    <w:rsid w:val="4E1F4B7C"/>
    <w:rsid w:val="4E3304EE"/>
    <w:rsid w:val="4E3A104B"/>
    <w:rsid w:val="4E3A7BD1"/>
    <w:rsid w:val="4E4F6905"/>
    <w:rsid w:val="4E603A67"/>
    <w:rsid w:val="4E6268C7"/>
    <w:rsid w:val="4E6B6D29"/>
    <w:rsid w:val="4E742889"/>
    <w:rsid w:val="4E7A30FE"/>
    <w:rsid w:val="4E8308F3"/>
    <w:rsid w:val="4E9F1F3D"/>
    <w:rsid w:val="4E9F63D1"/>
    <w:rsid w:val="4EAC5711"/>
    <w:rsid w:val="4EC6061B"/>
    <w:rsid w:val="4ECB66C2"/>
    <w:rsid w:val="4ED6113D"/>
    <w:rsid w:val="4EDE45E2"/>
    <w:rsid w:val="4EE7695B"/>
    <w:rsid w:val="4EE8159F"/>
    <w:rsid w:val="4EEB2773"/>
    <w:rsid w:val="4EED4281"/>
    <w:rsid w:val="4EF86F1F"/>
    <w:rsid w:val="4EFB58CD"/>
    <w:rsid w:val="4EFE1B7A"/>
    <w:rsid w:val="4F174E0A"/>
    <w:rsid w:val="4F261D7B"/>
    <w:rsid w:val="4F3D5F32"/>
    <w:rsid w:val="4F422F9F"/>
    <w:rsid w:val="4F4755B7"/>
    <w:rsid w:val="4F541625"/>
    <w:rsid w:val="4F5F701C"/>
    <w:rsid w:val="4F682409"/>
    <w:rsid w:val="4F6C38A2"/>
    <w:rsid w:val="4F6C3C8C"/>
    <w:rsid w:val="4F6F4B1E"/>
    <w:rsid w:val="4F71372B"/>
    <w:rsid w:val="4F840E79"/>
    <w:rsid w:val="4F862DC6"/>
    <w:rsid w:val="4F8C3B89"/>
    <w:rsid w:val="4F9428F2"/>
    <w:rsid w:val="4F9D18F3"/>
    <w:rsid w:val="4FA47F75"/>
    <w:rsid w:val="4FA815B9"/>
    <w:rsid w:val="4FB256C7"/>
    <w:rsid w:val="4FB31B9A"/>
    <w:rsid w:val="4FB355BA"/>
    <w:rsid w:val="4FB70CA5"/>
    <w:rsid w:val="4FBA7D02"/>
    <w:rsid w:val="4FF61772"/>
    <w:rsid w:val="5002121E"/>
    <w:rsid w:val="501768E9"/>
    <w:rsid w:val="502173D8"/>
    <w:rsid w:val="502230A1"/>
    <w:rsid w:val="50233D9E"/>
    <w:rsid w:val="503F14E2"/>
    <w:rsid w:val="504C3AE9"/>
    <w:rsid w:val="504F3C96"/>
    <w:rsid w:val="50536AD8"/>
    <w:rsid w:val="505A58A5"/>
    <w:rsid w:val="505C5654"/>
    <w:rsid w:val="50613131"/>
    <w:rsid w:val="5069364E"/>
    <w:rsid w:val="507F724A"/>
    <w:rsid w:val="50814E6E"/>
    <w:rsid w:val="5087332F"/>
    <w:rsid w:val="50913483"/>
    <w:rsid w:val="50932BBB"/>
    <w:rsid w:val="50AF6B3A"/>
    <w:rsid w:val="50B419FB"/>
    <w:rsid w:val="50CE7F49"/>
    <w:rsid w:val="50D46A96"/>
    <w:rsid w:val="50E84C5A"/>
    <w:rsid w:val="50EF29A6"/>
    <w:rsid w:val="50F35EB0"/>
    <w:rsid w:val="50F3649C"/>
    <w:rsid w:val="51134562"/>
    <w:rsid w:val="51177DE2"/>
    <w:rsid w:val="51362360"/>
    <w:rsid w:val="51390B28"/>
    <w:rsid w:val="515C30D4"/>
    <w:rsid w:val="516B58A1"/>
    <w:rsid w:val="5181282D"/>
    <w:rsid w:val="51812A2C"/>
    <w:rsid w:val="51840001"/>
    <w:rsid w:val="518D7BF3"/>
    <w:rsid w:val="519837AB"/>
    <w:rsid w:val="51A8032F"/>
    <w:rsid w:val="51B2004B"/>
    <w:rsid w:val="51C1594B"/>
    <w:rsid w:val="51C56478"/>
    <w:rsid w:val="51C9039A"/>
    <w:rsid w:val="51C94B31"/>
    <w:rsid w:val="51CD3964"/>
    <w:rsid w:val="51CE5CBC"/>
    <w:rsid w:val="51DC2BA6"/>
    <w:rsid w:val="51DC7B9F"/>
    <w:rsid w:val="51E257EE"/>
    <w:rsid w:val="51EC4024"/>
    <w:rsid w:val="51FC7008"/>
    <w:rsid w:val="52035094"/>
    <w:rsid w:val="52156187"/>
    <w:rsid w:val="52165BDC"/>
    <w:rsid w:val="52173F41"/>
    <w:rsid w:val="521C6332"/>
    <w:rsid w:val="52431C22"/>
    <w:rsid w:val="52444F1C"/>
    <w:rsid w:val="525238DC"/>
    <w:rsid w:val="525B4A7D"/>
    <w:rsid w:val="526D069F"/>
    <w:rsid w:val="526D7CA2"/>
    <w:rsid w:val="52754877"/>
    <w:rsid w:val="52B365E9"/>
    <w:rsid w:val="52BE58F4"/>
    <w:rsid w:val="52C1110B"/>
    <w:rsid w:val="52C33F1F"/>
    <w:rsid w:val="52DC65A9"/>
    <w:rsid w:val="52DD1FEC"/>
    <w:rsid w:val="52E07D53"/>
    <w:rsid w:val="52EE2CA6"/>
    <w:rsid w:val="530005AF"/>
    <w:rsid w:val="530B1CD4"/>
    <w:rsid w:val="53190EA5"/>
    <w:rsid w:val="531B2E13"/>
    <w:rsid w:val="53223C77"/>
    <w:rsid w:val="532861A6"/>
    <w:rsid w:val="532C349C"/>
    <w:rsid w:val="5333363B"/>
    <w:rsid w:val="533B637A"/>
    <w:rsid w:val="534D7F78"/>
    <w:rsid w:val="53560633"/>
    <w:rsid w:val="53651059"/>
    <w:rsid w:val="536939A8"/>
    <w:rsid w:val="53730867"/>
    <w:rsid w:val="537B46FA"/>
    <w:rsid w:val="53813882"/>
    <w:rsid w:val="538609A1"/>
    <w:rsid w:val="538B4C3F"/>
    <w:rsid w:val="53A26E7F"/>
    <w:rsid w:val="53AC2E3F"/>
    <w:rsid w:val="53AE2A07"/>
    <w:rsid w:val="53BE3DD9"/>
    <w:rsid w:val="53C14D3A"/>
    <w:rsid w:val="53C434DC"/>
    <w:rsid w:val="53D52E17"/>
    <w:rsid w:val="53E9420E"/>
    <w:rsid w:val="53EA0E7E"/>
    <w:rsid w:val="53FF0C49"/>
    <w:rsid w:val="54030EC0"/>
    <w:rsid w:val="5407637F"/>
    <w:rsid w:val="540941BA"/>
    <w:rsid w:val="54111DE8"/>
    <w:rsid w:val="54114719"/>
    <w:rsid w:val="541173FE"/>
    <w:rsid w:val="54134291"/>
    <w:rsid w:val="5416240C"/>
    <w:rsid w:val="541F5EE3"/>
    <w:rsid w:val="542D1D3C"/>
    <w:rsid w:val="543C311D"/>
    <w:rsid w:val="544823F3"/>
    <w:rsid w:val="545F361A"/>
    <w:rsid w:val="54642A63"/>
    <w:rsid w:val="546B6FE8"/>
    <w:rsid w:val="5480209E"/>
    <w:rsid w:val="54816808"/>
    <w:rsid w:val="5494265A"/>
    <w:rsid w:val="54A20F6A"/>
    <w:rsid w:val="54A464BB"/>
    <w:rsid w:val="54AC24BC"/>
    <w:rsid w:val="54B050AA"/>
    <w:rsid w:val="54B4149E"/>
    <w:rsid w:val="54C27167"/>
    <w:rsid w:val="54D70A47"/>
    <w:rsid w:val="54EA0581"/>
    <w:rsid w:val="54EA26BE"/>
    <w:rsid w:val="54EB2CC9"/>
    <w:rsid w:val="54F37CE4"/>
    <w:rsid w:val="55043917"/>
    <w:rsid w:val="55173EF5"/>
    <w:rsid w:val="55254C4C"/>
    <w:rsid w:val="552D3719"/>
    <w:rsid w:val="553B2D1B"/>
    <w:rsid w:val="553C6A5D"/>
    <w:rsid w:val="553F1C60"/>
    <w:rsid w:val="55490563"/>
    <w:rsid w:val="554D5B69"/>
    <w:rsid w:val="55523798"/>
    <w:rsid w:val="55575C84"/>
    <w:rsid w:val="55622629"/>
    <w:rsid w:val="5567388E"/>
    <w:rsid w:val="55674DDF"/>
    <w:rsid w:val="556A56C3"/>
    <w:rsid w:val="556E25E3"/>
    <w:rsid w:val="556E565C"/>
    <w:rsid w:val="557701D2"/>
    <w:rsid w:val="557A6DA0"/>
    <w:rsid w:val="55960D99"/>
    <w:rsid w:val="55A41DAF"/>
    <w:rsid w:val="55B32843"/>
    <w:rsid w:val="55BC6D49"/>
    <w:rsid w:val="55E203B8"/>
    <w:rsid w:val="55EA2982"/>
    <w:rsid w:val="55ED5B33"/>
    <w:rsid w:val="55F50744"/>
    <w:rsid w:val="56397957"/>
    <w:rsid w:val="5641651E"/>
    <w:rsid w:val="564D33D9"/>
    <w:rsid w:val="566408E0"/>
    <w:rsid w:val="56805CEA"/>
    <w:rsid w:val="568232AA"/>
    <w:rsid w:val="56854DDD"/>
    <w:rsid w:val="56865062"/>
    <w:rsid w:val="5690558E"/>
    <w:rsid w:val="56991243"/>
    <w:rsid w:val="569A707D"/>
    <w:rsid w:val="56A9224D"/>
    <w:rsid w:val="56A92620"/>
    <w:rsid w:val="56BA5E8F"/>
    <w:rsid w:val="56C43C09"/>
    <w:rsid w:val="56DA6DF1"/>
    <w:rsid w:val="56DB11AF"/>
    <w:rsid w:val="56DD1623"/>
    <w:rsid w:val="56E86C02"/>
    <w:rsid w:val="56EA7CA0"/>
    <w:rsid w:val="570D735E"/>
    <w:rsid w:val="572547A5"/>
    <w:rsid w:val="573050F9"/>
    <w:rsid w:val="57315571"/>
    <w:rsid w:val="5745734F"/>
    <w:rsid w:val="57533BFF"/>
    <w:rsid w:val="57637D01"/>
    <w:rsid w:val="577526D4"/>
    <w:rsid w:val="57765E99"/>
    <w:rsid w:val="577EBB77"/>
    <w:rsid w:val="57837F9C"/>
    <w:rsid w:val="579E619F"/>
    <w:rsid w:val="57B63E99"/>
    <w:rsid w:val="57B9633A"/>
    <w:rsid w:val="57C24E83"/>
    <w:rsid w:val="57D23862"/>
    <w:rsid w:val="57D321A3"/>
    <w:rsid w:val="57D8269E"/>
    <w:rsid w:val="57E46016"/>
    <w:rsid w:val="57EA58F1"/>
    <w:rsid w:val="57FE245B"/>
    <w:rsid w:val="581E69DE"/>
    <w:rsid w:val="581F18C0"/>
    <w:rsid w:val="58293713"/>
    <w:rsid w:val="582D43AF"/>
    <w:rsid w:val="583B0ADC"/>
    <w:rsid w:val="58526C2B"/>
    <w:rsid w:val="585316E8"/>
    <w:rsid w:val="585F0173"/>
    <w:rsid w:val="586C6188"/>
    <w:rsid w:val="58757DD9"/>
    <w:rsid w:val="58815A45"/>
    <w:rsid w:val="588F54F8"/>
    <w:rsid w:val="58913392"/>
    <w:rsid w:val="58B47288"/>
    <w:rsid w:val="58C544E0"/>
    <w:rsid w:val="58CD099B"/>
    <w:rsid w:val="58F24DF0"/>
    <w:rsid w:val="58F56A7C"/>
    <w:rsid w:val="58FE0327"/>
    <w:rsid w:val="59076C8D"/>
    <w:rsid w:val="59101387"/>
    <w:rsid w:val="59123A16"/>
    <w:rsid w:val="59453AD3"/>
    <w:rsid w:val="5947055B"/>
    <w:rsid w:val="59480EED"/>
    <w:rsid w:val="59593E46"/>
    <w:rsid w:val="596C0E04"/>
    <w:rsid w:val="597222FA"/>
    <w:rsid w:val="5976088C"/>
    <w:rsid w:val="5983374E"/>
    <w:rsid w:val="598614A1"/>
    <w:rsid w:val="598E54B1"/>
    <w:rsid w:val="59A564DA"/>
    <w:rsid w:val="59AD777A"/>
    <w:rsid w:val="59AF5ACF"/>
    <w:rsid w:val="59B9783B"/>
    <w:rsid w:val="59BF4FB8"/>
    <w:rsid w:val="59C273CE"/>
    <w:rsid w:val="59C814E9"/>
    <w:rsid w:val="59CF3091"/>
    <w:rsid w:val="59D85B56"/>
    <w:rsid w:val="59E250A8"/>
    <w:rsid w:val="59E87996"/>
    <w:rsid w:val="59F41367"/>
    <w:rsid w:val="59FE45BC"/>
    <w:rsid w:val="5A025DBC"/>
    <w:rsid w:val="5A0F382C"/>
    <w:rsid w:val="5A184997"/>
    <w:rsid w:val="5A230A67"/>
    <w:rsid w:val="5A24742F"/>
    <w:rsid w:val="5A264F3B"/>
    <w:rsid w:val="5A3A2DDD"/>
    <w:rsid w:val="5A3A5A01"/>
    <w:rsid w:val="5A435280"/>
    <w:rsid w:val="5A4D1C8D"/>
    <w:rsid w:val="5A5E7BBC"/>
    <w:rsid w:val="5A61633E"/>
    <w:rsid w:val="5A6F61A9"/>
    <w:rsid w:val="5A723805"/>
    <w:rsid w:val="5A765C9C"/>
    <w:rsid w:val="5A7666A5"/>
    <w:rsid w:val="5A7F44C0"/>
    <w:rsid w:val="5A8C092D"/>
    <w:rsid w:val="5A8E758A"/>
    <w:rsid w:val="5A9C3663"/>
    <w:rsid w:val="5A9D2CFF"/>
    <w:rsid w:val="5AA93827"/>
    <w:rsid w:val="5AB91285"/>
    <w:rsid w:val="5AC20218"/>
    <w:rsid w:val="5AC81BF5"/>
    <w:rsid w:val="5ACA6FCE"/>
    <w:rsid w:val="5ACC7530"/>
    <w:rsid w:val="5AD23D60"/>
    <w:rsid w:val="5AD3154D"/>
    <w:rsid w:val="5AD6468B"/>
    <w:rsid w:val="5AD87925"/>
    <w:rsid w:val="5ADB3AD1"/>
    <w:rsid w:val="5ADB58A3"/>
    <w:rsid w:val="5AE13C31"/>
    <w:rsid w:val="5AEC7967"/>
    <w:rsid w:val="5AF513D3"/>
    <w:rsid w:val="5AFA0C5D"/>
    <w:rsid w:val="5AFE3289"/>
    <w:rsid w:val="5B06063C"/>
    <w:rsid w:val="5B0C7E50"/>
    <w:rsid w:val="5B1C318A"/>
    <w:rsid w:val="5B1D516A"/>
    <w:rsid w:val="5B1E4896"/>
    <w:rsid w:val="5B2846A4"/>
    <w:rsid w:val="5B3404E2"/>
    <w:rsid w:val="5B3C0546"/>
    <w:rsid w:val="5B43334C"/>
    <w:rsid w:val="5B652FF7"/>
    <w:rsid w:val="5B666208"/>
    <w:rsid w:val="5B68587B"/>
    <w:rsid w:val="5B6E411E"/>
    <w:rsid w:val="5B7059F7"/>
    <w:rsid w:val="5B952CA1"/>
    <w:rsid w:val="5B971D84"/>
    <w:rsid w:val="5B9F7DCA"/>
    <w:rsid w:val="5BA81D4B"/>
    <w:rsid w:val="5BA84BEA"/>
    <w:rsid w:val="5BAD0BC5"/>
    <w:rsid w:val="5BCF5706"/>
    <w:rsid w:val="5C0901D7"/>
    <w:rsid w:val="5C1C1BEA"/>
    <w:rsid w:val="5C1D57BD"/>
    <w:rsid w:val="5C2D3B4D"/>
    <w:rsid w:val="5C304E63"/>
    <w:rsid w:val="5C310167"/>
    <w:rsid w:val="5C3378F8"/>
    <w:rsid w:val="5C391704"/>
    <w:rsid w:val="5C4977D7"/>
    <w:rsid w:val="5C544E27"/>
    <w:rsid w:val="5C566880"/>
    <w:rsid w:val="5C5C6B26"/>
    <w:rsid w:val="5C5C6C9F"/>
    <w:rsid w:val="5C5F35BE"/>
    <w:rsid w:val="5C6C391C"/>
    <w:rsid w:val="5C785936"/>
    <w:rsid w:val="5C7A0B66"/>
    <w:rsid w:val="5C8C0016"/>
    <w:rsid w:val="5C8C04C4"/>
    <w:rsid w:val="5C8C78C7"/>
    <w:rsid w:val="5C8D7757"/>
    <w:rsid w:val="5C946EE9"/>
    <w:rsid w:val="5CA86FBC"/>
    <w:rsid w:val="5CAB4846"/>
    <w:rsid w:val="5CB139F7"/>
    <w:rsid w:val="5CCB209C"/>
    <w:rsid w:val="5CD664AF"/>
    <w:rsid w:val="5CDE04E8"/>
    <w:rsid w:val="5CF17E19"/>
    <w:rsid w:val="5D0D54DC"/>
    <w:rsid w:val="5D132D38"/>
    <w:rsid w:val="5D1A7B58"/>
    <w:rsid w:val="5D2E6280"/>
    <w:rsid w:val="5D36011F"/>
    <w:rsid w:val="5D3653BB"/>
    <w:rsid w:val="5D3A3F45"/>
    <w:rsid w:val="5D42095E"/>
    <w:rsid w:val="5D47308C"/>
    <w:rsid w:val="5D4A25A5"/>
    <w:rsid w:val="5D4C1FC6"/>
    <w:rsid w:val="5D555651"/>
    <w:rsid w:val="5D5713FE"/>
    <w:rsid w:val="5D674911"/>
    <w:rsid w:val="5D677EDE"/>
    <w:rsid w:val="5D6F48D0"/>
    <w:rsid w:val="5D71346E"/>
    <w:rsid w:val="5D7A0A43"/>
    <w:rsid w:val="5D850D64"/>
    <w:rsid w:val="5D8A2F59"/>
    <w:rsid w:val="5D8B1942"/>
    <w:rsid w:val="5DA622BA"/>
    <w:rsid w:val="5DAC7270"/>
    <w:rsid w:val="5DB3ABD7"/>
    <w:rsid w:val="5DB40D6B"/>
    <w:rsid w:val="5DCC03EC"/>
    <w:rsid w:val="5DCE57DF"/>
    <w:rsid w:val="5DE53F99"/>
    <w:rsid w:val="5DF146D7"/>
    <w:rsid w:val="5DF75800"/>
    <w:rsid w:val="5DFE073C"/>
    <w:rsid w:val="5E051C8A"/>
    <w:rsid w:val="5E07078D"/>
    <w:rsid w:val="5E08087C"/>
    <w:rsid w:val="5E137C73"/>
    <w:rsid w:val="5E225207"/>
    <w:rsid w:val="5E26076E"/>
    <w:rsid w:val="5E322141"/>
    <w:rsid w:val="5E40681E"/>
    <w:rsid w:val="5E431FDE"/>
    <w:rsid w:val="5E472427"/>
    <w:rsid w:val="5E530F5F"/>
    <w:rsid w:val="5E5D506F"/>
    <w:rsid w:val="5E652692"/>
    <w:rsid w:val="5E6644B1"/>
    <w:rsid w:val="5E6D2467"/>
    <w:rsid w:val="5E765578"/>
    <w:rsid w:val="5E801979"/>
    <w:rsid w:val="5E837551"/>
    <w:rsid w:val="5E8E185E"/>
    <w:rsid w:val="5E8F36E7"/>
    <w:rsid w:val="5E913305"/>
    <w:rsid w:val="5EBF7FC1"/>
    <w:rsid w:val="5EC64871"/>
    <w:rsid w:val="5EC7697C"/>
    <w:rsid w:val="5ED647AE"/>
    <w:rsid w:val="5EE72926"/>
    <w:rsid w:val="5EEA50C1"/>
    <w:rsid w:val="5EF079B5"/>
    <w:rsid w:val="5EF33AD9"/>
    <w:rsid w:val="5F0202B7"/>
    <w:rsid w:val="5F127175"/>
    <w:rsid w:val="5F140DC4"/>
    <w:rsid w:val="5F200682"/>
    <w:rsid w:val="5F3073EC"/>
    <w:rsid w:val="5F5515BD"/>
    <w:rsid w:val="5F5F707D"/>
    <w:rsid w:val="5F713979"/>
    <w:rsid w:val="5F851DDB"/>
    <w:rsid w:val="5F863648"/>
    <w:rsid w:val="5F88749D"/>
    <w:rsid w:val="5F915028"/>
    <w:rsid w:val="5F922AF6"/>
    <w:rsid w:val="5F93061C"/>
    <w:rsid w:val="5F9711BF"/>
    <w:rsid w:val="5F971552"/>
    <w:rsid w:val="5F9B166A"/>
    <w:rsid w:val="5FA12D39"/>
    <w:rsid w:val="5FA74B30"/>
    <w:rsid w:val="5FAE21C5"/>
    <w:rsid w:val="5FAF36A8"/>
    <w:rsid w:val="5FC97EAF"/>
    <w:rsid w:val="5FDE2BCA"/>
    <w:rsid w:val="5FE1D43A"/>
    <w:rsid w:val="5FE24F1B"/>
    <w:rsid w:val="601E438A"/>
    <w:rsid w:val="602A2156"/>
    <w:rsid w:val="602E17EE"/>
    <w:rsid w:val="602F24F9"/>
    <w:rsid w:val="60362382"/>
    <w:rsid w:val="603F76BB"/>
    <w:rsid w:val="60617572"/>
    <w:rsid w:val="606D30B0"/>
    <w:rsid w:val="606D717B"/>
    <w:rsid w:val="608232E0"/>
    <w:rsid w:val="60856F6B"/>
    <w:rsid w:val="608636A6"/>
    <w:rsid w:val="608871DD"/>
    <w:rsid w:val="609826C2"/>
    <w:rsid w:val="60AD78B6"/>
    <w:rsid w:val="60C2229C"/>
    <w:rsid w:val="60DC4C69"/>
    <w:rsid w:val="60EC6E5D"/>
    <w:rsid w:val="60F91568"/>
    <w:rsid w:val="610338AE"/>
    <w:rsid w:val="61042E22"/>
    <w:rsid w:val="61097120"/>
    <w:rsid w:val="61165643"/>
    <w:rsid w:val="613A1697"/>
    <w:rsid w:val="613B5238"/>
    <w:rsid w:val="613D74BB"/>
    <w:rsid w:val="613F7FF3"/>
    <w:rsid w:val="61480B6C"/>
    <w:rsid w:val="61525A80"/>
    <w:rsid w:val="615E7AA8"/>
    <w:rsid w:val="6170666B"/>
    <w:rsid w:val="617D2A2C"/>
    <w:rsid w:val="618178EA"/>
    <w:rsid w:val="618E3DA4"/>
    <w:rsid w:val="61921914"/>
    <w:rsid w:val="619335B8"/>
    <w:rsid w:val="619E3AD1"/>
    <w:rsid w:val="61A551D6"/>
    <w:rsid w:val="61C14840"/>
    <w:rsid w:val="61C16D49"/>
    <w:rsid w:val="61CB72A8"/>
    <w:rsid w:val="61CD42B9"/>
    <w:rsid w:val="61D755C7"/>
    <w:rsid w:val="61DA18BE"/>
    <w:rsid w:val="61DB0BAD"/>
    <w:rsid w:val="61DB6D6A"/>
    <w:rsid w:val="61F9319F"/>
    <w:rsid w:val="620677CB"/>
    <w:rsid w:val="621A1344"/>
    <w:rsid w:val="621E34CF"/>
    <w:rsid w:val="621E7DD1"/>
    <w:rsid w:val="62205E8A"/>
    <w:rsid w:val="622D772B"/>
    <w:rsid w:val="6231551C"/>
    <w:rsid w:val="62325558"/>
    <w:rsid w:val="625E2872"/>
    <w:rsid w:val="626902E0"/>
    <w:rsid w:val="626C1494"/>
    <w:rsid w:val="62707C0E"/>
    <w:rsid w:val="62775FD3"/>
    <w:rsid w:val="62982E2B"/>
    <w:rsid w:val="629F1857"/>
    <w:rsid w:val="62A830B5"/>
    <w:rsid w:val="62AB0F8B"/>
    <w:rsid w:val="62AB67DE"/>
    <w:rsid w:val="62AF3276"/>
    <w:rsid w:val="62C54F90"/>
    <w:rsid w:val="62EE79D5"/>
    <w:rsid w:val="630C5605"/>
    <w:rsid w:val="63327E35"/>
    <w:rsid w:val="633D4D6E"/>
    <w:rsid w:val="63597924"/>
    <w:rsid w:val="638B1C20"/>
    <w:rsid w:val="63A71B7E"/>
    <w:rsid w:val="63B8115E"/>
    <w:rsid w:val="63BC0650"/>
    <w:rsid w:val="63C028EF"/>
    <w:rsid w:val="63C201AA"/>
    <w:rsid w:val="63CF72C9"/>
    <w:rsid w:val="63D07415"/>
    <w:rsid w:val="63D84599"/>
    <w:rsid w:val="63E419BD"/>
    <w:rsid w:val="63E853DA"/>
    <w:rsid w:val="63FA4480"/>
    <w:rsid w:val="641F6CDA"/>
    <w:rsid w:val="64276F9D"/>
    <w:rsid w:val="643A41FD"/>
    <w:rsid w:val="64441196"/>
    <w:rsid w:val="64505509"/>
    <w:rsid w:val="64520387"/>
    <w:rsid w:val="64593134"/>
    <w:rsid w:val="64864C3B"/>
    <w:rsid w:val="64A1744C"/>
    <w:rsid w:val="64AC009F"/>
    <w:rsid w:val="64AE791A"/>
    <w:rsid w:val="64AF5523"/>
    <w:rsid w:val="64B143EC"/>
    <w:rsid w:val="64BB5180"/>
    <w:rsid w:val="64C45534"/>
    <w:rsid w:val="64D83F2F"/>
    <w:rsid w:val="64E43440"/>
    <w:rsid w:val="64EC1D47"/>
    <w:rsid w:val="64EC5E0F"/>
    <w:rsid w:val="64FA59E2"/>
    <w:rsid w:val="650E77A7"/>
    <w:rsid w:val="65147B89"/>
    <w:rsid w:val="65260ABD"/>
    <w:rsid w:val="65301701"/>
    <w:rsid w:val="653F1610"/>
    <w:rsid w:val="65434582"/>
    <w:rsid w:val="654802AC"/>
    <w:rsid w:val="655A6BE9"/>
    <w:rsid w:val="655E17E4"/>
    <w:rsid w:val="65781CCD"/>
    <w:rsid w:val="65825D6F"/>
    <w:rsid w:val="65B70D56"/>
    <w:rsid w:val="65BF5412"/>
    <w:rsid w:val="65C548CC"/>
    <w:rsid w:val="65C634F9"/>
    <w:rsid w:val="65CE1111"/>
    <w:rsid w:val="65DD22CC"/>
    <w:rsid w:val="65E67414"/>
    <w:rsid w:val="65EA16A4"/>
    <w:rsid w:val="66160A61"/>
    <w:rsid w:val="66335F09"/>
    <w:rsid w:val="663A5146"/>
    <w:rsid w:val="663C3187"/>
    <w:rsid w:val="664A2343"/>
    <w:rsid w:val="664B2B7A"/>
    <w:rsid w:val="66516C04"/>
    <w:rsid w:val="66531B88"/>
    <w:rsid w:val="66562DF5"/>
    <w:rsid w:val="66616A2B"/>
    <w:rsid w:val="666A00DC"/>
    <w:rsid w:val="66773307"/>
    <w:rsid w:val="667A7199"/>
    <w:rsid w:val="66833C4A"/>
    <w:rsid w:val="6685570A"/>
    <w:rsid w:val="668D18BF"/>
    <w:rsid w:val="66A61B60"/>
    <w:rsid w:val="66A85D0B"/>
    <w:rsid w:val="66B67474"/>
    <w:rsid w:val="66C369A8"/>
    <w:rsid w:val="66D240B5"/>
    <w:rsid w:val="66DD182A"/>
    <w:rsid w:val="66F13DA0"/>
    <w:rsid w:val="66F77065"/>
    <w:rsid w:val="670867E0"/>
    <w:rsid w:val="67172E03"/>
    <w:rsid w:val="671D3E54"/>
    <w:rsid w:val="67357C0C"/>
    <w:rsid w:val="673C7483"/>
    <w:rsid w:val="6740492F"/>
    <w:rsid w:val="675608AD"/>
    <w:rsid w:val="67742D4D"/>
    <w:rsid w:val="677874C8"/>
    <w:rsid w:val="67794564"/>
    <w:rsid w:val="677B22D5"/>
    <w:rsid w:val="67971101"/>
    <w:rsid w:val="679C5776"/>
    <w:rsid w:val="67A80671"/>
    <w:rsid w:val="67AA43EF"/>
    <w:rsid w:val="67B15AAD"/>
    <w:rsid w:val="67BA05D7"/>
    <w:rsid w:val="67BB2606"/>
    <w:rsid w:val="67BB77DC"/>
    <w:rsid w:val="67BF6DD2"/>
    <w:rsid w:val="67C544ED"/>
    <w:rsid w:val="67C63416"/>
    <w:rsid w:val="67E8152C"/>
    <w:rsid w:val="67F47B32"/>
    <w:rsid w:val="67F66424"/>
    <w:rsid w:val="67F902CD"/>
    <w:rsid w:val="68094CB8"/>
    <w:rsid w:val="681C10AE"/>
    <w:rsid w:val="68217EAB"/>
    <w:rsid w:val="68277993"/>
    <w:rsid w:val="682E0B03"/>
    <w:rsid w:val="683131CE"/>
    <w:rsid w:val="68384B58"/>
    <w:rsid w:val="683E7DBB"/>
    <w:rsid w:val="68430E2D"/>
    <w:rsid w:val="684D2172"/>
    <w:rsid w:val="68593C9B"/>
    <w:rsid w:val="68645FE7"/>
    <w:rsid w:val="686947A3"/>
    <w:rsid w:val="686A2A49"/>
    <w:rsid w:val="6874724D"/>
    <w:rsid w:val="687C09DA"/>
    <w:rsid w:val="68917DA9"/>
    <w:rsid w:val="689425E4"/>
    <w:rsid w:val="68AE7D5A"/>
    <w:rsid w:val="68B00491"/>
    <w:rsid w:val="68B31E9D"/>
    <w:rsid w:val="68C37798"/>
    <w:rsid w:val="68C70D1B"/>
    <w:rsid w:val="68EA53B5"/>
    <w:rsid w:val="68FC2B49"/>
    <w:rsid w:val="68FE37BB"/>
    <w:rsid w:val="69027F0B"/>
    <w:rsid w:val="69055038"/>
    <w:rsid w:val="691429E4"/>
    <w:rsid w:val="691C5A6B"/>
    <w:rsid w:val="692E2F29"/>
    <w:rsid w:val="692E538C"/>
    <w:rsid w:val="69323E95"/>
    <w:rsid w:val="69366BE8"/>
    <w:rsid w:val="69374F3E"/>
    <w:rsid w:val="694D597F"/>
    <w:rsid w:val="695A0560"/>
    <w:rsid w:val="695A5747"/>
    <w:rsid w:val="695D4F45"/>
    <w:rsid w:val="697102A6"/>
    <w:rsid w:val="69767F44"/>
    <w:rsid w:val="697A2C80"/>
    <w:rsid w:val="697D5B03"/>
    <w:rsid w:val="698B638F"/>
    <w:rsid w:val="698B76A4"/>
    <w:rsid w:val="698D1629"/>
    <w:rsid w:val="69955386"/>
    <w:rsid w:val="699F107C"/>
    <w:rsid w:val="69CF21ED"/>
    <w:rsid w:val="69D71850"/>
    <w:rsid w:val="69DB153D"/>
    <w:rsid w:val="69F00F83"/>
    <w:rsid w:val="69FE3526"/>
    <w:rsid w:val="6A0205FC"/>
    <w:rsid w:val="6A070584"/>
    <w:rsid w:val="6A100179"/>
    <w:rsid w:val="6A383D65"/>
    <w:rsid w:val="6A3C4C44"/>
    <w:rsid w:val="6A4701CC"/>
    <w:rsid w:val="6A4B26E8"/>
    <w:rsid w:val="6A6734DA"/>
    <w:rsid w:val="6A6778C6"/>
    <w:rsid w:val="6A694A3B"/>
    <w:rsid w:val="6A852B60"/>
    <w:rsid w:val="6A86170B"/>
    <w:rsid w:val="6A93202E"/>
    <w:rsid w:val="6AB22C0A"/>
    <w:rsid w:val="6AB62E2B"/>
    <w:rsid w:val="6AB67CD3"/>
    <w:rsid w:val="6AC253E1"/>
    <w:rsid w:val="6AC26002"/>
    <w:rsid w:val="6AC479A3"/>
    <w:rsid w:val="6ACB3C98"/>
    <w:rsid w:val="6AE60AF2"/>
    <w:rsid w:val="6B024415"/>
    <w:rsid w:val="6B186BFE"/>
    <w:rsid w:val="6B1D0DFB"/>
    <w:rsid w:val="6B241A17"/>
    <w:rsid w:val="6B282CC5"/>
    <w:rsid w:val="6B32132A"/>
    <w:rsid w:val="6B44740B"/>
    <w:rsid w:val="6B486305"/>
    <w:rsid w:val="6B4B04D0"/>
    <w:rsid w:val="6B5516ED"/>
    <w:rsid w:val="6B5D068E"/>
    <w:rsid w:val="6B633598"/>
    <w:rsid w:val="6B6A0B30"/>
    <w:rsid w:val="6B6C069F"/>
    <w:rsid w:val="6B782301"/>
    <w:rsid w:val="6B7B6F9A"/>
    <w:rsid w:val="6B7D5A4C"/>
    <w:rsid w:val="6B821D73"/>
    <w:rsid w:val="6B8505C1"/>
    <w:rsid w:val="6B8E06EB"/>
    <w:rsid w:val="6B940DD0"/>
    <w:rsid w:val="6B9B40AC"/>
    <w:rsid w:val="6BA26F93"/>
    <w:rsid w:val="6BAB6585"/>
    <w:rsid w:val="6BC142F3"/>
    <w:rsid w:val="6BF12275"/>
    <w:rsid w:val="6BFFAD91"/>
    <w:rsid w:val="6C1036F5"/>
    <w:rsid w:val="6C223A2F"/>
    <w:rsid w:val="6C2A2AC8"/>
    <w:rsid w:val="6C2C1390"/>
    <w:rsid w:val="6C3700F6"/>
    <w:rsid w:val="6C4301BA"/>
    <w:rsid w:val="6C47016A"/>
    <w:rsid w:val="6C5928FE"/>
    <w:rsid w:val="6C5C6AE9"/>
    <w:rsid w:val="6C6715A8"/>
    <w:rsid w:val="6C6E6226"/>
    <w:rsid w:val="6C6F51C3"/>
    <w:rsid w:val="6C8156FF"/>
    <w:rsid w:val="6C93119B"/>
    <w:rsid w:val="6C9351BA"/>
    <w:rsid w:val="6CAD0CD0"/>
    <w:rsid w:val="6CB07100"/>
    <w:rsid w:val="6CC31850"/>
    <w:rsid w:val="6CC71741"/>
    <w:rsid w:val="6CDF4594"/>
    <w:rsid w:val="6CEB38AE"/>
    <w:rsid w:val="6CEF5EA1"/>
    <w:rsid w:val="6D1F64A6"/>
    <w:rsid w:val="6D390898"/>
    <w:rsid w:val="6D5440EA"/>
    <w:rsid w:val="6D6E1B02"/>
    <w:rsid w:val="6D735DCA"/>
    <w:rsid w:val="6D75214E"/>
    <w:rsid w:val="6D77157D"/>
    <w:rsid w:val="6D8A7EBF"/>
    <w:rsid w:val="6D8B21A2"/>
    <w:rsid w:val="6D8D3B55"/>
    <w:rsid w:val="6D8E2074"/>
    <w:rsid w:val="6D91307B"/>
    <w:rsid w:val="6DB12486"/>
    <w:rsid w:val="6DB15929"/>
    <w:rsid w:val="6DBC4304"/>
    <w:rsid w:val="6DD13973"/>
    <w:rsid w:val="6DE72E96"/>
    <w:rsid w:val="6DF11B36"/>
    <w:rsid w:val="6DF22819"/>
    <w:rsid w:val="6DF27C6A"/>
    <w:rsid w:val="6DFB0AD5"/>
    <w:rsid w:val="6E1D0CC8"/>
    <w:rsid w:val="6E493F8C"/>
    <w:rsid w:val="6E4A733C"/>
    <w:rsid w:val="6E4C47B8"/>
    <w:rsid w:val="6E614503"/>
    <w:rsid w:val="6E7F36C9"/>
    <w:rsid w:val="6E88515F"/>
    <w:rsid w:val="6E887A08"/>
    <w:rsid w:val="6E8E3CE0"/>
    <w:rsid w:val="6E941244"/>
    <w:rsid w:val="6E956298"/>
    <w:rsid w:val="6E9C0F6F"/>
    <w:rsid w:val="6EA9159D"/>
    <w:rsid w:val="6EB273F2"/>
    <w:rsid w:val="6EB91D43"/>
    <w:rsid w:val="6EC16CE9"/>
    <w:rsid w:val="6EC35BF0"/>
    <w:rsid w:val="6EDE223D"/>
    <w:rsid w:val="6F0A2094"/>
    <w:rsid w:val="6F0F39F2"/>
    <w:rsid w:val="6F3E05A4"/>
    <w:rsid w:val="6F4951BB"/>
    <w:rsid w:val="6F5159AF"/>
    <w:rsid w:val="6F520507"/>
    <w:rsid w:val="6F5A181D"/>
    <w:rsid w:val="6F5D7E4B"/>
    <w:rsid w:val="6F641687"/>
    <w:rsid w:val="6F675EFD"/>
    <w:rsid w:val="6F924725"/>
    <w:rsid w:val="6F9B2787"/>
    <w:rsid w:val="6F9FAEB2"/>
    <w:rsid w:val="6FA836CD"/>
    <w:rsid w:val="6FC211D5"/>
    <w:rsid w:val="6FC71E59"/>
    <w:rsid w:val="6FCE62E2"/>
    <w:rsid w:val="6FCF3791"/>
    <w:rsid w:val="6FDA5E9C"/>
    <w:rsid w:val="6FE77B33"/>
    <w:rsid w:val="6FEA6E79"/>
    <w:rsid w:val="6FEFE5D8"/>
    <w:rsid w:val="6FF55A02"/>
    <w:rsid w:val="700370F8"/>
    <w:rsid w:val="70054D85"/>
    <w:rsid w:val="70090D00"/>
    <w:rsid w:val="701A5845"/>
    <w:rsid w:val="70390750"/>
    <w:rsid w:val="70440A28"/>
    <w:rsid w:val="704A0816"/>
    <w:rsid w:val="70501E3E"/>
    <w:rsid w:val="705D5A07"/>
    <w:rsid w:val="706E214E"/>
    <w:rsid w:val="70775545"/>
    <w:rsid w:val="70780412"/>
    <w:rsid w:val="70802915"/>
    <w:rsid w:val="70806CEE"/>
    <w:rsid w:val="70A81092"/>
    <w:rsid w:val="70B247D2"/>
    <w:rsid w:val="70D06967"/>
    <w:rsid w:val="70D1169A"/>
    <w:rsid w:val="70EC4166"/>
    <w:rsid w:val="70EE6940"/>
    <w:rsid w:val="70FA264E"/>
    <w:rsid w:val="70FE023E"/>
    <w:rsid w:val="7103031A"/>
    <w:rsid w:val="711D5771"/>
    <w:rsid w:val="712037C7"/>
    <w:rsid w:val="71342A64"/>
    <w:rsid w:val="71426457"/>
    <w:rsid w:val="714B7D1B"/>
    <w:rsid w:val="71617069"/>
    <w:rsid w:val="71646FCE"/>
    <w:rsid w:val="716D01F5"/>
    <w:rsid w:val="71703900"/>
    <w:rsid w:val="719A60B4"/>
    <w:rsid w:val="71A01625"/>
    <w:rsid w:val="71AD7318"/>
    <w:rsid w:val="71AF1D75"/>
    <w:rsid w:val="71B13A8B"/>
    <w:rsid w:val="71C5692C"/>
    <w:rsid w:val="71DE606F"/>
    <w:rsid w:val="71E801AD"/>
    <w:rsid w:val="71EF67B0"/>
    <w:rsid w:val="71F33769"/>
    <w:rsid w:val="71F85712"/>
    <w:rsid w:val="71FD6008"/>
    <w:rsid w:val="7203012E"/>
    <w:rsid w:val="72146FEC"/>
    <w:rsid w:val="721C2C52"/>
    <w:rsid w:val="72223651"/>
    <w:rsid w:val="72282864"/>
    <w:rsid w:val="72307B12"/>
    <w:rsid w:val="723B1896"/>
    <w:rsid w:val="726D70E7"/>
    <w:rsid w:val="726E586E"/>
    <w:rsid w:val="72741038"/>
    <w:rsid w:val="7277270D"/>
    <w:rsid w:val="727D389D"/>
    <w:rsid w:val="72801D18"/>
    <w:rsid w:val="728A0EA6"/>
    <w:rsid w:val="728B4E2E"/>
    <w:rsid w:val="72966698"/>
    <w:rsid w:val="72A05C6B"/>
    <w:rsid w:val="72C84C17"/>
    <w:rsid w:val="72D864C1"/>
    <w:rsid w:val="72F86B20"/>
    <w:rsid w:val="72FE2F0B"/>
    <w:rsid w:val="73075CA3"/>
    <w:rsid w:val="73081B2C"/>
    <w:rsid w:val="730A2935"/>
    <w:rsid w:val="73131D48"/>
    <w:rsid w:val="731A34C9"/>
    <w:rsid w:val="733429D8"/>
    <w:rsid w:val="7341249F"/>
    <w:rsid w:val="735A0AE3"/>
    <w:rsid w:val="7363682B"/>
    <w:rsid w:val="737402D6"/>
    <w:rsid w:val="73757CCB"/>
    <w:rsid w:val="737F3081"/>
    <w:rsid w:val="7380587A"/>
    <w:rsid w:val="739C1146"/>
    <w:rsid w:val="73A61EA1"/>
    <w:rsid w:val="73A82490"/>
    <w:rsid w:val="73B12F74"/>
    <w:rsid w:val="73BA1C56"/>
    <w:rsid w:val="73BC2546"/>
    <w:rsid w:val="73BC358C"/>
    <w:rsid w:val="73E76398"/>
    <w:rsid w:val="73ED6E0B"/>
    <w:rsid w:val="73F3724A"/>
    <w:rsid w:val="73FE85B3"/>
    <w:rsid w:val="7403063F"/>
    <w:rsid w:val="740851C0"/>
    <w:rsid w:val="740F4A74"/>
    <w:rsid w:val="7440091B"/>
    <w:rsid w:val="744C3408"/>
    <w:rsid w:val="744C49F4"/>
    <w:rsid w:val="74512DF6"/>
    <w:rsid w:val="74527419"/>
    <w:rsid w:val="745E5DD6"/>
    <w:rsid w:val="7467373E"/>
    <w:rsid w:val="7468716B"/>
    <w:rsid w:val="746F1BE0"/>
    <w:rsid w:val="746F4655"/>
    <w:rsid w:val="749E0752"/>
    <w:rsid w:val="74A53F6F"/>
    <w:rsid w:val="74A9573A"/>
    <w:rsid w:val="74BA23E6"/>
    <w:rsid w:val="74C3024E"/>
    <w:rsid w:val="74CB6A9E"/>
    <w:rsid w:val="74CC4D8B"/>
    <w:rsid w:val="74CF4C99"/>
    <w:rsid w:val="74F4696D"/>
    <w:rsid w:val="74F701DF"/>
    <w:rsid w:val="750C6283"/>
    <w:rsid w:val="750D0872"/>
    <w:rsid w:val="75192E43"/>
    <w:rsid w:val="75220534"/>
    <w:rsid w:val="752513F8"/>
    <w:rsid w:val="754B318D"/>
    <w:rsid w:val="75522AD4"/>
    <w:rsid w:val="75644A01"/>
    <w:rsid w:val="7596273D"/>
    <w:rsid w:val="75965E49"/>
    <w:rsid w:val="759816D1"/>
    <w:rsid w:val="75A30A3D"/>
    <w:rsid w:val="75A650F5"/>
    <w:rsid w:val="75BA2ADB"/>
    <w:rsid w:val="75BA2C5B"/>
    <w:rsid w:val="75CA51F7"/>
    <w:rsid w:val="75D1254E"/>
    <w:rsid w:val="75E5701E"/>
    <w:rsid w:val="75EA640D"/>
    <w:rsid w:val="75EC1F62"/>
    <w:rsid w:val="75F80664"/>
    <w:rsid w:val="75FD299F"/>
    <w:rsid w:val="76144E21"/>
    <w:rsid w:val="7615199D"/>
    <w:rsid w:val="761868C6"/>
    <w:rsid w:val="763B6C0C"/>
    <w:rsid w:val="763D1CAE"/>
    <w:rsid w:val="76451B1D"/>
    <w:rsid w:val="76490875"/>
    <w:rsid w:val="766C1D5B"/>
    <w:rsid w:val="766C1E9B"/>
    <w:rsid w:val="766E4556"/>
    <w:rsid w:val="76772760"/>
    <w:rsid w:val="76853240"/>
    <w:rsid w:val="768D115E"/>
    <w:rsid w:val="769374B6"/>
    <w:rsid w:val="76946B19"/>
    <w:rsid w:val="769924E3"/>
    <w:rsid w:val="76AC2764"/>
    <w:rsid w:val="76B250C8"/>
    <w:rsid w:val="76C0616E"/>
    <w:rsid w:val="76D70F2E"/>
    <w:rsid w:val="76DC392B"/>
    <w:rsid w:val="76E3647E"/>
    <w:rsid w:val="77073A25"/>
    <w:rsid w:val="770B0814"/>
    <w:rsid w:val="77105855"/>
    <w:rsid w:val="771F338E"/>
    <w:rsid w:val="772E1DA1"/>
    <w:rsid w:val="77357209"/>
    <w:rsid w:val="773B3B2D"/>
    <w:rsid w:val="774124BB"/>
    <w:rsid w:val="77521CE8"/>
    <w:rsid w:val="776E0DA6"/>
    <w:rsid w:val="7778346A"/>
    <w:rsid w:val="777B05AD"/>
    <w:rsid w:val="777C0933"/>
    <w:rsid w:val="778E1F39"/>
    <w:rsid w:val="779736B9"/>
    <w:rsid w:val="77A04A56"/>
    <w:rsid w:val="77B301AF"/>
    <w:rsid w:val="77C04553"/>
    <w:rsid w:val="77CC74DE"/>
    <w:rsid w:val="77E20F99"/>
    <w:rsid w:val="77E72F3C"/>
    <w:rsid w:val="77E97B95"/>
    <w:rsid w:val="77ED5D52"/>
    <w:rsid w:val="77F47C76"/>
    <w:rsid w:val="77F91AFD"/>
    <w:rsid w:val="780C56E9"/>
    <w:rsid w:val="7819798D"/>
    <w:rsid w:val="781A4B37"/>
    <w:rsid w:val="78223B2F"/>
    <w:rsid w:val="782A3D7A"/>
    <w:rsid w:val="783B7D77"/>
    <w:rsid w:val="78495E83"/>
    <w:rsid w:val="78664D52"/>
    <w:rsid w:val="787A139C"/>
    <w:rsid w:val="78946B29"/>
    <w:rsid w:val="7899185F"/>
    <w:rsid w:val="789F2117"/>
    <w:rsid w:val="78A1054B"/>
    <w:rsid w:val="78A80FDD"/>
    <w:rsid w:val="78B01410"/>
    <w:rsid w:val="78D516CC"/>
    <w:rsid w:val="78DF217D"/>
    <w:rsid w:val="78EC6D6C"/>
    <w:rsid w:val="78F82E41"/>
    <w:rsid w:val="790F5229"/>
    <w:rsid w:val="79124101"/>
    <w:rsid w:val="79385940"/>
    <w:rsid w:val="794F00C6"/>
    <w:rsid w:val="795F25C6"/>
    <w:rsid w:val="79885772"/>
    <w:rsid w:val="798B1BF7"/>
    <w:rsid w:val="798F2132"/>
    <w:rsid w:val="799D3E61"/>
    <w:rsid w:val="799F298D"/>
    <w:rsid w:val="79AD1D9D"/>
    <w:rsid w:val="79B167A6"/>
    <w:rsid w:val="79C4440A"/>
    <w:rsid w:val="79C9040D"/>
    <w:rsid w:val="79D10945"/>
    <w:rsid w:val="79D86078"/>
    <w:rsid w:val="79DC27FB"/>
    <w:rsid w:val="79F301DD"/>
    <w:rsid w:val="79F91960"/>
    <w:rsid w:val="7A16029A"/>
    <w:rsid w:val="7A174FAD"/>
    <w:rsid w:val="7A210CF1"/>
    <w:rsid w:val="7A27753D"/>
    <w:rsid w:val="7A2908A0"/>
    <w:rsid w:val="7A410024"/>
    <w:rsid w:val="7A443D40"/>
    <w:rsid w:val="7A466ECE"/>
    <w:rsid w:val="7A4B1C69"/>
    <w:rsid w:val="7A792E87"/>
    <w:rsid w:val="7A7B24A4"/>
    <w:rsid w:val="7A8B750C"/>
    <w:rsid w:val="7A901B76"/>
    <w:rsid w:val="7AA85969"/>
    <w:rsid w:val="7AAA5EAD"/>
    <w:rsid w:val="7AAE1B29"/>
    <w:rsid w:val="7AAE4E85"/>
    <w:rsid w:val="7ABE6A3D"/>
    <w:rsid w:val="7AC06754"/>
    <w:rsid w:val="7AC37581"/>
    <w:rsid w:val="7AC860F2"/>
    <w:rsid w:val="7ACD7751"/>
    <w:rsid w:val="7AD56275"/>
    <w:rsid w:val="7AF15130"/>
    <w:rsid w:val="7B034034"/>
    <w:rsid w:val="7B104AFF"/>
    <w:rsid w:val="7B202D79"/>
    <w:rsid w:val="7B235F0D"/>
    <w:rsid w:val="7B271CEA"/>
    <w:rsid w:val="7B2A5EDC"/>
    <w:rsid w:val="7B3D10BE"/>
    <w:rsid w:val="7B3E36DA"/>
    <w:rsid w:val="7B424E72"/>
    <w:rsid w:val="7B450B73"/>
    <w:rsid w:val="7B4A2298"/>
    <w:rsid w:val="7B4D2AC7"/>
    <w:rsid w:val="7B4E5D3D"/>
    <w:rsid w:val="7B55258C"/>
    <w:rsid w:val="7B5573A2"/>
    <w:rsid w:val="7B5B428C"/>
    <w:rsid w:val="7B5F48D9"/>
    <w:rsid w:val="7B602374"/>
    <w:rsid w:val="7B602C01"/>
    <w:rsid w:val="7B6D4781"/>
    <w:rsid w:val="7B7C4D85"/>
    <w:rsid w:val="7B7F5DFD"/>
    <w:rsid w:val="7B880EA1"/>
    <w:rsid w:val="7B970E7A"/>
    <w:rsid w:val="7BA83A33"/>
    <w:rsid w:val="7BBE2D91"/>
    <w:rsid w:val="7BD21DA7"/>
    <w:rsid w:val="7BF343F5"/>
    <w:rsid w:val="7BF35213"/>
    <w:rsid w:val="7BF8128E"/>
    <w:rsid w:val="7BF84305"/>
    <w:rsid w:val="7C0A211F"/>
    <w:rsid w:val="7C0E221C"/>
    <w:rsid w:val="7C372020"/>
    <w:rsid w:val="7C377E6C"/>
    <w:rsid w:val="7C391591"/>
    <w:rsid w:val="7C3E1117"/>
    <w:rsid w:val="7C6025DB"/>
    <w:rsid w:val="7C683945"/>
    <w:rsid w:val="7C6E3BA0"/>
    <w:rsid w:val="7C724616"/>
    <w:rsid w:val="7C765821"/>
    <w:rsid w:val="7C877968"/>
    <w:rsid w:val="7C9B6847"/>
    <w:rsid w:val="7C9C4E59"/>
    <w:rsid w:val="7CAB34D5"/>
    <w:rsid w:val="7CAB493A"/>
    <w:rsid w:val="7CAB56A8"/>
    <w:rsid w:val="7CB21744"/>
    <w:rsid w:val="7CC13312"/>
    <w:rsid w:val="7CE36064"/>
    <w:rsid w:val="7CF26F6D"/>
    <w:rsid w:val="7CF66378"/>
    <w:rsid w:val="7D036636"/>
    <w:rsid w:val="7D0B2A5C"/>
    <w:rsid w:val="7D0F5FFE"/>
    <w:rsid w:val="7D126BCC"/>
    <w:rsid w:val="7D1D1886"/>
    <w:rsid w:val="7D1D1E58"/>
    <w:rsid w:val="7D1F786B"/>
    <w:rsid w:val="7D21340E"/>
    <w:rsid w:val="7D237F37"/>
    <w:rsid w:val="7D292894"/>
    <w:rsid w:val="7D45411D"/>
    <w:rsid w:val="7D4B09E4"/>
    <w:rsid w:val="7D4C20DE"/>
    <w:rsid w:val="7D525B14"/>
    <w:rsid w:val="7D543AB7"/>
    <w:rsid w:val="7D687CDF"/>
    <w:rsid w:val="7D6B0617"/>
    <w:rsid w:val="7D8101BF"/>
    <w:rsid w:val="7D8F4449"/>
    <w:rsid w:val="7D947BE5"/>
    <w:rsid w:val="7D9B54B6"/>
    <w:rsid w:val="7DA674D0"/>
    <w:rsid w:val="7DA912DF"/>
    <w:rsid w:val="7DB034F4"/>
    <w:rsid w:val="7DB25701"/>
    <w:rsid w:val="7DBB473B"/>
    <w:rsid w:val="7DBD303D"/>
    <w:rsid w:val="7DC0168E"/>
    <w:rsid w:val="7DC440E6"/>
    <w:rsid w:val="7DCC6A9E"/>
    <w:rsid w:val="7DDA5473"/>
    <w:rsid w:val="7DDF2AC7"/>
    <w:rsid w:val="7DE76091"/>
    <w:rsid w:val="7DE92AD9"/>
    <w:rsid w:val="7DF152EB"/>
    <w:rsid w:val="7DF566B1"/>
    <w:rsid w:val="7E0E3838"/>
    <w:rsid w:val="7E0E6B67"/>
    <w:rsid w:val="7E204002"/>
    <w:rsid w:val="7E2F6473"/>
    <w:rsid w:val="7E4C6F55"/>
    <w:rsid w:val="7E536A24"/>
    <w:rsid w:val="7E555419"/>
    <w:rsid w:val="7E5D4F70"/>
    <w:rsid w:val="7E6134B7"/>
    <w:rsid w:val="7E617B1D"/>
    <w:rsid w:val="7E7775F2"/>
    <w:rsid w:val="7E842A2C"/>
    <w:rsid w:val="7E9A331D"/>
    <w:rsid w:val="7E9E1054"/>
    <w:rsid w:val="7EA870B0"/>
    <w:rsid w:val="7EB33B87"/>
    <w:rsid w:val="7EB42530"/>
    <w:rsid w:val="7EC62C01"/>
    <w:rsid w:val="7ED57E18"/>
    <w:rsid w:val="7EE50A3C"/>
    <w:rsid w:val="7EE63914"/>
    <w:rsid w:val="7EED6DAC"/>
    <w:rsid w:val="7F030F0D"/>
    <w:rsid w:val="7F153D6F"/>
    <w:rsid w:val="7F1D73DA"/>
    <w:rsid w:val="7F1F6B03"/>
    <w:rsid w:val="7F290798"/>
    <w:rsid w:val="7F425AA7"/>
    <w:rsid w:val="7F4553DF"/>
    <w:rsid w:val="7F777DF7"/>
    <w:rsid w:val="7F7D2A23"/>
    <w:rsid w:val="7F856114"/>
    <w:rsid w:val="7F954211"/>
    <w:rsid w:val="7FA6682C"/>
    <w:rsid w:val="7FAB59F0"/>
    <w:rsid w:val="7FB35A3E"/>
    <w:rsid w:val="7FBF0644"/>
    <w:rsid w:val="7FBF53E6"/>
    <w:rsid w:val="7FE5820D"/>
    <w:rsid w:val="7FE7481F"/>
    <w:rsid w:val="7FEB65D0"/>
    <w:rsid w:val="7FEE1B73"/>
    <w:rsid w:val="7FF94E5F"/>
    <w:rsid w:val="7FFB2034"/>
    <w:rsid w:val="7FFF5B2E"/>
    <w:rsid w:val="93CF7932"/>
    <w:rsid w:val="9FFF05B6"/>
    <w:rsid w:val="BA7B23C6"/>
    <w:rsid w:val="BAEF3C64"/>
    <w:rsid w:val="BFA50BB1"/>
    <w:rsid w:val="D7E6004B"/>
    <w:rsid w:val="D9CEFB49"/>
    <w:rsid w:val="D9F56A82"/>
    <w:rsid w:val="DEFFD1A0"/>
    <w:rsid w:val="E77DCA0C"/>
    <w:rsid w:val="F56F14CB"/>
    <w:rsid w:val="F9F97BFF"/>
    <w:rsid w:val="FA7FE072"/>
    <w:rsid w:val="FAA53DFE"/>
    <w:rsid w:val="FAB74A2F"/>
    <w:rsid w:val="FBFF225B"/>
    <w:rsid w:val="FDDF3D2D"/>
    <w:rsid w:val="FF83D003"/>
    <w:rsid w:val="FFAF1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0" w:semiHidden="0" w:name="heading 7"/>
    <w:lsdException w:qFormat="1" w:unhideWhenUsed="0" w:uiPriority="9"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iPriority="0"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0" w:semiHidden="0" w:name="footnote reference"/>
    <w:lsdException w:qFormat="1" w:uiPriority="0" w:semiHidden="0" w:name="annotation reference"/>
    <w:lsdException w:uiPriority="99" w:name="line number"/>
    <w:lsdException w:qFormat="1" w:unhideWhenUsed="0" w:uiPriority="99" w:semiHidden="0" w:name="page number"/>
    <w:lsdException w:qFormat="1" w:uiPriority="99" w:semiHidden="0" w:name="endnote reference"/>
    <w:lsdException w:qFormat="1" w:uiPriority="0" w:semiHidden="0"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qFormat="1" w:unhideWhenUsed="0" w:uiPriority="0" w:semiHidden="0" w:name="List Number"/>
    <w:lsdException w:qFormat="1" w:unhideWhenUsed="0" w:uiPriority="99" w:semiHidden="0" w:name="List 2"/>
    <w:lsdException w:uiPriority="99" w:name="List 3"/>
    <w:lsdException w:uiPriority="99"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65"/>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66"/>
    <w:qFormat/>
    <w:uiPriority w:val="99"/>
    <w:pPr>
      <w:keepNext/>
      <w:keepLines/>
      <w:spacing w:before="260" w:after="260" w:line="416" w:lineRule="auto"/>
      <w:outlineLvl w:val="1"/>
    </w:pPr>
    <w:rPr>
      <w:rFonts w:ascii="Arial" w:hAnsi="Arial" w:eastAsia="黑体"/>
      <w:b/>
      <w:bCs/>
      <w:kern w:val="0"/>
      <w:sz w:val="32"/>
      <w:szCs w:val="32"/>
    </w:rPr>
  </w:style>
  <w:style w:type="paragraph" w:styleId="6">
    <w:name w:val="heading 3"/>
    <w:basedOn w:val="1"/>
    <w:next w:val="1"/>
    <w:link w:val="67"/>
    <w:qFormat/>
    <w:uiPriority w:val="0"/>
    <w:pPr>
      <w:keepNext/>
      <w:keepLines/>
      <w:spacing w:before="260" w:after="260" w:line="416" w:lineRule="auto"/>
      <w:outlineLvl w:val="2"/>
    </w:pPr>
    <w:rPr>
      <w:b/>
      <w:bCs/>
      <w:kern w:val="0"/>
      <w:sz w:val="32"/>
      <w:szCs w:val="32"/>
    </w:rPr>
  </w:style>
  <w:style w:type="paragraph" w:styleId="7">
    <w:name w:val="heading 4"/>
    <w:basedOn w:val="1"/>
    <w:next w:val="1"/>
    <w:link w:val="68"/>
    <w:qFormat/>
    <w:uiPriority w:val="0"/>
    <w:pPr>
      <w:keepNext/>
      <w:keepLines/>
      <w:widowControl/>
      <w:spacing w:before="120" w:after="120" w:line="360" w:lineRule="auto"/>
      <w:jc w:val="center"/>
      <w:outlineLvl w:val="3"/>
    </w:pPr>
    <w:rPr>
      <w:rFonts w:ascii="Arial" w:hAnsi="Arial" w:eastAsia="黑体"/>
      <w:sz w:val="28"/>
    </w:rPr>
  </w:style>
  <w:style w:type="paragraph" w:styleId="8">
    <w:name w:val="heading 5"/>
    <w:basedOn w:val="1"/>
    <w:next w:val="9"/>
    <w:link w:val="69"/>
    <w:qFormat/>
    <w:uiPriority w:val="9"/>
    <w:pPr>
      <w:keepNext/>
      <w:keepLines/>
      <w:spacing w:before="280" w:after="290" w:line="376" w:lineRule="auto"/>
      <w:outlineLvl w:val="4"/>
    </w:pPr>
    <w:rPr>
      <w:b/>
      <w:sz w:val="28"/>
    </w:rPr>
  </w:style>
  <w:style w:type="paragraph" w:styleId="10">
    <w:name w:val="heading 6"/>
    <w:basedOn w:val="1"/>
    <w:next w:val="9"/>
    <w:link w:val="71"/>
    <w:qFormat/>
    <w:uiPriority w:val="9"/>
    <w:pPr>
      <w:keepNext/>
      <w:keepLines/>
      <w:spacing w:before="240" w:after="64" w:line="320" w:lineRule="auto"/>
      <w:outlineLvl w:val="5"/>
    </w:pPr>
    <w:rPr>
      <w:rFonts w:ascii="Arial" w:hAnsi="Arial" w:eastAsia="黑体"/>
      <w:b/>
      <w:sz w:val="24"/>
    </w:rPr>
  </w:style>
  <w:style w:type="paragraph" w:styleId="11">
    <w:name w:val="heading 7"/>
    <w:basedOn w:val="1"/>
    <w:next w:val="9"/>
    <w:link w:val="72"/>
    <w:qFormat/>
    <w:uiPriority w:val="0"/>
    <w:pPr>
      <w:keepNext/>
      <w:keepLines/>
      <w:spacing w:before="240" w:after="64" w:line="320" w:lineRule="auto"/>
      <w:outlineLvl w:val="6"/>
    </w:pPr>
    <w:rPr>
      <w:b/>
      <w:sz w:val="24"/>
    </w:rPr>
  </w:style>
  <w:style w:type="paragraph" w:styleId="12">
    <w:name w:val="heading 8"/>
    <w:basedOn w:val="1"/>
    <w:next w:val="9"/>
    <w:link w:val="73"/>
    <w:qFormat/>
    <w:uiPriority w:val="9"/>
    <w:pPr>
      <w:keepNext/>
      <w:keepLines/>
      <w:spacing w:before="240" w:after="64" w:line="320" w:lineRule="auto"/>
      <w:outlineLvl w:val="7"/>
    </w:pPr>
    <w:rPr>
      <w:rFonts w:ascii="Arial" w:hAnsi="Arial" w:eastAsia="黑体"/>
      <w:sz w:val="24"/>
    </w:rPr>
  </w:style>
  <w:style w:type="paragraph" w:styleId="13">
    <w:name w:val="heading 9"/>
    <w:basedOn w:val="1"/>
    <w:next w:val="9"/>
    <w:link w:val="74"/>
    <w:qFormat/>
    <w:uiPriority w:val="0"/>
    <w:pPr>
      <w:keepNext/>
      <w:keepLines/>
      <w:spacing w:before="240" w:after="64" w:line="320" w:lineRule="auto"/>
      <w:outlineLvl w:val="8"/>
    </w:pPr>
    <w:rPr>
      <w:rFonts w:ascii="Arial" w:hAnsi="Arial" w:eastAsia="黑体"/>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64"/>
    <w:qFormat/>
    <w:uiPriority w:val="99"/>
    <w:pPr>
      <w:spacing w:line="380" w:lineRule="exact"/>
    </w:pPr>
    <w:rPr>
      <w:kern w:val="0"/>
      <w:sz w:val="24"/>
    </w:rPr>
  </w:style>
  <w:style w:type="paragraph" w:styleId="3">
    <w:name w:val="Title"/>
    <w:basedOn w:val="1"/>
    <w:next w:val="1"/>
    <w:link w:val="91"/>
    <w:qFormat/>
    <w:uiPriority w:val="0"/>
    <w:pPr>
      <w:spacing w:before="240" w:after="60"/>
      <w:jc w:val="center"/>
      <w:outlineLvl w:val="0"/>
    </w:pPr>
    <w:rPr>
      <w:rFonts w:ascii="Cambria" w:hAnsi="Cambria"/>
      <w:b/>
      <w:bCs/>
      <w:sz w:val="32"/>
      <w:szCs w:val="32"/>
    </w:rPr>
  </w:style>
  <w:style w:type="paragraph" w:styleId="9">
    <w:name w:val="Normal Indent"/>
    <w:basedOn w:val="1"/>
    <w:link w:val="70"/>
    <w:qFormat/>
    <w:uiPriority w:val="0"/>
    <w:pPr>
      <w:ind w:firstLine="420"/>
    </w:pPr>
    <w:rPr>
      <w:szCs w:val="20"/>
    </w:rPr>
  </w:style>
  <w:style w:type="paragraph" w:styleId="14">
    <w:name w:val="toc 7"/>
    <w:basedOn w:val="1"/>
    <w:next w:val="1"/>
    <w:unhideWhenUsed/>
    <w:qFormat/>
    <w:uiPriority w:val="0"/>
    <w:pPr>
      <w:ind w:left="2520" w:leftChars="1200"/>
    </w:pPr>
    <w:rPr>
      <w:rFonts w:ascii="Calibri" w:hAnsi="Calibri"/>
      <w:szCs w:val="22"/>
    </w:rPr>
  </w:style>
  <w:style w:type="paragraph" w:styleId="15">
    <w:name w:val="index 8"/>
    <w:basedOn w:val="1"/>
    <w:next w:val="1"/>
    <w:qFormat/>
    <w:uiPriority w:val="0"/>
    <w:pPr>
      <w:spacing w:line="400" w:lineRule="exact"/>
      <w:ind w:left="2940" w:firstLine="1044" w:firstLineChars="200"/>
      <w:jc w:val="left"/>
    </w:pPr>
  </w:style>
  <w:style w:type="paragraph" w:styleId="16">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7">
    <w:name w:val="caption"/>
    <w:basedOn w:val="1"/>
    <w:next w:val="1"/>
    <w:qFormat/>
    <w:uiPriority w:val="0"/>
    <w:pPr>
      <w:spacing w:before="152" w:after="160"/>
    </w:pPr>
    <w:rPr>
      <w:rFonts w:ascii="Arial" w:hAnsi="Arial" w:eastAsia="黑体" w:cs="Arial"/>
      <w:sz w:val="20"/>
      <w:szCs w:val="20"/>
    </w:rPr>
  </w:style>
  <w:style w:type="paragraph" w:styleId="18">
    <w:name w:val="Document Map"/>
    <w:basedOn w:val="1"/>
    <w:link w:val="75"/>
    <w:semiHidden/>
    <w:qFormat/>
    <w:uiPriority w:val="0"/>
    <w:pPr>
      <w:shd w:val="clear" w:color="auto" w:fill="000080"/>
    </w:pPr>
  </w:style>
  <w:style w:type="paragraph" w:styleId="19">
    <w:name w:val="annotation text"/>
    <w:basedOn w:val="1"/>
    <w:link w:val="76"/>
    <w:unhideWhenUsed/>
    <w:qFormat/>
    <w:uiPriority w:val="0"/>
    <w:pPr>
      <w:jc w:val="left"/>
    </w:pPr>
  </w:style>
  <w:style w:type="paragraph" w:styleId="20">
    <w:name w:val="Salutation"/>
    <w:basedOn w:val="1"/>
    <w:next w:val="1"/>
    <w:link w:val="77"/>
    <w:qFormat/>
    <w:uiPriority w:val="0"/>
    <w:rPr>
      <w:sz w:val="28"/>
    </w:rPr>
  </w:style>
  <w:style w:type="paragraph" w:styleId="21">
    <w:name w:val="Body Text 3"/>
    <w:basedOn w:val="1"/>
    <w:link w:val="78"/>
    <w:qFormat/>
    <w:uiPriority w:val="0"/>
    <w:pPr>
      <w:spacing w:line="500" w:lineRule="exact"/>
    </w:pPr>
    <w:rPr>
      <w:b/>
      <w:bCs/>
      <w:kern w:val="0"/>
      <w:sz w:val="24"/>
    </w:rPr>
  </w:style>
  <w:style w:type="paragraph" w:styleId="22">
    <w:name w:val="Body Text Indent"/>
    <w:basedOn w:val="1"/>
    <w:link w:val="79"/>
    <w:qFormat/>
    <w:uiPriority w:val="0"/>
    <w:pPr>
      <w:ind w:firstLine="830" w:firstLineChars="352"/>
    </w:pPr>
    <w:rPr>
      <w:rFonts w:ascii="仿宋_GB2312" w:eastAsia="仿宋_GB2312"/>
      <w:kern w:val="0"/>
      <w:sz w:val="32"/>
      <w:szCs w:val="20"/>
    </w:rPr>
  </w:style>
  <w:style w:type="paragraph" w:styleId="23">
    <w:name w:val="List Number 3"/>
    <w:basedOn w:val="1"/>
    <w:qFormat/>
    <w:uiPriority w:val="0"/>
    <w:pPr>
      <w:tabs>
        <w:tab w:val="left" w:pos="1200"/>
      </w:tabs>
      <w:ind w:left="1200" w:hanging="360"/>
    </w:pPr>
  </w:style>
  <w:style w:type="paragraph" w:styleId="24">
    <w:name w:val="List 2"/>
    <w:basedOn w:val="1"/>
    <w:qFormat/>
    <w:uiPriority w:val="99"/>
    <w:pPr>
      <w:ind w:left="100" w:leftChars="200" w:hanging="200" w:hangingChars="200"/>
    </w:pPr>
    <w:rPr>
      <w:sz w:val="28"/>
    </w:rPr>
  </w:style>
  <w:style w:type="paragraph" w:styleId="25">
    <w:name w:val="Block Text"/>
    <w:basedOn w:val="1"/>
    <w:qFormat/>
    <w:uiPriority w:val="0"/>
    <w:pPr>
      <w:adjustRightInd w:val="0"/>
      <w:ind w:left="420" w:right="33"/>
      <w:jc w:val="left"/>
      <w:textAlignment w:val="baseline"/>
    </w:pPr>
    <w:rPr>
      <w:kern w:val="0"/>
      <w:sz w:val="24"/>
      <w:szCs w:val="20"/>
    </w:rPr>
  </w:style>
  <w:style w:type="paragraph" w:styleId="26">
    <w:name w:val="toc 5"/>
    <w:basedOn w:val="1"/>
    <w:next w:val="1"/>
    <w:unhideWhenUsed/>
    <w:qFormat/>
    <w:uiPriority w:val="0"/>
    <w:pPr>
      <w:ind w:left="1680" w:leftChars="800"/>
    </w:pPr>
    <w:rPr>
      <w:rFonts w:ascii="Calibri" w:hAnsi="Calibri"/>
      <w:szCs w:val="22"/>
    </w:rPr>
  </w:style>
  <w:style w:type="paragraph" w:styleId="27">
    <w:name w:val="toc 3"/>
    <w:basedOn w:val="1"/>
    <w:next w:val="1"/>
    <w:unhideWhenUsed/>
    <w:qFormat/>
    <w:uiPriority w:val="39"/>
    <w:pPr>
      <w:ind w:left="840" w:leftChars="400"/>
    </w:pPr>
    <w:rPr>
      <w:rFonts w:ascii="Calibri" w:hAnsi="Calibri"/>
      <w:szCs w:val="22"/>
    </w:rPr>
  </w:style>
  <w:style w:type="paragraph" w:styleId="28">
    <w:name w:val="Plain Text"/>
    <w:basedOn w:val="1"/>
    <w:next w:val="15"/>
    <w:link w:val="80"/>
    <w:qFormat/>
    <w:uiPriority w:val="99"/>
    <w:rPr>
      <w:rFonts w:ascii="宋体" w:hAnsi="Courier New"/>
      <w:kern w:val="0"/>
      <w:sz w:val="20"/>
      <w:szCs w:val="21"/>
    </w:rPr>
  </w:style>
  <w:style w:type="paragraph" w:styleId="29">
    <w:name w:val="toc 8"/>
    <w:basedOn w:val="1"/>
    <w:next w:val="1"/>
    <w:unhideWhenUsed/>
    <w:qFormat/>
    <w:uiPriority w:val="0"/>
    <w:pPr>
      <w:ind w:left="2940" w:leftChars="1400"/>
    </w:pPr>
    <w:rPr>
      <w:rFonts w:ascii="Calibri" w:hAnsi="Calibri"/>
      <w:szCs w:val="22"/>
    </w:rPr>
  </w:style>
  <w:style w:type="paragraph" w:styleId="30">
    <w:name w:val="Date"/>
    <w:basedOn w:val="1"/>
    <w:next w:val="1"/>
    <w:link w:val="81"/>
    <w:qFormat/>
    <w:uiPriority w:val="0"/>
    <w:pPr>
      <w:ind w:left="100" w:leftChars="2500"/>
    </w:pPr>
    <w:rPr>
      <w:rFonts w:ascii="宋体" w:hAnsi="Courier New"/>
      <w:kern w:val="0"/>
      <w:sz w:val="20"/>
      <w:szCs w:val="21"/>
    </w:rPr>
  </w:style>
  <w:style w:type="paragraph" w:styleId="31">
    <w:name w:val="Body Text Indent 2"/>
    <w:basedOn w:val="1"/>
    <w:link w:val="82"/>
    <w:qFormat/>
    <w:uiPriority w:val="0"/>
    <w:pPr>
      <w:ind w:firstLine="630"/>
    </w:pPr>
    <w:rPr>
      <w:kern w:val="0"/>
      <w:sz w:val="32"/>
      <w:szCs w:val="20"/>
    </w:rPr>
  </w:style>
  <w:style w:type="paragraph" w:styleId="32">
    <w:name w:val="endnote text"/>
    <w:basedOn w:val="1"/>
    <w:link w:val="83"/>
    <w:unhideWhenUsed/>
    <w:qFormat/>
    <w:uiPriority w:val="0"/>
    <w:pPr>
      <w:snapToGrid w:val="0"/>
      <w:jc w:val="left"/>
    </w:pPr>
  </w:style>
  <w:style w:type="paragraph" w:styleId="33">
    <w:name w:val="Balloon Text"/>
    <w:basedOn w:val="1"/>
    <w:link w:val="84"/>
    <w:semiHidden/>
    <w:qFormat/>
    <w:uiPriority w:val="99"/>
    <w:rPr>
      <w:kern w:val="0"/>
      <w:sz w:val="18"/>
      <w:szCs w:val="18"/>
    </w:rPr>
  </w:style>
  <w:style w:type="paragraph" w:styleId="34">
    <w:name w:val="footer"/>
    <w:basedOn w:val="1"/>
    <w:link w:val="85"/>
    <w:unhideWhenUsed/>
    <w:qFormat/>
    <w:uiPriority w:val="99"/>
    <w:pPr>
      <w:tabs>
        <w:tab w:val="center" w:pos="4153"/>
        <w:tab w:val="right" w:pos="8306"/>
      </w:tabs>
      <w:snapToGrid w:val="0"/>
      <w:jc w:val="left"/>
    </w:pPr>
    <w:rPr>
      <w:kern w:val="0"/>
      <w:sz w:val="18"/>
      <w:szCs w:val="18"/>
    </w:rPr>
  </w:style>
  <w:style w:type="paragraph" w:styleId="35">
    <w:name w:val="header"/>
    <w:basedOn w:val="1"/>
    <w:link w:val="86"/>
    <w:unhideWhenUsed/>
    <w:qFormat/>
    <w:uiPriority w:val="99"/>
    <w:pPr>
      <w:pBdr>
        <w:bottom w:val="single" w:color="auto" w:sz="6" w:space="1"/>
      </w:pBdr>
      <w:tabs>
        <w:tab w:val="center" w:pos="4153"/>
        <w:tab w:val="right" w:pos="8306"/>
      </w:tabs>
      <w:snapToGrid w:val="0"/>
      <w:jc w:val="center"/>
    </w:pPr>
    <w:rPr>
      <w:sz w:val="18"/>
      <w:szCs w:val="18"/>
    </w:rPr>
  </w:style>
  <w:style w:type="paragraph" w:styleId="36">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7">
    <w:name w:val="toc 4"/>
    <w:basedOn w:val="1"/>
    <w:next w:val="1"/>
    <w:unhideWhenUsed/>
    <w:qFormat/>
    <w:uiPriority w:val="0"/>
    <w:pPr>
      <w:ind w:left="1260" w:leftChars="600"/>
    </w:pPr>
    <w:rPr>
      <w:rFonts w:ascii="Calibri" w:hAnsi="Calibri"/>
      <w:szCs w:val="22"/>
    </w:rPr>
  </w:style>
  <w:style w:type="paragraph" w:styleId="38">
    <w:name w:val="List"/>
    <w:basedOn w:val="1"/>
    <w:qFormat/>
    <w:uiPriority w:val="99"/>
    <w:pPr>
      <w:ind w:left="200" w:hanging="200" w:hangingChars="200"/>
    </w:pPr>
    <w:rPr>
      <w:sz w:val="28"/>
    </w:rPr>
  </w:style>
  <w:style w:type="paragraph" w:styleId="39">
    <w:name w:val="footnote text"/>
    <w:basedOn w:val="1"/>
    <w:link w:val="87"/>
    <w:unhideWhenUsed/>
    <w:qFormat/>
    <w:uiPriority w:val="0"/>
    <w:pPr>
      <w:snapToGrid w:val="0"/>
      <w:jc w:val="left"/>
    </w:pPr>
    <w:rPr>
      <w:sz w:val="18"/>
      <w:szCs w:val="18"/>
    </w:rPr>
  </w:style>
  <w:style w:type="paragraph" w:styleId="40">
    <w:name w:val="toc 6"/>
    <w:basedOn w:val="1"/>
    <w:next w:val="1"/>
    <w:unhideWhenUsed/>
    <w:qFormat/>
    <w:uiPriority w:val="0"/>
    <w:pPr>
      <w:ind w:left="2100" w:leftChars="1000"/>
    </w:pPr>
    <w:rPr>
      <w:rFonts w:ascii="Calibri" w:hAnsi="Calibri"/>
      <w:szCs w:val="22"/>
    </w:rPr>
  </w:style>
  <w:style w:type="paragraph" w:styleId="41">
    <w:name w:val="List 5"/>
    <w:basedOn w:val="1"/>
    <w:qFormat/>
    <w:uiPriority w:val="0"/>
    <w:pPr>
      <w:ind w:left="2100" w:hanging="420"/>
    </w:pPr>
    <w:rPr>
      <w:szCs w:val="20"/>
    </w:rPr>
  </w:style>
  <w:style w:type="paragraph" w:styleId="42">
    <w:name w:val="Body Text Indent 3"/>
    <w:basedOn w:val="1"/>
    <w:link w:val="88"/>
    <w:qFormat/>
    <w:uiPriority w:val="0"/>
    <w:pPr>
      <w:spacing w:after="120"/>
      <w:ind w:left="420" w:leftChars="200"/>
    </w:pPr>
    <w:rPr>
      <w:kern w:val="0"/>
      <w:sz w:val="16"/>
      <w:szCs w:val="16"/>
    </w:rPr>
  </w:style>
  <w:style w:type="paragraph" w:styleId="43">
    <w:name w:val="toc 2"/>
    <w:basedOn w:val="1"/>
    <w:next w:val="1"/>
    <w:unhideWhenUsed/>
    <w:qFormat/>
    <w:uiPriority w:val="39"/>
    <w:pPr>
      <w:ind w:left="420" w:leftChars="200"/>
    </w:pPr>
  </w:style>
  <w:style w:type="paragraph" w:styleId="44">
    <w:name w:val="toc 9"/>
    <w:basedOn w:val="1"/>
    <w:next w:val="1"/>
    <w:unhideWhenUsed/>
    <w:qFormat/>
    <w:uiPriority w:val="0"/>
    <w:pPr>
      <w:ind w:left="3360" w:leftChars="1600"/>
    </w:pPr>
    <w:rPr>
      <w:rFonts w:ascii="Calibri" w:hAnsi="Calibri"/>
      <w:szCs w:val="22"/>
    </w:rPr>
  </w:style>
  <w:style w:type="paragraph" w:styleId="45">
    <w:name w:val="Body Text 2"/>
    <w:basedOn w:val="1"/>
    <w:link w:val="89"/>
    <w:qFormat/>
    <w:uiPriority w:val="0"/>
    <w:pPr>
      <w:spacing w:after="120" w:line="480" w:lineRule="auto"/>
    </w:pPr>
    <w:rPr>
      <w:kern w:val="0"/>
      <w:sz w:val="20"/>
    </w:rPr>
  </w:style>
  <w:style w:type="paragraph" w:styleId="46">
    <w:name w:val="HTML Preformatted"/>
    <w:basedOn w:val="1"/>
    <w:link w:val="90"/>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47">
    <w:name w:val="Normal (Web)"/>
    <w:basedOn w:val="1"/>
    <w:qFormat/>
    <w:uiPriority w:val="99"/>
    <w:pPr>
      <w:widowControl/>
      <w:spacing w:before="100" w:beforeAutospacing="1" w:after="100" w:afterAutospacing="1"/>
      <w:jc w:val="left"/>
    </w:pPr>
    <w:rPr>
      <w:rFonts w:ascii="宋体" w:hAnsi="宋体"/>
      <w:kern w:val="0"/>
      <w:sz w:val="24"/>
    </w:rPr>
  </w:style>
  <w:style w:type="paragraph" w:styleId="48">
    <w:name w:val="index 1"/>
    <w:basedOn w:val="1"/>
    <w:next w:val="1"/>
    <w:semiHidden/>
    <w:qFormat/>
    <w:uiPriority w:val="0"/>
    <w:pPr>
      <w:spacing w:line="400" w:lineRule="exact"/>
      <w:ind w:firstLine="420" w:firstLineChars="200"/>
    </w:pPr>
    <w:rPr>
      <w:rFonts w:ascii="宋体" w:hAnsi="Courier New"/>
      <w:b/>
      <w:szCs w:val="20"/>
    </w:rPr>
  </w:style>
  <w:style w:type="paragraph" w:styleId="49">
    <w:name w:val="annotation subject"/>
    <w:basedOn w:val="19"/>
    <w:next w:val="19"/>
    <w:link w:val="92"/>
    <w:unhideWhenUsed/>
    <w:qFormat/>
    <w:uiPriority w:val="0"/>
    <w:rPr>
      <w:b/>
      <w:bCs/>
    </w:rPr>
  </w:style>
  <w:style w:type="paragraph" w:styleId="50">
    <w:name w:val="Body Text First Indent"/>
    <w:basedOn w:val="2"/>
    <w:unhideWhenUsed/>
    <w:qFormat/>
    <w:uiPriority w:val="99"/>
    <w:pPr>
      <w:spacing w:line="360" w:lineRule="auto"/>
    </w:p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endnote reference"/>
    <w:unhideWhenUsed/>
    <w:qFormat/>
    <w:uiPriority w:val="99"/>
    <w:rPr>
      <w:vertAlign w:val="superscript"/>
    </w:rPr>
  </w:style>
  <w:style w:type="character" w:styleId="56">
    <w:name w:val="page number"/>
    <w:qFormat/>
    <w:uiPriority w:val="99"/>
  </w:style>
  <w:style w:type="character" w:styleId="57">
    <w:name w:val="FollowedHyperlink"/>
    <w:qFormat/>
    <w:uiPriority w:val="99"/>
    <w:rPr>
      <w:color w:val="800080"/>
      <w:u w:val="single"/>
    </w:rPr>
  </w:style>
  <w:style w:type="character" w:styleId="58">
    <w:name w:val="Emphasis"/>
    <w:qFormat/>
    <w:uiPriority w:val="0"/>
    <w:rPr>
      <w:color w:val="CC0000"/>
    </w:rPr>
  </w:style>
  <w:style w:type="character" w:styleId="59">
    <w:name w:val="Hyperlink"/>
    <w:qFormat/>
    <w:uiPriority w:val="99"/>
    <w:rPr>
      <w:color w:val="0000FF"/>
      <w:u w:val="single"/>
    </w:rPr>
  </w:style>
  <w:style w:type="character" w:styleId="60">
    <w:name w:val="annotation reference"/>
    <w:unhideWhenUsed/>
    <w:qFormat/>
    <w:uiPriority w:val="0"/>
    <w:rPr>
      <w:sz w:val="21"/>
      <w:szCs w:val="21"/>
    </w:rPr>
  </w:style>
  <w:style w:type="character" w:styleId="61">
    <w:name w:val="footnote reference"/>
    <w:unhideWhenUsed/>
    <w:qFormat/>
    <w:uiPriority w:val="0"/>
    <w:rPr>
      <w:vertAlign w:val="superscript"/>
    </w:rPr>
  </w:style>
  <w:style w:type="paragraph" w:customStyle="1" w:styleId="62">
    <w:name w:val="标题 5（有编号）（绿盟科技）"/>
    <w:basedOn w:val="1"/>
    <w:next w:val="63"/>
    <w:qFormat/>
    <w:uiPriority w:val="0"/>
    <w:pPr>
      <w:keepNext/>
      <w:keepLines/>
      <w:numPr>
        <w:ilvl w:val="4"/>
        <w:numId w:val="1"/>
      </w:numPr>
      <w:spacing w:before="280" w:after="156" w:line="377" w:lineRule="auto"/>
      <w:jc w:val="left"/>
      <w:outlineLvl w:val="4"/>
    </w:pPr>
    <w:rPr>
      <w:rFonts w:ascii="Arial" w:hAnsi="Arial" w:eastAsia="黑体" w:cs="黑体"/>
      <w:b/>
      <w:kern w:val="0"/>
      <w:sz w:val="24"/>
      <w:szCs w:val="28"/>
    </w:rPr>
  </w:style>
  <w:style w:type="paragraph" w:customStyle="1" w:styleId="63">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64">
    <w:name w:val="正文文本 字符1"/>
    <w:link w:val="2"/>
    <w:qFormat/>
    <w:uiPriority w:val="99"/>
    <w:rPr>
      <w:rFonts w:ascii="Times New Roman" w:hAnsi="Times New Roman" w:eastAsia="宋体" w:cs="Times New Roman"/>
      <w:sz w:val="24"/>
      <w:szCs w:val="24"/>
    </w:rPr>
  </w:style>
  <w:style w:type="character" w:customStyle="1" w:styleId="65">
    <w:name w:val="标题 1 字符2"/>
    <w:link w:val="4"/>
    <w:qFormat/>
    <w:uiPriority w:val="9"/>
    <w:rPr>
      <w:rFonts w:ascii="Times New Roman" w:hAnsi="Times New Roman" w:eastAsia="宋体" w:cs="Times New Roman"/>
      <w:b/>
      <w:bCs/>
      <w:kern w:val="44"/>
      <w:sz w:val="44"/>
      <w:szCs w:val="44"/>
    </w:rPr>
  </w:style>
  <w:style w:type="character" w:customStyle="1" w:styleId="66">
    <w:name w:val="标题 2 字符"/>
    <w:link w:val="5"/>
    <w:qFormat/>
    <w:uiPriority w:val="99"/>
    <w:rPr>
      <w:rFonts w:ascii="Arial" w:hAnsi="Arial" w:eastAsia="黑体" w:cs="Times New Roman"/>
      <w:b/>
      <w:bCs/>
      <w:sz w:val="32"/>
      <w:szCs w:val="32"/>
    </w:rPr>
  </w:style>
  <w:style w:type="character" w:customStyle="1" w:styleId="67">
    <w:name w:val="标题 3 字符"/>
    <w:link w:val="6"/>
    <w:qFormat/>
    <w:uiPriority w:val="0"/>
    <w:rPr>
      <w:rFonts w:ascii="Times New Roman" w:hAnsi="Times New Roman" w:eastAsia="宋体" w:cs="Times New Roman"/>
      <w:b/>
      <w:bCs/>
      <w:sz w:val="32"/>
      <w:szCs w:val="32"/>
    </w:rPr>
  </w:style>
  <w:style w:type="character" w:customStyle="1" w:styleId="68">
    <w:name w:val="标题 4 字符"/>
    <w:link w:val="7"/>
    <w:qFormat/>
    <w:uiPriority w:val="0"/>
    <w:rPr>
      <w:rFonts w:ascii="Arial" w:hAnsi="Arial" w:eastAsia="黑体"/>
      <w:sz w:val="28"/>
    </w:rPr>
  </w:style>
  <w:style w:type="character" w:customStyle="1" w:styleId="69">
    <w:name w:val="标题 5 字符"/>
    <w:link w:val="8"/>
    <w:qFormat/>
    <w:uiPriority w:val="9"/>
    <w:rPr>
      <w:b/>
      <w:kern w:val="2"/>
      <w:sz w:val="28"/>
      <w:szCs w:val="24"/>
    </w:rPr>
  </w:style>
  <w:style w:type="character" w:customStyle="1" w:styleId="70">
    <w:name w:val="正文缩进 字符"/>
    <w:link w:val="9"/>
    <w:qFormat/>
    <w:locked/>
    <w:uiPriority w:val="0"/>
    <w:rPr>
      <w:kern w:val="2"/>
      <w:sz w:val="21"/>
    </w:rPr>
  </w:style>
  <w:style w:type="character" w:customStyle="1" w:styleId="71">
    <w:name w:val="标题 6 字符"/>
    <w:link w:val="10"/>
    <w:qFormat/>
    <w:uiPriority w:val="9"/>
    <w:rPr>
      <w:rFonts w:ascii="Arial" w:hAnsi="Arial" w:eastAsia="黑体"/>
      <w:b/>
      <w:kern w:val="2"/>
      <w:sz w:val="24"/>
      <w:szCs w:val="24"/>
    </w:rPr>
  </w:style>
  <w:style w:type="character" w:customStyle="1" w:styleId="72">
    <w:name w:val="标题 7 字符"/>
    <w:link w:val="11"/>
    <w:qFormat/>
    <w:uiPriority w:val="0"/>
    <w:rPr>
      <w:b/>
      <w:kern w:val="2"/>
      <w:sz w:val="24"/>
      <w:szCs w:val="24"/>
    </w:rPr>
  </w:style>
  <w:style w:type="character" w:customStyle="1" w:styleId="73">
    <w:name w:val="标题 8 字符"/>
    <w:link w:val="12"/>
    <w:qFormat/>
    <w:uiPriority w:val="0"/>
    <w:rPr>
      <w:rFonts w:ascii="Arial" w:hAnsi="Arial" w:eastAsia="黑体"/>
      <w:kern w:val="2"/>
      <w:sz w:val="24"/>
      <w:szCs w:val="24"/>
    </w:rPr>
  </w:style>
  <w:style w:type="character" w:customStyle="1" w:styleId="74">
    <w:name w:val="标题 9 字符"/>
    <w:link w:val="13"/>
    <w:qFormat/>
    <w:uiPriority w:val="0"/>
    <w:rPr>
      <w:rFonts w:ascii="Arial" w:hAnsi="Arial" w:eastAsia="黑体"/>
      <w:kern w:val="2"/>
      <w:sz w:val="21"/>
      <w:szCs w:val="24"/>
    </w:rPr>
  </w:style>
  <w:style w:type="character" w:customStyle="1" w:styleId="75">
    <w:name w:val="文档结构图 字符"/>
    <w:link w:val="18"/>
    <w:qFormat/>
    <w:uiPriority w:val="99"/>
    <w:rPr>
      <w:kern w:val="2"/>
      <w:sz w:val="21"/>
      <w:szCs w:val="24"/>
      <w:shd w:val="clear" w:color="auto" w:fill="000080"/>
    </w:rPr>
  </w:style>
  <w:style w:type="character" w:customStyle="1" w:styleId="76">
    <w:name w:val="批注文字 字符3"/>
    <w:link w:val="19"/>
    <w:qFormat/>
    <w:uiPriority w:val="0"/>
    <w:rPr>
      <w:rFonts w:ascii="Times New Roman" w:hAnsi="Times New Roman"/>
      <w:kern w:val="2"/>
      <w:sz w:val="21"/>
      <w:szCs w:val="24"/>
    </w:rPr>
  </w:style>
  <w:style w:type="character" w:customStyle="1" w:styleId="77">
    <w:name w:val="称呼 字符"/>
    <w:link w:val="20"/>
    <w:qFormat/>
    <w:uiPriority w:val="0"/>
    <w:rPr>
      <w:kern w:val="2"/>
      <w:sz w:val="28"/>
      <w:szCs w:val="24"/>
    </w:rPr>
  </w:style>
  <w:style w:type="character" w:customStyle="1" w:styleId="78">
    <w:name w:val="正文文本 3 字符"/>
    <w:link w:val="21"/>
    <w:qFormat/>
    <w:uiPriority w:val="99"/>
    <w:rPr>
      <w:rFonts w:ascii="Times New Roman" w:hAnsi="Times New Roman" w:eastAsia="宋体" w:cs="Times New Roman"/>
      <w:b/>
      <w:bCs/>
      <w:sz w:val="24"/>
      <w:szCs w:val="24"/>
    </w:rPr>
  </w:style>
  <w:style w:type="character" w:customStyle="1" w:styleId="79">
    <w:name w:val="正文文本缩进 字符1"/>
    <w:link w:val="22"/>
    <w:qFormat/>
    <w:uiPriority w:val="0"/>
    <w:rPr>
      <w:rFonts w:ascii="仿宋_GB2312" w:hAnsi="Times New Roman" w:eastAsia="仿宋_GB2312" w:cs="Times New Roman"/>
      <w:sz w:val="32"/>
      <w:szCs w:val="20"/>
    </w:rPr>
  </w:style>
  <w:style w:type="character" w:customStyle="1" w:styleId="80">
    <w:name w:val="纯文本 字符3"/>
    <w:link w:val="28"/>
    <w:qFormat/>
    <w:uiPriority w:val="99"/>
    <w:rPr>
      <w:rFonts w:ascii="宋体" w:hAnsi="Courier New" w:eastAsia="宋体" w:cs="Courier New"/>
      <w:szCs w:val="21"/>
    </w:rPr>
  </w:style>
  <w:style w:type="character" w:customStyle="1" w:styleId="81">
    <w:name w:val="日期 字符"/>
    <w:link w:val="30"/>
    <w:qFormat/>
    <w:uiPriority w:val="0"/>
    <w:rPr>
      <w:rFonts w:ascii="宋体" w:hAnsi="Courier New" w:eastAsia="宋体" w:cs="Courier New"/>
      <w:szCs w:val="21"/>
    </w:rPr>
  </w:style>
  <w:style w:type="character" w:customStyle="1" w:styleId="82">
    <w:name w:val="正文文本缩进 2 字符"/>
    <w:link w:val="31"/>
    <w:qFormat/>
    <w:uiPriority w:val="0"/>
    <w:rPr>
      <w:rFonts w:ascii="Times New Roman" w:hAnsi="Times New Roman" w:eastAsia="宋体" w:cs="Times New Roman"/>
      <w:sz w:val="32"/>
      <w:szCs w:val="20"/>
    </w:rPr>
  </w:style>
  <w:style w:type="character" w:customStyle="1" w:styleId="83">
    <w:name w:val="尾注文本 字符"/>
    <w:link w:val="32"/>
    <w:semiHidden/>
    <w:qFormat/>
    <w:uiPriority w:val="99"/>
    <w:rPr>
      <w:rFonts w:ascii="Times New Roman" w:hAnsi="Times New Roman"/>
      <w:kern w:val="2"/>
      <w:sz w:val="21"/>
      <w:szCs w:val="24"/>
    </w:rPr>
  </w:style>
  <w:style w:type="character" w:customStyle="1" w:styleId="84">
    <w:name w:val="批注框文本 字符"/>
    <w:link w:val="33"/>
    <w:semiHidden/>
    <w:qFormat/>
    <w:uiPriority w:val="99"/>
    <w:rPr>
      <w:rFonts w:ascii="Times New Roman" w:hAnsi="Times New Roman" w:eastAsia="宋体" w:cs="Times New Roman"/>
      <w:sz w:val="18"/>
      <w:szCs w:val="18"/>
    </w:rPr>
  </w:style>
  <w:style w:type="character" w:customStyle="1" w:styleId="85">
    <w:name w:val="页脚 字符"/>
    <w:link w:val="34"/>
    <w:qFormat/>
    <w:uiPriority w:val="99"/>
    <w:rPr>
      <w:sz w:val="18"/>
      <w:szCs w:val="18"/>
    </w:rPr>
  </w:style>
  <w:style w:type="character" w:customStyle="1" w:styleId="86">
    <w:name w:val="页眉 字符"/>
    <w:link w:val="35"/>
    <w:qFormat/>
    <w:uiPriority w:val="99"/>
    <w:rPr>
      <w:kern w:val="2"/>
      <w:sz w:val="18"/>
      <w:szCs w:val="18"/>
    </w:rPr>
  </w:style>
  <w:style w:type="character" w:customStyle="1" w:styleId="87">
    <w:name w:val="脚注文本 字符"/>
    <w:link w:val="39"/>
    <w:qFormat/>
    <w:uiPriority w:val="0"/>
    <w:rPr>
      <w:rFonts w:ascii="Times New Roman" w:hAnsi="Times New Roman"/>
      <w:kern w:val="2"/>
      <w:sz w:val="18"/>
      <w:szCs w:val="18"/>
    </w:rPr>
  </w:style>
  <w:style w:type="character" w:customStyle="1" w:styleId="88">
    <w:name w:val="正文文本缩进 3 字符"/>
    <w:link w:val="42"/>
    <w:qFormat/>
    <w:uiPriority w:val="0"/>
    <w:rPr>
      <w:rFonts w:ascii="Times New Roman" w:hAnsi="Times New Roman" w:eastAsia="宋体" w:cs="Times New Roman"/>
      <w:sz w:val="16"/>
      <w:szCs w:val="16"/>
    </w:rPr>
  </w:style>
  <w:style w:type="character" w:customStyle="1" w:styleId="89">
    <w:name w:val="正文文本 2 字符"/>
    <w:link w:val="45"/>
    <w:qFormat/>
    <w:uiPriority w:val="0"/>
    <w:rPr>
      <w:rFonts w:ascii="Times New Roman" w:hAnsi="Times New Roman" w:eastAsia="宋体" w:cs="Times New Roman"/>
      <w:szCs w:val="24"/>
    </w:rPr>
  </w:style>
  <w:style w:type="character" w:customStyle="1" w:styleId="90">
    <w:name w:val="HTML 预设格式 字符"/>
    <w:link w:val="46"/>
    <w:qFormat/>
    <w:uiPriority w:val="0"/>
    <w:rPr>
      <w:rFonts w:ascii="黑体" w:hAnsi="Courier New" w:eastAsia="黑体" w:cs="Courier New"/>
    </w:rPr>
  </w:style>
  <w:style w:type="character" w:customStyle="1" w:styleId="91">
    <w:name w:val="标题 字符"/>
    <w:link w:val="3"/>
    <w:qFormat/>
    <w:uiPriority w:val="0"/>
    <w:rPr>
      <w:rFonts w:ascii="Cambria" w:hAnsi="Cambria" w:cs="Times New Roman"/>
      <w:b/>
      <w:bCs/>
      <w:kern w:val="2"/>
      <w:sz w:val="32"/>
      <w:szCs w:val="32"/>
    </w:rPr>
  </w:style>
  <w:style w:type="character" w:customStyle="1" w:styleId="92">
    <w:name w:val="批注主题 字符"/>
    <w:link w:val="49"/>
    <w:qFormat/>
    <w:uiPriority w:val="99"/>
    <w:rPr>
      <w:rFonts w:ascii="Times New Roman" w:hAnsi="Times New Roman"/>
      <w:b/>
      <w:bCs/>
      <w:kern w:val="2"/>
      <w:sz w:val="21"/>
      <w:szCs w:val="24"/>
    </w:rPr>
  </w:style>
  <w:style w:type="paragraph" w:customStyle="1" w:styleId="93">
    <w:name w:val="首行缩进"/>
    <w:basedOn w:val="1"/>
    <w:qFormat/>
    <w:uiPriority w:val="0"/>
    <w:pPr>
      <w:ind w:firstLine="480" w:firstLineChars="200"/>
    </w:pPr>
  </w:style>
  <w:style w:type="paragraph" w:customStyle="1" w:styleId="9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5">
    <w:name w:val="目录 81"/>
    <w:basedOn w:val="1"/>
    <w:next w:val="1"/>
    <w:qFormat/>
    <w:uiPriority w:val="0"/>
    <w:pPr>
      <w:ind w:left="1470"/>
    </w:pPr>
    <w:rPr>
      <w:sz w:val="18"/>
    </w:rPr>
  </w:style>
  <w:style w:type="character" w:customStyle="1" w:styleId="96">
    <w:name w:val="H1 Char"/>
    <w:qFormat/>
    <w:uiPriority w:val="0"/>
    <w:rPr>
      <w:rFonts w:eastAsia="宋体"/>
      <w:b/>
      <w:bCs/>
      <w:kern w:val="44"/>
      <w:sz w:val="44"/>
      <w:szCs w:val="44"/>
      <w:lang w:val="en-US" w:eastAsia="zh-CN" w:bidi="ar-SA"/>
    </w:rPr>
  </w:style>
  <w:style w:type="character" w:customStyle="1" w:styleId="97">
    <w:name w:val="标题 1 字符"/>
    <w:qFormat/>
    <w:uiPriority w:val="9"/>
    <w:rPr>
      <w:rFonts w:ascii="Times New Roman" w:hAnsi="Times New Roman" w:eastAsia="宋体" w:cs="Times New Roman"/>
      <w:b/>
      <w:bCs/>
      <w:kern w:val="44"/>
      <w:sz w:val="44"/>
      <w:szCs w:val="44"/>
    </w:rPr>
  </w:style>
  <w:style w:type="character" w:customStyle="1" w:styleId="98">
    <w:name w:val="自定义标题一 Char Char"/>
    <w:qFormat/>
    <w:uiPriority w:val="0"/>
    <w:rPr>
      <w:rFonts w:ascii="黑体" w:hAnsi="黑体" w:eastAsia="黑体"/>
      <w:b/>
      <w:bCs/>
      <w:kern w:val="44"/>
      <w:sz w:val="44"/>
      <w:szCs w:val="44"/>
      <w:lang w:bidi="ar-SA"/>
    </w:rPr>
  </w:style>
  <w:style w:type="character" w:customStyle="1" w:styleId="99">
    <w:name w:val="Char Char11"/>
    <w:qFormat/>
    <w:uiPriority w:val="0"/>
    <w:rPr>
      <w:rFonts w:ascii="Times New Roman" w:hAnsi="Times New Roman" w:eastAsia="宋体" w:cs="Times New Roman"/>
      <w:sz w:val="30"/>
      <w:szCs w:val="24"/>
    </w:rPr>
  </w:style>
  <w:style w:type="character" w:customStyle="1" w:styleId="100">
    <w:name w:val="headline-content4"/>
    <w:qFormat/>
    <w:uiPriority w:val="0"/>
  </w:style>
  <w:style w:type="character" w:customStyle="1" w:styleId="101">
    <w:name w:val="Body text|3_"/>
    <w:link w:val="102"/>
    <w:qFormat/>
    <w:uiPriority w:val="0"/>
    <w:rPr>
      <w:rFonts w:ascii="宋体" w:hAnsi="宋体"/>
      <w:sz w:val="34"/>
      <w:szCs w:val="34"/>
    </w:rPr>
  </w:style>
  <w:style w:type="paragraph" w:customStyle="1" w:styleId="102">
    <w:name w:val="Body text|3"/>
    <w:basedOn w:val="1"/>
    <w:link w:val="101"/>
    <w:qFormat/>
    <w:uiPriority w:val="0"/>
    <w:pPr>
      <w:spacing w:after="460"/>
      <w:jc w:val="center"/>
    </w:pPr>
    <w:rPr>
      <w:rFonts w:ascii="宋体" w:hAnsi="宋体"/>
      <w:kern w:val="0"/>
      <w:sz w:val="34"/>
      <w:szCs w:val="34"/>
    </w:rPr>
  </w:style>
  <w:style w:type="character" w:customStyle="1" w:styleId="103">
    <w:name w:val="Char Char17"/>
    <w:qFormat/>
    <w:uiPriority w:val="0"/>
    <w:rPr>
      <w:rFonts w:hint="default" w:ascii="Times New Roman" w:hAnsi="Times New Roman" w:cs="Times New Roman"/>
      <w:b/>
      <w:bCs/>
      <w:kern w:val="2"/>
      <w:sz w:val="21"/>
      <w:szCs w:val="24"/>
    </w:rPr>
  </w:style>
  <w:style w:type="character" w:customStyle="1" w:styleId="104">
    <w:name w:val="Char Char14"/>
    <w:qFormat/>
    <w:uiPriority w:val="0"/>
    <w:rPr>
      <w:sz w:val="18"/>
      <w:szCs w:val="18"/>
    </w:rPr>
  </w:style>
  <w:style w:type="character" w:customStyle="1" w:styleId="105">
    <w:name w:val="自定义标题一 Char"/>
    <w:link w:val="106"/>
    <w:qFormat/>
    <w:uiPriority w:val="0"/>
    <w:rPr>
      <w:rFonts w:ascii="黑体" w:hAnsi="黑体" w:eastAsia="黑体"/>
      <w:b/>
      <w:bCs/>
      <w:kern w:val="44"/>
      <w:sz w:val="44"/>
      <w:szCs w:val="44"/>
    </w:rPr>
  </w:style>
  <w:style w:type="paragraph" w:customStyle="1" w:styleId="106">
    <w:name w:val="自定义标题一"/>
    <w:basedOn w:val="4"/>
    <w:link w:val="105"/>
    <w:qFormat/>
    <w:uiPriority w:val="0"/>
    <w:pPr>
      <w:pageBreakBefore/>
      <w:tabs>
        <w:tab w:val="left" w:pos="144"/>
      </w:tabs>
      <w:spacing w:before="0" w:after="0" w:line="360" w:lineRule="auto"/>
      <w:ind w:left="144" w:hanging="144"/>
      <w:jc w:val="center"/>
    </w:pPr>
    <w:rPr>
      <w:rFonts w:ascii="黑体" w:hAnsi="黑体" w:eastAsia="黑体"/>
    </w:rPr>
  </w:style>
  <w:style w:type="character" w:customStyle="1" w:styleId="107">
    <w:name w:val="无间隔 Char"/>
    <w:link w:val="108"/>
    <w:qFormat/>
    <w:uiPriority w:val="0"/>
    <w:rPr>
      <w:rFonts w:ascii="楷体_GB2312" w:eastAsia="楷体_GB2312" w:cs="楷体_GB2312"/>
      <w:b/>
      <w:bCs/>
      <w:kern w:val="2"/>
      <w:sz w:val="21"/>
      <w:szCs w:val="21"/>
    </w:rPr>
  </w:style>
  <w:style w:type="paragraph" w:customStyle="1" w:styleId="108">
    <w:name w:val="无间隔1"/>
    <w:link w:val="107"/>
    <w:qFormat/>
    <w:uiPriority w:val="0"/>
    <w:pPr>
      <w:widowControl w:val="0"/>
      <w:adjustRightInd w:val="0"/>
      <w:snapToGrid w:val="0"/>
      <w:spacing w:beforeLines="50" w:afterLines="50" w:line="300" w:lineRule="auto"/>
      <w:ind w:firstLine="200" w:firstLineChars="200"/>
      <w:jc w:val="both"/>
    </w:pPr>
    <w:rPr>
      <w:rFonts w:ascii="楷体_GB2312" w:hAnsi="Times New Roman" w:eastAsia="楷体_GB2312" w:cs="楷体_GB2312"/>
      <w:b/>
      <w:bCs/>
      <w:kern w:val="2"/>
      <w:sz w:val="21"/>
      <w:szCs w:val="21"/>
      <w:lang w:val="en-US" w:eastAsia="zh-CN" w:bidi="ar-SA"/>
    </w:rPr>
  </w:style>
  <w:style w:type="character" w:customStyle="1" w:styleId="109">
    <w:name w:val="纯文本 Char1"/>
    <w:qFormat/>
    <w:uiPriority w:val="0"/>
    <w:rPr>
      <w:rFonts w:ascii="宋体" w:hAnsi="Courier New" w:eastAsia="宋体" w:cs="Courier New"/>
      <w:kern w:val="2"/>
      <w:sz w:val="21"/>
      <w:szCs w:val="21"/>
      <w:lang w:val="en-US" w:eastAsia="zh-CN" w:bidi="ar-SA"/>
    </w:rPr>
  </w:style>
  <w:style w:type="character" w:customStyle="1" w:styleId="110">
    <w:name w:val="普通文字 Char Char4"/>
    <w:qFormat/>
    <w:uiPriority w:val="0"/>
    <w:rPr>
      <w:rFonts w:ascii="宋体" w:hAnsi="Courier New" w:eastAsia="宋体" w:cs="Courier New"/>
      <w:kern w:val="2"/>
      <w:sz w:val="21"/>
      <w:szCs w:val="21"/>
      <w:lang w:val="en-US" w:eastAsia="zh-CN" w:bidi="ar-SA"/>
    </w:rPr>
  </w:style>
  <w:style w:type="character" w:customStyle="1" w:styleId="111">
    <w:name w:val="llyf92"/>
    <w:qFormat/>
    <w:uiPriority w:val="0"/>
    <w:rPr>
      <w:sz w:val="18"/>
      <w:szCs w:val="18"/>
    </w:rPr>
  </w:style>
  <w:style w:type="character" w:customStyle="1" w:styleId="112">
    <w:name w:val="case31"/>
    <w:qFormat/>
    <w:uiPriority w:val="0"/>
    <w:rPr>
      <w:rFonts w:hint="default"/>
      <w:sz w:val="21"/>
      <w:szCs w:val="21"/>
    </w:rPr>
  </w:style>
  <w:style w:type="character" w:customStyle="1" w:styleId="113">
    <w:name w:val="批注文字 Char1"/>
    <w:qFormat/>
    <w:locked/>
    <w:uiPriority w:val="0"/>
    <w:rPr>
      <w:rFonts w:ascii="Times New Roman" w:hAnsi="Times New Roman"/>
      <w:kern w:val="2"/>
      <w:sz w:val="21"/>
      <w:szCs w:val="24"/>
    </w:rPr>
  </w:style>
  <w:style w:type="character" w:customStyle="1" w:styleId="114">
    <w:name w:val="Char Char13"/>
    <w:qFormat/>
    <w:locked/>
    <w:uiPriority w:val="0"/>
    <w:rPr>
      <w:rFonts w:ascii="仿宋_GB2312" w:eastAsia="仿宋_GB2312"/>
      <w:kern w:val="2"/>
      <w:sz w:val="32"/>
      <w:lang w:val="en-US" w:eastAsia="zh-CN" w:bidi="ar-SA"/>
    </w:rPr>
  </w:style>
  <w:style w:type="character" w:customStyle="1" w:styleId="115">
    <w:name w:val="style31"/>
    <w:qFormat/>
    <w:uiPriority w:val="0"/>
    <w:rPr>
      <w:sz w:val="18"/>
      <w:szCs w:val="18"/>
    </w:rPr>
  </w:style>
  <w:style w:type="character" w:customStyle="1" w:styleId="116">
    <w:name w:val="p1"/>
    <w:qFormat/>
    <w:uiPriority w:val="0"/>
  </w:style>
  <w:style w:type="character" w:customStyle="1" w:styleId="117">
    <w:name w:val="H1 Char1"/>
    <w:qFormat/>
    <w:uiPriority w:val="0"/>
    <w:rPr>
      <w:rFonts w:eastAsia="宋体"/>
      <w:b/>
      <w:bCs/>
      <w:kern w:val="44"/>
      <w:sz w:val="44"/>
      <w:szCs w:val="44"/>
      <w:lang w:val="en-US" w:eastAsia="zh-CN" w:bidi="ar-SA"/>
    </w:rPr>
  </w:style>
  <w:style w:type="character" w:customStyle="1" w:styleId="118">
    <w:name w:val="Plain Text Char"/>
    <w:link w:val="119"/>
    <w:qFormat/>
    <w:locked/>
    <w:uiPriority w:val="0"/>
    <w:rPr>
      <w:rFonts w:ascii="宋体" w:hAnsi="Courier New"/>
      <w:kern w:val="2"/>
      <w:sz w:val="21"/>
    </w:rPr>
  </w:style>
  <w:style w:type="paragraph" w:customStyle="1" w:styleId="119">
    <w:name w:val="纯文本1"/>
    <w:basedOn w:val="1"/>
    <w:link w:val="118"/>
    <w:qFormat/>
    <w:uiPriority w:val="0"/>
    <w:rPr>
      <w:rFonts w:ascii="宋体" w:hAnsi="Courier New"/>
      <w:szCs w:val="20"/>
    </w:rPr>
  </w:style>
  <w:style w:type="character" w:customStyle="1" w:styleId="120">
    <w:name w:val="标题 Char1"/>
    <w:qFormat/>
    <w:uiPriority w:val="0"/>
    <w:rPr>
      <w:rFonts w:hint="default" w:ascii="Cambria" w:hAnsi="Cambria" w:cs="Times New Roman"/>
      <w:b/>
      <w:bCs/>
      <w:kern w:val="2"/>
      <w:sz w:val="32"/>
      <w:szCs w:val="32"/>
    </w:rPr>
  </w:style>
  <w:style w:type="character" w:customStyle="1" w:styleId="121">
    <w:name w:val="textcontents"/>
    <w:qFormat/>
    <w:uiPriority w:val="0"/>
  </w:style>
  <w:style w:type="character" w:customStyle="1" w:styleId="122">
    <w:name w:val="正文文字首行缩进 Char"/>
    <w:qFormat/>
    <w:locked/>
    <w:uiPriority w:val="0"/>
    <w:rPr>
      <w:rFonts w:ascii="仿宋_GB2312" w:eastAsia="仿宋_GB2312"/>
      <w:kern w:val="2"/>
      <w:sz w:val="32"/>
    </w:rPr>
  </w:style>
  <w:style w:type="character" w:customStyle="1" w:styleId="123">
    <w:name w:val="cubane_hilight1"/>
    <w:qFormat/>
    <w:uiPriority w:val="0"/>
    <w:rPr>
      <w:color w:val="CC0000"/>
    </w:rPr>
  </w:style>
  <w:style w:type="character" w:customStyle="1" w:styleId="124">
    <w:name w:val="Char Char10"/>
    <w:semiHidden/>
    <w:qFormat/>
    <w:uiPriority w:val="0"/>
    <w:rPr>
      <w:rFonts w:eastAsia="宋体"/>
      <w:kern w:val="2"/>
      <w:sz w:val="24"/>
      <w:szCs w:val="24"/>
      <w:lang w:val="en-US" w:eastAsia="zh-CN" w:bidi="ar-SA"/>
    </w:rPr>
  </w:style>
  <w:style w:type="character" w:customStyle="1" w:styleId="125">
    <w:name w:val="apple-style-span"/>
    <w:qFormat/>
    <w:uiPriority w:val="0"/>
  </w:style>
  <w:style w:type="character" w:customStyle="1" w:styleId="126">
    <w:name w:val="Char Char Char Char Char"/>
    <w:qFormat/>
    <w:uiPriority w:val="0"/>
    <w:rPr>
      <w:rFonts w:eastAsia="宋体"/>
      <w:b/>
      <w:bCs/>
      <w:kern w:val="44"/>
      <w:sz w:val="44"/>
      <w:szCs w:val="44"/>
      <w:lang w:val="en-US" w:eastAsia="zh-CN" w:bidi="ar-SA"/>
    </w:rPr>
  </w:style>
  <w:style w:type="character" w:customStyle="1" w:styleId="127">
    <w:name w:val="1ji Char"/>
    <w:link w:val="128"/>
    <w:qFormat/>
    <w:uiPriority w:val="0"/>
    <w:rPr>
      <w:rFonts w:ascii="宋体" w:hAnsi="宋体"/>
      <w:b/>
      <w:bCs/>
      <w:kern w:val="44"/>
      <w:sz w:val="36"/>
      <w:szCs w:val="44"/>
    </w:rPr>
  </w:style>
  <w:style w:type="paragraph" w:customStyle="1" w:styleId="128">
    <w:name w:val="1ji"/>
    <w:basedOn w:val="4"/>
    <w:link w:val="127"/>
    <w:qFormat/>
    <w:uiPriority w:val="0"/>
    <w:pPr>
      <w:keepLines w:val="0"/>
      <w:widowControl/>
      <w:spacing w:before="0" w:after="0" w:line="240" w:lineRule="auto"/>
      <w:jc w:val="center"/>
    </w:pPr>
    <w:rPr>
      <w:rFonts w:ascii="宋体" w:hAnsi="宋体"/>
      <w:sz w:val="36"/>
    </w:rPr>
  </w:style>
  <w:style w:type="character" w:customStyle="1" w:styleId="129">
    <w:name w:val="1ji Char Char"/>
    <w:qFormat/>
    <w:locked/>
    <w:uiPriority w:val="0"/>
    <w:rPr>
      <w:rFonts w:ascii="宋体" w:hAnsi="宋体" w:eastAsia="宋体"/>
      <w:b/>
      <w:bCs/>
      <w:kern w:val="44"/>
      <w:sz w:val="36"/>
      <w:szCs w:val="44"/>
    </w:rPr>
  </w:style>
  <w:style w:type="character" w:customStyle="1" w:styleId="130">
    <w:name w:val="Body text|1_"/>
    <w:link w:val="131"/>
    <w:qFormat/>
    <w:uiPriority w:val="0"/>
    <w:rPr>
      <w:rFonts w:ascii="宋体" w:hAnsi="宋体"/>
      <w:sz w:val="30"/>
      <w:szCs w:val="30"/>
    </w:rPr>
  </w:style>
  <w:style w:type="paragraph" w:customStyle="1" w:styleId="131">
    <w:name w:val="Body text|1"/>
    <w:basedOn w:val="1"/>
    <w:link w:val="130"/>
    <w:qFormat/>
    <w:uiPriority w:val="0"/>
    <w:pPr>
      <w:spacing w:line="353" w:lineRule="auto"/>
      <w:ind w:firstLine="400"/>
      <w:jc w:val="left"/>
    </w:pPr>
    <w:rPr>
      <w:rFonts w:ascii="宋体" w:hAnsi="宋体"/>
      <w:kern w:val="0"/>
      <w:sz w:val="30"/>
      <w:szCs w:val="30"/>
    </w:rPr>
  </w:style>
  <w:style w:type="character" w:customStyle="1" w:styleId="132">
    <w:name w:val="Body Text Char"/>
    <w:qFormat/>
    <w:locked/>
    <w:uiPriority w:val="0"/>
    <w:rPr>
      <w:rFonts w:eastAsia="宋体"/>
      <w:kern w:val="2"/>
      <w:sz w:val="24"/>
      <w:szCs w:val="24"/>
      <w:lang w:val="en-US" w:eastAsia="zh-CN" w:bidi="ar-SA"/>
    </w:rPr>
  </w:style>
  <w:style w:type="character" w:customStyle="1" w:styleId="133">
    <w:name w:val="批注文字 字符"/>
    <w:qFormat/>
    <w:uiPriority w:val="0"/>
    <w:rPr>
      <w:rFonts w:ascii="Times New Roman" w:hAnsi="Times New Roman"/>
      <w:kern w:val="2"/>
      <w:sz w:val="21"/>
      <w:szCs w:val="24"/>
    </w:rPr>
  </w:style>
  <w:style w:type="character" w:customStyle="1" w:styleId="134">
    <w:name w:val="纯文本 字符1"/>
    <w:qFormat/>
    <w:uiPriority w:val="0"/>
    <w:rPr>
      <w:rFonts w:ascii="宋体" w:hAnsi="Courier New"/>
    </w:rPr>
  </w:style>
  <w:style w:type="character" w:customStyle="1" w:styleId="135">
    <w:name w:val="Char Char15"/>
    <w:qFormat/>
    <w:uiPriority w:val="0"/>
    <w:rPr>
      <w:sz w:val="18"/>
      <w:szCs w:val="18"/>
    </w:rPr>
  </w:style>
  <w:style w:type="character" w:customStyle="1" w:styleId="136">
    <w:name w:val="批注文字 Char2"/>
    <w:qFormat/>
    <w:uiPriority w:val="99"/>
    <w:rPr>
      <w:rFonts w:ascii="Times New Roman" w:hAnsi="Times New Roman" w:eastAsia="宋体" w:cs="Times New Roman"/>
      <w:sz w:val="24"/>
      <w:lang w:bidi="ar-SA"/>
    </w:rPr>
  </w:style>
  <w:style w:type="character" w:customStyle="1" w:styleId="137">
    <w:name w:val="NormalCharacter"/>
    <w:qFormat/>
    <w:uiPriority w:val="0"/>
  </w:style>
  <w:style w:type="character" w:customStyle="1" w:styleId="138">
    <w:name w:val="列出段落 Char"/>
    <w:link w:val="139"/>
    <w:qFormat/>
    <w:uiPriority w:val="34"/>
    <w:rPr>
      <w:kern w:val="2"/>
      <w:sz w:val="21"/>
      <w:szCs w:val="24"/>
    </w:rPr>
  </w:style>
  <w:style w:type="paragraph" w:customStyle="1" w:styleId="139">
    <w:name w:val="列出段落1"/>
    <w:basedOn w:val="1"/>
    <w:link w:val="138"/>
    <w:qFormat/>
    <w:uiPriority w:val="99"/>
    <w:pPr>
      <w:ind w:firstLine="420" w:firstLineChars="200"/>
    </w:pPr>
  </w:style>
  <w:style w:type="character" w:customStyle="1" w:styleId="140">
    <w:name w:val="Char Char3"/>
    <w:qFormat/>
    <w:locked/>
    <w:uiPriority w:val="0"/>
    <w:rPr>
      <w:rFonts w:ascii="宋体" w:hAnsi="宋体" w:eastAsia="宋体"/>
      <w:sz w:val="24"/>
      <w:lang w:bidi="ar-SA"/>
    </w:rPr>
  </w:style>
  <w:style w:type="character" w:customStyle="1" w:styleId="141">
    <w:name w:val="无间隔 Char Char"/>
    <w:qFormat/>
    <w:uiPriority w:val="0"/>
    <w:rPr>
      <w:rFonts w:ascii="Calibri" w:hAnsi="Calibri" w:eastAsia="宋体"/>
      <w:sz w:val="22"/>
      <w:szCs w:val="22"/>
      <w:lang w:val="en-US" w:eastAsia="zh-CN" w:bidi="ar-SA"/>
    </w:rPr>
  </w:style>
  <w:style w:type="character" w:customStyle="1" w:styleId="142">
    <w:name w:val="style21"/>
    <w:qFormat/>
    <w:uiPriority w:val="0"/>
    <w:rPr>
      <w:sz w:val="18"/>
      <w:szCs w:val="18"/>
    </w:rPr>
  </w:style>
  <w:style w:type="character" w:customStyle="1" w:styleId="143">
    <w:name w:val="H1 Char2"/>
    <w:qFormat/>
    <w:uiPriority w:val="0"/>
    <w:rPr>
      <w:rFonts w:eastAsia="宋体"/>
      <w:b/>
      <w:bCs/>
      <w:kern w:val="44"/>
      <w:sz w:val="44"/>
      <w:szCs w:val="44"/>
      <w:lang w:val="en-US" w:eastAsia="zh-CN" w:bidi="ar-SA"/>
    </w:rPr>
  </w:style>
  <w:style w:type="character" w:customStyle="1" w:styleId="144">
    <w:name w:val="正文文本缩进 Char1"/>
    <w:qFormat/>
    <w:uiPriority w:val="0"/>
    <w:rPr>
      <w:kern w:val="2"/>
      <w:sz w:val="21"/>
      <w:szCs w:val="22"/>
    </w:rPr>
  </w:style>
  <w:style w:type="character" w:customStyle="1" w:styleId="145">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146">
    <w:name w:val="style161"/>
    <w:qFormat/>
    <w:uiPriority w:val="0"/>
    <w:rPr>
      <w:color w:val="666666"/>
    </w:rPr>
  </w:style>
  <w:style w:type="character" w:customStyle="1" w:styleId="147">
    <w:name w:val="ca-0"/>
    <w:qFormat/>
    <w:uiPriority w:val="0"/>
  </w:style>
  <w:style w:type="character" w:customStyle="1" w:styleId="148">
    <w:name w:val="unnamed3"/>
    <w:qFormat/>
    <w:uiPriority w:val="0"/>
  </w:style>
  <w:style w:type="character" w:customStyle="1" w:styleId="149">
    <w:name w:val="普通文字 Char Char2"/>
    <w:qFormat/>
    <w:uiPriority w:val="0"/>
    <w:rPr>
      <w:rFonts w:ascii="宋体" w:hAnsi="Courier New" w:eastAsia="宋体"/>
      <w:kern w:val="2"/>
      <w:sz w:val="21"/>
      <w:lang w:val="en-US" w:eastAsia="zh-CN" w:bidi="ar-SA"/>
    </w:rPr>
  </w:style>
  <w:style w:type="character" w:customStyle="1" w:styleId="150">
    <w:name w:val="纯文本 字符"/>
    <w:qFormat/>
    <w:uiPriority w:val="0"/>
    <w:rPr>
      <w:rFonts w:ascii="宋体" w:hAnsi="Courier New" w:eastAsia="宋体" w:cs="Courier New"/>
      <w:szCs w:val="21"/>
    </w:rPr>
  </w:style>
  <w:style w:type="character" w:customStyle="1" w:styleId="151">
    <w:name w:val="正文文本缩进 字符"/>
    <w:qFormat/>
    <w:uiPriority w:val="0"/>
    <w:rPr>
      <w:rFonts w:ascii="仿宋_GB2312" w:hAnsi="Times New Roman" w:eastAsia="仿宋_GB2312" w:cs="Times New Roman"/>
      <w:sz w:val="32"/>
      <w:szCs w:val="20"/>
    </w:rPr>
  </w:style>
  <w:style w:type="character" w:customStyle="1" w:styleId="152">
    <w:name w:val="Char Char23"/>
    <w:qFormat/>
    <w:uiPriority w:val="0"/>
    <w:rPr>
      <w:rFonts w:ascii="Times New Roman" w:hAnsi="Times New Roman" w:eastAsia="宋体" w:cs="Times New Roman"/>
      <w:b/>
      <w:bCs/>
      <w:kern w:val="44"/>
      <w:sz w:val="44"/>
      <w:szCs w:val="44"/>
    </w:rPr>
  </w:style>
  <w:style w:type="paragraph" w:customStyle="1" w:styleId="153">
    <w:name w:val="Char"/>
    <w:basedOn w:val="18"/>
    <w:qFormat/>
    <w:uiPriority w:val="0"/>
    <w:pPr>
      <w:widowControl/>
      <w:ind w:firstLine="454"/>
      <w:jc w:val="left"/>
    </w:pPr>
    <w:rPr>
      <w:rFonts w:ascii="Tahoma" w:hAnsi="Tahoma" w:cs="宋体"/>
      <w:kern w:val="0"/>
      <w:sz w:val="24"/>
      <w:szCs w:val="20"/>
    </w:rPr>
  </w:style>
  <w:style w:type="paragraph" w:customStyle="1" w:styleId="154">
    <w:name w:val="表格题注"/>
    <w:next w:val="1"/>
    <w:qFormat/>
    <w:uiPriority w:val="0"/>
    <w:pPr>
      <w:keepLines/>
      <w:spacing w:beforeLines="100"/>
      <w:ind w:left="1089" w:hanging="369"/>
      <w:jc w:val="center"/>
    </w:pPr>
    <w:rPr>
      <w:rFonts w:ascii="Arial" w:hAnsi="Arial" w:eastAsia="宋体" w:cs="Times New Roman"/>
      <w:sz w:val="18"/>
      <w:szCs w:val="18"/>
      <w:lang w:val="en-US" w:eastAsia="zh-CN" w:bidi="ar-SA"/>
    </w:rPr>
  </w:style>
  <w:style w:type="paragraph" w:customStyle="1" w:styleId="155">
    <w:name w:val="Char Char1 Char Char Char Char"/>
    <w:basedOn w:val="18"/>
    <w:qFormat/>
    <w:uiPriority w:val="0"/>
    <w:rPr>
      <w:rFonts w:ascii="Tahoma" w:hAnsi="Tahoma"/>
      <w:sz w:val="24"/>
    </w:rPr>
  </w:style>
  <w:style w:type="paragraph" w:customStyle="1" w:styleId="156">
    <w:name w:val="目录1"/>
    <w:basedOn w:val="1"/>
    <w:next w:val="1"/>
    <w:qFormat/>
    <w:uiPriority w:val="0"/>
    <w:pPr>
      <w:widowControl/>
      <w:tabs>
        <w:tab w:val="left" w:leader="dot" w:pos="8503"/>
      </w:tabs>
      <w:spacing w:after="136" w:line="289" w:lineRule="atLeast"/>
      <w:jc w:val="left"/>
      <w:textAlignment w:val="baseline"/>
    </w:pPr>
    <w:rPr>
      <w:rFonts w:ascii="Arial" w:eastAsia="黑体"/>
      <w:color w:val="000000"/>
      <w:kern w:val="0"/>
      <w:sz w:val="28"/>
      <w:szCs w:val="20"/>
    </w:rPr>
  </w:style>
  <w:style w:type="paragraph" w:customStyle="1" w:styleId="157">
    <w:name w:val="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58">
    <w:name w:val="p15"/>
    <w:basedOn w:val="1"/>
    <w:qFormat/>
    <w:uiPriority w:val="0"/>
    <w:pPr>
      <w:widowControl/>
    </w:pPr>
    <w:rPr>
      <w:rFonts w:ascii="宋体" w:hAnsi="宋体" w:cs="宋体"/>
      <w:kern w:val="0"/>
      <w:szCs w:val="21"/>
    </w:rPr>
  </w:style>
  <w:style w:type="paragraph" w:customStyle="1" w:styleId="159">
    <w:name w:val="默认段落字体 Para Char"/>
    <w:basedOn w:val="1"/>
    <w:qFormat/>
    <w:uiPriority w:val="0"/>
    <w:pPr>
      <w:adjustRightInd w:val="0"/>
      <w:spacing w:line="360" w:lineRule="auto"/>
    </w:pPr>
    <w:rPr>
      <w:szCs w:val="20"/>
    </w:rPr>
  </w:style>
  <w:style w:type="paragraph" w:customStyle="1" w:styleId="160">
    <w:name w:val="WPSOffice手动目录 1"/>
    <w:qFormat/>
    <w:uiPriority w:val="0"/>
    <w:rPr>
      <w:rFonts w:ascii="Times New Roman" w:hAnsi="Times New Roman" w:eastAsia="宋体" w:cs="Times New Roman"/>
      <w:lang w:val="en-US" w:eastAsia="zh-CN" w:bidi="ar-SA"/>
    </w:rPr>
  </w:style>
  <w:style w:type="paragraph" w:customStyle="1" w:styleId="161">
    <w:name w:val="默认段落字体 Para Char Char Char Char Char Char Char Char Char1 Char Char Char Char"/>
    <w:basedOn w:val="1"/>
    <w:qFormat/>
    <w:uiPriority w:val="0"/>
    <w:rPr>
      <w:rFonts w:ascii="Tahoma" w:hAnsi="Tahoma"/>
      <w:sz w:val="24"/>
      <w:szCs w:val="20"/>
    </w:rPr>
  </w:style>
  <w:style w:type="paragraph" w:customStyle="1" w:styleId="162">
    <w:name w:val="表格"/>
    <w:basedOn w:val="1"/>
    <w:qFormat/>
    <w:uiPriority w:val="0"/>
    <w:pPr>
      <w:spacing w:line="400" w:lineRule="exact"/>
    </w:pPr>
    <w:rPr>
      <w:sz w:val="24"/>
    </w:rPr>
  </w:style>
  <w:style w:type="paragraph" w:customStyle="1" w:styleId="163">
    <w:name w:val="样式 宋体 五号 左"/>
    <w:basedOn w:val="1"/>
    <w:next w:val="1"/>
    <w:qFormat/>
    <w:uiPriority w:val="0"/>
    <w:pPr>
      <w:jc w:val="left"/>
    </w:pPr>
    <w:rPr>
      <w:rFonts w:ascii="宋体" w:hAnsi="宋体"/>
    </w:rPr>
  </w:style>
  <w:style w:type="paragraph" w:customStyle="1" w:styleId="164">
    <w:name w:val="xl28"/>
    <w:basedOn w:val="1"/>
    <w:qFormat/>
    <w:uiPriority w:val="0"/>
    <w:pPr>
      <w:widowControl/>
      <w:pBdr>
        <w:left w:val="single" w:color="auto" w:sz="4" w:space="0"/>
        <w:right w:val="single" w:color="auto" w:sz="4" w:space="0"/>
      </w:pBdr>
      <w:spacing w:before="100" w:beforeAutospacing="1" w:after="100" w:afterAutospacing="1"/>
      <w:jc w:val="left"/>
      <w:textAlignment w:val="center"/>
    </w:pPr>
    <w:rPr>
      <w:kern w:val="0"/>
      <w:szCs w:val="21"/>
    </w:rPr>
  </w:style>
  <w:style w:type="paragraph" w:customStyle="1" w:styleId="165">
    <w:name w:val="_Style 35"/>
    <w:basedOn w:val="18"/>
    <w:qFormat/>
    <w:uiPriority w:val="0"/>
    <w:pPr>
      <w:widowControl/>
      <w:ind w:firstLine="454"/>
      <w:jc w:val="left"/>
    </w:pPr>
  </w:style>
  <w:style w:type="paragraph" w:customStyle="1" w:styleId="166">
    <w:name w:val="小节标题"/>
    <w:basedOn w:val="1"/>
    <w:next w:val="1"/>
    <w:qFormat/>
    <w:uiPriority w:val="0"/>
    <w:pPr>
      <w:widowControl/>
      <w:spacing w:before="175" w:after="102" w:line="351" w:lineRule="atLeast"/>
      <w:textAlignment w:val="baseline"/>
    </w:pPr>
    <w:rPr>
      <w:rFonts w:eastAsia="黑体"/>
      <w:color w:val="000000"/>
      <w:kern w:val="0"/>
      <w:szCs w:val="20"/>
    </w:rPr>
  </w:style>
  <w:style w:type="paragraph" w:customStyle="1" w:styleId="167">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68">
    <w:name w:val="1"/>
    <w:basedOn w:val="1"/>
    <w:next w:val="28"/>
    <w:qFormat/>
    <w:uiPriority w:val="0"/>
    <w:rPr>
      <w:rFonts w:ascii="宋体" w:hAnsi="Courier New"/>
      <w:szCs w:val="20"/>
    </w:rPr>
  </w:style>
  <w:style w:type="paragraph" w:customStyle="1" w:styleId="169">
    <w:name w:val="表项"/>
    <w:next w:val="1"/>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170">
    <w:name w:val="p16"/>
    <w:basedOn w:val="1"/>
    <w:qFormat/>
    <w:uiPriority w:val="0"/>
    <w:pPr>
      <w:widowControl/>
    </w:pPr>
    <w:rPr>
      <w:rFonts w:ascii="宋体" w:hAnsi="宋体" w:cs="宋体"/>
      <w:kern w:val="0"/>
      <w:szCs w:val="21"/>
    </w:rPr>
  </w:style>
  <w:style w:type="paragraph" w:customStyle="1" w:styleId="171">
    <w:name w:val="Char Char Char Char Char Char Char Char Char"/>
    <w:basedOn w:val="1"/>
    <w:qFormat/>
    <w:uiPriority w:val="0"/>
    <w:pPr>
      <w:widowControl/>
      <w:spacing w:after="160" w:line="240" w:lineRule="exact"/>
      <w:jc w:val="left"/>
    </w:pPr>
    <w:rPr>
      <w:szCs w:val="20"/>
    </w:rPr>
  </w:style>
  <w:style w:type="paragraph" w:customStyle="1" w:styleId="172">
    <w:name w:val="2ji"/>
    <w:basedOn w:val="5"/>
    <w:qFormat/>
    <w:uiPriority w:val="0"/>
    <w:pPr>
      <w:adjustRightInd w:val="0"/>
      <w:spacing w:before="0" w:after="0" w:line="360" w:lineRule="auto"/>
      <w:textAlignment w:val="baseline"/>
    </w:pPr>
    <w:rPr>
      <w:rFonts w:ascii="宋体" w:hAnsi="宋体" w:eastAsia="宋体"/>
      <w:sz w:val="21"/>
      <w:szCs w:val="21"/>
    </w:rPr>
  </w:style>
  <w:style w:type="paragraph" w:customStyle="1" w:styleId="173">
    <w:name w:val="Char Char Char Char"/>
    <w:basedOn w:val="18"/>
    <w:qFormat/>
    <w:uiPriority w:val="0"/>
    <w:pPr>
      <w:adjustRightInd w:val="0"/>
      <w:snapToGrid w:val="0"/>
      <w:spacing w:line="360" w:lineRule="auto"/>
    </w:pPr>
    <w:rPr>
      <w:rFonts w:ascii="Tahoma" w:hAnsi="Tahoma"/>
      <w:sz w:val="24"/>
    </w:rPr>
  </w:style>
  <w:style w:type="paragraph" w:customStyle="1" w:styleId="174">
    <w:name w:val="p0"/>
    <w:basedOn w:val="1"/>
    <w:qFormat/>
    <w:uiPriority w:val="0"/>
    <w:pPr>
      <w:widowControl/>
    </w:pPr>
    <w:rPr>
      <w:kern w:val="0"/>
      <w:szCs w:val="21"/>
    </w:rPr>
  </w:style>
  <w:style w:type="paragraph" w:customStyle="1" w:styleId="175">
    <w:name w:val="目录3"/>
    <w:basedOn w:val="1"/>
    <w:next w:val="1"/>
    <w:qFormat/>
    <w:uiPriority w:val="0"/>
    <w:pPr>
      <w:widowControl/>
      <w:tabs>
        <w:tab w:val="left" w:leader="dot" w:pos="8503"/>
      </w:tabs>
      <w:spacing w:line="317" w:lineRule="atLeast"/>
      <w:ind w:firstLine="419"/>
      <w:textAlignment w:val="baseline"/>
    </w:pPr>
    <w:rPr>
      <w:color w:val="000000"/>
      <w:kern w:val="0"/>
      <w:szCs w:val="20"/>
    </w:rPr>
  </w:style>
  <w:style w:type="paragraph" w:customStyle="1" w:styleId="176">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77">
    <w:name w:val="文章附标题"/>
    <w:basedOn w:val="1"/>
    <w:next w:val="4"/>
    <w:qFormat/>
    <w:uiPriority w:val="0"/>
    <w:pPr>
      <w:widowControl/>
      <w:spacing w:before="187" w:after="175" w:line="374" w:lineRule="atLeast"/>
      <w:jc w:val="center"/>
      <w:textAlignment w:val="baseline"/>
    </w:pPr>
    <w:rPr>
      <w:color w:val="000000"/>
      <w:kern w:val="0"/>
      <w:sz w:val="36"/>
      <w:szCs w:val="20"/>
    </w:rPr>
  </w:style>
  <w:style w:type="paragraph" w:customStyle="1" w:styleId="178">
    <w:name w:val="正文首行缩进两字符"/>
    <w:basedOn w:val="1"/>
    <w:qFormat/>
    <w:uiPriority w:val="0"/>
    <w:pPr>
      <w:spacing w:line="360" w:lineRule="auto"/>
      <w:ind w:firstLine="200" w:firstLineChars="200"/>
    </w:pPr>
  </w:style>
  <w:style w:type="paragraph" w:customStyle="1" w:styleId="179">
    <w:name w:val="Default Paragraph Font Para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0">
    <w:name w:val="样式 首行缩进:  2 字符"/>
    <w:basedOn w:val="1"/>
    <w:qFormat/>
    <w:uiPriority w:val="0"/>
    <w:pPr>
      <w:spacing w:line="400" w:lineRule="exact"/>
      <w:ind w:firstLine="200" w:firstLineChars="200"/>
    </w:pPr>
    <w:rPr>
      <w:rFonts w:cs="宋体"/>
      <w:sz w:val="24"/>
    </w:rPr>
  </w:style>
  <w:style w:type="paragraph" w:customStyle="1" w:styleId="18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182">
    <w:name w:val="样式"/>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183">
    <w:name w:val="4"/>
    <w:basedOn w:val="1"/>
    <w:next w:val="31"/>
    <w:qFormat/>
    <w:uiPriority w:val="0"/>
    <w:pPr>
      <w:spacing w:line="420" w:lineRule="exact"/>
      <w:ind w:firstLine="409" w:firstLineChars="195"/>
    </w:pPr>
  </w:style>
  <w:style w:type="paragraph" w:customStyle="1" w:styleId="184">
    <w:name w:val="列出段落11"/>
    <w:qFormat/>
    <w:uiPriority w:val="0"/>
    <w:pPr>
      <w:ind w:firstLine="420" w:firstLineChars="200"/>
    </w:pPr>
    <w:rPr>
      <w:rFonts w:ascii="Calibri" w:hAnsi="Calibri" w:eastAsia="宋体" w:cs="Times New Roman"/>
      <w:szCs w:val="22"/>
      <w:lang w:val="en-US" w:eastAsia="zh-CN" w:bidi="ar-SA"/>
    </w:rPr>
  </w:style>
  <w:style w:type="paragraph" w:customStyle="1" w:styleId="185">
    <w:name w:val="目录4"/>
    <w:basedOn w:val="1"/>
    <w:next w:val="1"/>
    <w:qFormat/>
    <w:uiPriority w:val="0"/>
    <w:pPr>
      <w:widowControl/>
      <w:tabs>
        <w:tab w:val="left" w:leader="dot" w:pos="8503"/>
      </w:tabs>
      <w:spacing w:line="317" w:lineRule="atLeast"/>
      <w:ind w:firstLine="629"/>
      <w:textAlignment w:val="baseline"/>
    </w:pPr>
    <w:rPr>
      <w:color w:val="000000"/>
      <w:kern w:val="0"/>
      <w:szCs w:val="20"/>
    </w:rPr>
  </w:style>
  <w:style w:type="paragraph" w:customStyle="1" w:styleId="186">
    <w:name w:val="样式 标题 2 + (西文) 宋体 非加粗 居中"/>
    <w:basedOn w:val="5"/>
    <w:qFormat/>
    <w:uiPriority w:val="0"/>
    <w:pPr>
      <w:jc w:val="center"/>
    </w:pPr>
    <w:rPr>
      <w:rFonts w:ascii="宋体" w:hAnsi="宋体" w:cs="宋体"/>
      <w:b w:val="0"/>
      <w:bCs w:val="0"/>
      <w:spacing w:val="2"/>
      <w:sz w:val="28"/>
      <w:szCs w:val="20"/>
    </w:rPr>
  </w:style>
  <w:style w:type="paragraph" w:customStyle="1" w:styleId="187">
    <w:name w:val="节标题"/>
    <w:basedOn w:val="1"/>
    <w:next w:val="166"/>
    <w:qFormat/>
    <w:uiPriority w:val="0"/>
    <w:pPr>
      <w:widowControl/>
      <w:spacing w:line="289" w:lineRule="atLeast"/>
      <w:jc w:val="center"/>
      <w:textAlignment w:val="baseline"/>
    </w:pPr>
    <w:rPr>
      <w:color w:val="000000"/>
      <w:kern w:val="0"/>
      <w:sz w:val="28"/>
      <w:szCs w:val="20"/>
    </w:rPr>
  </w:style>
  <w:style w:type="paragraph" w:customStyle="1" w:styleId="188">
    <w:name w:val="444"/>
    <w:basedOn w:val="1"/>
    <w:qFormat/>
    <w:uiPriority w:val="0"/>
    <w:pPr>
      <w:adjustRightInd w:val="0"/>
      <w:spacing w:line="312" w:lineRule="atLeast"/>
      <w:jc w:val="center"/>
      <w:textAlignment w:val="baseline"/>
    </w:pPr>
    <w:rPr>
      <w:b/>
      <w:kern w:val="0"/>
      <w:sz w:val="36"/>
      <w:szCs w:val="36"/>
    </w:rPr>
  </w:style>
  <w:style w:type="paragraph" w:customStyle="1" w:styleId="189">
    <w:name w:val="文章总标题"/>
    <w:basedOn w:val="1"/>
    <w:next w:val="177"/>
    <w:qFormat/>
    <w:uiPriority w:val="0"/>
    <w:pPr>
      <w:widowControl/>
      <w:spacing w:before="566" w:after="544" w:line="566" w:lineRule="atLeast"/>
      <w:jc w:val="center"/>
      <w:textAlignment w:val="baseline"/>
    </w:pPr>
    <w:rPr>
      <w:rFonts w:ascii="Arial" w:eastAsia="黑体"/>
      <w:color w:val="000000"/>
      <w:kern w:val="0"/>
      <w:sz w:val="54"/>
      <w:szCs w:val="20"/>
    </w:rPr>
  </w:style>
  <w:style w:type="paragraph" w:customStyle="1" w:styleId="190">
    <w:name w:val="2-2ji"/>
    <w:basedOn w:val="5"/>
    <w:qFormat/>
    <w:uiPriority w:val="0"/>
    <w:pPr>
      <w:adjustRightInd w:val="0"/>
      <w:spacing w:before="0" w:after="0" w:line="360" w:lineRule="auto"/>
      <w:jc w:val="center"/>
      <w:textAlignment w:val="baseline"/>
    </w:pPr>
    <w:rPr>
      <w:rFonts w:ascii="宋体" w:hAnsi="宋体" w:eastAsia="宋体"/>
      <w:bCs w:val="0"/>
      <w:sz w:val="36"/>
    </w:rPr>
  </w:style>
  <w:style w:type="paragraph" w:customStyle="1" w:styleId="191">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192">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193">
    <w:name w:val="列出段落12"/>
    <w:basedOn w:val="1"/>
    <w:qFormat/>
    <w:uiPriority w:val="34"/>
    <w:pPr>
      <w:ind w:firstLine="420"/>
    </w:pPr>
  </w:style>
  <w:style w:type="paragraph" w:customStyle="1" w:styleId="194">
    <w:name w:val="样式3"/>
    <w:basedOn w:val="1"/>
    <w:qFormat/>
    <w:uiPriority w:val="0"/>
    <w:pPr>
      <w:tabs>
        <w:tab w:val="left" w:pos="560"/>
        <w:tab w:val="left" w:pos="1120"/>
      </w:tabs>
      <w:spacing w:line="480" w:lineRule="atLeast"/>
    </w:pPr>
    <w:rPr>
      <w:rFonts w:ascii="宋体" w:eastAsia="创艺简黑体"/>
      <w:szCs w:val="20"/>
    </w:rPr>
  </w:style>
  <w:style w:type="paragraph" w:customStyle="1" w:styleId="195">
    <w:name w:val="_Style 2"/>
    <w:basedOn w:val="1"/>
    <w:qFormat/>
    <w:uiPriority w:val="34"/>
    <w:pPr>
      <w:adjustRightInd w:val="0"/>
      <w:snapToGrid w:val="0"/>
      <w:spacing w:before="120" w:after="120" w:line="360" w:lineRule="auto"/>
      <w:ind w:left="578" w:firstLine="420"/>
    </w:pPr>
    <w:rPr>
      <w:lang w:eastAsia="zh-TW"/>
    </w:rPr>
  </w:style>
  <w:style w:type="paragraph" w:customStyle="1" w:styleId="196">
    <w:name w:val="Char2"/>
    <w:basedOn w:val="1"/>
    <w:qFormat/>
    <w:uiPriority w:val="0"/>
    <w:rPr>
      <w:szCs w:val="20"/>
    </w:rPr>
  </w:style>
  <w:style w:type="paragraph" w:customStyle="1" w:styleId="197">
    <w:name w:val="Char1"/>
    <w:basedOn w:val="1"/>
    <w:qFormat/>
    <w:uiPriority w:val="0"/>
    <w:rPr>
      <w:szCs w:val="21"/>
    </w:rPr>
  </w:style>
  <w:style w:type="paragraph" w:customStyle="1" w:styleId="19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9">
    <w:name w:val="样式1"/>
    <w:basedOn w:val="1"/>
    <w:qFormat/>
    <w:uiPriority w:val="0"/>
  </w:style>
  <w:style w:type="paragraph" w:customStyle="1" w:styleId="200">
    <w:name w:val="目录标题"/>
    <w:basedOn w:val="1"/>
    <w:next w:val="1"/>
    <w:qFormat/>
    <w:uiPriority w:val="0"/>
    <w:pPr>
      <w:widowControl/>
      <w:spacing w:before="566" w:after="544" w:line="566" w:lineRule="atLeast"/>
      <w:ind w:firstLine="419"/>
      <w:jc w:val="center"/>
      <w:textAlignment w:val="baseline"/>
    </w:pPr>
    <w:rPr>
      <w:rFonts w:ascii="Arial" w:eastAsia="黑体"/>
      <w:color w:val="000000"/>
      <w:spacing w:val="566"/>
      <w:kern w:val="0"/>
      <w:sz w:val="54"/>
      <w:szCs w:val="20"/>
    </w:rPr>
  </w:style>
  <w:style w:type="paragraph" w:customStyle="1" w:styleId="201">
    <w:name w:val="目录2"/>
    <w:basedOn w:val="1"/>
    <w:next w:val="1"/>
    <w:qFormat/>
    <w:uiPriority w:val="0"/>
    <w:pPr>
      <w:widowControl/>
      <w:tabs>
        <w:tab w:val="left" w:leader="dot" w:pos="8503"/>
      </w:tabs>
      <w:spacing w:line="317" w:lineRule="atLeast"/>
      <w:ind w:firstLine="209"/>
      <w:textAlignment w:val="baseline"/>
    </w:pPr>
    <w:rPr>
      <w:color w:val="000000"/>
      <w:kern w:val="0"/>
      <w:szCs w:val="20"/>
    </w:rPr>
  </w:style>
  <w:style w:type="paragraph" w:customStyle="1" w:styleId="202">
    <w:name w:val="纯文本2"/>
    <w:basedOn w:val="1"/>
    <w:qFormat/>
    <w:uiPriority w:val="0"/>
    <w:rPr>
      <w:rFonts w:ascii="宋体" w:hAnsi="Courier New" w:cs="Century"/>
      <w:szCs w:val="21"/>
    </w:rPr>
  </w:style>
  <w:style w:type="paragraph" w:customStyle="1" w:styleId="203">
    <w:name w:val="正文段"/>
    <w:basedOn w:val="1"/>
    <w:qFormat/>
    <w:uiPriority w:val="0"/>
    <w:pPr>
      <w:widowControl/>
      <w:snapToGrid w:val="0"/>
      <w:spacing w:afterLines="50"/>
      <w:ind w:firstLine="200" w:firstLineChars="200"/>
    </w:pPr>
    <w:rPr>
      <w:kern w:val="0"/>
      <w:sz w:val="24"/>
      <w:szCs w:val="20"/>
    </w:rPr>
  </w:style>
  <w:style w:type="paragraph" w:customStyle="1" w:styleId="204">
    <w:name w:val="样式 标题 3 + (中文) 黑体 小四 非加粗 段前: 7.8 磅 段后: 0 磅 行距: 固定值 20 磅"/>
    <w:basedOn w:val="6"/>
    <w:qFormat/>
    <w:uiPriority w:val="0"/>
    <w:pPr>
      <w:spacing w:before="0" w:after="0" w:line="400" w:lineRule="exact"/>
    </w:pPr>
    <w:rPr>
      <w:rFonts w:eastAsia="黑体" w:cs="宋体"/>
      <w:b w:val="0"/>
      <w:bCs w:val="0"/>
      <w:sz w:val="24"/>
      <w:szCs w:val="20"/>
    </w:rPr>
  </w:style>
  <w:style w:type="paragraph" w:customStyle="1" w:styleId="205">
    <w:name w:val="Char Char1 Char Char Char Char1"/>
    <w:basedOn w:val="18"/>
    <w:qFormat/>
    <w:uiPriority w:val="0"/>
    <w:rPr>
      <w:rFonts w:ascii="Tahoma" w:hAnsi="Tahoma"/>
      <w:sz w:val="24"/>
    </w:rPr>
  </w:style>
  <w:style w:type="paragraph" w:customStyle="1" w:styleId="206">
    <w:name w:val="Char Char1"/>
    <w:basedOn w:val="1"/>
    <w:qFormat/>
    <w:uiPriority w:val="0"/>
    <w:pPr>
      <w:widowControl/>
      <w:spacing w:after="160" w:line="240" w:lineRule="exact"/>
      <w:jc w:val="left"/>
    </w:pPr>
    <w:rPr>
      <w:rFonts w:ascii="Verdana" w:hAnsi="Verdana" w:eastAsia="楷体_GB2312" w:cs="宋体"/>
      <w:b/>
      <w:i/>
      <w:iCs/>
      <w:color w:val="000000"/>
      <w:kern w:val="0"/>
      <w:sz w:val="20"/>
      <w:lang w:eastAsia="en-US"/>
    </w:rPr>
  </w:style>
  <w:style w:type="paragraph" w:customStyle="1" w:styleId="207">
    <w:name w:val="表格文字"/>
    <w:basedOn w:val="1"/>
    <w:qFormat/>
    <w:uiPriority w:val="0"/>
    <w:pPr>
      <w:spacing w:before="25" w:after="25"/>
      <w:jc w:val="left"/>
    </w:pPr>
    <w:rPr>
      <w:bCs/>
      <w:spacing w:val="10"/>
      <w:kern w:val="0"/>
      <w:sz w:val="24"/>
    </w:rPr>
  </w:style>
  <w:style w:type="paragraph" w:customStyle="1" w:styleId="208">
    <w:name w:val="Char11"/>
    <w:basedOn w:val="18"/>
    <w:qFormat/>
    <w:uiPriority w:val="0"/>
    <w:pPr>
      <w:widowControl/>
      <w:ind w:firstLine="454"/>
      <w:jc w:val="left"/>
    </w:pPr>
    <w:rPr>
      <w:rFonts w:ascii="Tahoma" w:hAnsi="Tahoma" w:cs="宋体"/>
      <w:kern w:val="0"/>
      <w:sz w:val="24"/>
      <w:szCs w:val="20"/>
    </w:rPr>
  </w:style>
  <w:style w:type="paragraph" w:customStyle="1" w:styleId="209">
    <w:name w:val="我的正文"/>
    <w:basedOn w:val="1"/>
    <w:qFormat/>
    <w:uiPriority w:val="0"/>
    <w:pPr>
      <w:spacing w:line="520" w:lineRule="exact"/>
      <w:ind w:firstLine="192" w:firstLineChars="192"/>
    </w:pPr>
    <w:rPr>
      <w:sz w:val="28"/>
      <w:szCs w:val="28"/>
    </w:rPr>
  </w:style>
  <w:style w:type="paragraph" w:customStyle="1" w:styleId="210">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211">
    <w:name w:val="标题1"/>
    <w:basedOn w:val="4"/>
    <w:qFormat/>
    <w:uiPriority w:val="0"/>
    <w:pPr>
      <w:keepLines w:val="0"/>
      <w:widowControl/>
      <w:pBdr>
        <w:bottom w:val="single" w:color="auto" w:sz="8" w:space="6"/>
      </w:pBdr>
      <w:tabs>
        <w:tab w:val="left" w:pos="0"/>
      </w:tabs>
      <w:spacing w:before="480" w:after="240" w:line="360" w:lineRule="auto"/>
      <w:ind w:left="567" w:hanging="567"/>
      <w:jc w:val="left"/>
    </w:pPr>
    <w:rPr>
      <w:rFonts w:ascii="宋体" w:hAnsi="宋体"/>
      <w:smallCaps/>
      <w:color w:val="000000"/>
      <w:spacing w:val="10"/>
      <w:kern w:val="20"/>
      <w:sz w:val="21"/>
      <w:szCs w:val="21"/>
    </w:rPr>
  </w:style>
  <w:style w:type="paragraph" w:customStyle="1" w:styleId="212">
    <w:name w:val="Char Char Char1 Char Char Char Char Char Char Char Char Char Char Char Char Char Char Char"/>
    <w:basedOn w:val="1"/>
    <w:qFormat/>
    <w:uiPriority w:val="0"/>
    <w:pPr>
      <w:widowControl/>
      <w:adjustRightInd w:val="0"/>
      <w:spacing w:after="160" w:line="240" w:lineRule="exact"/>
      <w:jc w:val="left"/>
    </w:pPr>
    <w:rPr>
      <w:rFonts w:ascii="Verdana" w:hAnsi="Verdana"/>
      <w:kern w:val="0"/>
      <w:sz w:val="20"/>
      <w:szCs w:val="20"/>
      <w:lang w:eastAsia="en-US"/>
    </w:rPr>
  </w:style>
  <w:style w:type="paragraph" w:customStyle="1" w:styleId="213">
    <w:name w:val="正文文本缩进 Char Char Char Char"/>
    <w:basedOn w:val="1"/>
    <w:qFormat/>
    <w:uiPriority w:val="0"/>
    <w:pPr>
      <w:ind w:firstLine="540"/>
    </w:pPr>
    <w:rPr>
      <w:rFonts w:hint="eastAsia" w:ascii="宋体" w:hAnsi="Courier New"/>
      <w:szCs w:val="20"/>
    </w:rPr>
  </w:style>
  <w:style w:type="paragraph" w:customStyle="1" w:styleId="214">
    <w:name w:val="插图题注"/>
    <w:next w:val="1"/>
    <w:qFormat/>
    <w:uiPriority w:val="0"/>
    <w:pPr>
      <w:spacing w:afterLines="100"/>
      <w:ind w:left="1089" w:hanging="369"/>
      <w:jc w:val="center"/>
    </w:pPr>
    <w:rPr>
      <w:rFonts w:ascii="Arial" w:hAnsi="Arial" w:eastAsia="宋体" w:cs="Times New Roman"/>
      <w:sz w:val="18"/>
      <w:szCs w:val="18"/>
      <w:lang w:val="en-US" w:eastAsia="zh-CN" w:bidi="ar-SA"/>
    </w:rPr>
  </w:style>
  <w:style w:type="paragraph" w:customStyle="1" w:styleId="215">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16">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217">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18">
    <w:name w:val="Char Char Char1 Char"/>
    <w:basedOn w:val="1"/>
    <w:qFormat/>
    <w:uiPriority w:val="0"/>
    <w:pPr>
      <w:tabs>
        <w:tab w:val="left" w:pos="360"/>
      </w:tabs>
      <w:spacing w:line="360" w:lineRule="auto"/>
      <w:ind w:left="482" w:firstLine="200" w:firstLineChars="200"/>
    </w:pPr>
    <w:rPr>
      <w:rFonts w:ascii="宋体"/>
      <w:sz w:val="24"/>
      <w:szCs w:val="20"/>
    </w:rPr>
  </w:style>
  <w:style w:type="paragraph" w:customStyle="1" w:styleId="219">
    <w:name w:val="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20">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221">
    <w:name w:val="标题3"/>
    <w:basedOn w:val="6"/>
    <w:qFormat/>
    <w:uiPriority w:val="0"/>
    <w:pPr>
      <w:keepLines w:val="0"/>
      <w:widowControl/>
      <w:tabs>
        <w:tab w:val="left" w:pos="1247"/>
      </w:tabs>
      <w:spacing w:before="240" w:after="120" w:line="360" w:lineRule="auto"/>
      <w:ind w:left="1247" w:hanging="1247"/>
      <w:jc w:val="left"/>
    </w:pPr>
    <w:rPr>
      <w:rFonts w:ascii="Arial" w:hAnsi="Arial"/>
      <w:sz w:val="52"/>
      <w:szCs w:val="52"/>
    </w:rPr>
  </w:style>
  <w:style w:type="paragraph" w:customStyle="1" w:styleId="222">
    <w:name w:val="Char21"/>
    <w:basedOn w:val="1"/>
    <w:qFormat/>
    <w:uiPriority w:val="0"/>
    <w:pPr>
      <w:widowControl/>
      <w:spacing w:after="160" w:line="240" w:lineRule="exact"/>
      <w:jc w:val="left"/>
    </w:pPr>
    <w:rPr>
      <w:rFonts w:ascii="Verdana" w:hAnsi="Verdana"/>
      <w:kern w:val="0"/>
      <w:szCs w:val="20"/>
      <w:lang w:eastAsia="en-US"/>
    </w:rPr>
  </w:style>
  <w:style w:type="paragraph" w:customStyle="1" w:styleId="223">
    <w:name w:val="样式 正文文字 + 小四 段后: 0 磅 行距: 1.5 倍行距"/>
    <w:basedOn w:val="2"/>
    <w:qFormat/>
    <w:uiPriority w:val="0"/>
    <w:pPr>
      <w:spacing w:line="360" w:lineRule="auto"/>
      <w:ind w:firstLine="480" w:firstLineChars="200"/>
    </w:pPr>
    <w:rPr>
      <w:rFonts w:cs="宋体"/>
      <w:kern w:val="2"/>
      <w:szCs w:val="20"/>
    </w:rPr>
  </w:style>
  <w:style w:type="paragraph" w:customStyle="1" w:styleId="224">
    <w:name w:val="F2"/>
    <w:basedOn w:val="1"/>
    <w:qFormat/>
    <w:uiPriority w:val="0"/>
    <w:pPr>
      <w:autoSpaceDE w:val="0"/>
      <w:autoSpaceDN w:val="0"/>
      <w:adjustRightInd w:val="0"/>
      <w:ind w:firstLine="601"/>
    </w:pPr>
    <w:rPr>
      <w:kern w:val="0"/>
      <w:sz w:val="24"/>
      <w:szCs w:val="20"/>
    </w:rPr>
  </w:style>
  <w:style w:type="paragraph" w:customStyle="1" w:styleId="225">
    <w:name w:val="Body"/>
    <w:basedOn w:val="1"/>
    <w:qFormat/>
    <w:uiPriority w:val="0"/>
    <w:pPr>
      <w:widowControl/>
      <w:tabs>
        <w:tab w:val="left" w:pos="1980"/>
      </w:tabs>
      <w:spacing w:before="80" w:after="80" w:line="360" w:lineRule="auto"/>
      <w:jc w:val="center"/>
    </w:pPr>
    <w:rPr>
      <w:szCs w:val="21"/>
    </w:rPr>
  </w:style>
  <w:style w:type="character" w:customStyle="1" w:styleId="226">
    <w:name w:val="未处理的提及1"/>
    <w:basedOn w:val="53"/>
    <w:unhideWhenUsed/>
    <w:qFormat/>
    <w:uiPriority w:val="99"/>
    <w:rPr>
      <w:color w:val="605E5C"/>
      <w:shd w:val="clear" w:color="auto" w:fill="E1DFDD"/>
    </w:rPr>
  </w:style>
  <w:style w:type="character" w:customStyle="1" w:styleId="227">
    <w:name w:val="批注文字 字符2"/>
    <w:qFormat/>
    <w:uiPriority w:val="99"/>
    <w:rPr>
      <w:rFonts w:ascii="Times New Roman" w:hAnsi="Times New Roman"/>
      <w:kern w:val="2"/>
      <w:sz w:val="21"/>
      <w:szCs w:val="24"/>
    </w:rPr>
  </w:style>
  <w:style w:type="paragraph" w:customStyle="1" w:styleId="228">
    <w:name w:val="修订1"/>
    <w:unhideWhenUsed/>
    <w:qFormat/>
    <w:uiPriority w:val="99"/>
    <w:rPr>
      <w:rFonts w:ascii="Times New Roman" w:hAnsi="Times New Roman" w:eastAsia="宋体" w:cs="Times New Roman"/>
      <w:kern w:val="2"/>
      <w:sz w:val="21"/>
      <w:szCs w:val="24"/>
      <w:lang w:val="en-US" w:eastAsia="zh-CN" w:bidi="ar-SA"/>
    </w:rPr>
  </w:style>
  <w:style w:type="character" w:customStyle="1" w:styleId="229">
    <w:name w:val="正文文本 Char1"/>
    <w:qFormat/>
    <w:uiPriority w:val="0"/>
    <w:rPr>
      <w:rFonts w:ascii="Times New Roman" w:hAnsi="Times New Roman"/>
      <w:kern w:val="2"/>
      <w:sz w:val="21"/>
      <w:szCs w:val="24"/>
    </w:rPr>
  </w:style>
  <w:style w:type="character" w:customStyle="1" w:styleId="230">
    <w:name w:val="标题 2 Char1"/>
    <w:qFormat/>
    <w:uiPriority w:val="9"/>
    <w:rPr>
      <w:rFonts w:ascii="Cambria" w:hAnsi="Cambria" w:eastAsia="宋体" w:cs="Times New Roman"/>
      <w:b/>
      <w:bCs/>
      <w:kern w:val="2"/>
      <w:sz w:val="32"/>
      <w:szCs w:val="32"/>
    </w:rPr>
  </w:style>
  <w:style w:type="character" w:customStyle="1" w:styleId="231">
    <w:name w:val="标题 8 Char1"/>
    <w:semiHidden/>
    <w:qFormat/>
    <w:uiPriority w:val="9"/>
    <w:rPr>
      <w:rFonts w:ascii="等线 Light" w:hAnsi="等线 Light" w:eastAsia="等线 Light" w:cs="Times New Roman"/>
      <w:kern w:val="2"/>
      <w:sz w:val="24"/>
      <w:szCs w:val="24"/>
    </w:rPr>
  </w:style>
  <w:style w:type="table" w:customStyle="1" w:styleId="232">
    <w:name w:val="网格型1"/>
    <w:basedOn w:val="5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33">
    <w:name w:val="正文文本 字符"/>
    <w:qFormat/>
    <w:uiPriority w:val="0"/>
    <w:rPr>
      <w:rFonts w:ascii="Times New Roman" w:hAnsi="Times New Roman"/>
      <w:kern w:val="2"/>
      <w:sz w:val="21"/>
      <w:szCs w:val="24"/>
    </w:rPr>
  </w:style>
  <w:style w:type="character" w:customStyle="1" w:styleId="234">
    <w:name w:val="正文2 Char Char"/>
    <w:link w:val="235"/>
    <w:qFormat/>
    <w:uiPriority w:val="0"/>
    <w:rPr>
      <w:sz w:val="24"/>
    </w:rPr>
  </w:style>
  <w:style w:type="paragraph" w:customStyle="1" w:styleId="235">
    <w:name w:val="正文2"/>
    <w:basedOn w:val="1"/>
    <w:link w:val="234"/>
    <w:qFormat/>
    <w:uiPriority w:val="0"/>
    <w:pPr>
      <w:adjustRightInd w:val="0"/>
      <w:spacing w:before="156" w:line="360" w:lineRule="auto"/>
      <w:ind w:firstLine="510" w:firstLineChars="200"/>
    </w:pPr>
    <w:rPr>
      <w:kern w:val="0"/>
      <w:sz w:val="24"/>
      <w:szCs w:val="20"/>
    </w:rPr>
  </w:style>
  <w:style w:type="character" w:customStyle="1" w:styleId="236">
    <w:name w:val="标题 1 字符1"/>
    <w:qFormat/>
    <w:uiPriority w:val="0"/>
    <w:rPr>
      <w:b/>
      <w:bCs/>
      <w:kern w:val="44"/>
      <w:sz w:val="44"/>
      <w:szCs w:val="44"/>
    </w:rPr>
  </w:style>
  <w:style w:type="character" w:customStyle="1" w:styleId="237">
    <w:name w:val="批注文字 字符1"/>
    <w:qFormat/>
    <w:uiPriority w:val="0"/>
    <w:rPr>
      <w:rFonts w:ascii="Times New Roman" w:hAnsi="Times New Roman"/>
      <w:kern w:val="2"/>
      <w:sz w:val="21"/>
      <w:szCs w:val="24"/>
    </w:rPr>
  </w:style>
  <w:style w:type="character" w:customStyle="1" w:styleId="238">
    <w:name w:val="未处理的提及2"/>
    <w:unhideWhenUsed/>
    <w:qFormat/>
    <w:uiPriority w:val="99"/>
    <w:rPr>
      <w:color w:val="605E5C"/>
      <w:shd w:val="clear" w:color="auto" w:fill="E1DFDD"/>
    </w:rPr>
  </w:style>
  <w:style w:type="character" w:customStyle="1" w:styleId="239">
    <w:name w:val="纯文本 Char3"/>
    <w:qFormat/>
    <w:uiPriority w:val="0"/>
    <w:rPr>
      <w:rFonts w:ascii="宋体" w:hAnsi="Courier New" w:eastAsia="宋体" w:cs="Courier New"/>
      <w:szCs w:val="21"/>
    </w:rPr>
  </w:style>
  <w:style w:type="character" w:customStyle="1" w:styleId="240">
    <w:name w:val="纯文本 字符2"/>
    <w:qFormat/>
    <w:uiPriority w:val="0"/>
    <w:rPr>
      <w:rFonts w:ascii="宋体" w:hAnsi="Courier New" w:eastAsia="宋体" w:cs="Courier New"/>
      <w:szCs w:val="21"/>
    </w:rPr>
  </w:style>
  <w:style w:type="paragraph" w:customStyle="1" w:styleId="241">
    <w:name w:val="TOC 标题1"/>
    <w:basedOn w:val="4"/>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242">
    <w:name w:val="Table Paragraph"/>
    <w:basedOn w:val="1"/>
    <w:qFormat/>
    <w:uiPriority w:val="1"/>
    <w:pPr>
      <w:jc w:val="left"/>
    </w:pPr>
    <w:rPr>
      <w:rFonts w:ascii="Calibri" w:hAnsi="Calibri"/>
      <w:kern w:val="0"/>
      <w:sz w:val="22"/>
      <w:szCs w:val="22"/>
      <w:lang w:eastAsia="en-US"/>
    </w:rPr>
  </w:style>
  <w:style w:type="paragraph" w:customStyle="1" w:styleId="243">
    <w:name w:val="正文缩进1"/>
    <w:basedOn w:val="1"/>
    <w:next w:val="22"/>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4">
    <w:name w:val="样式5"/>
    <w:basedOn w:val="1"/>
    <w:qFormat/>
    <w:uiPriority w:val="0"/>
    <w:pPr>
      <w:adjustRightInd w:val="0"/>
      <w:spacing w:line="440" w:lineRule="exact"/>
      <w:ind w:left="2" w:firstLine="480" w:firstLineChars="200"/>
    </w:pPr>
    <w:rPr>
      <w:rFonts w:ascii="仿宋_GB2312" w:hAnsi="仿宋" w:eastAsia="仿宋_GB2312"/>
      <w:sz w:val="24"/>
    </w:rPr>
  </w:style>
  <w:style w:type="character" w:customStyle="1" w:styleId="245">
    <w:name w:val="Plain Text Char1"/>
    <w:semiHidden/>
    <w:qFormat/>
    <w:locked/>
    <w:uiPriority w:val="0"/>
    <w:rPr>
      <w:rFonts w:ascii="宋体" w:hAnsi="Courier New" w:cs="Courier New"/>
      <w:sz w:val="21"/>
      <w:szCs w:val="21"/>
    </w:rPr>
  </w:style>
  <w:style w:type="character" w:customStyle="1" w:styleId="246">
    <w:name w:val="style11"/>
    <w:qFormat/>
    <w:uiPriority w:val="0"/>
  </w:style>
  <w:style w:type="character" w:customStyle="1" w:styleId="247">
    <w:name w:val="mark16"/>
    <w:qFormat/>
    <w:uiPriority w:val="0"/>
  </w:style>
  <w:style w:type="character" w:customStyle="1" w:styleId="248">
    <w:name w:val="zcl style1"/>
    <w:qFormat/>
    <w:uiPriority w:val="0"/>
  </w:style>
  <w:style w:type="character" w:customStyle="1" w:styleId="249">
    <w:name w:val="text11"/>
    <w:qFormat/>
    <w:uiPriority w:val="0"/>
    <w:rPr>
      <w:rFonts w:hint="default" w:ascii="Verdana" w:hAnsi="Verdana"/>
      <w:color w:val="4E4E4E"/>
      <w:sz w:val="18"/>
      <w:szCs w:val="18"/>
    </w:rPr>
  </w:style>
  <w:style w:type="character" w:customStyle="1" w:styleId="250">
    <w:name w:val="maywed421"/>
    <w:qFormat/>
    <w:uiPriority w:val="0"/>
    <w:rPr>
      <w:color w:val="366FB6"/>
      <w:u w:val="none"/>
    </w:rPr>
  </w:style>
  <w:style w:type="character" w:customStyle="1" w:styleId="251">
    <w:name w:val="Char Char8"/>
    <w:qFormat/>
    <w:uiPriority w:val="0"/>
    <w:rPr>
      <w:rFonts w:ascii="Calibri" w:hAnsi="Calibri" w:eastAsia="宋体"/>
      <w:sz w:val="18"/>
      <w:szCs w:val="18"/>
      <w:lang w:bidi="ar-SA"/>
    </w:rPr>
  </w:style>
  <w:style w:type="character" w:customStyle="1" w:styleId="252">
    <w:name w:val="da"/>
    <w:qFormat/>
    <w:uiPriority w:val="0"/>
  </w:style>
  <w:style w:type="character" w:customStyle="1" w:styleId="253">
    <w:name w:val="style1"/>
    <w:qFormat/>
    <w:uiPriority w:val="0"/>
  </w:style>
  <w:style w:type="character" w:customStyle="1" w:styleId="254">
    <w:name w:val="Char Char151"/>
    <w:qFormat/>
    <w:uiPriority w:val="0"/>
    <w:rPr>
      <w:rFonts w:eastAsia="黑体"/>
      <w:b/>
      <w:sz w:val="28"/>
      <w:lang w:val="en-US" w:eastAsia="zh-CN" w:bidi="ar-SA"/>
    </w:rPr>
  </w:style>
  <w:style w:type="character" w:customStyle="1" w:styleId="255">
    <w:name w:val="样式 字距调整八号 Char"/>
    <w:link w:val="256"/>
    <w:qFormat/>
    <w:uiPriority w:val="0"/>
    <w:rPr>
      <w:kern w:val="10"/>
      <w:sz w:val="28"/>
    </w:rPr>
  </w:style>
  <w:style w:type="paragraph" w:customStyle="1" w:styleId="256">
    <w:name w:val="样式 字距调整八号"/>
    <w:basedOn w:val="1"/>
    <w:link w:val="255"/>
    <w:qFormat/>
    <w:uiPriority w:val="0"/>
    <w:pPr>
      <w:widowControl/>
      <w:tabs>
        <w:tab w:val="left" w:pos="855"/>
      </w:tabs>
      <w:spacing w:before="120" w:line="360" w:lineRule="auto"/>
      <w:ind w:left="855" w:hanging="435"/>
    </w:pPr>
    <w:rPr>
      <w:kern w:val="10"/>
      <w:sz w:val="28"/>
      <w:szCs w:val="20"/>
    </w:rPr>
  </w:style>
  <w:style w:type="character" w:customStyle="1" w:styleId="257">
    <w:name w:val="正文－缩进 Char"/>
    <w:link w:val="258"/>
    <w:qFormat/>
    <w:locked/>
    <w:uiPriority w:val="0"/>
    <w:rPr>
      <w:sz w:val="24"/>
    </w:rPr>
  </w:style>
  <w:style w:type="paragraph" w:customStyle="1" w:styleId="258">
    <w:name w:val="正文－缩进"/>
    <w:basedOn w:val="1"/>
    <w:link w:val="257"/>
    <w:qFormat/>
    <w:uiPriority w:val="0"/>
    <w:pPr>
      <w:widowControl/>
      <w:spacing w:before="120" w:beforeLines="50" w:after="120" w:line="360" w:lineRule="auto"/>
      <w:ind w:firstLine="200" w:firstLineChars="200"/>
    </w:pPr>
    <w:rPr>
      <w:kern w:val="0"/>
      <w:sz w:val="24"/>
      <w:szCs w:val="20"/>
    </w:rPr>
  </w:style>
  <w:style w:type="character" w:customStyle="1" w:styleId="259">
    <w:name w:val="Char Char141"/>
    <w:qFormat/>
    <w:uiPriority w:val="0"/>
    <w:rPr>
      <w:rFonts w:eastAsia="黑体"/>
      <w:b/>
      <w:sz w:val="28"/>
      <w:lang w:val="en-US" w:eastAsia="zh-CN" w:bidi="ar-SA"/>
    </w:rPr>
  </w:style>
  <w:style w:type="character" w:customStyle="1" w:styleId="260">
    <w:name w:val="Char Char6"/>
    <w:qFormat/>
    <w:uiPriority w:val="0"/>
    <w:rPr>
      <w:kern w:val="2"/>
      <w:sz w:val="18"/>
      <w:szCs w:val="18"/>
    </w:rPr>
  </w:style>
  <w:style w:type="character" w:customStyle="1" w:styleId="261">
    <w:name w:val="hps"/>
    <w:qFormat/>
    <w:uiPriority w:val="0"/>
  </w:style>
  <w:style w:type="character" w:customStyle="1" w:styleId="262">
    <w:name w:val="Char Char16"/>
    <w:qFormat/>
    <w:uiPriority w:val="0"/>
    <w:rPr>
      <w:rFonts w:eastAsia="黑体"/>
      <w:b/>
      <w:kern w:val="44"/>
      <w:sz w:val="28"/>
      <w:lang w:val="en-US" w:eastAsia="zh-CN" w:bidi="ar-SA"/>
    </w:rPr>
  </w:style>
  <w:style w:type="character" w:customStyle="1" w:styleId="263">
    <w:name w:val="green50bold1"/>
    <w:qFormat/>
    <w:uiPriority w:val="0"/>
    <w:rPr>
      <w:b/>
      <w:bCs/>
      <w:color w:val="316563"/>
      <w:sz w:val="68"/>
      <w:szCs w:val="68"/>
    </w:rPr>
  </w:style>
  <w:style w:type="character" w:customStyle="1" w:styleId="264">
    <w:name w:val="Char Char4"/>
    <w:qFormat/>
    <w:uiPriority w:val="0"/>
    <w:rPr>
      <w:kern w:val="2"/>
      <w:sz w:val="18"/>
    </w:rPr>
  </w:style>
  <w:style w:type="character" w:customStyle="1" w:styleId="265">
    <w:name w:val="Char Char41"/>
    <w:qFormat/>
    <w:uiPriority w:val="0"/>
    <w:rPr>
      <w:kern w:val="2"/>
      <w:sz w:val="18"/>
      <w:szCs w:val="18"/>
      <w:lang w:bidi="ar-SA"/>
    </w:rPr>
  </w:style>
  <w:style w:type="character" w:customStyle="1" w:styleId="266">
    <w:name w:val="Char Char31"/>
    <w:qFormat/>
    <w:uiPriority w:val="0"/>
    <w:rPr>
      <w:rFonts w:ascii="宋体" w:hAnsi="Courier New" w:eastAsia="宋体" w:cs="Times New Roman"/>
      <w:spacing w:val="-4"/>
      <w:sz w:val="18"/>
      <w:szCs w:val="20"/>
    </w:rPr>
  </w:style>
  <w:style w:type="character" w:customStyle="1" w:styleId="267">
    <w:name w:val="textindent"/>
    <w:qFormat/>
    <w:uiPriority w:val="0"/>
  </w:style>
  <w:style w:type="character" w:customStyle="1" w:styleId="268">
    <w:name w:val="Char Char9"/>
    <w:qFormat/>
    <w:uiPriority w:val="0"/>
    <w:rPr>
      <w:rFonts w:ascii="宋体" w:hAnsi="Courier New" w:eastAsia="宋体"/>
      <w:spacing w:val="-4"/>
      <w:kern w:val="2"/>
      <w:sz w:val="18"/>
      <w:lang w:bidi="ar-SA"/>
    </w:rPr>
  </w:style>
  <w:style w:type="character" w:customStyle="1" w:styleId="269">
    <w:name w:val="2 Char"/>
    <w:link w:val="270"/>
    <w:qFormat/>
    <w:uiPriority w:val="0"/>
    <w:rPr>
      <w:rFonts w:ascii="宋体" w:hAnsi="Courier New"/>
      <w:kern w:val="2"/>
      <w:sz w:val="21"/>
    </w:rPr>
  </w:style>
  <w:style w:type="paragraph" w:customStyle="1" w:styleId="270">
    <w:name w:val="2"/>
    <w:basedOn w:val="1"/>
    <w:next w:val="28"/>
    <w:link w:val="269"/>
    <w:qFormat/>
    <w:uiPriority w:val="0"/>
    <w:pPr>
      <w:widowControl/>
      <w:spacing w:before="120" w:line="360" w:lineRule="auto"/>
      <w:ind w:firstLine="420"/>
    </w:pPr>
    <w:rPr>
      <w:rFonts w:ascii="宋体" w:hAnsi="Courier New"/>
      <w:szCs w:val="20"/>
    </w:rPr>
  </w:style>
  <w:style w:type="character" w:customStyle="1" w:styleId="271">
    <w:name w:val="Char Char7"/>
    <w:qFormat/>
    <w:uiPriority w:val="0"/>
    <w:rPr>
      <w:kern w:val="2"/>
      <w:sz w:val="18"/>
      <w:szCs w:val="18"/>
    </w:rPr>
  </w:style>
  <w:style w:type="character" w:customStyle="1" w:styleId="272">
    <w:name w:val="paramname2"/>
    <w:qFormat/>
    <w:uiPriority w:val="0"/>
    <w:rPr>
      <w:color w:val="999999"/>
    </w:rPr>
  </w:style>
  <w:style w:type="paragraph" w:customStyle="1" w:styleId="273">
    <w:name w:val="xl35"/>
    <w:basedOn w:val="1"/>
    <w:qFormat/>
    <w:uiPriority w:val="0"/>
    <w:pPr>
      <w:widowControl/>
      <w:pBdr>
        <w:bottom w:val="single" w:color="auto" w:sz="8" w:space="0"/>
        <w:right w:val="single" w:color="auto" w:sz="8" w:space="0"/>
      </w:pBdr>
      <w:spacing w:before="100" w:beforeAutospacing="1" w:after="100" w:afterAutospacing="1" w:line="360" w:lineRule="auto"/>
      <w:ind w:firstLine="420"/>
      <w:jc w:val="center"/>
      <w:textAlignment w:val="top"/>
    </w:pPr>
    <w:rPr>
      <w:rFonts w:ascii="Arial Unicode MS" w:hAnsi="Arial Unicode MS" w:eastAsia="Arial Unicode MS"/>
      <w:kern w:val="0"/>
      <w:szCs w:val="21"/>
    </w:rPr>
  </w:style>
  <w:style w:type="paragraph" w:customStyle="1" w:styleId="274">
    <w:name w:val="Char Char Char Char Char Char Char Char Char Char Char Char Char Char Char Char Char Char Char"/>
    <w:basedOn w:val="1"/>
    <w:qFormat/>
    <w:uiPriority w:val="0"/>
    <w:pPr>
      <w:widowControl/>
      <w:spacing w:before="120" w:after="160" w:line="240" w:lineRule="exact"/>
      <w:ind w:firstLine="420"/>
      <w:jc w:val="left"/>
    </w:pPr>
    <w:rPr>
      <w:rFonts w:ascii="Verdana" w:hAnsi="Verdana"/>
      <w:kern w:val="0"/>
      <w:sz w:val="20"/>
      <w:szCs w:val="20"/>
      <w:lang w:eastAsia="en-US"/>
    </w:rPr>
  </w:style>
  <w:style w:type="paragraph" w:customStyle="1" w:styleId="275">
    <w:name w:val="修订2"/>
    <w:semiHidden/>
    <w:qFormat/>
    <w:uiPriority w:val="99"/>
    <w:pPr>
      <w:spacing w:before="120" w:line="360" w:lineRule="auto"/>
      <w:ind w:firstLine="420"/>
      <w:jc w:val="both"/>
    </w:pPr>
    <w:rPr>
      <w:rFonts w:ascii="Times New Roman" w:hAnsi="Times New Roman" w:eastAsia="宋体" w:cs="Times New Roman"/>
      <w:kern w:val="2"/>
      <w:sz w:val="21"/>
      <w:szCs w:val="24"/>
      <w:lang w:val="en-US" w:eastAsia="zh-CN" w:bidi="ar-SA"/>
    </w:rPr>
  </w:style>
  <w:style w:type="paragraph" w:customStyle="1" w:styleId="276">
    <w:name w:val="样式 Verdana 首行缩进:  0.74 厘米"/>
    <w:basedOn w:val="1"/>
    <w:qFormat/>
    <w:uiPriority w:val="0"/>
    <w:pPr>
      <w:widowControl/>
      <w:spacing w:before="120" w:line="360" w:lineRule="auto"/>
      <w:ind w:firstLine="420"/>
    </w:pPr>
    <w:rPr>
      <w:rFonts w:ascii="Verdana" w:hAnsi="Verdana"/>
      <w:sz w:val="24"/>
      <w:szCs w:val="20"/>
    </w:rPr>
  </w:style>
  <w:style w:type="paragraph" w:customStyle="1" w:styleId="277">
    <w:name w:val="页脚 New New New New New"/>
    <w:basedOn w:val="1"/>
    <w:qFormat/>
    <w:uiPriority w:val="0"/>
    <w:pPr>
      <w:widowControl/>
      <w:tabs>
        <w:tab w:val="center" w:pos="4153"/>
        <w:tab w:val="right" w:pos="8306"/>
      </w:tabs>
      <w:snapToGrid w:val="0"/>
      <w:spacing w:before="120" w:line="360" w:lineRule="auto"/>
      <w:ind w:firstLine="420"/>
      <w:jc w:val="left"/>
    </w:pPr>
    <w:rPr>
      <w:rFonts w:ascii="Calibri" w:hAnsi="Calibri"/>
      <w:sz w:val="18"/>
      <w:szCs w:val="20"/>
    </w:rPr>
  </w:style>
  <w:style w:type="paragraph" w:customStyle="1" w:styleId="278">
    <w:name w:val="表头"/>
    <w:qFormat/>
    <w:uiPriority w:val="0"/>
    <w:pPr>
      <w:spacing w:before="120" w:line="360" w:lineRule="auto"/>
      <w:ind w:firstLine="420"/>
      <w:jc w:val="both"/>
    </w:pPr>
    <w:rPr>
      <w:rFonts w:ascii="Arial" w:hAnsi="Arial" w:eastAsia="宋体" w:cs="Times New Roman"/>
      <w:kern w:val="2"/>
      <w:sz w:val="18"/>
      <w:szCs w:val="24"/>
      <w:lang w:val="en-US" w:eastAsia="zh-CN" w:bidi="ar-SA"/>
    </w:rPr>
  </w:style>
  <w:style w:type="paragraph" w:customStyle="1" w:styleId="279">
    <w:name w:val="列出段落2"/>
    <w:basedOn w:val="1"/>
    <w:qFormat/>
    <w:uiPriority w:val="0"/>
    <w:pPr>
      <w:widowControl/>
      <w:spacing w:before="120" w:line="360" w:lineRule="auto"/>
      <w:ind w:firstLine="420" w:firstLineChars="200"/>
    </w:pPr>
    <w:rPr>
      <w:rFonts w:ascii="Calibri" w:hAnsi="Calibri"/>
      <w:szCs w:val="22"/>
    </w:rPr>
  </w:style>
  <w:style w:type="paragraph" w:customStyle="1" w:styleId="280">
    <w:name w:val="正文 New"/>
    <w:qFormat/>
    <w:uiPriority w:val="0"/>
    <w:pPr>
      <w:widowControl w:val="0"/>
      <w:spacing w:before="120" w:line="360" w:lineRule="auto"/>
      <w:ind w:firstLine="420"/>
      <w:jc w:val="both"/>
    </w:pPr>
    <w:rPr>
      <w:rFonts w:ascii="Times New Roman" w:hAnsi="Times New Roman" w:eastAsia="宋体" w:cs="Times New Roman"/>
      <w:kern w:val="2"/>
      <w:sz w:val="21"/>
      <w:szCs w:val="24"/>
      <w:lang w:val="en-US" w:eastAsia="zh-CN" w:bidi="ar-SA"/>
    </w:rPr>
  </w:style>
  <w:style w:type="paragraph" w:customStyle="1" w:styleId="281">
    <w:name w:val="Char Char Char Char Char Char Char1"/>
    <w:basedOn w:val="1"/>
    <w:qFormat/>
    <w:uiPriority w:val="0"/>
    <w:pPr>
      <w:widowControl/>
      <w:spacing w:before="120" w:line="360" w:lineRule="auto"/>
      <w:ind w:firstLine="420"/>
    </w:pPr>
    <w:rPr>
      <w:szCs w:val="21"/>
    </w:rPr>
  </w:style>
  <w:style w:type="paragraph" w:customStyle="1" w:styleId="282">
    <w:name w:val="Char3"/>
    <w:basedOn w:val="1"/>
    <w:qFormat/>
    <w:uiPriority w:val="0"/>
    <w:pPr>
      <w:widowControl/>
      <w:spacing w:before="120" w:line="360" w:lineRule="auto"/>
      <w:ind w:firstLine="420"/>
    </w:pPr>
    <w:rPr>
      <w:szCs w:val="21"/>
    </w:rPr>
  </w:style>
  <w:style w:type="paragraph" w:customStyle="1" w:styleId="283">
    <w:name w:val="Char12"/>
    <w:basedOn w:val="1"/>
    <w:qFormat/>
    <w:uiPriority w:val="0"/>
    <w:pPr>
      <w:widowControl/>
      <w:tabs>
        <w:tab w:val="left" w:pos="509"/>
      </w:tabs>
      <w:spacing w:before="120" w:after="160" w:line="240" w:lineRule="exact"/>
      <w:ind w:left="252" w:firstLine="420"/>
      <w:jc w:val="left"/>
    </w:pPr>
    <w:rPr>
      <w:rFonts w:ascii="Verdana" w:hAnsi="Verdana" w:eastAsia="仿宋_GB2312"/>
      <w:kern w:val="0"/>
      <w:sz w:val="24"/>
      <w:szCs w:val="20"/>
      <w:lang w:eastAsia="en-US"/>
    </w:rPr>
  </w:style>
  <w:style w:type="paragraph" w:customStyle="1" w:styleId="284">
    <w:name w:val="Char Char Char Char Char Char Char Char Char Char Char Char1"/>
    <w:basedOn w:val="1"/>
    <w:qFormat/>
    <w:uiPriority w:val="0"/>
    <w:pPr>
      <w:widowControl/>
      <w:spacing w:before="120" w:after="160" w:line="240" w:lineRule="exact"/>
      <w:ind w:firstLine="420"/>
      <w:jc w:val="left"/>
    </w:pPr>
    <w:rPr>
      <w:rFonts w:ascii="Verdana" w:hAnsi="Verdana"/>
      <w:kern w:val="0"/>
      <w:sz w:val="20"/>
      <w:szCs w:val="20"/>
      <w:lang w:eastAsia="en-US"/>
    </w:rPr>
  </w:style>
  <w:style w:type="paragraph" w:customStyle="1" w:styleId="285">
    <w:name w:val="xl33"/>
    <w:basedOn w:val="1"/>
    <w:qFormat/>
    <w:uiPriority w:val="0"/>
    <w:pPr>
      <w:widowControl/>
      <w:spacing w:before="100" w:beforeAutospacing="1" w:after="100" w:afterAutospacing="1" w:line="360" w:lineRule="auto"/>
      <w:ind w:firstLine="420"/>
      <w:jc w:val="center"/>
    </w:pPr>
    <w:rPr>
      <w:rFonts w:ascii="Arial Unicode MS" w:hAnsi="Arial Unicode MS"/>
      <w:b/>
      <w:bCs/>
      <w:kern w:val="0"/>
      <w:sz w:val="32"/>
      <w:szCs w:val="32"/>
    </w:rPr>
  </w:style>
  <w:style w:type="paragraph" w:customStyle="1" w:styleId="286">
    <w:name w:val="01"/>
    <w:basedOn w:val="1"/>
    <w:qFormat/>
    <w:uiPriority w:val="0"/>
    <w:pPr>
      <w:widowControl/>
      <w:spacing w:before="100" w:beforeAutospacing="1" w:after="75" w:line="360" w:lineRule="atLeast"/>
      <w:ind w:firstLine="420"/>
      <w:jc w:val="left"/>
    </w:pPr>
    <w:rPr>
      <w:rFonts w:ascii="宋体" w:hAnsi="宋体" w:cs="宋体"/>
      <w:kern w:val="0"/>
      <w:sz w:val="24"/>
    </w:rPr>
  </w:style>
  <w:style w:type="paragraph" w:customStyle="1" w:styleId="287">
    <w:name w:val="Char Char Char Char Char Char1 Char"/>
    <w:basedOn w:val="1"/>
    <w:qFormat/>
    <w:uiPriority w:val="0"/>
    <w:pPr>
      <w:widowControl/>
      <w:spacing w:before="120" w:after="160" w:line="240" w:lineRule="exact"/>
      <w:ind w:firstLine="420"/>
      <w:jc w:val="left"/>
    </w:pPr>
    <w:rPr>
      <w:rFonts w:ascii="Verdana" w:hAnsi="Verdana"/>
      <w:kern w:val="0"/>
      <w:szCs w:val="20"/>
      <w:lang w:eastAsia="en-US"/>
    </w:rPr>
  </w:style>
  <w:style w:type="paragraph" w:customStyle="1" w:styleId="288">
    <w:name w:val="Char Char Char Char Char Char"/>
    <w:basedOn w:val="1"/>
    <w:qFormat/>
    <w:uiPriority w:val="0"/>
    <w:pPr>
      <w:widowControl/>
      <w:spacing w:before="120" w:after="160" w:line="240" w:lineRule="exact"/>
      <w:ind w:firstLine="420"/>
      <w:jc w:val="left"/>
    </w:pPr>
    <w:rPr>
      <w:rFonts w:ascii="Verdana" w:hAnsi="Verdana"/>
      <w:kern w:val="0"/>
      <w:sz w:val="20"/>
      <w:szCs w:val="20"/>
      <w:lang w:eastAsia="en-US"/>
    </w:rPr>
  </w:style>
  <w:style w:type="paragraph" w:customStyle="1" w:styleId="289">
    <w:name w:val="Char Char81"/>
    <w:basedOn w:val="1"/>
    <w:qFormat/>
    <w:uiPriority w:val="0"/>
    <w:pPr>
      <w:widowControl/>
      <w:spacing w:before="120" w:after="160" w:line="240" w:lineRule="exact"/>
      <w:ind w:firstLine="420"/>
      <w:jc w:val="left"/>
    </w:pPr>
    <w:rPr>
      <w:rFonts w:ascii="Tahoma" w:hAnsi="Tahoma" w:cs="Verdana"/>
      <w:kern w:val="0"/>
      <w:szCs w:val="20"/>
      <w:lang w:eastAsia="en-US"/>
    </w:rPr>
  </w:style>
  <w:style w:type="paragraph" w:customStyle="1" w:styleId="290">
    <w:name w:val="_Style 3"/>
    <w:basedOn w:val="1"/>
    <w:qFormat/>
    <w:uiPriority w:val="34"/>
    <w:pPr>
      <w:widowControl/>
      <w:spacing w:before="120" w:line="360" w:lineRule="auto"/>
      <w:ind w:firstLine="420" w:firstLineChars="200"/>
    </w:pPr>
    <w:rPr>
      <w:rFonts w:ascii="Calibri" w:hAnsi="Calibri"/>
      <w:szCs w:val="22"/>
    </w:rPr>
  </w:style>
  <w:style w:type="paragraph" w:customStyle="1" w:styleId="291">
    <w:name w:val="Char Char Char Char1"/>
    <w:basedOn w:val="1"/>
    <w:qFormat/>
    <w:uiPriority w:val="0"/>
    <w:pPr>
      <w:widowControl/>
      <w:spacing w:before="120" w:after="160" w:line="240" w:lineRule="exact"/>
      <w:ind w:firstLine="420"/>
      <w:jc w:val="left"/>
    </w:pPr>
    <w:rPr>
      <w:rFonts w:ascii="Verdana" w:hAnsi="Verdana" w:eastAsia="仿宋_GB2312"/>
      <w:kern w:val="0"/>
      <w:sz w:val="24"/>
      <w:szCs w:val="20"/>
      <w:lang w:eastAsia="en-US"/>
    </w:rPr>
  </w:style>
  <w:style w:type="paragraph" w:customStyle="1" w:styleId="292">
    <w:name w:val="font0"/>
    <w:basedOn w:val="1"/>
    <w:qFormat/>
    <w:uiPriority w:val="0"/>
    <w:pPr>
      <w:widowControl/>
      <w:spacing w:before="100" w:beforeAutospacing="1" w:after="100" w:afterAutospacing="1" w:line="360" w:lineRule="auto"/>
      <w:ind w:firstLine="420"/>
      <w:jc w:val="left"/>
    </w:pPr>
    <w:rPr>
      <w:rFonts w:ascii="宋体" w:hAnsi="宋体"/>
      <w:kern w:val="0"/>
      <w:sz w:val="24"/>
    </w:rPr>
  </w:style>
  <w:style w:type="paragraph" w:customStyle="1" w:styleId="293">
    <w:name w:val="Char Char16 Char Char"/>
    <w:basedOn w:val="1"/>
    <w:qFormat/>
    <w:uiPriority w:val="0"/>
    <w:pPr>
      <w:widowControl/>
      <w:adjustRightInd w:val="0"/>
      <w:spacing w:before="120" w:line="360" w:lineRule="auto"/>
      <w:ind w:firstLine="420"/>
    </w:pPr>
  </w:style>
  <w:style w:type="paragraph" w:customStyle="1" w:styleId="294">
    <w:name w:val="msolistparagraph"/>
    <w:basedOn w:val="1"/>
    <w:qFormat/>
    <w:uiPriority w:val="0"/>
    <w:pPr>
      <w:widowControl/>
      <w:spacing w:before="100" w:beforeAutospacing="1" w:after="100" w:afterAutospacing="1" w:line="360" w:lineRule="auto"/>
      <w:ind w:firstLine="420"/>
      <w:jc w:val="left"/>
    </w:pPr>
    <w:rPr>
      <w:rFonts w:ascii="宋体" w:hAnsi="宋体" w:cs="宋体"/>
      <w:kern w:val="0"/>
      <w:sz w:val="24"/>
    </w:rPr>
  </w:style>
  <w:style w:type="paragraph" w:customStyle="1" w:styleId="295">
    <w:name w:val="Char Char Char2"/>
    <w:basedOn w:val="1"/>
    <w:qFormat/>
    <w:uiPriority w:val="0"/>
    <w:pPr>
      <w:widowControl/>
      <w:spacing w:before="120" w:after="160" w:line="240" w:lineRule="exact"/>
      <w:ind w:firstLine="420"/>
      <w:jc w:val="left"/>
    </w:pPr>
    <w:rPr>
      <w:rFonts w:ascii="Verdana" w:hAnsi="Verdana"/>
      <w:kern w:val="0"/>
      <w:sz w:val="20"/>
      <w:szCs w:val="20"/>
      <w:lang w:eastAsia="en-US"/>
    </w:rPr>
  </w:style>
  <w:style w:type="paragraph" w:customStyle="1" w:styleId="296">
    <w:name w:val="默认段落字体 Char Char Char"/>
    <w:basedOn w:val="1"/>
    <w:semiHidden/>
    <w:qFormat/>
    <w:uiPriority w:val="0"/>
    <w:rPr>
      <w:rFonts w:ascii="Arial" w:hAnsi="Arial" w:cs="Arial"/>
      <w:sz w:val="22"/>
      <w:szCs w:val="22"/>
      <w:lang w:eastAsia="en-US"/>
    </w:rPr>
  </w:style>
  <w:style w:type="character" w:customStyle="1" w:styleId="297">
    <w:name w:val="font21"/>
    <w:qFormat/>
    <w:uiPriority w:val="0"/>
    <w:rPr>
      <w:rFonts w:hint="eastAsia" w:ascii="宋体" w:hAnsi="宋体" w:eastAsia="宋体" w:cs="宋体"/>
      <w:color w:val="000000"/>
      <w:sz w:val="21"/>
      <w:szCs w:val="21"/>
      <w:u w:val="none"/>
    </w:rPr>
  </w:style>
  <w:style w:type="character" w:customStyle="1" w:styleId="298">
    <w:name w:val="cf01"/>
    <w:basedOn w:val="53"/>
    <w:qFormat/>
    <w:uiPriority w:val="0"/>
    <w:rPr>
      <w:rFonts w:hint="eastAsia" w:ascii="Microsoft YaHei UI" w:hAnsi="Microsoft YaHei UI" w:eastAsia="Microsoft YaHei UI"/>
      <w:sz w:val="18"/>
      <w:szCs w:val="18"/>
      <w:shd w:val="clear" w:color="auto" w:fill="00FF00"/>
    </w:rPr>
  </w:style>
  <w:style w:type="paragraph" w:customStyle="1" w:styleId="299">
    <w:name w:val="正文--00"/>
    <w:basedOn w:val="1"/>
    <w:qFormat/>
    <w:uiPriority w:val="99"/>
    <w:pPr>
      <w:adjustRightInd w:val="0"/>
      <w:snapToGrid w:val="0"/>
      <w:spacing w:line="360" w:lineRule="auto"/>
      <w:ind w:firstLine="200" w:firstLineChars="200"/>
    </w:pPr>
    <w:rPr>
      <w:sz w:val="28"/>
      <w:szCs w:val="32"/>
    </w:rPr>
  </w:style>
  <w:style w:type="character" w:customStyle="1" w:styleId="300">
    <w:name w:val="样式 00正文缩进 Char Char Char Char Char Char Char"/>
    <w:qFormat/>
    <w:uiPriority w:val="99"/>
    <w:rPr>
      <w:rFonts w:ascii="宋体" w:hAnsi="宋体" w:eastAsia="宋体"/>
      <w:color w:val="000000"/>
      <w:kern w:val="2"/>
      <w:sz w:val="28"/>
      <w:lang w:val="en-US" w:eastAsia="zh-CN"/>
    </w:rPr>
  </w:style>
  <w:style w:type="paragraph" w:customStyle="1" w:styleId="301">
    <w:name w:val="小标--02"/>
    <w:basedOn w:val="5"/>
    <w:qFormat/>
    <w:uiPriority w:val="99"/>
    <w:pPr>
      <w:keepNext w:val="0"/>
      <w:keepLines w:val="0"/>
      <w:spacing w:before="0" w:after="0" w:line="360" w:lineRule="auto"/>
      <w:ind w:firstLine="200" w:firstLineChars="200"/>
      <w:textAlignment w:val="center"/>
    </w:pPr>
    <w:rPr>
      <w:rFonts w:ascii="Times New Roman" w:hAnsi="Times New Roman"/>
      <w:b w:val="0"/>
      <w:bCs w:val="0"/>
      <w:kern w:val="2"/>
      <w:sz w:val="30"/>
      <w:szCs w:val="20"/>
    </w:rPr>
  </w:style>
  <w:style w:type="paragraph" w:customStyle="1" w:styleId="302">
    <w:name w:val="Char1 Char Char Char"/>
    <w:basedOn w:val="1"/>
    <w:qFormat/>
    <w:uiPriority w:val="99"/>
    <w:pPr>
      <w:widowControl/>
      <w:spacing w:after="160" w:line="240" w:lineRule="exact"/>
      <w:jc w:val="left"/>
    </w:pPr>
    <w:rPr>
      <w:rFonts w:ascii="宋体" w:hAnsi="宋体" w:eastAsia="黑体" w:cs="宋体"/>
      <w:sz w:val="30"/>
    </w:rPr>
  </w:style>
  <w:style w:type="paragraph" w:customStyle="1" w:styleId="303">
    <w:name w:val="14"/>
    <w:basedOn w:val="1"/>
    <w:qFormat/>
    <w:uiPriority w:val="99"/>
    <w:pPr>
      <w:widowControl/>
      <w:spacing w:after="160" w:line="240" w:lineRule="exact"/>
      <w:jc w:val="left"/>
    </w:pPr>
    <w:rPr>
      <w:szCs w:val="20"/>
    </w:rPr>
  </w:style>
  <w:style w:type="paragraph" w:customStyle="1" w:styleId="304">
    <w:name w:val="要求正文格式"/>
    <w:basedOn w:val="1"/>
    <w:link w:val="305"/>
    <w:qFormat/>
    <w:uiPriority w:val="99"/>
    <w:pPr>
      <w:spacing w:line="360" w:lineRule="auto"/>
      <w:ind w:firstLine="200" w:firstLineChars="200"/>
      <w:jc w:val="left"/>
      <w:textAlignment w:val="center"/>
    </w:pPr>
    <w:rPr>
      <w:rFonts w:ascii="Calibri" w:hAnsi="Calibri" w:eastAsia="仿宋_GB2312"/>
      <w:sz w:val="32"/>
      <w:szCs w:val="20"/>
    </w:rPr>
  </w:style>
  <w:style w:type="character" w:customStyle="1" w:styleId="305">
    <w:name w:val="要求正文格式 Char"/>
    <w:link w:val="304"/>
    <w:qFormat/>
    <w:locked/>
    <w:uiPriority w:val="99"/>
    <w:rPr>
      <w:rFonts w:ascii="Calibri" w:hAnsi="Calibri" w:eastAsia="仿宋_GB2312"/>
      <w:kern w:val="2"/>
      <w:sz w:val="32"/>
    </w:rPr>
  </w:style>
  <w:style w:type="paragraph" w:customStyle="1" w:styleId="306">
    <w:name w:val="段落1"/>
    <w:basedOn w:val="1"/>
    <w:link w:val="307"/>
    <w:qFormat/>
    <w:uiPriority w:val="99"/>
    <w:pPr>
      <w:widowControl/>
      <w:adjustRightInd w:val="0"/>
      <w:snapToGrid w:val="0"/>
      <w:spacing w:beforeLines="10" w:afterLines="10" w:line="360" w:lineRule="auto"/>
      <w:ind w:firstLine="560" w:firstLineChars="200"/>
    </w:pPr>
    <w:rPr>
      <w:rFonts w:ascii="宋体" w:hAnsi="宋体"/>
      <w:color w:val="000000"/>
      <w:kern w:val="28"/>
      <w:sz w:val="28"/>
      <w:szCs w:val="20"/>
    </w:rPr>
  </w:style>
  <w:style w:type="character" w:customStyle="1" w:styleId="307">
    <w:name w:val="段落1 Char"/>
    <w:link w:val="306"/>
    <w:qFormat/>
    <w:locked/>
    <w:uiPriority w:val="99"/>
    <w:rPr>
      <w:rFonts w:ascii="宋体" w:hAnsi="宋体"/>
      <w:color w:val="000000"/>
      <w:kern w:val="28"/>
      <w:sz w:val="28"/>
    </w:rPr>
  </w:style>
  <w:style w:type="character" w:customStyle="1" w:styleId="308">
    <w:name w:val="15"/>
    <w:qFormat/>
    <w:uiPriority w:val="99"/>
    <w:rPr>
      <w:rFonts w:ascii="Times New Roman" w:hAnsi="Times New Roman"/>
    </w:rPr>
  </w:style>
  <w:style w:type="paragraph" w:customStyle="1" w:styleId="309">
    <w:name w:val="内容正式"/>
    <w:basedOn w:val="1"/>
    <w:link w:val="310"/>
    <w:qFormat/>
    <w:uiPriority w:val="0"/>
    <w:pPr>
      <w:adjustRightInd w:val="0"/>
      <w:snapToGrid w:val="0"/>
      <w:spacing w:line="360" w:lineRule="auto"/>
      <w:ind w:firstLine="560" w:firstLineChars="200"/>
    </w:pPr>
    <w:rPr>
      <w:rFonts w:hAnsi="宋体" w:eastAsia="仿宋_GB2312" w:cs="宋体"/>
      <w:sz w:val="28"/>
      <w:szCs w:val="20"/>
    </w:rPr>
  </w:style>
  <w:style w:type="character" w:customStyle="1" w:styleId="310">
    <w:name w:val="内容正式 Char"/>
    <w:link w:val="309"/>
    <w:qFormat/>
    <w:uiPriority w:val="0"/>
    <w:rPr>
      <w:rFonts w:hAnsi="宋体" w:eastAsia="仿宋_GB2312" w:cs="宋体"/>
      <w:kern w:val="2"/>
      <w:sz w:val="28"/>
    </w:rPr>
  </w:style>
  <w:style w:type="paragraph" w:styleId="311">
    <w:name w:val="List Paragraph"/>
    <w:basedOn w:val="1"/>
    <w:link w:val="312"/>
    <w:qFormat/>
    <w:uiPriority w:val="34"/>
    <w:pPr>
      <w:widowControl/>
      <w:ind w:firstLine="420" w:firstLineChars="200"/>
      <w:jc w:val="left"/>
    </w:pPr>
  </w:style>
  <w:style w:type="character" w:customStyle="1" w:styleId="312">
    <w:name w:val="列表段落 字符"/>
    <w:link w:val="311"/>
    <w:qFormat/>
    <w:locked/>
    <w:uiPriority w:val="34"/>
    <w:rPr>
      <w:kern w:val="2"/>
      <w:sz w:val="21"/>
      <w:szCs w:val="24"/>
    </w:rPr>
  </w:style>
  <w:style w:type="paragraph" w:customStyle="1" w:styleId="313">
    <w:name w:val="样式 宋体 小四 首行缩进:  2字符"/>
    <w:basedOn w:val="1"/>
    <w:qFormat/>
    <w:uiPriority w:val="0"/>
    <w:pPr>
      <w:widowControl/>
      <w:ind w:firstLine="480"/>
      <w:jc w:val="left"/>
    </w:pPr>
    <w:rPr>
      <w:rFonts w:ascii="宋体" w:hAnsi="宋体" w:cs="宋体"/>
      <w:sz w:val="24"/>
      <w:szCs w:val="20"/>
    </w:rPr>
  </w:style>
  <w:style w:type="paragraph" w:customStyle="1" w:styleId="314">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315">
    <w:name w:val="Table Text"/>
    <w:basedOn w:val="1"/>
    <w:semiHidden/>
    <w:qFormat/>
    <w:uiPriority w:val="0"/>
    <w:rPr>
      <w:rFonts w:ascii="宋体" w:hAnsi="宋体" w:eastAsia="宋体" w:cs="宋体"/>
      <w:sz w:val="21"/>
      <w:szCs w:val="21"/>
      <w:lang w:val="en-US" w:eastAsia="en-US" w:bidi="ar-SA"/>
    </w:rPr>
  </w:style>
  <w:style w:type="table" w:customStyle="1" w:styleId="31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2013 - 2022 主题">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WORKGROUP</Company>
  <Pages>72</Pages>
  <Words>18742</Words>
  <Characters>20237</Characters>
  <Lines>357</Lines>
  <Paragraphs>100</Paragraphs>
  <TotalTime>36</TotalTime>
  <ScaleCrop>false</ScaleCrop>
  <LinksUpToDate>false</LinksUpToDate>
  <CharactersWithSpaces>20402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2024-08-05T17:40:00Z</dcterms:created>
  <dc:creator>建 刘</dc:creator>
  <cp:lastModifiedBy>陈法林</cp:lastModifiedBy>
  <cp:lastPrinted>2025-01-09T01:07:00Z</cp:lastPrinted>
  <dcterms:modified xsi:type="dcterms:W3CDTF">2026-04-09T02:11:24Z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B586E868329623E329277E674CAFCCDD_43</vt:lpwstr>
  </property>
  <property fmtid="{D5CDD505-2E9C-101B-9397-08002B2CF9AE}" pid="4" name="KSOTemplateDocerSaveRecord">
    <vt:lpwstr>eyJoZGlkIjoiZDZmMDg5MGIzYTdmZDNiNzRjNGNhYzBjZDFjNGQ2OWQiLCJ1c2VySWQiOiIxMDQwNDkwMjc0In0=</vt:lpwstr>
  </property>
</Properties>
</file>