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4"/>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天等县进结镇高州村坚果基地产业配套路项目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CZZC2026-C2-250021-GXYR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4</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13</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天等县进结镇高州村坚果基地产业配套路项目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天等县进结镇高州村坚果基地产业配套路项目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28359012"/>
      <w:bookmarkStart w:id="4" w:name="_Toc35393629"/>
      <w:bookmarkStart w:id="5" w:name="_Toc35393798"/>
      <w:bookmarkStart w:id="6" w:name="_Toc44229878"/>
      <w:bookmarkStart w:id="7" w:name="_Toc35393623"/>
      <w:bookmarkStart w:id="8" w:name="_Toc28359081"/>
      <w:bookmarkStart w:id="9" w:name="_Toc35393792"/>
      <w:bookmarkStart w:id="10" w:name="_Toc28359004"/>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CZZC2026-C2-250021-GXYR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天等县进结镇高州村坚果基地产业配套路项目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609722.00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天等县进结镇高州村坚果基地产业配套路项目</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：609722.00</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项目共改建2条生产路，路线长1.604公里;φ0.5m钢筋砼管涵8座;错车台5处;回车台1处。</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609722.00</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EBD05B7">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630"/>
      <w:bookmarkStart w:id="13" w:name="_Toc44229879"/>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专门面向中小微企业采购的项目（供应商应为中小微企业、监狱企业、残疾人福利性单位）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82"/>
      <w:bookmarkStart w:id="19" w:name="_Toc35393624"/>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13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7 </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794"/>
      <w:bookmarkStart w:id="23" w:name="_Toc35393625"/>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2.采购意向公开链接：https://zfcg.gxzf.gov.cn/site/detail?categoryCode=ZcyAnnouncement&amp;parentId=66485&amp;articleId=e3+XBEf2RkxiRBnOrxB8TQ==</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13</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25731"/>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天等县进结镇高州村坚果基地产业配套路项目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项目共改建2条生产路，路线长1.604公里;φ0.5m钢筋砼管涵8座;错车台5处;回车台1处。</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609722.00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天等县进结镇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w:t>
            </w:r>
            <w:r>
              <w:rPr>
                <w:rFonts w:hint="eastAsia"/>
                <w:b/>
                <w:bCs/>
                <w:color w:val="auto"/>
                <w:highlight w:val="none"/>
                <w:lang w:eastAsia="zh-CN"/>
              </w:rPr>
              <w:t xml:space="preserve">. </w:t>
            </w:r>
            <w:r>
              <w:rPr>
                <w:rFonts w:hint="eastAsia"/>
                <w:b/>
                <w:bCs/>
                <w:color w:val="auto"/>
                <w:highlight w:val="none"/>
              </w:rPr>
              <w:t>报价要求：</w:t>
            </w:r>
          </w:p>
          <w:p w14:paraId="710AE81D">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spacing w:line="360" w:lineRule="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p w14:paraId="2EC146E4">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lang w:val="en-US" w:eastAsia="zh-CN"/>
              </w:rPr>
              <w:t>3</w:t>
            </w: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rPr>
              <w:t>最后报价环节出现以下情形之一的，其最后报价无效，视同放弃报价权利退出采购活动：</w:t>
            </w:r>
          </w:p>
          <w:p w14:paraId="49FDB28E">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未上传已标价工程量清单的；</w:t>
            </w:r>
          </w:p>
          <w:p w14:paraId="4124F989">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已上传的已标价工程量清单不完整的（如缺项、漏项、数据缺失等）；</w:t>
            </w:r>
          </w:p>
          <w:p w14:paraId="4407179F">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已上传的已标价工程量清单格式不符合要求的；</w:t>
            </w:r>
          </w:p>
          <w:p w14:paraId="58BF1BBA">
            <w:pPr>
              <w:spacing w:line="360" w:lineRule="auto"/>
              <w:rPr>
                <w:rFonts w:hint="eastAsia"/>
              </w:rPr>
            </w:pPr>
            <w:r>
              <w:rPr>
                <w:rFonts w:hint="eastAsia" w:ascii="Times New Roman" w:hAnsi="Times New Roman" w:eastAsia="宋体" w:cs="Times New Roman"/>
                <w:b/>
                <w:bCs/>
                <w:color w:val="auto"/>
                <w:highlight w:val="none"/>
              </w:rPr>
              <w:t>已上传的已标价工程量清单签章不齐全的。</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675"/>
      <w:bookmarkStart w:id="49" w:name="_Toc11036"/>
      <w:bookmarkStart w:id="50" w:name="_Toc254970534"/>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346617322"/>
      <w:bookmarkStart w:id="67" w:name="_Toc183264294"/>
      <w:bookmarkStart w:id="68" w:name="_Toc5854"/>
      <w:bookmarkStart w:id="69" w:name="_Toc181180297"/>
      <w:bookmarkStart w:id="70" w:name="_Toc18546"/>
      <w:bookmarkStart w:id="71" w:name="_Toc20845"/>
      <w:bookmarkStart w:id="72" w:name="_Toc498082646"/>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小微企业采购的项目，参加本项目磋商的供应商必须为供应商应为</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小微企业、监狱企业、残疾人福利性单位，否则竞标无效。价格评审时，参加本次项目竞标的供应商不重复享受政策，其评审价=竞标报价。</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（3）以进入比较与评价环节的最低的评审价为基准价，基准价得分为</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5E66A9D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w:t>
            </w:r>
            <w:r>
              <w:rPr>
                <w:rFonts w:hint="eastAsia" w:ascii="宋体" w:hAnsi="宋体" w:cs="宋体"/>
                <w:b/>
                <w:bCs w:val="0"/>
                <w:color w:val="auto"/>
                <w:szCs w:val="21"/>
                <w:highlight w:val="none"/>
                <w:vertAlign w:val="baseline"/>
                <w:lang w:val="en-US" w:eastAsia="zh-CN"/>
              </w:rPr>
              <w:t>1</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不满足施工需要，管理人员配备不齐全。</w:t>
            </w:r>
          </w:p>
          <w:p w14:paraId="644F0D2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55C266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w:t>
            </w:r>
            <w:r>
              <w:rPr>
                <w:rFonts w:hint="eastAsia" w:ascii="宋体" w:hAnsi="宋体" w:cs="宋体"/>
                <w:b/>
                <w:bCs w:val="0"/>
                <w:color w:val="auto"/>
                <w:kern w:val="2"/>
                <w:sz w:val="21"/>
                <w:szCs w:val="21"/>
                <w:highlight w:val="none"/>
                <w:vertAlign w:val="baseline"/>
                <w:lang w:val="en-US" w:eastAsia="zh-CN" w:bidi="ar-SA"/>
              </w:rPr>
              <w:t>10</w:t>
            </w:r>
            <w:r>
              <w:rPr>
                <w:rFonts w:hint="eastAsia" w:ascii="宋体" w:hAnsi="宋体" w:eastAsia="宋体" w:cs="宋体"/>
                <w:b/>
                <w:bCs w:val="0"/>
                <w:color w:val="auto"/>
                <w:kern w:val="2"/>
                <w:sz w:val="21"/>
                <w:szCs w:val="21"/>
                <w:highlight w:val="none"/>
                <w:vertAlign w:val="baseline"/>
                <w:lang w:val="en-US" w:eastAsia="zh-CN" w:bidi="ar-SA"/>
              </w:rPr>
              <w:t>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方法科学合理、可行，能指导具体施工并确 保安全。</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 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 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 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 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分）：针对本工程项目特点，有现场文明施工、环境保护措施、且措施内容达到《建筑施工安全生产检查标准》（JGJ59-2011）合格标准并符合《广西壮族自治区建筑工程文明施工导则》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广西壮族自治区建筑工程文明施工导则》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基本达到《建筑施工安全生产检查标准》（JGJ59-2011）合格标准并符合《广西壮族自治区建筑工程文明施工导则》要求。各项措施一般。具体实现现场文明施工目标的承诺一般。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bookmarkStart w:id="119" w:name="_GoBack"/>
            <w:bookmarkEnd w:id="119"/>
            <w:r>
              <w:rPr>
                <w:rFonts w:hint="eastAsia" w:ascii="宋体" w:hAnsi="宋体" w:eastAsia="宋体" w:cs="宋体"/>
                <w:b w:val="0"/>
                <w:bCs/>
                <w:color w:val="auto"/>
                <w:szCs w:val="21"/>
                <w:highlight w:val="none"/>
                <w:vertAlign w:val="baseline"/>
                <w:lang w:val="en-US" w:eastAsia="zh-CN"/>
              </w:rPr>
              <w:t>施工业绩的，每个得</w:t>
            </w:r>
            <w:r>
              <w:rPr>
                <w:rFonts w:hint="eastAsia" w:ascii="宋体" w:hAnsi="宋体" w:cs="宋体"/>
                <w:b w:val="0"/>
                <w:bCs/>
                <w:color w:val="auto"/>
                <w:szCs w:val="21"/>
                <w:highlight w:val="none"/>
                <w:vertAlign w:val="baseline"/>
                <w:lang w:val="en-US" w:eastAsia="zh-CN"/>
              </w:rPr>
              <w:t>2.5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r w14:paraId="151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F83D7B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注：本项目启用异常低价审核流程。政府采购评审中出现下列情形之一的，</w:t>
            </w:r>
            <w:r>
              <w:rPr>
                <w:rFonts w:hint="eastAsia" w:ascii="宋体" w:hAnsi="宋体" w:cs="宋体"/>
                <w:bCs/>
                <w:color w:val="auto"/>
                <w:highlight w:val="none"/>
                <w:lang w:val="en-US" w:eastAsia="zh-CN"/>
              </w:rPr>
              <w:t>磋商小组</w:t>
            </w:r>
            <w:r>
              <w:rPr>
                <w:rFonts w:hint="eastAsia" w:ascii="宋体" w:hAnsi="宋体" w:eastAsia="宋体" w:cs="宋体"/>
                <w:bCs/>
                <w:color w:val="auto"/>
                <w:highlight w:val="none"/>
              </w:rPr>
              <w:t>应当启动异常低价投标（响应) 审查程序：</w:t>
            </w:r>
          </w:p>
          <w:p w14:paraId="6520CA1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情形1：投标(响应)报价 低于 全部通过符合性审查供应商投标(响应)报价「平均值」65%；</w:t>
            </w:r>
          </w:p>
          <w:p w14:paraId="58F17513">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情形2：投标(响应)报价 低于 通过符合性审查的「次低报价」供应商投标(响应)报价65%； </w:t>
            </w:r>
          </w:p>
          <w:p w14:paraId="5EFED4FC">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情形3：投标(响应)报价 低于 采购项目「最高限价」65%；</w:t>
            </w:r>
          </w:p>
          <w:p w14:paraId="3A9415D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情形4：评审委员会基于专业判断，认为供应商报价过低，有可能影响产品质量或者不能诚信履约的其他情形。</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3615D451">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7019"/>
      <w:bookmarkStart w:id="83" w:name="_Toc14457"/>
    </w:p>
    <w:p w14:paraId="20248594">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32744"/>
      <w:bookmarkStart w:id="85" w:name="_Toc6990"/>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4"/>
        <w:rPr>
          <w:rFonts w:hint="eastAsia" w:ascii="宋体" w:hAnsi="宋体" w:eastAsia="宋体" w:cs="宋体"/>
          <w:color w:val="auto"/>
          <w:highlight w:val="none"/>
        </w:rPr>
      </w:pPr>
    </w:p>
    <w:p w14:paraId="0F59EEB7">
      <w:pPr>
        <w:pStyle w:val="14"/>
        <w:rPr>
          <w:rFonts w:hint="eastAsia" w:ascii="宋体" w:hAnsi="宋体" w:eastAsia="宋体" w:cs="宋体"/>
          <w:color w:val="auto"/>
          <w:highlight w:val="none"/>
        </w:rPr>
      </w:pPr>
    </w:p>
    <w:p w14:paraId="187A026B">
      <w:pPr>
        <w:pStyle w:val="14"/>
        <w:rPr>
          <w:rFonts w:hint="eastAsia" w:ascii="宋体" w:hAnsi="宋体" w:eastAsia="宋体" w:cs="宋体"/>
          <w:color w:val="auto"/>
          <w:highlight w:val="none"/>
        </w:rPr>
      </w:pPr>
    </w:p>
    <w:p w14:paraId="1B2813D3">
      <w:pPr>
        <w:pStyle w:val="14"/>
        <w:rPr>
          <w:rFonts w:hint="eastAsia" w:ascii="宋体" w:hAnsi="宋体" w:eastAsia="宋体" w:cs="宋体"/>
          <w:color w:val="auto"/>
          <w:highlight w:val="none"/>
        </w:rPr>
      </w:pPr>
    </w:p>
    <w:p w14:paraId="16741031">
      <w:pPr>
        <w:pStyle w:val="14"/>
        <w:rPr>
          <w:rFonts w:hint="eastAsia" w:ascii="宋体" w:hAnsi="宋体" w:eastAsia="宋体" w:cs="宋体"/>
          <w:color w:val="auto"/>
          <w:highlight w:val="none"/>
        </w:rPr>
      </w:pPr>
    </w:p>
    <w:p w14:paraId="6BEC80FF">
      <w:pPr>
        <w:pStyle w:val="14"/>
        <w:rPr>
          <w:rFonts w:hint="eastAsia" w:ascii="宋体" w:hAnsi="宋体" w:eastAsia="宋体" w:cs="宋体"/>
          <w:color w:val="auto"/>
          <w:highlight w:val="none"/>
        </w:rPr>
      </w:pPr>
    </w:p>
    <w:p w14:paraId="0E55AD9F">
      <w:pPr>
        <w:pStyle w:val="14"/>
        <w:rPr>
          <w:rFonts w:hint="eastAsia" w:ascii="宋体" w:hAnsi="宋体" w:eastAsia="宋体" w:cs="宋体"/>
          <w:color w:val="auto"/>
          <w:highlight w:val="none"/>
        </w:rPr>
      </w:pPr>
    </w:p>
    <w:p w14:paraId="4724F44F">
      <w:pPr>
        <w:pStyle w:val="14"/>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7812C2E0">
      <w:pPr>
        <w:pStyle w:val="14"/>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80205938"/>
      <w:bookmarkStart w:id="90" w:name="_Toc17340"/>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10308"/>
      <w:bookmarkStart w:id="93" w:name="_Toc3025"/>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4"/>
        <w:rPr>
          <w:rFonts w:hint="eastAsia" w:ascii="宋体" w:hAnsi="宋体" w:eastAsia="宋体" w:cs="宋体"/>
          <w:color w:val="auto"/>
          <w:sz w:val="24"/>
          <w:highlight w:val="none"/>
        </w:rPr>
      </w:pPr>
    </w:p>
    <w:p w14:paraId="0E7282A7">
      <w:pPr>
        <w:pStyle w:val="9"/>
        <w:rPr>
          <w:rFonts w:hint="eastAsia" w:ascii="宋体" w:hAnsi="宋体" w:eastAsia="宋体" w:cs="宋体"/>
          <w:color w:val="auto"/>
          <w:sz w:val="24"/>
          <w:highlight w:val="none"/>
        </w:rPr>
      </w:pPr>
    </w:p>
    <w:p w14:paraId="090244BC">
      <w:pPr>
        <w:pStyle w:val="9"/>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7"/>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7"/>
      <w:bookmarkStart w:id="101" w:name="OLE_LINK6"/>
      <w:bookmarkStart w:id="102"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4"/>
        <w:rPr>
          <w:rFonts w:hint="eastAsia" w:ascii="宋体" w:hAnsi="宋体" w:eastAsia="宋体" w:cs="宋体"/>
          <w:color w:val="auto"/>
          <w:kern w:val="0"/>
          <w:sz w:val="24"/>
          <w:highlight w:val="none"/>
          <w:lang w:val="zh-CN"/>
        </w:rPr>
      </w:pPr>
    </w:p>
    <w:p w14:paraId="34728A6E">
      <w:pPr>
        <w:pStyle w:val="9"/>
        <w:rPr>
          <w:rFonts w:hint="eastAsia" w:ascii="宋体" w:hAnsi="宋体" w:eastAsia="宋体" w:cs="宋体"/>
          <w:color w:val="auto"/>
          <w:kern w:val="0"/>
          <w:sz w:val="24"/>
          <w:highlight w:val="none"/>
          <w:lang w:val="zh-CN"/>
        </w:rPr>
      </w:pPr>
    </w:p>
    <w:p w14:paraId="20755686">
      <w:pPr>
        <w:pStyle w:val="9"/>
        <w:rPr>
          <w:rFonts w:hint="eastAsia" w:ascii="宋体" w:hAnsi="宋体" w:eastAsia="宋体" w:cs="宋体"/>
          <w:color w:val="auto"/>
          <w:kern w:val="0"/>
          <w:sz w:val="24"/>
          <w:highlight w:val="none"/>
          <w:lang w:val="zh-CN"/>
        </w:rPr>
      </w:pPr>
    </w:p>
    <w:p w14:paraId="6B82169E">
      <w:pPr>
        <w:pStyle w:val="9"/>
        <w:rPr>
          <w:rFonts w:hint="eastAsia" w:ascii="宋体" w:hAnsi="宋体" w:eastAsia="宋体" w:cs="宋体"/>
          <w:color w:val="auto"/>
          <w:kern w:val="0"/>
          <w:sz w:val="24"/>
          <w:highlight w:val="none"/>
          <w:lang w:val="zh-CN"/>
        </w:rPr>
      </w:pPr>
    </w:p>
    <w:p w14:paraId="696BCCA0">
      <w:pPr>
        <w:pStyle w:val="9"/>
        <w:rPr>
          <w:rFonts w:hint="eastAsia" w:ascii="宋体" w:hAnsi="宋体" w:eastAsia="宋体" w:cs="宋体"/>
          <w:color w:val="auto"/>
          <w:kern w:val="0"/>
          <w:sz w:val="24"/>
          <w:highlight w:val="none"/>
          <w:lang w:val="zh-CN"/>
        </w:rPr>
      </w:pPr>
    </w:p>
    <w:p w14:paraId="2D5CB1E6">
      <w:pPr>
        <w:pStyle w:val="9"/>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w:t>
      </w:r>
      <w:r>
        <w:rPr>
          <w:rFonts w:hint="eastAsia" w:ascii="宋体" w:hAnsi="宋体" w:cs="宋体"/>
          <w:color w:val="auto"/>
          <w:kern w:val="0"/>
          <w:sz w:val="24"/>
          <w:highlight w:val="none"/>
          <w:lang w:val="zh-CN"/>
        </w:rPr>
        <w:t>，将</w:t>
      </w:r>
      <w:r>
        <w:rPr>
          <w:rFonts w:hint="eastAsia" w:ascii="宋体" w:hAnsi="宋体" w:eastAsia="宋体" w:cs="宋体"/>
          <w:color w:val="auto"/>
          <w:kern w:val="0"/>
          <w:sz w:val="24"/>
          <w:highlight w:val="none"/>
          <w:lang w:val="zh-CN"/>
        </w:rPr>
        <w:t>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4"/>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4"/>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4"/>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2"/>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天农衔施合同〔2025〕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2"/>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2"/>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2D178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23AC8BD2">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2"/>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2"/>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6"/>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4"/>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2"/>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2"/>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2"/>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 w14:paraId="4F6A14F3"/>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6"/>
      <w:lvlText w:val="%1."/>
      <w:lvlJc w:val="left"/>
      <w:pPr>
        <w:tabs>
          <w:tab w:val="left" w:pos="360"/>
        </w:tabs>
        <w:ind w:left="360" w:hanging="36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E5D5C46"/>
    <w:rsid w:val="1B846C34"/>
    <w:rsid w:val="322E1CC9"/>
    <w:rsid w:val="4FD035BF"/>
    <w:rsid w:val="57437223"/>
    <w:rsid w:val="5A31056B"/>
    <w:rsid w:val="5DAF4C1B"/>
    <w:rsid w:val="6429154F"/>
    <w:rsid w:val="76F86DCF"/>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paragraph" w:customStyle="1" w:styleId="24">
    <w:name w:val="表格文字"/>
    <w:basedOn w:val="10"/>
    <w:next w:val="9"/>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39695</Words>
  <Characters>42541</Characters>
  <Lines>0</Lines>
  <Paragraphs>0</Paragraphs>
  <TotalTime>16</TotalTime>
  <ScaleCrop>false</ScaleCrop>
  <LinksUpToDate>false</LinksUpToDate>
  <CharactersWithSpaces>45033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歪歪</cp:lastModifiedBy>
  <dcterms:modified xsi:type="dcterms:W3CDTF">2026-04-13T15:32:38Z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C7477C75DA394E438F80CE055F44A0A8_11</vt:lpwstr>
  </property>
  <property fmtid="{D5CDD505-2E9C-101B-9397-08002B2CF9AE}" pid="4" name="KSOTemplateDocerSaveRecord">
    <vt:lpwstr>eyJoZGlkIjoiMDQ0YTg0MTgwZGNkMGIyZjU3NWM0MmNiN2ZhYzFmYmIiLCJ1c2VySWQiOiI1MjE2ODA1MjUifQ==</vt:lpwstr>
  </property>
</Properties>
</file>